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Licensing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Licensing Act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_Toc389662616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_Toc389662617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_Toc389662618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Storage of liquor on licensed and approved premises etc.</w:t>
      </w:r>
      <w:r>
        <w:tab/>
      </w:r>
      <w:r>
        <w:fldChar w:fldCharType="begin"/>
      </w:r>
      <w:r>
        <w:instrText xml:space="preserve"> PAGEREF _Toc389662619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the Act</w:t>
      </w:r>
      <w:r>
        <w:tab/>
      </w:r>
      <w:r>
        <w:fldChar w:fldCharType="begin"/>
      </w:r>
      <w:r>
        <w:instrText xml:space="preserve"> PAGEREF _Toc389662620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_Toc389662621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2 — The licensing authority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of the licensing authority</w:t>
      </w:r>
      <w:r>
        <w:tab/>
      </w:r>
      <w:r>
        <w:fldChar w:fldCharType="begin"/>
      </w:r>
      <w:r>
        <w:instrText xml:space="preserve"> PAGEREF _Toc389662624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The Liquor Licensing Court</w:t>
      </w:r>
    </w:p>
    <w:p>
      <w:pPr>
        <w:pStyle w:val="TOC8"/>
        <w:rPr>
          <w:rFonts w:asciiTheme="minorHAnsi" w:eastAsiaTheme="minorEastAsia" w:hAnsiTheme="minorHAnsi" w:cstheme="minorBidi"/>
          <w:szCs w:val="22"/>
        </w:rPr>
      </w:pPr>
      <w:r>
        <w:t>8</w:t>
      </w:r>
      <w:r>
        <w:rPr>
          <w:snapToGrid w:val="0"/>
        </w:rPr>
        <w:t>.</w:t>
      </w:r>
      <w:r>
        <w:rPr>
          <w:snapToGrid w:val="0"/>
        </w:rPr>
        <w:tab/>
        <w:t>Establishment and constitution of the Liquor Licensing Court</w:t>
      </w:r>
      <w:r>
        <w:tab/>
      </w:r>
      <w:r>
        <w:fldChar w:fldCharType="begin"/>
      </w:r>
      <w:r>
        <w:instrText xml:space="preserve"> PAGEREF _Toc389662626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Appointment of the judge of the Liquor Licensing Court</w:t>
      </w:r>
      <w:r>
        <w:tab/>
      </w:r>
      <w:r>
        <w:fldChar w:fldCharType="begin"/>
      </w:r>
      <w:r>
        <w:instrText xml:space="preserve"> PAGEREF _Toc389662627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The Director</w:t>
      </w:r>
      <w:r>
        <w:tab/>
      </w:r>
      <w:r>
        <w:fldChar w:fldCharType="begin"/>
      </w:r>
      <w:r>
        <w:instrText xml:space="preserve"> PAGEREF _Toc389662629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_Toc389662630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Delegation and authorisation by the Director</w:t>
      </w:r>
      <w:r>
        <w:tab/>
      </w:r>
      <w:r>
        <w:fldChar w:fldCharType="begin"/>
      </w:r>
      <w:r>
        <w:instrText xml:space="preserve"> PAGEREF _Toc389662632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w:t>
      </w:r>
      <w:r>
        <w:tab/>
      </w:r>
      <w:r>
        <w:fldChar w:fldCharType="begin"/>
      </w:r>
      <w:r>
        <w:instrText xml:space="preserve"> PAGEREF _Toc389662634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w:t>
      </w:r>
      <w:r>
        <w:tab/>
      </w:r>
      <w:r>
        <w:fldChar w:fldCharType="begin"/>
      </w:r>
      <w:r>
        <w:instrText xml:space="preserve"> PAGEREF _Toc389662635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with respect to witnesses and evidence</w:t>
      </w:r>
      <w:r>
        <w:tab/>
      </w:r>
      <w:r>
        <w:fldChar w:fldCharType="begin"/>
      </w:r>
      <w:r>
        <w:instrText xml:space="preserve"> PAGEREF _Toc389662636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Enforcement of orders</w:t>
      </w:r>
      <w:r>
        <w:tab/>
      </w:r>
      <w:r>
        <w:fldChar w:fldCharType="begin"/>
      </w:r>
      <w:r>
        <w:instrText xml:space="preserve"> PAGEREF _Toc389662637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_Toc389662638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_Toc389662639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Rules of Court</w:t>
      </w:r>
      <w:r>
        <w:tab/>
      </w:r>
      <w:r>
        <w:fldChar w:fldCharType="begin"/>
      </w:r>
      <w:r>
        <w:instrText xml:space="preserve"> PAGEREF _Toc389662640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authority and indemnity</w:t>
      </w:r>
      <w:r>
        <w:tab/>
      </w:r>
      <w:r>
        <w:fldChar w:fldCharType="begin"/>
      </w:r>
      <w:r>
        <w:instrText xml:space="preserve"> PAGEREF _Toc389662641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Reference to the Court,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the Court</w:t>
      </w:r>
      <w:r>
        <w:tab/>
      </w:r>
      <w:r>
        <w:fldChar w:fldCharType="begin"/>
      </w:r>
      <w:r>
        <w:instrText xml:space="preserve"> PAGEREF _Toc389662643 \h </w:instrText>
      </w:r>
      <w:r>
        <w:fldChar w:fldCharType="separate"/>
      </w:r>
      <w:r>
        <w:t>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for review of a decision by the Director</w:t>
      </w:r>
      <w:r>
        <w:tab/>
      </w:r>
      <w:r>
        <w:fldChar w:fldCharType="begin"/>
      </w:r>
      <w:r>
        <w:instrText xml:space="preserve"> PAGEREF _Toc389662644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Decision of Director to be given effect unless otherwise directed</w:t>
      </w:r>
      <w:r>
        <w:tab/>
      </w:r>
      <w:r>
        <w:fldChar w:fldCharType="begin"/>
      </w:r>
      <w:r>
        <w:instrText xml:space="preserve"> PAGEREF _Toc389662645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Case stated on question of law</w:t>
      </w:r>
      <w:r>
        <w:tab/>
      </w:r>
      <w:r>
        <w:fldChar w:fldCharType="begin"/>
      </w:r>
      <w:r>
        <w:instrText xml:space="preserve"> PAGEREF _Toc389662646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w:t>
      </w:r>
      <w:r>
        <w:tab/>
      </w:r>
      <w:r>
        <w:fldChar w:fldCharType="begin"/>
      </w:r>
      <w:r>
        <w:instrText xml:space="preserve"> PAGEREF _Toc389662647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_Toc389662648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7 — Division of responsibility between the Court and the Director</w:t>
      </w:r>
    </w:p>
    <w:p>
      <w:pPr>
        <w:pStyle w:val="TOC8"/>
        <w:rPr>
          <w:rFonts w:asciiTheme="minorHAnsi" w:eastAsiaTheme="minorEastAsia" w:hAnsiTheme="minorHAnsi" w:cstheme="minorBidi"/>
          <w:szCs w:val="22"/>
        </w:rPr>
      </w:pPr>
      <w:r>
        <w:t>30</w:t>
      </w:r>
      <w:r>
        <w:rPr>
          <w:snapToGrid w:val="0"/>
        </w:rPr>
        <w:t>.</w:t>
      </w:r>
      <w:r>
        <w:rPr>
          <w:snapToGrid w:val="0"/>
        </w:rPr>
        <w:tab/>
        <w:t>Division of responsibilities</w:t>
      </w:r>
      <w:r>
        <w:tab/>
      </w:r>
      <w:r>
        <w:fldChar w:fldCharType="begin"/>
      </w:r>
      <w:r>
        <w:instrText xml:space="preserve"> PAGEREF _Toc389662650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3 — Licences and permits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Licensing authority may grant licences to sell liquor</w:t>
      </w:r>
      <w:r>
        <w:tab/>
      </w:r>
      <w:r>
        <w:fldChar w:fldCharType="begin"/>
      </w:r>
      <w:r>
        <w:instrText xml:space="preserve"> PAGEREF _Toc389662653 \h </w:instrText>
      </w:r>
      <w:r>
        <w:fldChar w:fldCharType="separate"/>
      </w:r>
      <w:r>
        <w:t>38</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_Toc389662654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_Toc389662655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_Toc389662656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Discretion vested in licensing authority</w:t>
      </w:r>
      <w:r>
        <w:tab/>
      </w:r>
      <w:r>
        <w:fldChar w:fldCharType="begin"/>
      </w:r>
      <w:r>
        <w:instrText xml:space="preserve"> PAGEREF _Toc389662657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Restrictions on certain applications</w:t>
      </w:r>
      <w:r>
        <w:tab/>
      </w:r>
      <w:r>
        <w:fldChar w:fldCharType="begin"/>
      </w:r>
      <w:r>
        <w:instrText xml:space="preserve"> PAGEREF _Toc389662658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_Toc389662659 \h </w:instrText>
      </w:r>
      <w:r>
        <w:fldChar w:fldCharType="separate"/>
      </w:r>
      <w:r>
        <w:t>45</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w:t>
      </w:r>
      <w:r>
        <w:tab/>
      </w:r>
      <w:r>
        <w:fldChar w:fldCharType="begin"/>
      </w:r>
      <w:r>
        <w:instrText xml:space="preserve"> PAGEREF _Toc389662660 \h </w:instrText>
      </w:r>
      <w:r>
        <w:fldChar w:fldCharType="separate"/>
      </w:r>
      <w:r>
        <w:t>45</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Approval of person as manager</w:t>
      </w:r>
      <w:r>
        <w:tab/>
      </w:r>
      <w:r>
        <w:fldChar w:fldCharType="begin"/>
      </w:r>
      <w:r>
        <w:instrText xml:space="preserve"> PAGEREF _Toc389662661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Limitation on dual licensing of premises</w:t>
      </w:r>
      <w:r>
        <w:tab/>
      </w:r>
      <w:r>
        <w:fldChar w:fldCharType="begin"/>
      </w:r>
      <w:r>
        <w:instrText xml:space="preserve"> PAGEREF _Toc389662662 \h </w:instrText>
      </w:r>
      <w:r>
        <w:fldChar w:fldCharType="separate"/>
      </w:r>
      <w:r>
        <w:t>47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_Toc389662663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Requirements relating to licences and permits, generally</w:t>
      </w:r>
      <w:r>
        <w:tab/>
      </w:r>
      <w:r>
        <w:fldChar w:fldCharType="begin"/>
      </w:r>
      <w:r>
        <w:instrText xml:space="preserve"> PAGEREF _Toc389662664 \h </w:instrText>
      </w:r>
      <w:r>
        <w:fldChar w:fldCharType="separate"/>
      </w:r>
      <w:r>
        <w:t>48</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Director to be informed of convictions</w:t>
      </w:r>
      <w:r>
        <w:tab/>
      </w:r>
      <w:r>
        <w:fldChar w:fldCharType="begin"/>
      </w:r>
      <w:r>
        <w:instrText xml:space="preserve"> PAGEREF _Toc389662665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Category A licences</w:t>
      </w:r>
    </w:p>
    <w:p>
      <w:pPr>
        <w:pStyle w:val="TOC8"/>
        <w:rPr>
          <w:rFonts w:asciiTheme="minorHAnsi" w:eastAsiaTheme="minorEastAsia" w:hAnsiTheme="minorHAnsi" w:cstheme="minorBidi"/>
          <w:szCs w:val="22"/>
        </w:rPr>
      </w:pPr>
      <w:r>
        <w:t>38</w:t>
      </w:r>
      <w:r>
        <w:rPr>
          <w:snapToGrid w:val="0"/>
        </w:rPr>
        <w:t>.</w:t>
      </w:r>
      <w:r>
        <w:rPr>
          <w:snapToGrid w:val="0"/>
        </w:rPr>
        <w:tab/>
        <w:t>Requirements for the grant or removal of a Category A licence</w:t>
      </w:r>
      <w:r>
        <w:tab/>
      </w:r>
      <w:r>
        <w:fldChar w:fldCharType="begin"/>
      </w:r>
      <w:r>
        <w:instrText xml:space="preserve"> PAGEREF _Toc389662667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w:t>
      </w:r>
      <w:r>
        <w:tab/>
      </w:r>
      <w:r>
        <w:fldChar w:fldCharType="begin"/>
      </w:r>
      <w:r>
        <w:instrText xml:space="preserve"> PAGEREF _Toc389662668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local planning authority</w:t>
      </w:r>
      <w:r>
        <w:tab/>
      </w:r>
      <w:r>
        <w:fldChar w:fldCharType="begin"/>
      </w:r>
      <w:r>
        <w:instrText xml:space="preserve"> PAGEREF _Toc389662669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licences</w:t>
      </w:r>
      <w:r>
        <w:tab/>
      </w:r>
      <w:r>
        <w:fldChar w:fldCharType="begin"/>
      </w:r>
      <w:r>
        <w:instrText xml:space="preserve"> PAGEREF _Toc389662670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licences</w:t>
      </w:r>
      <w:r>
        <w:tab/>
      </w:r>
      <w:r>
        <w:fldChar w:fldCharType="begin"/>
      </w:r>
      <w:r>
        <w:instrText xml:space="preserve"> PAGEREF _Toc389662671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Requirements relating to a </w:t>
      </w:r>
      <w:r>
        <w:t xml:space="preserve">nightclub </w:t>
      </w:r>
      <w:r>
        <w:rPr>
          <w:snapToGrid w:val="0"/>
        </w:rPr>
        <w:t>licence</w:t>
      </w:r>
      <w:r>
        <w:tab/>
      </w:r>
      <w:r>
        <w:fldChar w:fldCharType="begin"/>
      </w:r>
      <w:r>
        <w:instrText xml:space="preserve"> PAGEREF _Toc389662672 \h </w:instrText>
      </w:r>
      <w:r>
        <w:fldChar w:fldCharType="separate"/>
      </w:r>
      <w:r>
        <w:t>58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licences</w:t>
      </w:r>
      <w:r>
        <w:tab/>
      </w:r>
      <w:r>
        <w:fldChar w:fldCharType="begin"/>
      </w:r>
      <w:r>
        <w:instrText xml:space="preserve"> PAGEREF _Toc389662673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Requirements relating to a casino liquor licence</w:t>
      </w:r>
      <w:r>
        <w:tab/>
      </w:r>
      <w:r>
        <w:fldChar w:fldCharType="begin"/>
      </w:r>
      <w:r>
        <w:instrText xml:space="preserve"> PAGEREF _Toc389662674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licences</w:t>
      </w:r>
      <w:r>
        <w:tab/>
      </w:r>
      <w:r>
        <w:fldChar w:fldCharType="begin"/>
      </w:r>
      <w:r>
        <w:instrText xml:space="preserve"> PAGEREF _Toc389662675 \h </w:instrText>
      </w:r>
      <w:r>
        <w:fldChar w:fldCharType="separate"/>
      </w:r>
      <w:r>
        <w:t>60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licences</w:t>
      </w:r>
      <w:r>
        <w:tab/>
      </w:r>
      <w:r>
        <w:fldChar w:fldCharType="begin"/>
      </w:r>
      <w:r>
        <w:instrText xml:space="preserve"> PAGEREF _Toc389662676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Category B licences</w:t>
      </w:r>
    </w:p>
    <w:p>
      <w:pPr>
        <w:pStyle w:val="TOC8"/>
        <w:rPr>
          <w:rFonts w:asciiTheme="minorHAnsi" w:eastAsiaTheme="minorEastAsia" w:hAnsiTheme="minorHAnsi" w:cstheme="minorBidi"/>
          <w:szCs w:val="22"/>
        </w:rPr>
      </w:pPr>
      <w:r>
        <w:t>48</w:t>
      </w:r>
      <w:r>
        <w:rPr>
          <w:snapToGrid w:val="0"/>
        </w:rPr>
        <w:t>.</w:t>
      </w:r>
      <w:r>
        <w:rPr>
          <w:snapToGrid w:val="0"/>
        </w:rPr>
        <w:tab/>
        <w:t>Club or club restricted licences</w:t>
      </w:r>
      <w:r>
        <w:tab/>
      </w:r>
      <w:r>
        <w:fldChar w:fldCharType="begin"/>
      </w:r>
      <w:r>
        <w:instrText xml:space="preserve"> PAGEREF _Toc389662678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relating to a club licence</w:t>
      </w:r>
      <w:r>
        <w:tab/>
      </w:r>
      <w:r>
        <w:fldChar w:fldCharType="begin"/>
      </w:r>
      <w:r>
        <w:instrText xml:space="preserve"> PAGEREF _Toc389662679 \h </w:instrText>
      </w:r>
      <w:r>
        <w:fldChar w:fldCharType="separate"/>
      </w:r>
      <w:r>
        <w:t>66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licences</w:t>
      </w:r>
      <w:r>
        <w:tab/>
      </w:r>
      <w:r>
        <w:fldChar w:fldCharType="begin"/>
      </w:r>
      <w:r>
        <w:instrText xml:space="preserve"> PAGEREF _Toc389662680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Liquor in unlicensed restaurants</w:t>
      </w:r>
      <w:r>
        <w:tab/>
      </w:r>
      <w:r>
        <w:fldChar w:fldCharType="begin"/>
      </w:r>
      <w:r>
        <w:instrText xml:space="preserve"> PAGEREF _Toc389662681 \h </w:instrText>
      </w:r>
      <w:r>
        <w:fldChar w:fldCharType="separate"/>
      </w:r>
      <w:r>
        <w:t>70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ancillary to a meal, and evidentiary matters</w:t>
      </w:r>
      <w:r>
        <w:tab/>
      </w:r>
      <w:r>
        <w:fldChar w:fldCharType="begin"/>
      </w:r>
      <w:r>
        <w:instrText xml:space="preserve"> PAGEREF _Toc389662682 \h </w:instrText>
      </w:r>
      <w:r>
        <w:fldChar w:fldCharType="separate"/>
      </w:r>
      <w:r>
        <w:t>70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Conditions on authorisation for sale ancillary to a meal</w:t>
      </w:r>
      <w:r>
        <w:tab/>
      </w:r>
      <w:r>
        <w:fldChar w:fldCharType="begin"/>
      </w:r>
      <w:r>
        <w:instrText xml:space="preserve"> PAGEREF _Toc389662683 \h </w:instrText>
      </w:r>
      <w:r>
        <w:fldChar w:fldCharType="separate"/>
      </w:r>
      <w:r>
        <w:t>71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licences</w:t>
      </w:r>
      <w:r>
        <w:tab/>
      </w:r>
      <w:r>
        <w:fldChar w:fldCharType="begin"/>
      </w:r>
      <w:r>
        <w:instrText xml:space="preserve"> PAGEREF _Toc389662684 \h </w:instrText>
      </w:r>
      <w:r>
        <w:fldChar w:fldCharType="separate"/>
      </w:r>
      <w:r>
        <w:t>72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Evidence as to production of liquor</w:t>
      </w:r>
      <w:r>
        <w:tab/>
      </w:r>
      <w:r>
        <w:fldChar w:fldCharType="begin"/>
      </w:r>
      <w:r>
        <w:instrText xml:space="preserve"> PAGEREF _Toc389662685 \h </w:instrText>
      </w:r>
      <w:r>
        <w:fldChar w:fldCharType="separate"/>
      </w:r>
      <w:r>
        <w:t>73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Requirements relating to a producer’s licence</w:t>
      </w:r>
      <w:r>
        <w:tab/>
      </w:r>
      <w:r>
        <w:fldChar w:fldCharType="begin"/>
      </w:r>
      <w:r>
        <w:instrText xml:space="preserve"> PAGEREF _Toc389662686 \h </w:instrText>
      </w:r>
      <w:r>
        <w:fldChar w:fldCharType="separate"/>
      </w:r>
      <w:r>
        <w:t>73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licences</w:t>
      </w:r>
      <w:r>
        <w:tab/>
      </w:r>
      <w:r>
        <w:fldChar w:fldCharType="begin"/>
      </w:r>
      <w:r>
        <w:instrText xml:space="preserve"> PAGEREF _Toc389662687 \h </w:instrText>
      </w:r>
      <w:r>
        <w:fldChar w:fldCharType="separate"/>
      </w:r>
      <w:r>
        <w:t>74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licences</w:t>
      </w:r>
      <w:r>
        <w:tab/>
      </w:r>
      <w:r>
        <w:fldChar w:fldCharType="begin"/>
      </w:r>
      <w:r>
        <w:instrText xml:space="preserve"> PAGEREF _Toc389662688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permits</w:t>
      </w:r>
      <w:r>
        <w:tab/>
      </w:r>
      <w:r>
        <w:fldChar w:fldCharType="begin"/>
      </w:r>
      <w:r>
        <w:instrText xml:space="preserve"> PAGEREF _Toc389662690 \h </w:instrText>
      </w:r>
      <w:r>
        <w:fldChar w:fldCharType="separate"/>
      </w:r>
      <w:r>
        <w:t>77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Requirements relating to permits for an extended area</w:t>
      </w:r>
      <w:r>
        <w:tab/>
      </w:r>
      <w:r>
        <w:fldChar w:fldCharType="begin"/>
      </w:r>
      <w:r>
        <w:instrText xml:space="preserve"> PAGEREF _Toc389662691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Conditional grants or removals for uncompleted premises</w:t>
      </w:r>
      <w:r>
        <w:tab/>
      </w:r>
      <w:r>
        <w:fldChar w:fldCharType="begin"/>
      </w:r>
      <w:r>
        <w:instrText xml:space="preserve"> PAGEREF _Toc389662693 \h </w:instrText>
      </w:r>
      <w:r>
        <w:fldChar w:fldCharType="separate"/>
      </w:r>
      <w:r>
        <w:t>83</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Conditional grants pending local authority approvals etc.</w:t>
      </w:r>
      <w:r>
        <w:tab/>
      </w:r>
      <w:r>
        <w:fldChar w:fldCharType="begin"/>
      </w:r>
      <w:r>
        <w:instrText xml:space="preserve"> PAGEREF _Toc389662694 \h </w:instrText>
      </w:r>
      <w:r>
        <w:fldChar w:fldCharType="separate"/>
      </w:r>
      <w:r>
        <w:t>86</w:t>
      </w:r>
      <w:r>
        <w:fldChar w:fldCharType="end"/>
      </w:r>
    </w:p>
    <w:p>
      <w:pPr>
        <w:pStyle w:val="TOC8"/>
        <w:rPr>
          <w:rFonts w:asciiTheme="minorHAnsi" w:eastAsiaTheme="minorEastAsia" w:hAnsiTheme="minorHAnsi" w:cstheme="minorBidi"/>
          <w:szCs w:val="22"/>
        </w:rPr>
      </w:pPr>
      <w:r>
        <w:rPr>
          <w:rFonts w:ascii="Times" w:hAnsi="Times"/>
        </w:rPr>
        <w:t>62B</w:t>
      </w:r>
      <w:r>
        <w:rPr>
          <w:rFonts w:ascii="Times" w:hAnsi="Times"/>
          <w:snapToGrid w:val="0"/>
        </w:rPr>
        <w:t>.</w:t>
      </w:r>
      <w:r>
        <w:rPr>
          <w:rFonts w:ascii="Times" w:hAnsi="Times"/>
          <w:snapToGrid w:val="0"/>
        </w:rPr>
        <w:tab/>
        <w:t>Conditional approvals pending local authority approvals etc.</w:t>
      </w:r>
      <w:r>
        <w:tab/>
      </w:r>
      <w:r>
        <w:fldChar w:fldCharType="begin"/>
      </w:r>
      <w:r>
        <w:instrText xml:space="preserve"> PAGEREF _Toc389662695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Restriction on power to vary terms fixed or conditions imposed by the Act</w:t>
      </w:r>
      <w:r>
        <w:tab/>
      </w:r>
      <w:r>
        <w:fldChar w:fldCharType="begin"/>
      </w:r>
      <w:r>
        <w:instrText xml:space="preserve"> PAGEREF _Toc389662697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of licensing authority to impose, vary or cancel conditions</w:t>
      </w:r>
      <w:r>
        <w:tab/>
      </w:r>
      <w:r>
        <w:fldChar w:fldCharType="begin"/>
      </w:r>
      <w:r>
        <w:instrText xml:space="preserve"> PAGEREF _Toc389662698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relating to sales for consumption off the licensed premises</w:t>
      </w:r>
      <w:r>
        <w:tab/>
      </w:r>
      <w:r>
        <w:fldChar w:fldCharType="begin"/>
      </w:r>
      <w:r>
        <w:instrText xml:space="preserve"> PAGEREF _Toc389662699 \h </w:instrText>
      </w:r>
      <w:r>
        <w:fldChar w:fldCharType="separate"/>
      </w:r>
      <w:r>
        <w:t>92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_Toc389662700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w:t>
      </w:r>
      <w:r>
        <w:tab/>
      </w:r>
      <w:r>
        <w:fldChar w:fldCharType="begin"/>
      </w:r>
      <w:r>
        <w:instrText xml:space="preserve"> PAGEREF _Toc389662702 \h </w:instrText>
      </w:r>
      <w:r>
        <w:fldChar w:fldCharType="separate"/>
      </w:r>
      <w:r>
        <w:t>94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_Toc389662703 \h </w:instrText>
      </w:r>
      <w:r>
        <w:fldChar w:fldCharType="separate"/>
      </w:r>
      <w:r>
        <w:t>95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application, and inspection of records</w:t>
      </w:r>
      <w:r>
        <w:tab/>
      </w:r>
      <w:r>
        <w:fldChar w:fldCharType="begin"/>
      </w:r>
      <w:r>
        <w:instrText xml:space="preserve"> PAGEREF _Toc389662704 \h </w:instrText>
      </w:r>
      <w:r>
        <w:fldChar w:fldCharType="separate"/>
      </w:r>
      <w:r>
        <w:t>96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Disposal of applications, and interventions generally</w:t>
      </w:r>
      <w:r>
        <w:tab/>
      </w:r>
      <w:r>
        <w:fldChar w:fldCharType="begin"/>
      </w:r>
      <w:r>
        <w:instrText xml:space="preserve"> PAGEREF _Toc389662705 \h </w:instrText>
      </w:r>
      <w:r>
        <w:fldChar w:fldCharType="separate"/>
      </w:r>
      <w:r>
        <w:t>97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Intervention by persons interested in a club licence</w:t>
      </w:r>
      <w:r>
        <w:tab/>
      </w:r>
      <w:r>
        <w:fldChar w:fldCharType="begin"/>
      </w:r>
      <w:r>
        <w:instrText xml:space="preserve"> PAGEREF _Toc389662706 \h </w:instrText>
      </w:r>
      <w:r>
        <w:fldChar w:fldCharType="separate"/>
      </w:r>
      <w:r>
        <w:t>101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The affected area</w:t>
      </w:r>
      <w:r>
        <w:tab/>
      </w:r>
      <w:r>
        <w:fldChar w:fldCharType="begin"/>
      </w:r>
      <w:r>
        <w:instrText xml:space="preserve"> PAGEREF _Toc389662707 \h </w:instrText>
      </w:r>
      <w:r>
        <w:fldChar w:fldCharType="separate"/>
      </w:r>
      <w:r>
        <w:t>102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Requirement for consent of an owner or lessor, and objections by an owner, lessor, lessee or mortgagee</w:t>
      </w:r>
      <w:r>
        <w:tab/>
      </w:r>
      <w:r>
        <w:fldChar w:fldCharType="begin"/>
      </w:r>
      <w:r>
        <w:instrText xml:space="preserve"> PAGEREF _Toc389662708 \h </w:instrText>
      </w:r>
      <w:r>
        <w:fldChar w:fldCharType="separate"/>
      </w:r>
      <w:r>
        <w:t>103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The general right of objection</w:t>
      </w:r>
      <w:r>
        <w:tab/>
      </w:r>
      <w:r>
        <w:fldChar w:fldCharType="begin"/>
      </w:r>
      <w:r>
        <w:instrText xml:space="preserve"> PAGEREF _Toc389662709 \h </w:instrText>
      </w:r>
      <w:r>
        <w:fldChar w:fldCharType="separate"/>
      </w:r>
      <w:r>
        <w:t>105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The general grounds of objection</w:t>
      </w:r>
      <w:r>
        <w:tab/>
      </w:r>
      <w:r>
        <w:fldChar w:fldCharType="begin"/>
      </w:r>
      <w:r>
        <w:instrText xml:space="preserve"> PAGEREF _Toc389662710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an occasional licence</w:t>
      </w:r>
      <w:r>
        <w:tab/>
      </w:r>
      <w:r>
        <w:fldChar w:fldCharType="begin"/>
      </w:r>
      <w:r>
        <w:instrText xml:space="preserve"> PAGEREF _Toc389662711 \h </w:instrText>
      </w:r>
      <w:r>
        <w:fldChar w:fldCharType="separate"/>
      </w:r>
      <w:r>
        <w:t>109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Applications for extended trading permits</w:t>
      </w:r>
      <w:r>
        <w:tab/>
      </w:r>
      <w:r>
        <w:fldChar w:fldCharType="begin"/>
      </w:r>
      <w:r>
        <w:instrText xml:space="preserve"> PAGEREF _Toc389662712 \h </w:instrText>
      </w:r>
      <w:r>
        <w:fldChar w:fldCharType="separate"/>
      </w:r>
      <w:r>
        <w:t>110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Applications for alteration, or redefinition, of licensed premises</w:t>
      </w:r>
      <w:r>
        <w:tab/>
      </w:r>
      <w:r>
        <w:fldChar w:fldCharType="begin"/>
      </w:r>
      <w:r>
        <w:instrText xml:space="preserve"> PAGEREF _Toc389662713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licences not removable</w:t>
      </w:r>
      <w:r>
        <w:tab/>
      </w:r>
      <w:r>
        <w:fldChar w:fldCharType="begin"/>
      </w:r>
      <w:r>
        <w:instrText xml:space="preserve"> PAGEREF _Toc389662715 \h </w:instrText>
      </w:r>
      <w:r>
        <w:fldChar w:fldCharType="separate"/>
      </w:r>
      <w:r>
        <w:t>113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Applications for variation or removal of licences relating to transport may be made informally</w:t>
      </w:r>
      <w:r>
        <w:tab/>
      </w:r>
      <w:r>
        <w:fldChar w:fldCharType="begin"/>
      </w:r>
      <w:r>
        <w:instrText xml:space="preserve"> PAGEREF _Toc389662716 \h </w:instrText>
      </w:r>
      <w:r>
        <w:fldChar w:fldCharType="separate"/>
      </w:r>
      <w:r>
        <w:t>114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w:t>
      </w:r>
      <w:r>
        <w:tab/>
      </w:r>
      <w:r>
        <w:fldChar w:fldCharType="begin"/>
      </w:r>
      <w:r>
        <w:instrText xml:space="preserve"> PAGEREF _Toc389662717 \h </w:instrText>
      </w:r>
      <w:r>
        <w:fldChar w:fldCharType="separate"/>
      </w:r>
      <w:r>
        <w:t>114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w:t>
      </w:r>
      <w:r>
        <w:tab/>
      </w:r>
      <w:r>
        <w:fldChar w:fldCharType="begin"/>
      </w:r>
      <w:r>
        <w:instrText xml:space="preserve"> PAGEREF _Toc389662718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 of a licence</w:t>
      </w:r>
      <w:r>
        <w:tab/>
      </w:r>
      <w:r>
        <w:fldChar w:fldCharType="begin"/>
      </w:r>
      <w:r>
        <w:instrText xml:space="preserve"> PAGEREF _Toc389662720 \h </w:instrText>
      </w:r>
      <w:r>
        <w:fldChar w:fldCharType="separate"/>
      </w:r>
      <w:r>
        <w:t>116</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_Toc389662721 \h </w:instrText>
      </w:r>
      <w:r>
        <w:fldChar w:fldCharType="separate"/>
      </w:r>
      <w:r>
        <w:t>117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_Toc389662722 \h </w:instrText>
      </w:r>
      <w:r>
        <w:fldChar w:fldCharType="separate"/>
      </w:r>
      <w:r>
        <w:t>117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Applications for approval to a transfer</w:t>
      </w:r>
      <w:r>
        <w:tab/>
      </w:r>
      <w:r>
        <w:fldChar w:fldCharType="begin"/>
      </w:r>
      <w:r>
        <w:instrText xml:space="preserve"> PAGEREF _Toc389662723 \h </w:instrText>
      </w:r>
      <w:r>
        <w:fldChar w:fldCharType="separate"/>
      </w:r>
      <w:r>
        <w:t>118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_Toc389662724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w:t>
      </w:r>
      <w:r>
        <w:tab/>
      </w:r>
      <w:r>
        <w:fldChar w:fldCharType="begin"/>
      </w:r>
      <w:r>
        <w:instrText xml:space="preserve"> PAGEREF _Toc389662726 \h </w:instrText>
      </w:r>
      <w:r>
        <w:fldChar w:fldCharType="separate"/>
      </w:r>
      <w:r>
        <w:t>120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w:t>
      </w:r>
      <w:r>
        <w:tab/>
      </w:r>
      <w:r>
        <w:fldChar w:fldCharType="begin"/>
      </w:r>
      <w:r>
        <w:instrText xml:space="preserve"> PAGEREF _Toc389662727 \h </w:instrText>
      </w:r>
      <w:r>
        <w:fldChar w:fldCharType="separate"/>
      </w:r>
      <w:r>
        <w:t>123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Effect of a protection order</w:t>
      </w:r>
      <w:r>
        <w:tab/>
      </w:r>
      <w:r>
        <w:fldChar w:fldCharType="begin"/>
      </w:r>
      <w:r>
        <w:instrText xml:space="preserve"> PAGEREF _Toc389662728 \h </w:instrText>
      </w:r>
      <w:r>
        <w:fldChar w:fldCharType="separate"/>
      </w:r>
      <w:r>
        <w:t>127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Disputes as to leases</w:t>
      </w:r>
      <w:r>
        <w:tab/>
      </w:r>
      <w:r>
        <w:fldChar w:fldCharType="begin"/>
      </w:r>
      <w:r>
        <w:instrText xml:space="preserve"> PAGEREF _Toc389662729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90</w:t>
      </w:r>
      <w:r>
        <w:rPr>
          <w:snapToGrid w:val="0"/>
        </w:rPr>
        <w:t>.</w:t>
      </w:r>
      <w:r>
        <w:rPr>
          <w:snapToGrid w:val="0"/>
        </w:rPr>
        <w:tab/>
        <w:t>Application for suspension of a licence or permit</w:t>
      </w:r>
      <w:r>
        <w:tab/>
      </w:r>
      <w:r>
        <w:fldChar w:fldCharType="begin"/>
      </w:r>
      <w:r>
        <w:instrText xml:space="preserve"> PAGEREF _Toc389662731 \h </w:instrText>
      </w:r>
      <w:r>
        <w:fldChar w:fldCharType="separate"/>
      </w:r>
      <w:r>
        <w:t>128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Suspension on ground of public order or safety</w:t>
      </w:r>
      <w:r>
        <w:tab/>
      </w:r>
      <w:r>
        <w:fldChar w:fldCharType="begin"/>
      </w:r>
      <w:r>
        <w:instrText xml:space="preserve"> PAGEREF _Toc389662732 \h </w:instrText>
      </w:r>
      <w:r>
        <w:fldChar w:fldCharType="separate"/>
      </w:r>
      <w:r>
        <w:t>129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where business not carried on</w:t>
      </w:r>
      <w:r>
        <w:tab/>
      </w:r>
      <w:r>
        <w:fldChar w:fldCharType="begin"/>
      </w:r>
      <w:r>
        <w:instrText xml:space="preserve"> PAGEREF _Toc389662733 \h </w:instrText>
      </w:r>
      <w:r>
        <w:fldChar w:fldCharType="separate"/>
      </w:r>
      <w:r>
        <w:t>129</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_Toc389662734 \h </w:instrText>
      </w:r>
      <w:r>
        <w:fldChar w:fldCharType="separate"/>
      </w:r>
      <w:r>
        <w:t>129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_Toc389662735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 of licences</w:t>
      </w:r>
      <w:r>
        <w:tab/>
      </w:r>
      <w:r>
        <w:fldChar w:fldCharType="begin"/>
      </w:r>
      <w:r>
        <w:instrText xml:space="preserve"> PAGEREF _Toc389662737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w:t>
      </w:r>
      <w:r>
        <w:tab/>
      </w:r>
      <w:r>
        <w:fldChar w:fldCharType="begin"/>
      </w:r>
      <w:r>
        <w:instrText xml:space="preserve"> PAGEREF _Toc389662739 \h </w:instrText>
      </w:r>
      <w:r>
        <w:fldChar w:fldCharType="separate"/>
      </w:r>
      <w:r>
        <w:t>132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powers</w:t>
      </w:r>
      <w:r>
        <w:tab/>
      </w:r>
      <w:r>
        <w:fldChar w:fldCharType="begin"/>
      </w:r>
      <w:r>
        <w:instrText xml:space="preserve"> PAGEREF _Toc389662740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rPr>
      </w:pPr>
      <w:r>
        <w:t>Part 4 — The conduct of business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of trading</w:t>
      </w:r>
      <w:r>
        <w:tab/>
      </w:r>
      <w:r>
        <w:fldChar w:fldCharType="begin"/>
      </w:r>
      <w:r>
        <w:instrText xml:space="preserve"> PAGEREF _Toc389662743 \h </w:instrText>
      </w:r>
      <w:r>
        <w:fldChar w:fldCharType="separate"/>
      </w:r>
      <w:r>
        <w:t>139</w:t>
      </w:r>
      <w:r>
        <w:fldChar w:fldCharType="end"/>
      </w:r>
    </w:p>
    <w:p>
      <w:pPr>
        <w:pStyle w:val="TOC8"/>
        <w:rPr>
          <w:rFonts w:asciiTheme="minorHAnsi" w:eastAsiaTheme="minorEastAsia" w:hAnsiTheme="minorHAnsi" w:cstheme="minorBidi"/>
          <w:szCs w:val="22"/>
        </w:rPr>
      </w:pPr>
      <w:r>
        <w:t>98.</w:t>
      </w:r>
      <w:r>
        <w:tab/>
        <w:t>Permitted hours under a hotel licence</w:t>
      </w:r>
      <w:r>
        <w:tab/>
      </w:r>
      <w:r>
        <w:fldChar w:fldCharType="begin"/>
      </w:r>
      <w:r>
        <w:instrText xml:space="preserve"> PAGEREF _Toc389662744 \h </w:instrText>
      </w:r>
      <w:r>
        <w:fldChar w:fldCharType="separate"/>
      </w:r>
      <w:r>
        <w:t>139</w:t>
      </w:r>
      <w:r>
        <w:fldChar w:fldCharType="end"/>
      </w:r>
    </w:p>
    <w:p>
      <w:pPr>
        <w:pStyle w:val="TOC8"/>
        <w:rPr>
          <w:rFonts w:asciiTheme="minorHAnsi" w:eastAsiaTheme="minorEastAsia" w:hAnsiTheme="minorHAnsi" w:cstheme="minorBidi"/>
          <w:szCs w:val="22"/>
        </w:rPr>
      </w:pPr>
      <w:r>
        <w:t>98A.</w:t>
      </w:r>
      <w:r>
        <w:tab/>
        <w:t>Permitted hours under a nightclub licence</w:t>
      </w:r>
      <w:r>
        <w:tab/>
      </w:r>
      <w:r>
        <w:fldChar w:fldCharType="begin"/>
      </w:r>
      <w:r>
        <w:instrText xml:space="preserve"> PAGEREF _Toc389662745 \h </w:instrText>
      </w:r>
      <w:r>
        <w:fldChar w:fldCharType="separate"/>
      </w:r>
      <w:r>
        <w:t>140</w:t>
      </w:r>
      <w:r>
        <w:fldChar w:fldCharType="end"/>
      </w:r>
    </w:p>
    <w:p>
      <w:pPr>
        <w:pStyle w:val="TOC8"/>
        <w:rPr>
          <w:rFonts w:asciiTheme="minorHAnsi" w:eastAsiaTheme="minorEastAsia" w:hAnsiTheme="minorHAnsi" w:cstheme="minorBidi"/>
          <w:szCs w:val="22"/>
        </w:rPr>
      </w:pPr>
      <w:r>
        <w:t>98B.</w:t>
      </w:r>
      <w:r>
        <w:tab/>
        <w:t>Permitted hours under a casino liquor licence</w:t>
      </w:r>
      <w:r>
        <w:tab/>
      </w:r>
      <w:r>
        <w:fldChar w:fldCharType="begin"/>
      </w:r>
      <w:r>
        <w:instrText xml:space="preserve"> PAGEREF _Toc389662746 \h </w:instrText>
      </w:r>
      <w:r>
        <w:fldChar w:fldCharType="separate"/>
      </w:r>
      <w:r>
        <w:t>141</w:t>
      </w:r>
      <w:r>
        <w:fldChar w:fldCharType="end"/>
      </w:r>
    </w:p>
    <w:p>
      <w:pPr>
        <w:pStyle w:val="TOC8"/>
        <w:rPr>
          <w:rFonts w:asciiTheme="minorHAnsi" w:eastAsiaTheme="minorEastAsia" w:hAnsiTheme="minorHAnsi" w:cstheme="minorBidi"/>
          <w:szCs w:val="22"/>
        </w:rPr>
      </w:pPr>
      <w:r>
        <w:t>98C.</w:t>
      </w:r>
      <w:r>
        <w:tab/>
        <w:t>Permitted hours under a special facility licence</w:t>
      </w:r>
      <w:r>
        <w:tab/>
      </w:r>
      <w:r>
        <w:fldChar w:fldCharType="begin"/>
      </w:r>
      <w:r>
        <w:instrText xml:space="preserve"> PAGEREF _Toc389662747 \h </w:instrText>
      </w:r>
      <w:r>
        <w:fldChar w:fldCharType="separate"/>
      </w:r>
      <w:r>
        <w:t>141</w:t>
      </w:r>
      <w:r>
        <w:fldChar w:fldCharType="end"/>
      </w:r>
    </w:p>
    <w:p>
      <w:pPr>
        <w:pStyle w:val="TOC8"/>
        <w:rPr>
          <w:rFonts w:asciiTheme="minorHAnsi" w:eastAsiaTheme="minorEastAsia" w:hAnsiTheme="minorHAnsi" w:cstheme="minorBidi"/>
          <w:szCs w:val="22"/>
        </w:rPr>
      </w:pPr>
      <w:r>
        <w:t>98D.</w:t>
      </w:r>
      <w:r>
        <w:tab/>
        <w:t>Permitted hours under a liquor store licence</w:t>
      </w:r>
      <w:r>
        <w:tab/>
      </w:r>
      <w:r>
        <w:fldChar w:fldCharType="begin"/>
      </w:r>
      <w:r>
        <w:instrText xml:space="preserve"> PAGEREF _Toc389662748 \h </w:instrText>
      </w:r>
      <w:r>
        <w:fldChar w:fldCharType="separate"/>
      </w:r>
      <w:r>
        <w:t>141</w:t>
      </w:r>
      <w:r>
        <w:fldChar w:fldCharType="end"/>
      </w:r>
    </w:p>
    <w:p>
      <w:pPr>
        <w:pStyle w:val="TOC8"/>
        <w:rPr>
          <w:rFonts w:asciiTheme="minorHAnsi" w:eastAsiaTheme="minorEastAsia" w:hAnsiTheme="minorHAnsi" w:cstheme="minorBidi"/>
          <w:szCs w:val="22"/>
        </w:rPr>
      </w:pPr>
      <w:r>
        <w:t>98E.</w:t>
      </w:r>
      <w:r>
        <w:tab/>
        <w:t>Permitted hours under a club licence and club restricted licence</w:t>
      </w:r>
      <w:r>
        <w:tab/>
      </w:r>
      <w:r>
        <w:fldChar w:fldCharType="begin"/>
      </w:r>
      <w:r>
        <w:instrText xml:space="preserve"> PAGEREF _Toc389662749 \h </w:instrText>
      </w:r>
      <w:r>
        <w:fldChar w:fldCharType="separate"/>
      </w:r>
      <w:r>
        <w:t>141</w:t>
      </w:r>
      <w:r>
        <w:fldChar w:fldCharType="end"/>
      </w:r>
    </w:p>
    <w:p>
      <w:pPr>
        <w:pStyle w:val="TOC8"/>
        <w:rPr>
          <w:rFonts w:asciiTheme="minorHAnsi" w:eastAsiaTheme="minorEastAsia" w:hAnsiTheme="minorHAnsi" w:cstheme="minorBidi"/>
          <w:szCs w:val="22"/>
        </w:rPr>
      </w:pPr>
      <w:r>
        <w:t>98F.</w:t>
      </w:r>
      <w:r>
        <w:tab/>
        <w:t>Permitted hours under a restaurant licence</w:t>
      </w:r>
      <w:r>
        <w:tab/>
      </w:r>
      <w:r>
        <w:fldChar w:fldCharType="begin"/>
      </w:r>
      <w:r>
        <w:instrText xml:space="preserve"> PAGEREF _Toc389662750 \h </w:instrText>
      </w:r>
      <w:r>
        <w:fldChar w:fldCharType="separate"/>
      </w:r>
      <w:r>
        <w:t>143</w:t>
      </w:r>
      <w:r>
        <w:fldChar w:fldCharType="end"/>
      </w:r>
    </w:p>
    <w:p>
      <w:pPr>
        <w:pStyle w:val="TOC8"/>
        <w:rPr>
          <w:rFonts w:asciiTheme="minorHAnsi" w:eastAsiaTheme="minorEastAsia" w:hAnsiTheme="minorHAnsi" w:cstheme="minorBidi"/>
          <w:szCs w:val="22"/>
        </w:rPr>
      </w:pPr>
      <w:r>
        <w:t>98G.</w:t>
      </w:r>
      <w:r>
        <w:tab/>
        <w:t>Permitted hours under a producer’s licence</w:t>
      </w:r>
      <w:r>
        <w:tab/>
      </w:r>
      <w:r>
        <w:fldChar w:fldCharType="begin"/>
      </w:r>
      <w:r>
        <w:instrText xml:space="preserve"> PAGEREF _Toc389662751 \h </w:instrText>
      </w:r>
      <w:r>
        <w:fldChar w:fldCharType="separate"/>
      </w:r>
      <w:r>
        <w:t>143</w:t>
      </w:r>
      <w:r>
        <w:fldChar w:fldCharType="end"/>
      </w:r>
    </w:p>
    <w:p>
      <w:pPr>
        <w:pStyle w:val="TOC8"/>
        <w:rPr>
          <w:rFonts w:asciiTheme="minorHAnsi" w:eastAsiaTheme="minorEastAsia" w:hAnsiTheme="minorHAnsi" w:cstheme="minorBidi"/>
          <w:szCs w:val="22"/>
        </w:rPr>
      </w:pPr>
      <w:r>
        <w:t>98H.</w:t>
      </w:r>
      <w:r>
        <w:tab/>
        <w:t>Permitted hours under a wholesaler’s licence</w:t>
      </w:r>
      <w:r>
        <w:tab/>
      </w:r>
      <w:r>
        <w:fldChar w:fldCharType="begin"/>
      </w:r>
      <w:r>
        <w:instrText xml:space="preserve"> PAGEREF _Toc389662752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Obligation to keep clean and in repair, and directions to make alterations or provide facilities, services etc.</w:t>
      </w:r>
      <w:r>
        <w:tab/>
      </w:r>
      <w:r>
        <w:fldChar w:fldCharType="begin"/>
      </w:r>
      <w:r>
        <w:instrText xml:space="preserve"> PAGEREF _Toc389662754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Supervision and management</w:t>
      </w:r>
    </w:p>
    <w:p>
      <w:pPr>
        <w:pStyle w:val="TOC8"/>
        <w:rPr>
          <w:rFonts w:asciiTheme="minorHAnsi" w:eastAsiaTheme="minorEastAsia" w:hAnsiTheme="minorHAnsi" w:cstheme="minorBidi"/>
          <w:szCs w:val="22"/>
        </w:rPr>
      </w:pPr>
      <w:r>
        <w:t>100</w:t>
      </w:r>
      <w:r>
        <w:rPr>
          <w:snapToGrid w:val="0"/>
        </w:rPr>
        <w:t>.</w:t>
      </w:r>
      <w:r>
        <w:rPr>
          <w:snapToGrid w:val="0"/>
        </w:rPr>
        <w:tab/>
        <w:t>Supervision and management</w:t>
      </w:r>
      <w:r>
        <w:tab/>
      </w:r>
      <w:r>
        <w:fldChar w:fldCharType="begin"/>
      </w:r>
      <w:r>
        <w:instrText xml:space="preserve"> PAGEREF _Toc389662756 \h </w:instrText>
      </w:r>
      <w:r>
        <w:fldChar w:fldCharType="separate"/>
      </w:r>
      <w:r>
        <w:t>145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Responsibility of managers, etc.</w:t>
      </w:r>
      <w:r>
        <w:tab/>
      </w:r>
      <w:r>
        <w:fldChar w:fldCharType="begin"/>
      </w:r>
      <w:r>
        <w:instrText xml:space="preserve"> PAGEREF _Toc389662757 \h </w:instrText>
      </w:r>
      <w:r>
        <w:fldChar w:fldCharType="separate"/>
      </w:r>
      <w:r>
        <w:t>147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Approval of corporate management and control</w:t>
      </w:r>
      <w:r>
        <w:tab/>
      </w:r>
      <w:r>
        <w:fldChar w:fldCharType="begin"/>
      </w:r>
      <w:r>
        <w:instrText xml:space="preserve"> PAGEREF _Toc389662758 \h </w:instrText>
      </w:r>
      <w:r>
        <w:fldChar w:fldCharType="separate"/>
      </w:r>
      <w:r>
        <w:t>148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Notification of ownership of licensed premises etc.</w:t>
      </w:r>
      <w:r>
        <w:tab/>
      </w:r>
      <w:r>
        <w:fldChar w:fldCharType="begin"/>
      </w:r>
      <w:r>
        <w:instrText xml:space="preserve"> PAGEREF _Toc389662759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Prohibition of profit sharing etc.</w:t>
      </w:r>
      <w:r>
        <w:tab/>
      </w:r>
      <w:r>
        <w:fldChar w:fldCharType="begin"/>
      </w:r>
      <w:r>
        <w:instrText xml:space="preserve"> PAGEREF _Toc389662761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Register of lodgers, etc.</w:t>
      </w:r>
      <w:r>
        <w:tab/>
      </w:r>
      <w:r>
        <w:fldChar w:fldCharType="begin"/>
      </w:r>
      <w:r>
        <w:instrText xml:space="preserve"> PAGEREF _Toc389662763 \h </w:instrText>
      </w:r>
      <w:r>
        <w:fldChar w:fldCharType="separate"/>
      </w:r>
      <w:r>
        <w:t>151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w:t>
      </w:r>
      <w:r>
        <w:tab/>
      </w:r>
      <w:r>
        <w:fldChar w:fldCharType="begin"/>
      </w:r>
      <w:r>
        <w:instrText xml:space="preserve"> PAGEREF _Toc389662764 \h </w:instrText>
      </w:r>
      <w:r>
        <w:fldChar w:fldCharType="separate"/>
      </w:r>
      <w:r>
        <w:t>153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Liability of licensee for loss of property of lodger</w:t>
      </w:r>
      <w:r>
        <w:tab/>
      </w:r>
      <w:r>
        <w:fldChar w:fldCharType="begin"/>
      </w:r>
      <w:r>
        <w:instrText xml:space="preserve"> PAGEREF _Toc389662765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rPr>
          <w:snapToGrid w:val="0"/>
        </w:rPr>
        <w:t>.</w:t>
      </w:r>
      <w:r>
        <w:rPr>
          <w:snapToGrid w:val="0"/>
        </w:rPr>
        <w:tab/>
        <w:t>Certain services to be provided</w:t>
      </w:r>
      <w:r>
        <w:tab/>
      </w:r>
      <w:r>
        <w:fldChar w:fldCharType="begin"/>
      </w:r>
      <w:r>
        <w:instrText xml:space="preserve"> PAGEREF _Toc389662767 \h </w:instrText>
      </w:r>
      <w:r>
        <w:fldChar w:fldCharType="separate"/>
      </w:r>
      <w:r>
        <w:t>154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The sale of liquor to be authorised under this Act</w:t>
      </w:r>
      <w:r>
        <w:tab/>
      </w:r>
      <w:r>
        <w:fldChar w:fldCharType="begin"/>
      </w:r>
      <w:r>
        <w:instrText xml:space="preserve"> PAGEREF _Toc389662768 \h </w:instrText>
      </w:r>
      <w:r>
        <w:fldChar w:fldCharType="separate"/>
      </w:r>
      <w:r>
        <w:t>157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Offences relating to licensed premises</w:t>
      </w:r>
      <w:r>
        <w:tab/>
      </w:r>
      <w:r>
        <w:fldChar w:fldCharType="begin"/>
      </w:r>
      <w:r>
        <w:instrText xml:space="preserve"> PAGEREF _Toc389662769 \h </w:instrText>
      </w:r>
      <w:r>
        <w:fldChar w:fldCharType="separate"/>
      </w:r>
      <w:r>
        <w:t>159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w:t>
      </w:r>
      <w:r>
        <w:tab/>
      </w:r>
      <w:r>
        <w:fldChar w:fldCharType="begin"/>
      </w:r>
      <w:r>
        <w:instrText xml:space="preserve"> PAGEREF _Toc389662770 \h </w:instrText>
      </w:r>
      <w:r>
        <w:fldChar w:fldCharType="separate"/>
      </w:r>
      <w:r>
        <w:t>161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Application of sections 109, 110 and 111</w:t>
      </w:r>
      <w:r>
        <w:tab/>
      </w:r>
      <w:r>
        <w:fldChar w:fldCharType="begin"/>
      </w:r>
      <w:r>
        <w:instrText xml:space="preserve"> PAGEREF _Toc389662771 \h </w:instrText>
      </w:r>
      <w:r>
        <w:fldChar w:fldCharType="separate"/>
      </w:r>
      <w:r>
        <w:t>162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Unlawful dealing in liquor</w:t>
      </w:r>
      <w:r>
        <w:tab/>
      </w:r>
      <w:r>
        <w:fldChar w:fldCharType="begin"/>
      </w:r>
      <w:r>
        <w:instrText xml:space="preserve"> PAGEREF _Toc389662772 \h </w:instrText>
      </w:r>
      <w:r>
        <w:fldChar w:fldCharType="separate"/>
      </w:r>
      <w:r>
        <w:t>163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by Police</w:t>
      </w:r>
      <w:r>
        <w:tab/>
      </w:r>
      <w:r>
        <w:fldChar w:fldCharType="begin"/>
      </w:r>
      <w:r>
        <w:instrText xml:space="preserve"> PAGEREF _Toc389662773 \h </w:instrText>
      </w:r>
      <w:r>
        <w:fldChar w:fldCharType="separate"/>
      </w:r>
      <w:r>
        <w:t>164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Disorderly persons etc.</w:t>
      </w:r>
      <w:r>
        <w:tab/>
      </w:r>
      <w:r>
        <w:fldChar w:fldCharType="begin"/>
      </w:r>
      <w:r>
        <w:instrText xml:space="preserve"> PAGEREF _Toc389662774 \h </w:instrText>
      </w:r>
      <w:r>
        <w:fldChar w:fldCharType="separate"/>
      </w:r>
      <w:r>
        <w:t>165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Certain documents to be kept on premises, displayed and produced</w:t>
      </w:r>
      <w:r>
        <w:tab/>
      </w:r>
      <w:r>
        <w:fldChar w:fldCharType="begin"/>
      </w:r>
      <w:r>
        <w:instrText xml:space="preserve"> PAGEREF _Toc389662775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Complaints about noise, etc.</w:t>
      </w:r>
    </w:p>
    <w:p>
      <w:pPr>
        <w:pStyle w:val="TOC8"/>
        <w:rPr>
          <w:rFonts w:asciiTheme="minorHAnsi" w:eastAsiaTheme="minorEastAsia" w:hAnsiTheme="minorHAnsi" w:cstheme="minorBidi"/>
          <w:szCs w:val="22"/>
        </w:rPr>
      </w:pPr>
      <w:r>
        <w:t>117</w:t>
      </w:r>
      <w:r>
        <w:rPr>
          <w:snapToGrid w:val="0"/>
        </w:rPr>
        <w:t>.</w:t>
      </w:r>
      <w:r>
        <w:rPr>
          <w:snapToGrid w:val="0"/>
        </w:rPr>
        <w:tab/>
        <w:t>Complaints about noise or behaviour related to licensed premises</w:t>
      </w:r>
      <w:r>
        <w:tab/>
      </w:r>
      <w:r>
        <w:fldChar w:fldCharType="begin"/>
      </w:r>
      <w:r>
        <w:instrText xml:space="preserve"> PAGEREF _Toc389662777 \h </w:instrText>
      </w:r>
      <w:r>
        <w:fldChar w:fldCharType="separate"/>
      </w:r>
      <w:r>
        <w:t>169</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a licensee</w:t>
      </w:r>
      <w:r>
        <w:tab/>
      </w:r>
      <w:r>
        <w:fldChar w:fldCharType="begin"/>
      </w:r>
      <w:r>
        <w:instrText xml:space="preserve"> PAGEREF _Toc389662779 \h </w:instrText>
      </w:r>
      <w:r>
        <w:fldChar w:fldCharType="separate"/>
      </w:r>
      <w:r>
        <w:t>172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Limitations as to liquor on unlicensed premises, etc.</w:t>
      </w:r>
      <w:r>
        <w:tab/>
      </w:r>
      <w:r>
        <w:fldChar w:fldCharType="begin"/>
      </w:r>
      <w:r>
        <w:instrText xml:space="preserve"> PAGEREF _Toc389662780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Juveniles permitted to be present on certain premises</w:t>
      </w:r>
      <w:r>
        <w:tab/>
      </w:r>
      <w:r>
        <w:fldChar w:fldCharType="begin"/>
      </w:r>
      <w:r>
        <w:instrText xml:space="preserve"> PAGEREF _Toc389662782 \h </w:instrText>
      </w:r>
      <w:r>
        <w:fldChar w:fldCharType="separate"/>
      </w:r>
      <w:r>
        <w:t>176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Juveniles on licensed premises</w:t>
      </w:r>
      <w:r>
        <w:tab/>
      </w:r>
      <w:r>
        <w:fldChar w:fldCharType="begin"/>
      </w:r>
      <w:r>
        <w:instrText xml:space="preserve"> PAGEREF _Toc389662783 \h </w:instrText>
      </w:r>
      <w:r>
        <w:fldChar w:fldCharType="separate"/>
      </w:r>
      <w:r>
        <w:t>177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Juveniles on regulated premises</w:t>
      </w:r>
      <w:r>
        <w:tab/>
      </w:r>
      <w:r>
        <w:fldChar w:fldCharType="begin"/>
      </w:r>
      <w:r>
        <w:instrText xml:space="preserve"> PAGEREF _Toc389662784 \h </w:instrText>
      </w:r>
      <w:r>
        <w:fldChar w:fldCharType="separate"/>
      </w:r>
      <w:r>
        <w:t>180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and consumption by juveniles of liquor</w:t>
      </w:r>
      <w:r>
        <w:tab/>
      </w:r>
      <w:r>
        <w:fldChar w:fldCharType="begin"/>
      </w:r>
      <w:r>
        <w:instrText xml:space="preserve"> PAGEREF _Toc389662785 \h </w:instrText>
      </w:r>
      <w:r>
        <w:fldChar w:fldCharType="separate"/>
      </w:r>
      <w:r>
        <w:t>182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w:t>
      </w:r>
      <w:r>
        <w:tab/>
      </w:r>
      <w:r>
        <w:fldChar w:fldCharType="begin"/>
      </w:r>
      <w:r>
        <w:instrText xml:space="preserve"> PAGEREF _Toc389662786 \h </w:instrText>
      </w:r>
      <w:r>
        <w:fldChar w:fldCharType="separate"/>
      </w:r>
      <w:r>
        <w:t>183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under this Division</w:t>
      </w:r>
      <w:r>
        <w:tab/>
      </w:r>
      <w:r>
        <w:fldChar w:fldCharType="begin"/>
      </w:r>
      <w:r>
        <w:instrText xml:space="preserve"> PAGEREF _Toc389662787 \h </w:instrText>
      </w:r>
      <w:r>
        <w:fldChar w:fldCharType="separate"/>
      </w:r>
      <w:r>
        <w:t>183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 may be required to produce evidence of age, or to leave</w:t>
      </w:r>
      <w:r>
        <w:tab/>
      </w:r>
      <w:r>
        <w:fldChar w:fldCharType="begin"/>
      </w:r>
      <w:r>
        <w:instrText xml:space="preserve"> PAGEREF _Toc389662788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rPr>
      </w:pPr>
      <w:r>
        <w:t>Part 5 — Financial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Licence fees</w:t>
      </w:r>
      <w:r>
        <w:tab/>
      </w:r>
      <w:r>
        <w:fldChar w:fldCharType="begin"/>
      </w:r>
      <w:r>
        <w:instrText xml:space="preserve"> PAGEREF _Toc389662791 \h </w:instrText>
      </w:r>
      <w:r>
        <w:fldChar w:fldCharType="separate"/>
      </w:r>
      <w:r>
        <w:t>186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relating to licence fees</w:t>
      </w:r>
      <w:r>
        <w:tab/>
      </w:r>
      <w:r>
        <w:fldChar w:fldCharType="begin"/>
      </w:r>
      <w:r>
        <w:instrText xml:space="preserve"> PAGEREF _Toc389662792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Interpretation</w:t>
      </w:r>
      <w:r>
        <w:tab/>
      </w:r>
      <w:r>
        <w:fldChar w:fldCharType="begin"/>
      </w:r>
      <w:r>
        <w:instrText xml:space="preserve"> PAGEREF _Toc389662794 \h </w:instrText>
      </w:r>
      <w:r>
        <w:fldChar w:fldCharType="separate"/>
      </w:r>
      <w:r>
        <w:t>186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to wholesalers and producers</w:t>
      </w:r>
      <w:r>
        <w:tab/>
      </w:r>
      <w:r>
        <w:fldChar w:fldCharType="begin"/>
      </w:r>
      <w:r>
        <w:instrText xml:space="preserve"> PAGEREF _Toc389662795 \h </w:instrText>
      </w:r>
      <w:r>
        <w:fldChar w:fldCharType="separate"/>
      </w:r>
      <w:r>
        <w:t>187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a subsidy</w:t>
      </w:r>
      <w:r>
        <w:tab/>
      </w:r>
      <w:r>
        <w:fldChar w:fldCharType="begin"/>
      </w:r>
      <w:r>
        <w:instrText xml:space="preserve"> PAGEREF _Toc389662796 \h </w:instrText>
      </w:r>
      <w:r>
        <w:fldChar w:fldCharType="separate"/>
      </w:r>
      <w:r>
        <w:t>187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_Toc389662797 \h </w:instrText>
      </w:r>
      <w:r>
        <w:fldChar w:fldCharType="separate"/>
      </w:r>
      <w:r>
        <w:t>188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Fund appropriated</w:t>
      </w:r>
      <w:r>
        <w:tab/>
      </w:r>
      <w:r>
        <w:fldChar w:fldCharType="begin"/>
      </w:r>
      <w:r>
        <w:instrText xml:space="preserve"> PAGEREF _Toc389662798 \h </w:instrText>
      </w:r>
      <w:r>
        <w:fldChar w:fldCharType="separate"/>
      </w:r>
      <w:r>
        <w:t>188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_Toc389662799 \h </w:instrText>
      </w:r>
      <w:r>
        <w:fldChar w:fldCharType="separate"/>
      </w:r>
      <w:r>
        <w:t>188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_Toc389662800 \h </w:instrText>
      </w:r>
      <w:r>
        <w:fldChar w:fldCharType="separate"/>
      </w:r>
      <w:r>
        <w:t>189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_Toc389662801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Power of Court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_Toc389662803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w:t>
      </w:r>
      <w:r>
        <w:tab/>
      </w:r>
      <w:r>
        <w:fldChar w:fldCharType="begin"/>
      </w:r>
      <w:r>
        <w:instrText xml:space="preserve"> PAGEREF _Toc389662805 \h </w:instrText>
      </w:r>
      <w:r>
        <w:fldChar w:fldCharType="separate"/>
      </w:r>
      <w:r>
        <w:t>192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Returns</w:t>
      </w:r>
      <w:r>
        <w:tab/>
      </w:r>
      <w:r>
        <w:fldChar w:fldCharType="begin"/>
      </w:r>
      <w:r>
        <w:instrText xml:space="preserve"> PAGEREF _Toc389662806 \h </w:instrText>
      </w:r>
      <w:r>
        <w:fldChar w:fldCharType="separate"/>
      </w:r>
      <w:r>
        <w:t>193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and estimated amounts</w:t>
      </w:r>
      <w:r>
        <w:tab/>
      </w:r>
      <w:r>
        <w:fldChar w:fldCharType="begin"/>
      </w:r>
      <w:r>
        <w:instrText xml:space="preserve"> PAGEREF _Toc389662808 \h </w:instrText>
      </w:r>
      <w:r>
        <w:fldChar w:fldCharType="separate"/>
      </w:r>
      <w:r>
        <w:t>194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Power of Director to obtain information and evidence</w:t>
      </w:r>
      <w:r>
        <w:tab/>
      </w:r>
      <w:r>
        <w:fldChar w:fldCharType="begin"/>
      </w:r>
      <w:r>
        <w:instrText xml:space="preserve"> PAGEREF _Toc389662810 \h </w:instrText>
      </w:r>
      <w:r>
        <w:fldChar w:fldCharType="separate"/>
      </w:r>
      <w:r>
        <w:t>194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Director to use information</w:t>
      </w:r>
      <w:r>
        <w:tab/>
      </w:r>
      <w:r>
        <w:fldChar w:fldCharType="begin"/>
      </w:r>
      <w:r>
        <w:instrText xml:space="preserve"> PAGEREF _Toc389662811 \h </w:instrText>
      </w:r>
      <w:r>
        <w:fldChar w:fldCharType="separate"/>
      </w:r>
      <w:r>
        <w:t>195</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Powers of Director in relation to entry and records</w:t>
      </w:r>
      <w:r>
        <w:tab/>
      </w:r>
      <w:r>
        <w:fldChar w:fldCharType="begin"/>
      </w:r>
      <w:r>
        <w:instrText xml:space="preserve"> PAGEREF _Toc389662812 \h </w:instrText>
      </w:r>
      <w:r>
        <w:fldChar w:fldCharType="separate"/>
      </w:r>
      <w:r>
        <w:t>195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Authority may assist other authorities</w:t>
      </w:r>
      <w:r>
        <w:tab/>
      </w:r>
      <w:r>
        <w:fldChar w:fldCharType="begin"/>
      </w:r>
      <w:r>
        <w:instrText xml:space="preserve"> PAGEREF _Toc389662813 \h </w:instrText>
      </w:r>
      <w:r>
        <w:fldChar w:fldCharType="separate"/>
      </w:r>
      <w:r>
        <w:t>195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Obligation of secrecy</w:t>
      </w:r>
      <w:r>
        <w:tab/>
      </w:r>
      <w:r>
        <w:fldChar w:fldCharType="begin"/>
      </w:r>
      <w:r>
        <w:instrText xml:space="preserve"> PAGEREF _Toc389662814 \h </w:instrText>
      </w:r>
      <w:r>
        <w:fldChar w:fldCharType="separate"/>
      </w:r>
      <w:r>
        <w:t>196</w:t>
      </w:r>
      <w:r>
        <w:fldChar w:fldCharType="end"/>
      </w:r>
    </w:p>
    <w:p>
      <w:pPr>
        <w:pStyle w:val="TOC2"/>
        <w:tabs>
          <w:tab w:val="right" w:leader="dot" w:pos="7086"/>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Functions of inspectors and other officers of the licensing authority</w:t>
      </w:r>
      <w:r>
        <w:tab/>
      </w:r>
      <w:r>
        <w:fldChar w:fldCharType="begin"/>
      </w:r>
      <w:r>
        <w:instrText xml:space="preserve"> PAGEREF _Toc389662816 \h </w:instrText>
      </w:r>
      <w:r>
        <w:fldChar w:fldCharType="separate"/>
      </w:r>
      <w:r>
        <w:t>197</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Powers of authorised officers</w:t>
      </w:r>
      <w:r>
        <w:tab/>
      </w:r>
      <w:r>
        <w:fldChar w:fldCharType="begin"/>
      </w:r>
      <w:r>
        <w:instrText xml:space="preserve"> PAGEREF _Toc389662817 \h </w:instrText>
      </w:r>
      <w:r>
        <w:fldChar w:fldCharType="separate"/>
      </w:r>
      <w:r>
        <w:t>198</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Duties of police</w:t>
      </w:r>
      <w:r>
        <w:tab/>
      </w:r>
      <w:r>
        <w:fldChar w:fldCharType="begin"/>
      </w:r>
      <w:r>
        <w:instrText xml:space="preserve"> PAGEREF _Toc389662818 \h </w:instrText>
      </w:r>
      <w:r>
        <w:fldChar w:fldCharType="separate"/>
      </w:r>
      <w:r>
        <w:t>200</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Duties of local governments</w:t>
      </w:r>
      <w:r>
        <w:tab/>
      </w:r>
      <w:r>
        <w:fldChar w:fldCharType="begin"/>
      </w:r>
      <w:r>
        <w:instrText xml:space="preserve"> PAGEREF _Toc389662819 \h </w:instrText>
      </w:r>
      <w:r>
        <w:fldChar w:fldCharType="separate"/>
      </w:r>
      <w:r>
        <w:t>201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w:t>
      </w:r>
      <w:r>
        <w:tab/>
      </w:r>
      <w:r>
        <w:fldChar w:fldCharType="begin"/>
      </w:r>
      <w:r>
        <w:instrText xml:space="preserve"> PAGEREF _Toc389662820 \h </w:instrText>
      </w:r>
      <w:r>
        <w:fldChar w:fldCharType="separate"/>
      </w:r>
      <w:r>
        <w:t>202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Failure to comply with requirements of the licensing authority</w:t>
      </w:r>
      <w:r>
        <w:tab/>
      </w:r>
      <w:r>
        <w:fldChar w:fldCharType="begin"/>
      </w:r>
      <w:r>
        <w:instrText xml:space="preserve"> PAGEREF _Toc389662821 \h </w:instrText>
      </w:r>
      <w:r>
        <w:fldChar w:fldCharType="separate"/>
      </w:r>
      <w:r>
        <w:t>202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w:t>
      </w:r>
      <w:r>
        <w:tab/>
      </w:r>
      <w:r>
        <w:fldChar w:fldCharType="begin"/>
      </w:r>
      <w:r>
        <w:instrText xml:space="preserve"> PAGEREF _Toc389662822 \h </w:instrText>
      </w:r>
      <w:r>
        <w:fldChar w:fldCharType="separate"/>
      </w:r>
      <w:r>
        <w:t>203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Power of authorised officers to demand information</w:t>
      </w:r>
      <w:r>
        <w:tab/>
      </w:r>
      <w:r>
        <w:fldChar w:fldCharType="begin"/>
      </w:r>
      <w:r>
        <w:instrText xml:space="preserve"> PAGEREF _Toc389662823 \h </w:instrText>
      </w:r>
      <w:r>
        <w:fldChar w:fldCharType="separate"/>
      </w:r>
      <w:r>
        <w:t>204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w:t>
      </w:r>
      <w:r>
        <w:tab/>
      </w:r>
      <w:r>
        <w:fldChar w:fldCharType="begin"/>
      </w:r>
      <w:r>
        <w:instrText xml:space="preserve"> PAGEREF _Toc389662824 \h </w:instrText>
      </w:r>
      <w:r>
        <w:fldChar w:fldCharType="separate"/>
      </w:r>
      <w:r>
        <w:t>205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_Toc389662825 \h </w:instrText>
      </w:r>
      <w:r>
        <w:fldChar w:fldCharType="separate"/>
      </w:r>
      <w:r>
        <w:t>207</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Presumption where liquor is supplied without charge but other charges are made</w:t>
      </w:r>
      <w:r>
        <w:tab/>
      </w:r>
      <w:r>
        <w:fldChar w:fldCharType="begin"/>
      </w:r>
      <w:r>
        <w:instrText xml:space="preserve"> PAGEREF _Toc389662826 \h </w:instrText>
      </w:r>
      <w:r>
        <w:fldChar w:fldCharType="separate"/>
      </w:r>
      <w:r>
        <w:t>207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Offences by bodies corporate and partnerships</w:t>
      </w:r>
      <w:r>
        <w:tab/>
      </w:r>
      <w:r>
        <w:fldChar w:fldCharType="begin"/>
      </w:r>
      <w:r>
        <w:instrText xml:space="preserve"> PAGEREF _Toc389662827 \h </w:instrText>
      </w:r>
      <w:r>
        <w:fldChar w:fldCharType="separate"/>
      </w:r>
      <w:r>
        <w:t>208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_Toc389662828 \h </w:instrText>
      </w:r>
      <w:r>
        <w:fldChar w:fldCharType="separate"/>
      </w:r>
      <w:r>
        <w:t>210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_Toc389662829 \h </w:instrText>
      </w:r>
      <w:r>
        <w:fldChar w:fldCharType="separate"/>
      </w:r>
      <w:r>
        <w:t>211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_Toc389662830 \h </w:instrText>
      </w:r>
      <w:r>
        <w:fldChar w:fldCharType="separate"/>
      </w:r>
      <w:r>
        <w:t>211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Institution of prosecutions</w:t>
      </w:r>
      <w:r>
        <w:tab/>
      </w:r>
      <w:r>
        <w:fldChar w:fldCharType="begin"/>
      </w:r>
      <w:r>
        <w:instrText xml:space="preserve"> PAGEREF _Toc389662831 \h </w:instrText>
      </w:r>
      <w:r>
        <w:fldChar w:fldCharType="separate"/>
      </w:r>
      <w:r>
        <w:t>213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Trials and prosecutions</w:t>
      </w:r>
      <w:r>
        <w:tab/>
      </w:r>
      <w:r>
        <w:fldChar w:fldCharType="begin"/>
      </w:r>
      <w:r>
        <w:instrText xml:space="preserve"> PAGEREF _Toc389662832 \h </w:instrText>
      </w:r>
      <w:r>
        <w:fldChar w:fldCharType="separate"/>
      </w:r>
      <w:r>
        <w:t>214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Evidence of certain matters</w:t>
      </w:r>
      <w:r>
        <w:tab/>
      </w:r>
      <w:r>
        <w:fldChar w:fldCharType="begin"/>
      </w:r>
      <w:r>
        <w:instrText xml:space="preserve"> PAGEREF _Toc389662833 \h </w:instrText>
      </w:r>
      <w:r>
        <w:fldChar w:fldCharType="separate"/>
      </w:r>
      <w:r>
        <w:t>214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and evidence</w:t>
      </w:r>
      <w:r>
        <w:tab/>
      </w:r>
      <w:r>
        <w:fldChar w:fldCharType="begin"/>
      </w:r>
      <w:r>
        <w:instrText xml:space="preserve"> PAGEREF _Toc389662834 \h </w:instrText>
      </w:r>
      <w:r>
        <w:fldChar w:fldCharType="separate"/>
      </w:r>
      <w:r>
        <w:t>216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and other evidentiary matters</w:t>
      </w:r>
      <w:r>
        <w:tab/>
      </w:r>
      <w:r>
        <w:fldChar w:fldCharType="begin"/>
      </w:r>
      <w:r>
        <w:instrText xml:space="preserve"> PAGEREF _Toc389662835 \h </w:instrText>
      </w:r>
      <w:r>
        <w:fldChar w:fldCharType="separate"/>
      </w:r>
      <w:r>
        <w:t>217</w:t>
      </w:r>
      <w:r>
        <w:fldChar w:fldCharType="end"/>
      </w:r>
    </w:p>
    <w:p>
      <w:pPr>
        <w:pStyle w:val="TOC2"/>
        <w:tabs>
          <w:tab w:val="right" w:leader="dot" w:pos="7086"/>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_Toc389662837 \h </w:instrText>
      </w:r>
      <w:r>
        <w:fldChar w:fldCharType="separate"/>
      </w:r>
      <w:r>
        <w:t>223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_Toc389662838 \h </w:instrText>
      </w:r>
      <w:r>
        <w:fldChar w:fldCharType="separate"/>
      </w:r>
      <w:r>
        <w:t>223</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_Toc389662839 \h </w:instrText>
      </w:r>
      <w:r>
        <w:fldChar w:fldCharType="separate"/>
      </w:r>
      <w:r>
        <w:t>224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Repeal</w:t>
      </w:r>
      <w:r>
        <w:tab/>
      </w:r>
      <w:r>
        <w:fldChar w:fldCharType="begin"/>
      </w:r>
      <w:r>
        <w:instrText xml:space="preserve"> PAGEREF _Toc389662840 \h </w:instrText>
      </w:r>
      <w:r>
        <w:fldChar w:fldCharType="separate"/>
      </w:r>
      <w:r>
        <w:t>224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w:t>
      </w:r>
      <w:r>
        <w:tab/>
      </w:r>
      <w:r>
        <w:fldChar w:fldCharType="begin"/>
      </w:r>
      <w:r>
        <w:instrText xml:space="preserve"> PAGEREF _Toc389662841 \h </w:instrText>
      </w:r>
      <w:r>
        <w:fldChar w:fldCharType="separate"/>
      </w:r>
      <w:r>
        <w:t>225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the Act</w:t>
      </w:r>
      <w:r>
        <w:tab/>
      </w:r>
      <w:r>
        <w:fldChar w:fldCharType="begin"/>
      </w:r>
      <w:r>
        <w:instrText xml:space="preserve"> PAGEREF _Toc389662842 \h </w:instrText>
      </w:r>
      <w:r>
        <w:fldChar w:fldCharType="separate"/>
      </w:r>
      <w:r>
        <w:t>225</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Transitional provisions</w:t>
      </w:r>
    </w:p>
    <w:p>
      <w:pPr>
        <w:pStyle w:val="TOC8"/>
        <w:rPr>
          <w:rFonts w:asciiTheme="minorHAnsi" w:eastAsiaTheme="minorEastAsia" w:hAnsiTheme="minorHAnsi" w:cstheme="minorBidi"/>
          <w:szCs w:val="22"/>
        </w:rPr>
      </w:pPr>
      <w:r>
        <w:t>1</w:t>
      </w:r>
      <w:r>
        <w:rPr>
          <w:snapToGrid w:val="0"/>
        </w:rPr>
        <w:t>.</w:t>
      </w:r>
      <w:r>
        <w:rPr>
          <w:snapToGrid w:val="0"/>
        </w:rPr>
        <w:tab/>
        <w:t>Interpretation</w:t>
      </w:r>
      <w:r>
        <w:tab/>
      </w:r>
      <w:r>
        <w:fldChar w:fldCharType="begin"/>
      </w:r>
      <w:r>
        <w:instrText xml:space="preserve"> PAGEREF _Toc389662845 \h </w:instrText>
      </w:r>
      <w:r>
        <w:fldChar w:fldCharType="separate"/>
      </w:r>
      <w:r>
        <w:t>226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_Toc389662846 \h </w:instrText>
      </w:r>
      <w:r>
        <w:fldChar w:fldCharType="separate"/>
      </w:r>
      <w:r>
        <w:t>227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the repealed Act</w:t>
      </w:r>
      <w:r>
        <w:tab/>
      </w:r>
      <w:r>
        <w:fldChar w:fldCharType="begin"/>
      </w:r>
      <w:r>
        <w:instrText xml:space="preserve"> PAGEREF _Toc389662847 \h </w:instrText>
      </w:r>
      <w:r>
        <w:fldChar w:fldCharType="separate"/>
      </w:r>
      <w:r>
        <w:t>227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_Toc389662848 \h </w:instrText>
      </w:r>
      <w:r>
        <w:fldChar w:fldCharType="separate"/>
      </w:r>
      <w:r>
        <w:t>229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_Toc389662849 \h </w:instrText>
      </w:r>
      <w:r>
        <w:fldChar w:fldCharType="separate"/>
      </w:r>
      <w:r>
        <w:t>230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_Toc389662850 \h </w:instrText>
      </w:r>
      <w:r>
        <w:fldChar w:fldCharType="separate"/>
      </w:r>
      <w:r>
        <w:t>231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_Toc389662851 \h </w:instrText>
      </w:r>
      <w:r>
        <w:fldChar w:fldCharType="separate"/>
      </w:r>
      <w:r>
        <w:t>233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_Toc389662852 \h </w:instrText>
      </w:r>
      <w:r>
        <w:fldChar w:fldCharType="separate"/>
      </w:r>
      <w:r>
        <w:t>233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_Toc389662853 \h </w:instrText>
      </w:r>
      <w:r>
        <w:fldChar w:fldCharType="separate"/>
      </w:r>
      <w:r>
        <w:t>233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_Toc389662854 \h </w:instrText>
      </w:r>
      <w:r>
        <w:fldChar w:fldCharType="separate"/>
      </w:r>
      <w:r>
        <w:t>233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_Toc389662855 \h </w:instrText>
      </w:r>
      <w:r>
        <w:fldChar w:fldCharType="separate"/>
      </w:r>
      <w:r>
        <w:t>234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_Toc389662856 \h </w:instrText>
      </w:r>
      <w:r>
        <w:fldChar w:fldCharType="separate"/>
      </w:r>
      <w:r>
        <w:t>235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_Toc389662857 \h </w:instrText>
      </w:r>
      <w:r>
        <w:fldChar w:fldCharType="separate"/>
      </w:r>
      <w:r>
        <w:t>235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_Toc389662858 \h </w:instrText>
      </w:r>
      <w:r>
        <w:fldChar w:fldCharType="separate"/>
      </w:r>
      <w:r>
        <w:t>235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_Toc389662859 \h </w:instrText>
      </w:r>
      <w:r>
        <w:fldChar w:fldCharType="separate"/>
      </w:r>
      <w:r>
        <w:t>235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_Toc389662860 \h </w:instrText>
      </w:r>
      <w:r>
        <w:fldChar w:fldCharType="separate"/>
      </w:r>
      <w:r>
        <w:t>236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_Toc389662861 \h </w:instrText>
      </w:r>
      <w:r>
        <w:fldChar w:fldCharType="separate"/>
      </w:r>
      <w:r>
        <w:t>237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_Toc389662862 \h </w:instrText>
      </w:r>
      <w:r>
        <w:fldChar w:fldCharType="separate"/>
      </w:r>
      <w:r>
        <w:t>237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_Toc389662863 \h </w:instrText>
      </w:r>
      <w:r>
        <w:fldChar w:fldCharType="separate"/>
      </w:r>
      <w:r>
        <w:t>238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_Toc389662864 \h </w:instrText>
      </w:r>
      <w:r>
        <w:fldChar w:fldCharType="separate"/>
      </w:r>
      <w:r>
        <w:t>239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_Toc389662865 \h </w:instrText>
      </w:r>
      <w:r>
        <w:fldChar w:fldCharType="separate"/>
      </w:r>
      <w:r>
        <w:t>241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_Toc389662866 \h </w:instrText>
      </w:r>
      <w:r>
        <w:fldChar w:fldCharType="separate"/>
      </w:r>
      <w:r>
        <w:t>241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_Toc389662867 \h </w:instrText>
      </w:r>
      <w:r>
        <w:fldChar w:fldCharType="separate"/>
      </w:r>
      <w:r>
        <w:t>241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_Toc389662868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rPr>
      </w:pPr>
      <w:r>
        <w:t>Schedule 2</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_Toc389662871 \h </w:instrText>
      </w:r>
      <w:r>
        <w:fldChar w:fldCharType="separate"/>
      </w:r>
      <w:r>
        <w:t>243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The Anzac Club</w:t>
      </w:r>
      <w:r>
        <w:tab/>
      </w:r>
      <w:r>
        <w:fldChar w:fldCharType="begin"/>
      </w:r>
      <w:r>
        <w:instrText xml:space="preserve"> PAGEREF _Toc389662872 \h </w:instrText>
      </w:r>
      <w:r>
        <w:fldChar w:fldCharType="separate"/>
      </w:r>
      <w:r>
        <w:t>243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_Toc389662874 \h </w:instrText>
      </w:r>
      <w:r>
        <w:fldChar w:fldCharType="separate"/>
      </w:r>
      <w:r>
        <w:t>245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The Air Force Association (Western Australia Division) Club</w:t>
      </w:r>
      <w:r>
        <w:tab/>
      </w:r>
      <w:r>
        <w:fldChar w:fldCharType="begin"/>
      </w:r>
      <w:r>
        <w:instrText xml:space="preserve"> PAGEREF _Toc389662875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_Toc389662877 \h </w:instrText>
      </w:r>
      <w:r>
        <w:fldChar w:fldCharType="separate"/>
      </w:r>
      <w:r>
        <w:t>247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_Toc389662878 \h </w:instrText>
      </w:r>
      <w:r>
        <w:fldChar w:fldCharType="separate"/>
      </w:r>
      <w:r>
        <w:t>249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pacing w:after="840"/>
      </w:pPr>
      <w:r>
        <w:t>Liquor Licensing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w:t>
      </w:r>
    </w:p>
    <w:p>
      <w:pPr>
        <w:pStyle w:val="Heading2"/>
      </w:pPr>
      <w:bookmarkStart w:id="1" w:name="_Toc389662615"/>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966261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Liquor Licensing Act 1988</w:t>
      </w:r>
      <w:r>
        <w:rPr>
          <w:snapToGrid w:val="0"/>
        </w:rPr>
        <w:t xml:space="preserve"> </w:t>
      </w:r>
      <w:r>
        <w:rPr>
          <w:snapToGrid w:val="0"/>
          <w:vertAlign w:val="superscript"/>
        </w:rPr>
        <w:t>1</w:t>
      </w:r>
      <w:r>
        <w:rPr>
          <w:snapToGrid w:val="0"/>
        </w:rPr>
        <w:t>.</w:t>
      </w:r>
    </w:p>
    <w:p>
      <w:pPr>
        <w:pStyle w:val="Heading5"/>
        <w:rPr>
          <w:snapToGrid w:val="0"/>
        </w:rPr>
      </w:pPr>
      <w:bookmarkStart w:id="3" w:name="_Toc38966261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 w:name="_Toc389662618"/>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affected area</w:t>
      </w:r>
      <w:r>
        <w:rPr>
          <w:b/>
        </w:rPr>
        <w:t>”</w:t>
      </w:r>
      <w:r>
        <w:t>, in relation to an application, means the area specified by the Director under section 71;</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tab/>
        <w:t>“</w:t>
      </w:r>
      <w:r>
        <w:rPr>
          <w:rStyle w:val="CharDefText"/>
        </w:rPr>
        <w:t>Category A licence</w:t>
      </w:r>
      <w:r>
        <w:t>” means — </w:t>
      </w:r>
    </w:p>
    <w:p>
      <w:pPr>
        <w:pStyle w:val="Defpara"/>
      </w:pPr>
      <w:r>
        <w:tab/>
        <w:t>(a)</w:t>
      </w:r>
      <w:r>
        <w:tab/>
        <w:t>a hotel licence, which may be granted — </w:t>
      </w:r>
    </w:p>
    <w:p>
      <w:pPr>
        <w:pStyle w:val="Defsubpara"/>
        <w:rPr>
          <w:snapToGrid w:val="0"/>
        </w:rPr>
      </w:pPr>
      <w:r>
        <w:rPr>
          <w:snapToGrid w:val="0"/>
        </w:rPr>
        <w:tab/>
        <w:t>(i)</w:t>
      </w:r>
      <w:r>
        <w:rPr>
          <w:snapToGrid w:val="0"/>
        </w:rPr>
        <w:tab/>
        <w:t>without restriction;</w:t>
      </w:r>
    </w:p>
    <w:p>
      <w:pPr>
        <w:pStyle w:val="Defsubpara"/>
        <w:keepLines w:val="0"/>
        <w:rPr>
          <w:snapToGrid w:val="0"/>
        </w:rPr>
      </w:pPr>
      <w:r>
        <w:rPr>
          <w:snapToGrid w:val="0"/>
        </w:rPr>
        <w:tab/>
        <w:t>(ii)</w:t>
      </w:r>
      <w:r>
        <w:rPr>
          <w:snapToGrid w:val="0"/>
        </w:rPr>
        <w:tab/>
        <w:t>as a hotel restricted licence; or</w:t>
      </w:r>
    </w:p>
    <w:p>
      <w:pPr>
        <w:pStyle w:val="Defsubpara"/>
        <w:rPr>
          <w:snapToGrid w:val="0"/>
        </w:rPr>
      </w:pPr>
      <w:r>
        <w:rPr>
          <w:snapToGrid w:val="0"/>
        </w:rPr>
        <w:tab/>
        <w:t>(iii)</w:t>
      </w:r>
      <w:r>
        <w:rPr>
          <w:snapToGrid w:val="0"/>
        </w:rPr>
        <w:tab/>
        <w:t>as a tavern licence;</w:t>
      </w:r>
    </w:p>
    <w:p>
      <w:pPr>
        <w:pStyle w:val="Defpara"/>
      </w:pPr>
      <w:r>
        <w:tab/>
        <w:t>(b)</w:t>
      </w:r>
      <w:r>
        <w:tab/>
        <w:t>cabaret licence;</w:t>
      </w:r>
    </w:p>
    <w:p>
      <w:pPr>
        <w:pStyle w:val="Defpara"/>
      </w:pPr>
      <w:r>
        <w:tab/>
        <w:t>(c)</w:t>
      </w:r>
      <w:r>
        <w:tab/>
        <w:t>a casino liquor licence;</w:t>
      </w:r>
    </w:p>
    <w:p>
      <w:pPr>
        <w:pStyle w:val="Defpara"/>
      </w:pPr>
      <w:r>
        <w:tab/>
        <w:t>(d)</w:t>
      </w:r>
      <w:r>
        <w:tab/>
        <w:t>a special facility licence; or</w:t>
      </w:r>
    </w:p>
    <w:p>
      <w:pPr>
        <w:pStyle w:val="Defpara"/>
      </w:pPr>
      <w:r>
        <w:tab/>
        <w:t>(e)</w:t>
      </w:r>
      <w:r>
        <w:tab/>
        <w:t>a liquor store licence;</w:t>
      </w:r>
    </w:p>
    <w:p>
      <w:pPr>
        <w:pStyle w:val="Defstart"/>
        <w:outlineLvl w:val="0"/>
        <w:rPr>
          <w:b/>
        </w:rPr>
      </w:pPr>
      <w:r>
        <w:rPr>
          <w:b/>
        </w:rPr>
        <w:tab/>
        <w:t>“</w:t>
      </w:r>
      <w:r>
        <w:rPr>
          <w:rStyle w:val="CharDefText"/>
        </w:rPr>
        <w:t>Category B licence</w:t>
      </w:r>
      <w:r>
        <w:rPr>
          <w:b/>
        </w:rPr>
        <w:t xml:space="preserve">” </w:t>
      </w:r>
      <w:r>
        <w:t>means —</w:t>
      </w:r>
      <w:r>
        <w:rPr>
          <w:b/>
        </w:rPr>
        <w:t> </w:t>
      </w:r>
    </w:p>
    <w:p>
      <w:pPr>
        <w:pStyle w:val="Defpara"/>
      </w:pPr>
      <w:r>
        <w:tab/>
        <w:t>(a)</w:t>
      </w:r>
      <w:r>
        <w:tab/>
        <w:t>a club licence, which may be granted without restriction or as a club restricted licence;</w:t>
      </w:r>
    </w:p>
    <w:p>
      <w:pPr>
        <w:pStyle w:val="Defpara"/>
      </w:pPr>
      <w:r>
        <w:tab/>
        <w:t>(b)</w:t>
      </w:r>
      <w:r>
        <w:tab/>
        <w:t>a restaurant licence;</w:t>
      </w:r>
    </w:p>
    <w:p>
      <w:pPr>
        <w:pStyle w:val="Defpara"/>
      </w:pPr>
      <w:r>
        <w:tab/>
        <w:t>(c)</w:t>
      </w:r>
      <w:r>
        <w:tab/>
        <w:t>a producer’s licence;</w:t>
      </w:r>
    </w:p>
    <w:p>
      <w:pPr>
        <w:pStyle w:val="Defpara"/>
      </w:pPr>
      <w:r>
        <w:tab/>
        <w:t>(d)</w:t>
      </w:r>
      <w:r>
        <w:tab/>
        <w:t>a wholesaler’s licence; or</w:t>
      </w:r>
    </w:p>
    <w:p>
      <w:pPr>
        <w:pStyle w:val="Defpara"/>
      </w:pPr>
      <w:r>
        <w:tab/>
        <w:t>(e)</w:t>
      </w:r>
      <w:r>
        <w:tab/>
        <w:t>an occasional licence;</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Court</w:t>
      </w:r>
      <w:r>
        <w:rPr>
          <w:b/>
        </w:rPr>
        <w:t>”</w:t>
      </w:r>
      <w:r>
        <w:t xml:space="preserve"> means the Liquor Licensing Court referred to in section 8;</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the Director</w:t>
      </w:r>
      <w:r>
        <w:rPr>
          <w:b/>
        </w:rPr>
        <w:t>”</w:t>
      </w:r>
      <w:r>
        <w:t xml:space="preserve"> means a person holding or acting in the office of the Director of Liquor Licensing appointed under section 13;</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and includes a hotel restricted licence and a tavern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the judge</w:t>
      </w:r>
      <w:r>
        <w:rPr>
          <w:b/>
        </w:rPr>
        <w:t>”</w:t>
      </w:r>
      <w:r>
        <w:t xml:space="preserve"> means a Liquor Licensing Court judge nominated or deemed to have been nominated under this Act;</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licence</w:t>
      </w:r>
      <w:r>
        <w:rPr>
          <w:b/>
        </w:rPr>
        <w:t>”</w:t>
      </w:r>
      <w:r>
        <w:t xml:space="preserve"> means a Category A licence or a Category B licence;</w:t>
      </w:r>
    </w:p>
    <w:p>
      <w:pPr>
        <w:pStyle w:val="Defstart"/>
      </w:pPr>
      <w:r>
        <w:rPr>
          <w:b/>
        </w:rPr>
        <w:tab/>
        <w:t>“</w:t>
      </w:r>
      <w:r>
        <w:rPr>
          <w:rStyle w:val="CharDefText"/>
        </w:rPr>
        <w:t>licence fee</w:t>
      </w:r>
      <w:r>
        <w:rPr>
          <w:b/>
        </w:rPr>
        <w:t>”</w:t>
      </w:r>
      <w:r>
        <w:t xml:space="preserve"> means the fee payable for a licence in respect of a licence period;</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Court — the Court;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beverage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beverage or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other than in section 105(2),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spacing w:before="90"/>
      </w:pPr>
      <w:r>
        <w:rPr>
          <w:b/>
        </w:rPr>
        <w:tab/>
        <w:t>“</w:t>
      </w:r>
      <w:r>
        <w:rPr>
          <w:rStyle w:val="CharDefText"/>
        </w:rPr>
        <w:t>meal</w:t>
      </w:r>
      <w:r>
        <w:rPr>
          <w:b/>
        </w:rPr>
        <w:t>”</w:t>
      </w:r>
      <w:r>
        <w:t xml:space="preserve"> means a genuine meal, not supplied in sandwich form, eaten or to be eaten by a person while seated at a dining table or counter;</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rules approved, or deemed to have been approved, by the Director;</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section 97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for the hire of glasses or containers 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rPr>
          <w:snapToGrid w:val="0"/>
        </w:rPr>
      </w:pPr>
      <w:r>
        <w:rPr>
          <w:snapToGrid w:val="0"/>
        </w:rPr>
        <w:tab/>
        <w:t>(c)</w:t>
      </w:r>
      <w:r>
        <w:rPr>
          <w:snapToGrid w:val="0"/>
        </w:rPr>
        <w:tab/>
        <w:t>manages, or is to manage, the business of the body corporate to be conducted under a licence,</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Footnotesection"/>
      </w:pPr>
      <w:r>
        <w:tab/>
        <w:t xml:space="preserve">[Section 3 amended by No. 56 of 1997 s. 26(1), (2) and (3); No. 12 of 1998 s. 5 and 70(5); No. 23 of 2000 s. 4; No. 27 of 2000 s. 9; No. 10 of 2001 s. 220; No. 28 of 2003 s. 105; No. 35 of 2003 s. 173(2); No. 73 of 2006 s. 6(1)(b) and (u).] </w:t>
      </w:r>
    </w:p>
    <w:p>
      <w:pPr>
        <w:pStyle w:val="Heading5"/>
        <w:rPr>
          <w:snapToGrid w:val="0"/>
        </w:rPr>
      </w:pPr>
      <w:bookmarkStart w:id="5" w:name="_Toc389662619"/>
      <w:r>
        <w:rPr>
          <w:rStyle w:val="CharSectno"/>
        </w:rPr>
        <w:t>4</w:t>
      </w:r>
      <w:r>
        <w:rPr>
          <w:snapToGrid w:val="0"/>
        </w:rPr>
        <w:t>.</w:t>
      </w:r>
      <w:r>
        <w:rPr>
          <w:snapToGrid w:val="0"/>
        </w:rPr>
        <w:tab/>
        <w:t>Storage of liquor on licensed and approved premises etc.</w:t>
      </w:r>
      <w:bookmarkEnd w:id="5"/>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Subsection"/>
        <w:rPr>
          <w:snapToGrid w:val="0"/>
        </w:rPr>
      </w:pPr>
      <w:r>
        <w:rPr>
          <w:snapToGrid w:val="0"/>
        </w:rPr>
        <w:tab/>
        <w:t>(8)</w:t>
      </w:r>
      <w:r>
        <w:rPr>
          <w:snapToGrid w:val="0"/>
        </w:rPr>
        <w:tab/>
        <w:t>Where delivery to a purchaser of liquor is to be effected in the State then, notwithstanding that the sale otherwise took place outside the State, the sale of that liquor shall for the purposes of this Act be deemed to have been concluded in the State unless the regulations otherwise provide.</w:t>
      </w:r>
    </w:p>
    <w:p>
      <w:pPr>
        <w:pStyle w:val="Footnotesection"/>
      </w:pPr>
      <w:r>
        <w:tab/>
        <w:t xml:space="preserve">[Section 4 amended by No. 56 of 1997 s. 27; No. 12 of 1998 s. 6.] </w:t>
      </w:r>
    </w:p>
    <w:p>
      <w:pPr>
        <w:pStyle w:val="Heading5"/>
        <w:rPr>
          <w:snapToGrid w:val="0"/>
        </w:rPr>
      </w:pPr>
      <w:bookmarkStart w:id="6" w:name="_Toc389662620"/>
      <w:r>
        <w:rPr>
          <w:rStyle w:val="CharSectno"/>
        </w:rPr>
        <w:t>5</w:t>
      </w:r>
      <w:r>
        <w:rPr>
          <w:snapToGrid w:val="0"/>
        </w:rPr>
        <w:t>.</w:t>
      </w:r>
      <w:r>
        <w:rPr>
          <w:snapToGrid w:val="0"/>
        </w:rPr>
        <w:tab/>
        <w:t>Objects of the Act</w:t>
      </w:r>
      <w:bookmarkEnd w:id="6"/>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rPr>
          <w:snapToGrid w:val="0"/>
        </w:rPr>
      </w:pPr>
      <w:r>
        <w:rPr>
          <w:snapToGrid w:val="0"/>
        </w:rPr>
        <w:tab/>
        <w:t>(b)</w:t>
      </w:r>
      <w:r>
        <w:rPr>
          <w:snapToGrid w:val="0"/>
        </w:rPr>
        <w:tab/>
        <w:t>to minimize harm or ill</w:t>
      </w:r>
      <w:r>
        <w:rPr>
          <w:snapToGrid w:val="0"/>
        </w:rPr>
        <w:noBreakHyphen/>
        <w:t>health caused to people, or any group of people, due to the use of liquor.</w:t>
      </w:r>
    </w:p>
    <w:p>
      <w:pPr>
        <w:pStyle w:val="Subsection"/>
        <w:rPr>
          <w:snapToGrid w:val="0"/>
        </w:rPr>
      </w:pPr>
      <w:r>
        <w:rPr>
          <w:snapToGrid w:val="0"/>
        </w:rPr>
        <w:tab/>
        <w:t>(2)</w:t>
      </w:r>
      <w:r>
        <w:rPr>
          <w:snapToGrid w:val="0"/>
        </w:rPr>
        <w:tab/>
        <w:t>In carrying out its functions under this Act, the licensing authority shall have regard to the primary objects of this Act and also to the following objects — </w:t>
      </w:r>
    </w:p>
    <w:p>
      <w:pPr>
        <w:pStyle w:val="Indenta"/>
        <w:rPr>
          <w:snapToGrid w:val="0"/>
        </w:rPr>
      </w:pPr>
      <w:r>
        <w:rPr>
          <w:snapToGrid w:val="0"/>
        </w:rPr>
        <w:tab/>
        <w:t>(a)</w:t>
      </w:r>
      <w:r>
        <w:rPr>
          <w:snapToGrid w:val="0"/>
        </w:rPr>
        <w:tab/>
        <w:t>to regulate, and to contribute to the proper development of, the liquor, hospitality and related industries in the State;</w:t>
      </w:r>
    </w:p>
    <w:p>
      <w:pPr>
        <w:pStyle w:val="Indenta"/>
        <w:rPr>
          <w:snapToGrid w:val="0"/>
        </w:rPr>
      </w:pPr>
      <w:r>
        <w:rPr>
          <w:snapToGrid w:val="0"/>
        </w:rPr>
        <w:tab/>
        <w:t>(b)</w:t>
      </w:r>
      <w:r>
        <w:rPr>
          <w:snapToGrid w:val="0"/>
        </w:rPr>
        <w:tab/>
        <w:t>to cater for the requirements of the tourism industry;</w:t>
      </w:r>
    </w:p>
    <w:p>
      <w:pPr>
        <w:pStyle w:val="Indenta"/>
        <w:rPr>
          <w:snapToGrid w:val="0"/>
        </w:rPr>
      </w:pPr>
      <w:r>
        <w:rPr>
          <w:snapToGrid w:val="0"/>
        </w:rPr>
        <w:tab/>
        <w:t>(c)</w:t>
      </w:r>
      <w:r>
        <w:rPr>
          <w:snapToGrid w:val="0"/>
        </w:rPr>
        <w:tab/>
        <w:t>to facilitate the use and development of licensed facilities reflecting the diversity of consumer demand;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Footnotesection"/>
      </w:pPr>
      <w:r>
        <w:tab/>
        <w:t xml:space="preserve">[Section 5 amended by No. 12 of 1998 s. 7.] </w:t>
      </w:r>
    </w:p>
    <w:p>
      <w:pPr>
        <w:pStyle w:val="Heading5"/>
        <w:rPr>
          <w:snapToGrid w:val="0"/>
        </w:rPr>
      </w:pPr>
      <w:bookmarkStart w:id="7" w:name="_Toc389662621"/>
      <w:r>
        <w:rPr>
          <w:rStyle w:val="CharSectno"/>
        </w:rPr>
        <w:t>6</w:t>
      </w:r>
      <w:r>
        <w:rPr>
          <w:snapToGrid w:val="0"/>
        </w:rPr>
        <w:t>.</w:t>
      </w:r>
      <w:r>
        <w:rPr>
          <w:snapToGrid w:val="0"/>
        </w:rPr>
        <w:tab/>
        <w:t>Act not to apply in certain cases</w:t>
      </w:r>
      <w:bookmarkEnd w:id="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8" w:name="_Toc389662622"/>
      <w:r>
        <w:rPr>
          <w:rStyle w:val="CharPartNo"/>
        </w:rPr>
        <w:t>Part 2</w:t>
      </w:r>
      <w:r>
        <w:t> — </w:t>
      </w:r>
      <w:r>
        <w:rPr>
          <w:rStyle w:val="CharPartText"/>
        </w:rPr>
        <w:t>The licensing authority</w:t>
      </w:r>
      <w:bookmarkEnd w:id="8"/>
      <w:r>
        <w:rPr>
          <w:rStyle w:val="CharPartText"/>
        </w:rPr>
        <w:t xml:space="preserve"> </w:t>
      </w:r>
    </w:p>
    <w:p>
      <w:pPr>
        <w:pStyle w:val="Heading3"/>
        <w:rPr>
          <w:snapToGrid w:val="0"/>
        </w:rPr>
      </w:pPr>
      <w:bookmarkStart w:id="9" w:name="_Toc389662623"/>
      <w:r>
        <w:rPr>
          <w:rStyle w:val="CharDivNo"/>
        </w:rPr>
        <w:t>Division 1</w:t>
      </w:r>
      <w:r>
        <w:rPr>
          <w:snapToGrid w:val="0"/>
        </w:rPr>
        <w:t> — </w:t>
      </w:r>
      <w:r>
        <w:rPr>
          <w:rStyle w:val="CharDivText"/>
        </w:rPr>
        <w:t>The licensing authority</w:t>
      </w:r>
      <w:bookmarkEnd w:id="9"/>
      <w:r>
        <w:rPr>
          <w:rStyle w:val="CharDivText"/>
        </w:rPr>
        <w:t xml:space="preserve"> </w:t>
      </w:r>
    </w:p>
    <w:p>
      <w:pPr>
        <w:pStyle w:val="Heading5"/>
        <w:rPr>
          <w:snapToGrid w:val="0"/>
        </w:rPr>
      </w:pPr>
      <w:bookmarkStart w:id="10" w:name="_Toc389662624"/>
      <w:r>
        <w:rPr>
          <w:rStyle w:val="CharSectno"/>
        </w:rPr>
        <w:t>7</w:t>
      </w:r>
      <w:r>
        <w:rPr>
          <w:snapToGrid w:val="0"/>
        </w:rPr>
        <w:t>.</w:t>
      </w:r>
      <w:r>
        <w:rPr>
          <w:snapToGrid w:val="0"/>
        </w:rPr>
        <w:tab/>
        <w:t>Constitution of the licensing authority</w:t>
      </w:r>
      <w:bookmarkEnd w:id="10"/>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the Liquor Licensing Court; 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Court may sit and exercise the jurisdiction of the Court notwithstanding that the licensing authority as constituted by the Director is at the same time exercising jurisdiction, and the Director may exercise jurisdiction while the Court is sitting, but not in relation to the same application or matter.</w:t>
      </w:r>
    </w:p>
    <w:p>
      <w:pPr>
        <w:pStyle w:val="Subsection"/>
        <w:rPr>
          <w:snapToGrid w:val="0"/>
        </w:rPr>
      </w:pPr>
      <w:r>
        <w:rPr>
          <w:snapToGrid w:val="0"/>
        </w:rPr>
        <w:tab/>
        <w:t>(3)</w:t>
      </w:r>
      <w:r>
        <w:rPr>
          <w:snapToGrid w:val="0"/>
        </w:rPr>
        <w:tab/>
        <w:t>Subject to this Act, the Director shall not — </w:t>
      </w:r>
    </w:p>
    <w:p>
      <w:pPr>
        <w:pStyle w:val="Indenta"/>
        <w:rPr>
          <w:snapToGrid w:val="0"/>
        </w:rPr>
      </w:pPr>
      <w:r>
        <w:rPr>
          <w:snapToGrid w:val="0"/>
        </w:rPr>
        <w:tab/>
        <w:t>(a)</w:t>
      </w:r>
      <w:r>
        <w:rPr>
          <w:snapToGrid w:val="0"/>
        </w:rPr>
        <w:tab/>
        <w:t>exercise jurisdiction in respect of a matter before the Court, or within the jurisdiction of the Court; or</w:t>
      </w:r>
    </w:p>
    <w:p>
      <w:pPr>
        <w:pStyle w:val="Indenta"/>
        <w:rPr>
          <w:snapToGrid w:val="0"/>
        </w:rPr>
      </w:pPr>
      <w:r>
        <w:rPr>
          <w:snapToGrid w:val="0"/>
        </w:rPr>
        <w:tab/>
        <w:t>(b)</w:t>
      </w:r>
      <w:r>
        <w:rPr>
          <w:snapToGrid w:val="0"/>
        </w:rPr>
        <w:tab/>
        <w:t>impose any condition — </w:t>
      </w:r>
    </w:p>
    <w:p>
      <w:pPr>
        <w:pStyle w:val="Indenti"/>
        <w:rPr>
          <w:snapToGrid w:val="0"/>
        </w:rPr>
      </w:pPr>
      <w:r>
        <w:rPr>
          <w:snapToGrid w:val="0"/>
        </w:rPr>
        <w:tab/>
        <w:t>(i)</w:t>
      </w:r>
      <w:r>
        <w:rPr>
          <w:snapToGrid w:val="0"/>
        </w:rPr>
        <w:tab/>
        <w:t>which is inconsistent with a condition imposed by the Court; or</w:t>
      </w:r>
    </w:p>
    <w:p>
      <w:pPr>
        <w:pStyle w:val="Indenti"/>
        <w:rPr>
          <w:snapToGrid w:val="0"/>
        </w:rPr>
      </w:pPr>
      <w:r>
        <w:rPr>
          <w:snapToGrid w:val="0"/>
        </w:rPr>
        <w:tab/>
        <w:t>(ii)</w:t>
      </w:r>
      <w:r>
        <w:rPr>
          <w:snapToGrid w:val="0"/>
        </w:rPr>
        <w:tab/>
        <w:t>which the Court has refused to impose,</w:t>
      </w:r>
    </w:p>
    <w:p>
      <w:pPr>
        <w:pStyle w:val="Subsection"/>
        <w:rPr>
          <w:snapToGrid w:val="0"/>
        </w:rPr>
      </w:pPr>
      <w:r>
        <w:rPr>
          <w:snapToGrid w:val="0"/>
        </w:rPr>
        <w:tab/>
      </w:r>
      <w:r>
        <w:rPr>
          <w:snapToGrid w:val="0"/>
        </w:rPr>
        <w:tab/>
        <w:t>and is not subject to direction by the Court, except as a party to proceedings or as may be specifically provided by this Act.</w:t>
      </w:r>
    </w:p>
    <w:p>
      <w:pPr>
        <w:pStyle w:val="Subsection"/>
        <w:rPr>
          <w:snapToGrid w:val="0"/>
        </w:rPr>
      </w:pPr>
      <w:r>
        <w:rPr>
          <w:snapToGrid w:val="0"/>
        </w:rPr>
        <w:tab/>
        <w:t>(4)</w:t>
      </w:r>
      <w:r>
        <w:rPr>
          <w:snapToGrid w:val="0"/>
        </w:rPr>
        <w:tab/>
        <w:t>Subsection (3)(b) does not apply in relation to a condition imposed or varied by the Director under section 117(5)(a).</w:t>
      </w:r>
    </w:p>
    <w:p>
      <w:pPr>
        <w:pStyle w:val="Footnotesection"/>
      </w:pPr>
      <w:r>
        <w:tab/>
        <w:t xml:space="preserve">[Section 7 amended by No. 12 of 1998 s. 8.] </w:t>
      </w:r>
    </w:p>
    <w:p>
      <w:pPr>
        <w:pStyle w:val="Heading3"/>
        <w:rPr>
          <w:snapToGrid w:val="0"/>
        </w:rPr>
      </w:pPr>
      <w:bookmarkStart w:id="11" w:name="_Toc389662625"/>
      <w:r>
        <w:rPr>
          <w:rStyle w:val="CharDivNo"/>
        </w:rPr>
        <w:t>Division 2</w:t>
      </w:r>
      <w:r>
        <w:rPr>
          <w:snapToGrid w:val="0"/>
        </w:rPr>
        <w:t> — </w:t>
      </w:r>
      <w:r>
        <w:rPr>
          <w:rStyle w:val="CharDivText"/>
        </w:rPr>
        <w:t>The Liquor Licensing Court</w:t>
      </w:r>
      <w:bookmarkEnd w:id="11"/>
      <w:r>
        <w:rPr>
          <w:rStyle w:val="CharDivText"/>
        </w:rPr>
        <w:t xml:space="preserve"> </w:t>
      </w:r>
    </w:p>
    <w:p>
      <w:pPr>
        <w:pStyle w:val="Heading5"/>
        <w:rPr>
          <w:snapToGrid w:val="0"/>
        </w:rPr>
      </w:pPr>
      <w:bookmarkStart w:id="12" w:name="_Toc389662626"/>
      <w:r>
        <w:rPr>
          <w:rStyle w:val="CharSectno"/>
        </w:rPr>
        <w:t>8</w:t>
      </w:r>
      <w:r>
        <w:rPr>
          <w:snapToGrid w:val="0"/>
        </w:rPr>
        <w:t>.</w:t>
      </w:r>
      <w:r>
        <w:rPr>
          <w:snapToGrid w:val="0"/>
        </w:rPr>
        <w:tab/>
        <w:t>Establishment and constitution of the Liquor Licensing Court</w:t>
      </w:r>
      <w:bookmarkEnd w:id="12"/>
      <w:r>
        <w:rPr>
          <w:snapToGrid w:val="0"/>
        </w:rPr>
        <w:t xml:space="preserve"> </w:t>
      </w:r>
    </w:p>
    <w:p>
      <w:pPr>
        <w:pStyle w:val="Subsection"/>
        <w:rPr>
          <w:snapToGrid w:val="0"/>
        </w:rPr>
      </w:pPr>
      <w:r>
        <w:rPr>
          <w:snapToGrid w:val="0"/>
        </w:rPr>
        <w:tab/>
        <w:t>(1)</w:t>
      </w:r>
      <w:r>
        <w:rPr>
          <w:snapToGrid w:val="0"/>
        </w:rPr>
        <w:tab/>
        <w:t>The court known as the Liquor Licensing Court established under the repealed Act is preserved and continued in being under and for the purposes of this Act.</w:t>
      </w:r>
    </w:p>
    <w:p>
      <w:pPr>
        <w:pStyle w:val="Subsection"/>
        <w:rPr>
          <w:snapToGrid w:val="0"/>
        </w:rPr>
      </w:pPr>
      <w:r>
        <w:rPr>
          <w:snapToGrid w:val="0"/>
        </w:rPr>
        <w:tab/>
        <w:t>(2)</w:t>
      </w:r>
      <w:r>
        <w:rPr>
          <w:snapToGrid w:val="0"/>
        </w:rPr>
        <w:tab/>
        <w:t>The Court is a court of record, shall have an official seal of which judicial notice shall be taken, and has the jurisdiction conferred on it by this Act.</w:t>
      </w:r>
    </w:p>
    <w:p>
      <w:pPr>
        <w:pStyle w:val="Subsection"/>
        <w:rPr>
          <w:snapToGrid w:val="0"/>
        </w:rPr>
      </w:pPr>
      <w:r>
        <w:rPr>
          <w:snapToGrid w:val="0"/>
        </w:rPr>
        <w:tab/>
        <w:t>(3)</w:t>
      </w:r>
      <w:r>
        <w:rPr>
          <w:snapToGrid w:val="0"/>
        </w:rPr>
        <w:tab/>
        <w:t>The Court shall be constituted by the Liquor Licensing Court judge, but may be constituted by</w:t>
      </w:r>
      <w:r>
        <w:t xml:space="preserve"> a Liquor Licensing Court judge nominated under section 9(4)</w:t>
      </w:r>
      <w:r>
        <w:rPr>
          <w:snapToGrid w:val="0"/>
        </w:rPr>
        <w:t>, and the judge may give directions as to the sittings of, and the disposal of the business of, the Court.</w:t>
      </w:r>
    </w:p>
    <w:p>
      <w:pPr>
        <w:pStyle w:val="Subsection"/>
        <w:rPr>
          <w:snapToGrid w:val="0"/>
        </w:rPr>
      </w:pPr>
      <w:r>
        <w:rPr>
          <w:snapToGrid w:val="0"/>
        </w:rPr>
        <w:tab/>
        <w:t>(4)</w:t>
      </w:r>
      <w:r>
        <w:rPr>
          <w:snapToGrid w:val="0"/>
        </w:rPr>
        <w:tab/>
        <w:t xml:space="preserve">The Court constituted by the Liquor Licensing Court judge may sit and exercise the jurisdiction of the Court notwithstanding that the Court constituted by </w:t>
      </w:r>
      <w:r>
        <w:t xml:space="preserve">a Liquor Licensing Court judge nominated under section 9(4) </w:t>
      </w:r>
      <w:r>
        <w:rPr>
          <w:snapToGrid w:val="0"/>
        </w:rPr>
        <w:t>is at the same time sitting and exercising the jurisdiction of the Court.</w:t>
      </w:r>
    </w:p>
    <w:p>
      <w:pPr>
        <w:pStyle w:val="Footnotesection"/>
      </w:pPr>
      <w:r>
        <w:tab/>
        <w:t>[Section 8 amended by No. 27 of 2000 s. 10; No. 23 of 2002 s. 13.]</w:t>
      </w:r>
    </w:p>
    <w:p>
      <w:pPr>
        <w:pStyle w:val="Heading5"/>
        <w:rPr>
          <w:snapToGrid w:val="0"/>
        </w:rPr>
      </w:pPr>
      <w:bookmarkStart w:id="13" w:name="_Toc389662627"/>
      <w:r>
        <w:rPr>
          <w:rStyle w:val="CharSectno"/>
        </w:rPr>
        <w:t>9</w:t>
      </w:r>
      <w:r>
        <w:rPr>
          <w:snapToGrid w:val="0"/>
        </w:rPr>
        <w:t>.</w:t>
      </w:r>
      <w:r>
        <w:rPr>
          <w:snapToGrid w:val="0"/>
        </w:rPr>
        <w:tab/>
        <w:t>Appointment of the judge of the Liquor Licensing Court</w:t>
      </w:r>
      <w:bookmarkEnd w:id="13"/>
      <w:r>
        <w:rPr>
          <w:snapToGrid w:val="0"/>
        </w:rPr>
        <w:t xml:space="preserve"> </w:t>
      </w:r>
    </w:p>
    <w:p>
      <w:pPr>
        <w:pStyle w:val="Subsection"/>
      </w:pPr>
      <w:r>
        <w:tab/>
        <w:t>(1)</w:t>
      </w:r>
      <w:r>
        <w:tab/>
        <w:t xml:space="preserve">Subject to subsection (2), the Liquor Licensing Court judge shall be such District Court judge, or Commissioner of the District Court appointed under section 24 of the </w:t>
      </w:r>
      <w:r>
        <w:rPr>
          <w:i/>
        </w:rPr>
        <w:t>District Court of Western Australia Act 1969</w:t>
      </w:r>
      <w:r>
        <w:t>, as the Chief Judge of the District Court of Western Australia shall from time to time nominate, either generally or for a specified time, to be the Liquor Licensing Court judge.</w:t>
      </w:r>
    </w:p>
    <w:p>
      <w:pPr>
        <w:pStyle w:val="Subsection"/>
      </w:pPr>
      <w:r>
        <w:tab/>
        <w:t>(2)</w:t>
      </w:r>
      <w:r>
        <w:tab/>
        <w:t xml:space="preserve">On the day on which Part 3 of the </w:t>
      </w:r>
      <w:r>
        <w:rPr>
          <w:i/>
        </w:rPr>
        <w:t>Courts Legislation Amendment Act 2000</w:t>
      </w:r>
      <w:r>
        <w:t xml:space="preserve"> comes into operation </w:t>
      </w:r>
      <w:r>
        <w:rPr>
          <w:vertAlign w:val="superscript"/>
        </w:rPr>
        <w:t>1</w:t>
      </w:r>
      <w:r>
        <w:t>, the person who, immediately before that day, held office as the Liquor Licensing Court judge, is deemed to have been nominated as the Liquor Licensing Court judge under subsection (1) and shall continue to hold that office as if section 9 had not been repealed until he or she dies, retires, or otherwise ceases to hold the office.</w:t>
      </w:r>
    </w:p>
    <w:p>
      <w:pPr>
        <w:pStyle w:val="Subsection"/>
      </w:pPr>
      <w:r>
        <w:tab/>
        <w:t>(3)</w:t>
      </w:r>
      <w:r>
        <w:tab/>
        <w:t xml:space="preserve">In the </w:t>
      </w:r>
      <w:r>
        <w:rPr>
          <w:snapToGrid w:val="0"/>
        </w:rPr>
        <w:t>exercise</w:t>
      </w:r>
      <w:r>
        <w:t xml:space="preserve"> of that office, the Liquor Licensing Court judge has the same protection and immunity as a judge has in respect of proceedings in the Supreme Court.</w:t>
      </w:r>
    </w:p>
    <w:p>
      <w:pPr>
        <w:pStyle w:val="Subsection"/>
      </w:pPr>
      <w:r>
        <w:tab/>
        <w:t>(4)</w:t>
      </w:r>
      <w:r>
        <w:tab/>
        <w:t>Where the person who is deemed under subsection (2) to have been nominated as the Liquor Licensing Court judge —</w:t>
      </w:r>
    </w:p>
    <w:p>
      <w:pPr>
        <w:pStyle w:val="Indenta"/>
      </w:pPr>
      <w:r>
        <w:tab/>
        <w:t>(a)</w:t>
      </w:r>
      <w:r>
        <w:tab/>
        <w:t>is or is expected to be absent from duty for any reason; or</w:t>
      </w:r>
    </w:p>
    <w:p>
      <w:pPr>
        <w:pStyle w:val="Indenta"/>
      </w:pPr>
      <w:r>
        <w:tab/>
        <w:t>(b)</w:t>
      </w:r>
      <w:r>
        <w:tab/>
        <w:t>declines to deal with any matter,</w:t>
      </w:r>
    </w:p>
    <w:p>
      <w:pPr>
        <w:pStyle w:val="Subsection"/>
      </w:pPr>
      <w:r>
        <w:tab/>
      </w:r>
      <w:r>
        <w:tab/>
        <w:t xml:space="preserve">the Chief Judge is to nominate a District Court judge or a Commissioner of the District Court to be a Liquor Licensing Court judge </w:t>
      </w:r>
      <w:r>
        <w:rPr>
          <w:snapToGrid w:val="0"/>
        </w:rPr>
        <w:t>for</w:t>
      </w:r>
      <w:r>
        <w:t xml:space="preserve"> such period, or in respect of such applications or matters, as may be specified in the instrument of appointment.</w:t>
      </w:r>
    </w:p>
    <w:p>
      <w:pPr>
        <w:pStyle w:val="Footnotesection"/>
      </w:pPr>
      <w:r>
        <w:tab/>
        <w:t>[Section 9 inserted by No. 27 of 2000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4" w:name="_Toc389662628"/>
      <w:r>
        <w:rPr>
          <w:rStyle w:val="CharDivNo"/>
        </w:rPr>
        <w:t>Division 3</w:t>
      </w:r>
      <w:r>
        <w:rPr>
          <w:snapToGrid w:val="0"/>
        </w:rPr>
        <w:t> — </w:t>
      </w:r>
      <w:r>
        <w:rPr>
          <w:rStyle w:val="CharDivText"/>
        </w:rPr>
        <w:t>The Director of Liquor Licensing</w:t>
      </w:r>
      <w:bookmarkEnd w:id="14"/>
      <w:r>
        <w:rPr>
          <w:rStyle w:val="CharDivText"/>
        </w:rPr>
        <w:t xml:space="preserve"> </w:t>
      </w:r>
    </w:p>
    <w:p>
      <w:pPr>
        <w:pStyle w:val="Heading5"/>
        <w:rPr>
          <w:snapToGrid w:val="0"/>
        </w:rPr>
      </w:pPr>
      <w:bookmarkStart w:id="15" w:name="_Toc389662629"/>
      <w:r>
        <w:rPr>
          <w:rStyle w:val="CharSectno"/>
        </w:rPr>
        <w:t>13</w:t>
      </w:r>
      <w:r>
        <w:rPr>
          <w:snapToGrid w:val="0"/>
        </w:rPr>
        <w:t>.</w:t>
      </w:r>
      <w:r>
        <w:rPr>
          <w:snapToGrid w:val="0"/>
        </w:rPr>
        <w:tab/>
        <w:t>The Director</w:t>
      </w:r>
      <w:bookmarkEnd w:id="15"/>
      <w:r>
        <w:rPr>
          <w:snapToGrid w:val="0"/>
        </w:rPr>
        <w:t xml:space="preserve"> </w:t>
      </w:r>
    </w:p>
    <w:p>
      <w:pPr>
        <w:pStyle w:val="Subsection"/>
        <w:rPr>
          <w:snapToGrid w:val="0"/>
        </w:rPr>
      </w:pPr>
      <w:r>
        <w:rPr>
          <w:snapToGrid w:val="0"/>
        </w:rPr>
        <w:tab/>
        <w:t>(1)</w:t>
      </w:r>
      <w:r>
        <w:rPr>
          <w:snapToGrid w:val="0"/>
        </w:rPr>
        <w:tab/>
        <w:t xml:space="preserve">There shall be a Director of Liquor Licensing, who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 Court, to the chief executive officer of the relevant department of the Public Service.</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has in the exercise of that jurisdiction the same protection and immunity as has the judge of the Liquor Licensing Court.</w:t>
      </w:r>
    </w:p>
    <w:p>
      <w:pPr>
        <w:pStyle w:val="Subsection"/>
        <w:rPr>
          <w:snapToGrid w:val="0"/>
        </w:rPr>
      </w:pPr>
      <w:r>
        <w:rPr>
          <w:snapToGrid w:val="0"/>
        </w:rPr>
        <w:tab/>
        <w:t>(4)</w:t>
      </w:r>
      <w:r>
        <w:rPr>
          <w:snapToGrid w:val="0"/>
        </w:rPr>
        <w:tab/>
        <w:t>The Director shall expeditiously and informally determine applications and matters under this Act not subject to the jurisdiction of the Court, having regard to the requirements of justice but without regard to legal forms or solemnities,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w:t>
      </w:r>
    </w:p>
    <w:p>
      <w:pPr>
        <w:pStyle w:val="Heading5"/>
        <w:rPr>
          <w:snapToGrid w:val="0"/>
        </w:rPr>
      </w:pPr>
      <w:bookmarkStart w:id="16" w:name="_Toc389662630"/>
      <w:r>
        <w:rPr>
          <w:rStyle w:val="CharSectno"/>
        </w:rPr>
        <w:t>14</w:t>
      </w:r>
      <w:r>
        <w:rPr>
          <w:snapToGrid w:val="0"/>
        </w:rPr>
        <w:t>.</w:t>
      </w:r>
      <w:r>
        <w:rPr>
          <w:snapToGrid w:val="0"/>
        </w:rPr>
        <w:tab/>
        <w:t>Staff</w:t>
      </w:r>
      <w:bookmarkEnd w:id="16"/>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Court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a certificate of identity in the prescribed form.</w:t>
      </w:r>
    </w:p>
    <w:p>
      <w:pPr>
        <w:pStyle w:val="Footnotesection"/>
      </w:pPr>
      <w:r>
        <w:tab/>
        <w:t xml:space="preserve">[Section 14 amended by No. 32 of 1994 s. 3(2); No. 56 of 1997 s. 28.] </w:t>
      </w:r>
    </w:p>
    <w:p>
      <w:pPr>
        <w:pStyle w:val="Heading3"/>
        <w:rPr>
          <w:snapToGrid w:val="0"/>
        </w:rPr>
      </w:pPr>
      <w:bookmarkStart w:id="17" w:name="_Toc389662631"/>
      <w:r>
        <w:rPr>
          <w:rStyle w:val="CharDivNo"/>
        </w:rPr>
        <w:t>Division 4</w:t>
      </w:r>
      <w:r>
        <w:rPr>
          <w:snapToGrid w:val="0"/>
        </w:rPr>
        <w:t> — </w:t>
      </w:r>
      <w:r>
        <w:rPr>
          <w:rStyle w:val="CharDivText"/>
        </w:rPr>
        <w:t>Other staff of the licensing authority</w:t>
      </w:r>
      <w:bookmarkEnd w:id="17"/>
      <w:r>
        <w:rPr>
          <w:rStyle w:val="CharDivText"/>
        </w:rPr>
        <w:t xml:space="preserve"> </w:t>
      </w:r>
    </w:p>
    <w:p>
      <w:pPr>
        <w:pStyle w:val="Heading5"/>
        <w:rPr>
          <w:snapToGrid w:val="0"/>
        </w:rPr>
      </w:pPr>
      <w:bookmarkStart w:id="18" w:name="_Toc389662632"/>
      <w:r>
        <w:rPr>
          <w:rStyle w:val="CharSectno"/>
        </w:rPr>
        <w:t>15</w:t>
      </w:r>
      <w:r>
        <w:rPr>
          <w:snapToGrid w:val="0"/>
        </w:rPr>
        <w:t>.</w:t>
      </w:r>
      <w:r>
        <w:rPr>
          <w:snapToGrid w:val="0"/>
        </w:rPr>
        <w:tab/>
        <w:t>Delegation and authorisation by the Director</w:t>
      </w:r>
      <w:bookmarkEnd w:id="1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9" w:name="_Toc389662633"/>
      <w:r>
        <w:rPr>
          <w:rStyle w:val="CharDivNo"/>
        </w:rPr>
        <w:t>Division 5</w:t>
      </w:r>
      <w:r>
        <w:rPr>
          <w:snapToGrid w:val="0"/>
        </w:rPr>
        <w:t> — </w:t>
      </w:r>
      <w:r>
        <w:rPr>
          <w:rStyle w:val="CharDivText"/>
        </w:rPr>
        <w:t>Proceedings before the licensing authority</w:t>
      </w:r>
      <w:bookmarkEnd w:id="19"/>
      <w:r>
        <w:rPr>
          <w:rStyle w:val="CharDivText"/>
        </w:rPr>
        <w:t xml:space="preserve"> </w:t>
      </w:r>
    </w:p>
    <w:p>
      <w:pPr>
        <w:pStyle w:val="Heading5"/>
        <w:rPr>
          <w:snapToGrid w:val="0"/>
        </w:rPr>
      </w:pPr>
      <w:bookmarkStart w:id="20" w:name="_Toc389662634"/>
      <w:r>
        <w:rPr>
          <w:rStyle w:val="CharSectno"/>
        </w:rPr>
        <w:t>16</w:t>
      </w:r>
      <w:r>
        <w:rPr>
          <w:snapToGrid w:val="0"/>
        </w:rPr>
        <w:t>.</w:t>
      </w:r>
      <w:r>
        <w:rPr>
          <w:snapToGrid w:val="0"/>
        </w:rPr>
        <w:tab/>
        <w:t>Procedure</w:t>
      </w:r>
      <w:bookmarkEnd w:id="20"/>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notwithstanding subsection (7), is not bound by legal rules relating to evidence or procedure but 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Court —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Court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Court, if a requirement or order of the Court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Court or within the jurisdiction of the Court, by the Court;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Court may appoint — </w:t>
      </w:r>
    </w:p>
    <w:p>
      <w:pPr>
        <w:pStyle w:val="Indenta"/>
        <w:rPr>
          <w:snapToGrid w:val="0"/>
        </w:rPr>
      </w:pPr>
      <w:r>
        <w:rPr>
          <w:snapToGrid w:val="0"/>
        </w:rPr>
        <w:tab/>
        <w:t>(a)</w:t>
      </w:r>
      <w:r>
        <w:rPr>
          <w:snapToGrid w:val="0"/>
        </w:rPr>
        <w:tab/>
        <w:t>counsel to argue or make representations as to any matter before the Court;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rPr>
          <w:snapToGrid w:val="0"/>
        </w:rPr>
      </w:pPr>
      <w:r>
        <w:rPr>
          <w:snapToGrid w:val="0"/>
        </w:rPr>
        <w:tab/>
        <w:t>(7)</w:t>
      </w:r>
      <w:r>
        <w:rPr>
          <w:snapToGrid w:val="0"/>
        </w:rPr>
        <w:tab/>
        <w:t xml:space="preserve">For the purposes of the </w:t>
      </w:r>
      <w:r>
        <w:rPr>
          <w:i/>
          <w:snapToGrid w:val="0"/>
        </w:rPr>
        <w:t>Evidence Act 1906</w:t>
      </w:r>
      <w:r>
        <w:rPr>
          <w:snapToGrid w:val="0"/>
        </w:rPr>
        <w:t xml:space="preserve"> the judicial proceedings of the licensing authority, however constituted, shall be deemed to be proceedings of a court within the meaning of that Act, and subject to this section that Act applies, as if the licensing authority were a court and the Licensing Court judge were a judge within the meaning of that Act, to and in relation to the Court, the Liquor Licensing Court judge, the Director, and any officer of the licensing authority and judicial notice shall be taken of the signature of any such person if it purports to be appended to any judicial or official document.</w:t>
      </w:r>
    </w:p>
    <w:p>
      <w:pPr>
        <w:pStyle w:val="Subsection"/>
        <w:rPr>
          <w:snapToGrid w:val="0"/>
        </w:rPr>
      </w:pPr>
      <w:r>
        <w:rPr>
          <w:snapToGrid w:val="0"/>
        </w:rPr>
        <w:tab/>
        <w:t>(8)</w:t>
      </w:r>
      <w:r>
        <w:rPr>
          <w:snapToGrid w:val="0"/>
        </w:rPr>
        <w:tab/>
        <w:t>Subject to subsection (9), the hearing of a proceeding before the Court shall be in public.</w:t>
      </w:r>
    </w:p>
    <w:p>
      <w:pPr>
        <w:pStyle w:val="Subsection"/>
        <w:rPr>
          <w:snapToGrid w:val="0"/>
        </w:rPr>
      </w:pPr>
      <w:r>
        <w:rPr>
          <w:snapToGrid w:val="0"/>
        </w:rPr>
        <w:tab/>
        <w:t>(9)</w:t>
      </w:r>
      <w:r>
        <w:rPr>
          <w:snapToGrid w:val="0"/>
        </w:rPr>
        <w:tab/>
        <w:t>If the Court, of its own motion or on the application of a party to the proceedings in relation to any evidence or matter, is satisfied that it is desirable to do so by reason of the confidential nature of any evidence or matter or for any other reason, the Court may — </w:t>
      </w:r>
    </w:p>
    <w:p>
      <w:pPr>
        <w:pStyle w:val="Indenta"/>
        <w:rPr>
          <w:snapToGrid w:val="0"/>
        </w:rPr>
      </w:pPr>
      <w:r>
        <w:rPr>
          <w:snapToGrid w:val="0"/>
        </w:rPr>
        <w:tab/>
        <w:t>(a)</w:t>
      </w:r>
      <w:r>
        <w:rPr>
          <w:snapToGrid w:val="0"/>
        </w:rPr>
        <w:tab/>
        <w:t>direct that a hearing or part of a hearing shall take place in private and give directions as to the persons who may be present;</w:t>
      </w:r>
    </w:p>
    <w:p>
      <w:pPr>
        <w:pStyle w:val="Indenta"/>
        <w:rPr>
          <w:snapToGrid w:val="0"/>
        </w:rPr>
      </w:pPr>
      <w:r>
        <w:rPr>
          <w:snapToGrid w:val="0"/>
        </w:rPr>
        <w:tab/>
        <w:t>(b)</w:t>
      </w:r>
      <w:r>
        <w:rPr>
          <w:snapToGrid w:val="0"/>
        </w:rPr>
        <w:tab/>
        <w:t>give directions prohibiting or restricting the publication of evidence given before the licensing authority, whether in public or in private,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Indenta"/>
        <w:rPr>
          <w:snapToGrid w:val="0"/>
        </w:rPr>
      </w:pPr>
      <w:r>
        <w:rPr>
          <w:snapToGrid w:val="0"/>
        </w:rPr>
        <w:tab/>
        <w:t>(a)</w:t>
      </w:r>
      <w:r>
        <w:rPr>
          <w:snapToGrid w:val="0"/>
        </w:rPr>
        <w:tab/>
        <w:t>whether the hearing of a proceeding should be held in private; or</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Court shall take as the basis of its consideration the principle that it is desirable that proceedings should be public and that evidence given before the Court and the contents of documents lodged with the licensing authority or received in evidence by the licensing authority should be made available to the public and to all the parties, but shall pay due regard to any reasons given to the licensing authority why the hearing should be held in private or why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If a licensee or manager 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w:t>
      </w:r>
    </w:p>
    <w:p>
      <w:pPr>
        <w:pStyle w:val="Heading5"/>
        <w:rPr>
          <w:snapToGrid w:val="0"/>
        </w:rPr>
      </w:pPr>
      <w:bookmarkStart w:id="21" w:name="_Toc389662635"/>
      <w:r>
        <w:rPr>
          <w:rStyle w:val="CharSectno"/>
        </w:rPr>
        <w:t>17</w:t>
      </w:r>
      <w:r>
        <w:rPr>
          <w:snapToGrid w:val="0"/>
        </w:rPr>
        <w:t>.</w:t>
      </w:r>
      <w:r>
        <w:rPr>
          <w:snapToGrid w:val="0"/>
        </w:rPr>
        <w:tab/>
        <w:t>Representation</w:t>
      </w:r>
      <w:bookmarkEnd w:id="2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22" w:name="_Toc389662636"/>
      <w:r>
        <w:rPr>
          <w:rStyle w:val="CharSectno"/>
        </w:rPr>
        <w:t>18</w:t>
      </w:r>
      <w:r>
        <w:rPr>
          <w:snapToGrid w:val="0"/>
        </w:rPr>
        <w:t>.</w:t>
      </w:r>
      <w:r>
        <w:rPr>
          <w:snapToGrid w:val="0"/>
        </w:rPr>
        <w:tab/>
        <w:t>Powers with respect to witnesses and evidence</w:t>
      </w:r>
      <w:bookmarkEnd w:id="22"/>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where the matter is to be determined by the Court, by the judge; 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being an officer of the licensing authority, is for the time being so authorised by the judge 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is a person prescribed, by Rules of Court 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w:t>
      </w:r>
    </w:p>
    <w:p>
      <w:pPr>
        <w:pStyle w:val="Heading5"/>
        <w:rPr>
          <w:snapToGrid w:val="0"/>
        </w:rPr>
      </w:pPr>
      <w:bookmarkStart w:id="23" w:name="_Toc389662637"/>
      <w:r>
        <w:rPr>
          <w:rStyle w:val="CharSectno"/>
        </w:rPr>
        <w:t>19</w:t>
      </w:r>
      <w:r>
        <w:rPr>
          <w:snapToGrid w:val="0"/>
        </w:rPr>
        <w:t>.</w:t>
      </w:r>
      <w:r>
        <w:rPr>
          <w:snapToGrid w:val="0"/>
        </w:rPr>
        <w:tab/>
        <w:t>Enforcement of orders</w:t>
      </w:r>
      <w:bookmarkEnd w:id="23"/>
      <w:r>
        <w:rPr>
          <w:snapToGrid w:val="0"/>
        </w:rPr>
        <w:t xml:space="preserve"> </w:t>
      </w:r>
    </w:p>
    <w:p>
      <w:pPr>
        <w:pStyle w:val="Subsection"/>
        <w:rPr>
          <w:snapToGrid w:val="0"/>
        </w:rPr>
      </w:pPr>
      <w:r>
        <w:rPr>
          <w:snapToGrid w:val="0"/>
        </w:rPr>
        <w:tab/>
        <w:t>(1)</w:t>
      </w:r>
      <w:r>
        <w:rPr>
          <w:snapToGrid w:val="0"/>
        </w:rPr>
        <w:tab/>
        <w:t>The Court has and may exercise the same power and authority for compelling obedience to, and for punishing disobedience of, any judgement or order of the licensing authority, however constituted, as the Supreme Court may exercise in relation to a judgement given or order made by the Supreme Court.</w:t>
      </w:r>
    </w:p>
    <w:p>
      <w:pPr>
        <w:pStyle w:val="Subsection"/>
        <w:rPr>
          <w:snapToGrid w:val="0"/>
        </w:rPr>
      </w:pPr>
      <w:r>
        <w:rPr>
          <w:snapToGrid w:val="0"/>
        </w:rPr>
        <w:tab/>
        <w:t>(2)</w:t>
      </w:r>
      <w:r>
        <w:rPr>
          <w:snapToGrid w:val="0"/>
        </w:rPr>
        <w:tab/>
        <w:t xml:space="preserve">If under this Act a monetary penalty is imposed or the Court makes an order for the payment of costs, the amount of the penalty or the costs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w:t>
      </w:r>
    </w:p>
    <w:p>
      <w:pPr>
        <w:pStyle w:val="Heading5"/>
        <w:rPr>
          <w:snapToGrid w:val="0"/>
        </w:rPr>
      </w:pPr>
      <w:bookmarkStart w:id="24" w:name="_Toc389662638"/>
      <w:r>
        <w:rPr>
          <w:rStyle w:val="CharSectno"/>
        </w:rPr>
        <w:t>20</w:t>
      </w:r>
      <w:r>
        <w:rPr>
          <w:snapToGrid w:val="0"/>
        </w:rPr>
        <w:t>.</w:t>
      </w:r>
      <w:r>
        <w:rPr>
          <w:snapToGrid w:val="0"/>
        </w:rPr>
        <w:tab/>
        <w:t>Contempt etc.</w:t>
      </w:r>
      <w:bookmarkEnd w:id="2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t>the Liquor Licensing Court judge, 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the Liquor Licensing Court judge may direct the apprehension of the person and by warrant, sealed with the Seal of the Court and signed by the judge, commit the person to imprisonment and impose any penalty or combination of penalties or penalty for default that may under that section of that Act be imposed by a District Court judge.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Court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Court fails, without reasonable excuse, to comply with the summons; or</w:t>
      </w:r>
    </w:p>
    <w:p>
      <w:pPr>
        <w:pStyle w:val="Indenta"/>
        <w:rPr>
          <w:snapToGrid w:val="0"/>
        </w:rPr>
      </w:pPr>
      <w:r>
        <w:rPr>
          <w:snapToGrid w:val="0"/>
        </w:rPr>
        <w:tab/>
        <w:t>(c)</w:t>
      </w:r>
      <w:r>
        <w:rPr>
          <w:snapToGrid w:val="0"/>
        </w:rPr>
        <w:tab/>
        <w:t>refuses to be sworn or to affirm, or to answer a relevant question, when required to do so by the judge,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Court,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w:t>
      </w:r>
    </w:p>
    <w:p>
      <w:pPr>
        <w:pStyle w:val="Heading5"/>
        <w:rPr>
          <w:snapToGrid w:val="0"/>
        </w:rPr>
      </w:pPr>
      <w:bookmarkStart w:id="25" w:name="_Toc389662639"/>
      <w:r>
        <w:rPr>
          <w:rStyle w:val="CharSectno"/>
        </w:rPr>
        <w:t>21</w:t>
      </w:r>
      <w:r>
        <w:rPr>
          <w:snapToGrid w:val="0"/>
        </w:rPr>
        <w:t>.</w:t>
      </w:r>
      <w:r>
        <w:rPr>
          <w:snapToGrid w:val="0"/>
        </w:rPr>
        <w:tab/>
        <w:t>Costs</w:t>
      </w:r>
      <w:bookmarkEnd w:id="25"/>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Court, including any adjournment, shall be in the discretion of the Court, and the Court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Subsection"/>
        <w:rPr>
          <w:snapToGrid w:val="0"/>
        </w:rPr>
      </w:pPr>
      <w:r>
        <w:rPr>
          <w:snapToGrid w:val="0"/>
        </w:rPr>
        <w:tab/>
        <w:t>(3)</w:t>
      </w:r>
      <w:r>
        <w:rPr>
          <w:snapToGrid w:val="0"/>
        </w:rPr>
        <w:tab/>
        <w:t>Subject to this Act, the Liquor Licensing Court judge has the same power in relation to the payment of costs by any person as a judge of the Supreme Court has.</w:t>
      </w:r>
    </w:p>
    <w:p>
      <w:pPr>
        <w:pStyle w:val="Subsection"/>
        <w:rPr>
          <w:snapToGrid w:val="0"/>
        </w:rPr>
      </w:pPr>
      <w:r>
        <w:rPr>
          <w:snapToGrid w:val="0"/>
        </w:rPr>
        <w:tab/>
        <w:t>(4)</w:t>
      </w:r>
      <w:r>
        <w:rPr>
          <w:snapToGrid w:val="0"/>
        </w:rPr>
        <w:tab/>
        <w:t>Costs and expenses, to be payable by or to a party to the proceedings, may be awarded by the Court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Court,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Court may award costs against that person.</w:t>
      </w:r>
    </w:p>
    <w:p>
      <w:pPr>
        <w:pStyle w:val="Subsection"/>
        <w:rPr>
          <w:snapToGrid w:val="0"/>
        </w:rPr>
      </w:pPr>
      <w:r>
        <w:rPr>
          <w:snapToGrid w:val="0"/>
        </w:rPr>
        <w:tab/>
        <w:t>(6)</w:t>
      </w:r>
      <w:r>
        <w:rPr>
          <w:snapToGrid w:val="0"/>
        </w:rPr>
        <w:tab/>
        <w:t>The Director does not have power to award costs.</w:t>
      </w:r>
    </w:p>
    <w:p>
      <w:pPr>
        <w:pStyle w:val="Heading5"/>
        <w:rPr>
          <w:snapToGrid w:val="0"/>
        </w:rPr>
      </w:pPr>
      <w:bookmarkStart w:id="26" w:name="_Toc389662640"/>
      <w:r>
        <w:rPr>
          <w:rStyle w:val="CharSectno"/>
        </w:rPr>
        <w:t>22</w:t>
      </w:r>
      <w:r>
        <w:rPr>
          <w:snapToGrid w:val="0"/>
        </w:rPr>
        <w:t>.</w:t>
      </w:r>
      <w:r>
        <w:rPr>
          <w:snapToGrid w:val="0"/>
        </w:rPr>
        <w:tab/>
        <w:t>Rules of Court</w:t>
      </w:r>
      <w:bookmarkEnd w:id="26"/>
    </w:p>
    <w:p>
      <w:pPr>
        <w:pStyle w:val="Subsection"/>
        <w:rPr>
          <w:snapToGrid w:val="0"/>
        </w:rPr>
      </w:pPr>
      <w:r>
        <w:rPr>
          <w:snapToGrid w:val="0"/>
        </w:rPr>
        <w:tab/>
      </w:r>
      <w:r>
        <w:rPr>
          <w:snapToGrid w:val="0"/>
        </w:rPr>
        <w:tab/>
        <w:t>Rules of Court may be made, by the Liquor Licensing Court judge, under this Act — </w:t>
      </w:r>
    </w:p>
    <w:p>
      <w:pPr>
        <w:pStyle w:val="Indenta"/>
        <w:rPr>
          <w:snapToGrid w:val="0"/>
        </w:rPr>
      </w:pPr>
      <w:r>
        <w:rPr>
          <w:snapToGrid w:val="0"/>
        </w:rPr>
        <w:tab/>
        <w:t>(a)</w:t>
      </w:r>
      <w:r>
        <w:rPr>
          <w:snapToGrid w:val="0"/>
        </w:rPr>
        <w:tab/>
        <w:t>regulating the practice and procedure of the Court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Heading5"/>
        <w:rPr>
          <w:snapToGrid w:val="0"/>
        </w:rPr>
      </w:pPr>
      <w:bookmarkStart w:id="27" w:name="_Toc389662641"/>
      <w:r>
        <w:rPr>
          <w:rStyle w:val="CharSectno"/>
        </w:rPr>
        <w:t>23</w:t>
      </w:r>
      <w:r>
        <w:rPr>
          <w:snapToGrid w:val="0"/>
        </w:rPr>
        <w:t>.</w:t>
      </w:r>
      <w:r>
        <w:rPr>
          <w:snapToGrid w:val="0"/>
        </w:rPr>
        <w:tab/>
        <w:t>Proof of authority and indemnity</w:t>
      </w:r>
      <w:bookmarkEnd w:id="2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Court is sufficient proof of the authority of the Court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Heading3"/>
        <w:rPr>
          <w:snapToGrid w:val="0"/>
        </w:rPr>
      </w:pPr>
      <w:bookmarkStart w:id="28" w:name="_Toc389662642"/>
      <w:r>
        <w:rPr>
          <w:rStyle w:val="CharDivNo"/>
        </w:rPr>
        <w:t>Division 6</w:t>
      </w:r>
      <w:r>
        <w:rPr>
          <w:snapToGrid w:val="0"/>
        </w:rPr>
        <w:t> — </w:t>
      </w:r>
      <w:r>
        <w:rPr>
          <w:rStyle w:val="CharDivText"/>
        </w:rPr>
        <w:t>Reference to the Court, review and appeals</w:t>
      </w:r>
      <w:bookmarkEnd w:id="28"/>
      <w:r>
        <w:rPr>
          <w:rStyle w:val="CharDivText"/>
        </w:rPr>
        <w:t xml:space="preserve"> </w:t>
      </w:r>
    </w:p>
    <w:p>
      <w:pPr>
        <w:pStyle w:val="Heading5"/>
        <w:rPr>
          <w:snapToGrid w:val="0"/>
        </w:rPr>
      </w:pPr>
      <w:bookmarkStart w:id="29" w:name="_Toc389662643"/>
      <w:r>
        <w:rPr>
          <w:rStyle w:val="CharSectno"/>
        </w:rPr>
        <w:t>24</w:t>
      </w:r>
      <w:r>
        <w:rPr>
          <w:snapToGrid w:val="0"/>
        </w:rPr>
        <w:t>.</w:t>
      </w:r>
      <w:r>
        <w:rPr>
          <w:snapToGrid w:val="0"/>
        </w:rPr>
        <w:tab/>
        <w:t>Director may refer matters to the Court</w:t>
      </w:r>
      <w:bookmarkEnd w:id="29"/>
      <w:r>
        <w:rPr>
          <w:snapToGrid w:val="0"/>
        </w:rPr>
        <w:t xml:space="preserve"> </w:t>
      </w:r>
    </w:p>
    <w:p>
      <w:pPr>
        <w:pStyle w:val="Subsection"/>
        <w:rPr>
          <w:snapToGrid w:val="0"/>
        </w:rPr>
      </w:pPr>
      <w:r>
        <w:rPr>
          <w:snapToGrid w:val="0"/>
        </w:rPr>
        <w:tab/>
      </w:r>
      <w:r>
        <w:rPr>
          <w:snapToGrid w:val="0"/>
        </w:rPr>
        <w:tab/>
        <w:t>The Director may, if he or she considers it appropriate, refer the whole or part of any matter that is to be determined by the Director, or any question of law arising from such a matter, for hearing and determination by the Court.</w:t>
      </w:r>
    </w:p>
    <w:p>
      <w:pPr>
        <w:pStyle w:val="Footnotesection"/>
      </w:pPr>
      <w:r>
        <w:tab/>
        <w:t xml:space="preserve">[Section 24 inserted by No. 12 of 1998 s. 13.] </w:t>
      </w:r>
    </w:p>
    <w:p>
      <w:pPr>
        <w:pStyle w:val="Heading5"/>
        <w:rPr>
          <w:snapToGrid w:val="0"/>
        </w:rPr>
      </w:pPr>
      <w:bookmarkStart w:id="30" w:name="_Toc389662644"/>
      <w:r>
        <w:rPr>
          <w:rStyle w:val="CharSectno"/>
        </w:rPr>
        <w:t>25</w:t>
      </w:r>
      <w:r>
        <w:rPr>
          <w:snapToGrid w:val="0"/>
        </w:rPr>
        <w:t>.</w:t>
      </w:r>
      <w:r>
        <w:rPr>
          <w:snapToGrid w:val="0"/>
        </w:rPr>
        <w:tab/>
        <w:t>Application for review of a decision by the Director</w:t>
      </w:r>
      <w:bookmarkEnd w:id="3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Court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Court may allow.</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Court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Court,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w:t>
      </w:r>
    </w:p>
    <w:p>
      <w:pPr>
        <w:pStyle w:val="Indenti"/>
        <w:keepNext/>
        <w:rPr>
          <w:snapToGrid w:val="0"/>
        </w:rPr>
      </w:pPr>
      <w:r>
        <w:rPr>
          <w:snapToGrid w:val="0"/>
        </w:rPr>
        <w:tab/>
        <w:t>(ii)</w:t>
      </w:r>
      <w:r>
        <w:rPr>
          <w:snapToGrid w:val="0"/>
        </w:rPr>
        <w:tab/>
        <w:t>the specification of an affected area under section 71;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w:t>
      </w:r>
    </w:p>
    <w:p>
      <w:pPr>
        <w:pStyle w:val="Heading5"/>
        <w:rPr>
          <w:snapToGrid w:val="0"/>
        </w:rPr>
      </w:pPr>
      <w:bookmarkStart w:id="31" w:name="_Toc389662645"/>
      <w:r>
        <w:rPr>
          <w:rStyle w:val="CharSectno"/>
        </w:rPr>
        <w:t>26</w:t>
      </w:r>
      <w:r>
        <w:rPr>
          <w:snapToGrid w:val="0"/>
        </w:rPr>
        <w:t>.</w:t>
      </w:r>
      <w:r>
        <w:rPr>
          <w:snapToGrid w:val="0"/>
        </w:rPr>
        <w:tab/>
        <w:t>Decision of Director to be given effect unless otherwise directed</w:t>
      </w:r>
      <w:bookmarkEnd w:id="31"/>
    </w:p>
    <w:p>
      <w:pPr>
        <w:pStyle w:val="Subsection"/>
        <w:rPr>
          <w:snapToGrid w:val="0"/>
        </w:rPr>
      </w:pPr>
      <w:r>
        <w:rPr>
          <w:snapToGrid w:val="0"/>
        </w:rPr>
        <w:tab/>
      </w:r>
      <w:r>
        <w:rPr>
          <w:snapToGrid w:val="0"/>
        </w:rPr>
        <w:tab/>
        <w:t>Where the holder of a licence applies to the Court for a review of a decision made by the Director in respect of that licence effect shall be given to the decision made by the Director unless the Court, by way of interim order, otherwise directs.</w:t>
      </w:r>
    </w:p>
    <w:p>
      <w:pPr>
        <w:pStyle w:val="Heading5"/>
        <w:rPr>
          <w:snapToGrid w:val="0"/>
        </w:rPr>
      </w:pPr>
      <w:bookmarkStart w:id="32" w:name="_Toc389662646"/>
      <w:r>
        <w:rPr>
          <w:rStyle w:val="CharSectno"/>
        </w:rPr>
        <w:t>27</w:t>
      </w:r>
      <w:r>
        <w:rPr>
          <w:snapToGrid w:val="0"/>
        </w:rPr>
        <w:t>.</w:t>
      </w:r>
      <w:r>
        <w:rPr>
          <w:snapToGrid w:val="0"/>
        </w:rPr>
        <w:tab/>
        <w:t>Case stated on question of law</w:t>
      </w:r>
      <w:bookmarkEnd w:id="32"/>
      <w:r>
        <w:rPr>
          <w:snapToGrid w:val="0"/>
        </w:rPr>
        <w:t xml:space="preserve"> </w:t>
      </w:r>
    </w:p>
    <w:p>
      <w:pPr>
        <w:pStyle w:val="Subsection"/>
        <w:rPr>
          <w:snapToGrid w:val="0"/>
        </w:rPr>
      </w:pPr>
      <w:r>
        <w:rPr>
          <w:snapToGrid w:val="0"/>
        </w:rPr>
        <w:tab/>
        <w:t>(1)</w:t>
      </w:r>
      <w:r>
        <w:rPr>
          <w:snapToGrid w:val="0"/>
        </w:rPr>
        <w:tab/>
        <w:t>The Court may state a case on a question of law to the Supreme Court.</w:t>
      </w:r>
    </w:p>
    <w:p>
      <w:pPr>
        <w:pStyle w:val="Subsection"/>
        <w:rPr>
          <w:snapToGrid w:val="0"/>
        </w:rPr>
      </w:pPr>
      <w:r>
        <w:rPr>
          <w:snapToGrid w:val="0"/>
        </w:rPr>
        <w:tab/>
        <w:t>(2)</w:t>
      </w:r>
      <w:r>
        <w:rPr>
          <w:snapToGrid w:val="0"/>
        </w:rPr>
        <w:tab/>
        <w:t>A question of law arising on a case stated under this section shall be determined by the Court of Appeal.</w:t>
      </w:r>
    </w:p>
    <w:p>
      <w:pPr>
        <w:pStyle w:val="Footnotesection"/>
      </w:pPr>
      <w:r>
        <w:tab/>
        <w:t>[Section 27 amended by No. 45 of 2004 s. 37.]</w:t>
      </w:r>
    </w:p>
    <w:p>
      <w:pPr>
        <w:pStyle w:val="Heading5"/>
        <w:rPr>
          <w:snapToGrid w:val="0"/>
        </w:rPr>
      </w:pPr>
      <w:bookmarkStart w:id="33" w:name="_Toc389662647"/>
      <w:r>
        <w:rPr>
          <w:rStyle w:val="CharSectno"/>
        </w:rPr>
        <w:t>28</w:t>
      </w:r>
      <w:r>
        <w:rPr>
          <w:snapToGrid w:val="0"/>
        </w:rPr>
        <w:t>.</w:t>
      </w:r>
      <w:r>
        <w:rPr>
          <w:snapToGrid w:val="0"/>
        </w:rPr>
        <w:tab/>
        <w:t>Appeals</w:t>
      </w:r>
      <w:bookmarkEnd w:id="33"/>
      <w:r>
        <w:rPr>
          <w:snapToGrid w:val="0"/>
        </w:rPr>
        <w:t xml:space="preserve"> </w:t>
      </w:r>
    </w:p>
    <w:p>
      <w:pPr>
        <w:pStyle w:val="Subsection"/>
        <w:rPr>
          <w:snapToGrid w:val="0"/>
        </w:rPr>
      </w:pPr>
      <w:r>
        <w:rPr>
          <w:snapToGrid w:val="0"/>
        </w:rPr>
        <w:tab/>
        <w:t>(1)</w:t>
      </w:r>
      <w:r>
        <w:rPr>
          <w:snapToGrid w:val="0"/>
        </w:rPr>
        <w:tab/>
        <w:t>Subject to subsections (2) and (3), a person who is a party to the proceedings and is dissatisfied with a decision of the Court may appeal to the Supreme Court.</w:t>
      </w:r>
    </w:p>
    <w:p>
      <w:pPr>
        <w:pStyle w:val="Subsection"/>
        <w:rPr>
          <w:snapToGrid w:val="0"/>
        </w:rPr>
      </w:pPr>
      <w:r>
        <w:rPr>
          <w:snapToGrid w:val="0"/>
        </w:rPr>
        <w:tab/>
        <w:t>(2)</w:t>
      </w:r>
      <w:r>
        <w:rPr>
          <w:snapToGrid w:val="0"/>
        </w:rPr>
        <w:tab/>
        <w:t>No appeal lies against a decision of the Court except upon a question of law.</w:t>
      </w:r>
    </w:p>
    <w:p>
      <w:pPr>
        <w:pStyle w:val="Subsection"/>
        <w:spacing w:before="120"/>
        <w:rPr>
          <w:snapToGrid w:val="0"/>
        </w:rPr>
      </w:pPr>
      <w:r>
        <w:rPr>
          <w:snapToGrid w:val="0"/>
        </w:rPr>
        <w:tab/>
        <w:t>(3)</w:t>
      </w:r>
      <w:r>
        <w:rPr>
          <w:snapToGrid w:val="0"/>
        </w:rPr>
        <w:tab/>
        <w:t>No appeal lies against a decision of the Court made on review of a determination made by the Director, except upon a question of law.</w:t>
      </w:r>
    </w:p>
    <w:p>
      <w:pPr>
        <w:pStyle w:val="Subsection"/>
        <w:spacing w:before="120"/>
        <w:rPr>
          <w:snapToGrid w:val="0"/>
        </w:rPr>
      </w:pPr>
      <w:r>
        <w:rPr>
          <w:snapToGrid w:val="0"/>
        </w:rPr>
        <w:tab/>
        <w:t>(3a)</w:t>
      </w:r>
      <w:r>
        <w:rPr>
          <w:snapToGrid w:val="0"/>
        </w:rPr>
        <w:tab/>
        <w:t>No appeal lies against a decision of the Court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 — </w:t>
      </w:r>
    </w:p>
    <w:p>
      <w:pPr>
        <w:pStyle w:val="Indenta"/>
        <w:rPr>
          <w:snapToGrid w:val="0"/>
        </w:rPr>
      </w:pPr>
      <w:r>
        <w:rPr>
          <w:snapToGrid w:val="0"/>
        </w:rPr>
        <w:tab/>
        <w:t>(a)</w:t>
      </w:r>
      <w:r>
        <w:rPr>
          <w:snapToGrid w:val="0"/>
        </w:rPr>
        <w:tab/>
        <w:t>shall be heard and determined by the Court of Appeal; 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spacing w:before="120"/>
        <w:rPr>
          <w:snapToGrid w:val="0"/>
        </w:rPr>
      </w:pPr>
      <w:r>
        <w:rPr>
          <w:snapToGrid w:val="0"/>
        </w:rPr>
        <w:tab/>
        <w:t>(5)</w:t>
      </w:r>
      <w:r>
        <w:rPr>
          <w:snapToGrid w:val="0"/>
        </w:rPr>
        <w:tab/>
        <w:t>Upon the hearing of the appeal, the Supreme Court may — </w:t>
      </w:r>
    </w:p>
    <w:p>
      <w:pPr>
        <w:pStyle w:val="Indenta"/>
        <w:rPr>
          <w:snapToGrid w:val="0"/>
        </w:rPr>
      </w:pPr>
      <w:r>
        <w:rPr>
          <w:snapToGrid w:val="0"/>
        </w:rPr>
        <w:tab/>
        <w:t>(a)</w:t>
      </w:r>
      <w:r>
        <w:rPr>
          <w:snapToGrid w:val="0"/>
        </w:rPr>
        <w:tab/>
        <w:t>allow or dismiss the appeal;</w:t>
      </w:r>
    </w:p>
    <w:p>
      <w:pPr>
        <w:pStyle w:val="Indenta"/>
        <w:rPr>
          <w:snapToGrid w:val="0"/>
        </w:rPr>
      </w:pPr>
      <w:r>
        <w:rPr>
          <w:snapToGrid w:val="0"/>
        </w:rPr>
        <w:tab/>
        <w:t>(b)</w:t>
      </w:r>
      <w:r>
        <w:rPr>
          <w:snapToGrid w:val="0"/>
        </w:rPr>
        <w:tab/>
        <w:t>affirm, vary or quash the decision subject to the appeal, or remit the matter to the Court for further hearing with such directions (if any) as it thinks fit; and</w:t>
      </w:r>
    </w:p>
    <w:p>
      <w:pPr>
        <w:pStyle w:val="Indenta"/>
        <w:rPr>
          <w:snapToGrid w:val="0"/>
        </w:rPr>
      </w:pPr>
      <w:r>
        <w:rPr>
          <w:snapToGrid w:val="0"/>
        </w:rPr>
        <w:tab/>
        <w:t>(c)</w:t>
      </w:r>
      <w:r>
        <w:rPr>
          <w:snapToGrid w:val="0"/>
        </w:rPr>
        <w:tab/>
        <w:t>make any incidental or ancillary order.</w:t>
      </w:r>
    </w:p>
    <w:p>
      <w:pPr>
        <w:pStyle w:val="Footnotesection"/>
        <w:spacing w:before="100"/>
        <w:ind w:left="890" w:hanging="890"/>
      </w:pPr>
      <w:r>
        <w:tab/>
        <w:t xml:space="preserve">[Section 28 amended by No. 12 of 1998 s. 15; No. 45 of 2004 s. 37.] </w:t>
      </w:r>
    </w:p>
    <w:p>
      <w:pPr>
        <w:pStyle w:val="Heading5"/>
        <w:spacing w:before="180"/>
        <w:rPr>
          <w:snapToGrid w:val="0"/>
        </w:rPr>
      </w:pPr>
      <w:bookmarkStart w:id="34" w:name="_Toc389662648"/>
      <w:r>
        <w:rPr>
          <w:rStyle w:val="CharSectno"/>
        </w:rPr>
        <w:t>29</w:t>
      </w:r>
      <w:r>
        <w:rPr>
          <w:snapToGrid w:val="0"/>
        </w:rPr>
        <w:t>.</w:t>
      </w:r>
      <w:r>
        <w:rPr>
          <w:snapToGrid w:val="0"/>
        </w:rPr>
        <w:tab/>
        <w:t>Licence or permit continues to have effect pending appeal</w:t>
      </w:r>
      <w:bookmarkEnd w:id="34"/>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Court in respect of that licence or a permit relating to that licence — </w:t>
      </w:r>
    </w:p>
    <w:p>
      <w:pPr>
        <w:pStyle w:val="Indenta"/>
        <w:rPr>
          <w:snapToGrid w:val="0"/>
        </w:rPr>
      </w:pPr>
      <w:r>
        <w:rPr>
          <w:snapToGrid w:val="0"/>
        </w:rPr>
        <w:tab/>
        <w:t>(a)</w:t>
      </w:r>
      <w:r>
        <w:rPr>
          <w:snapToGrid w:val="0"/>
        </w:rPr>
        <w:tab/>
        <w:t>effect shall not be given to that decision of the Court;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 by way of interim order, otherwise directs.</w:t>
      </w:r>
    </w:p>
    <w:p>
      <w:pPr>
        <w:pStyle w:val="Heading3"/>
      </w:pPr>
      <w:bookmarkStart w:id="35" w:name="_Toc389662649"/>
      <w:r>
        <w:rPr>
          <w:rStyle w:val="CharDivNo"/>
        </w:rPr>
        <w:t>Division 7</w:t>
      </w:r>
      <w:r>
        <w:t> — </w:t>
      </w:r>
      <w:r>
        <w:rPr>
          <w:rStyle w:val="CharDivText"/>
        </w:rPr>
        <w:t>Division of responsibility between the Court and the Director</w:t>
      </w:r>
      <w:bookmarkEnd w:id="35"/>
      <w:r>
        <w:rPr>
          <w:rStyle w:val="CharDivText"/>
        </w:rPr>
        <w:t xml:space="preserve"> </w:t>
      </w:r>
    </w:p>
    <w:p>
      <w:pPr>
        <w:pStyle w:val="Heading5"/>
        <w:rPr>
          <w:snapToGrid w:val="0"/>
        </w:rPr>
      </w:pPr>
      <w:bookmarkStart w:id="36" w:name="_Toc389662650"/>
      <w:r>
        <w:rPr>
          <w:rStyle w:val="CharSectno"/>
        </w:rPr>
        <w:t>30</w:t>
      </w:r>
      <w:r>
        <w:rPr>
          <w:snapToGrid w:val="0"/>
        </w:rPr>
        <w:t>.</w:t>
      </w:r>
      <w:r>
        <w:rPr>
          <w:snapToGrid w:val="0"/>
        </w:rPr>
        <w:tab/>
        <w:t>Division of responsibilities</w:t>
      </w:r>
      <w:bookmarkEnd w:id="36"/>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37" w:name="_Toc389662651"/>
      <w:r>
        <w:rPr>
          <w:rStyle w:val="CharPartNo"/>
        </w:rPr>
        <w:t>Part 3</w:t>
      </w:r>
      <w:r>
        <w:t> — </w:t>
      </w:r>
      <w:r>
        <w:rPr>
          <w:rStyle w:val="CharPartText"/>
        </w:rPr>
        <w:t>Licences and permits</w:t>
      </w:r>
      <w:bookmarkEnd w:id="37"/>
      <w:r>
        <w:rPr>
          <w:rStyle w:val="CharPartText"/>
        </w:rPr>
        <w:t xml:space="preserve"> </w:t>
      </w:r>
    </w:p>
    <w:p>
      <w:pPr>
        <w:pStyle w:val="Heading3"/>
        <w:rPr>
          <w:snapToGrid w:val="0"/>
        </w:rPr>
      </w:pPr>
      <w:bookmarkStart w:id="38" w:name="_Toc389662652"/>
      <w:r>
        <w:rPr>
          <w:rStyle w:val="CharDivNo"/>
        </w:rPr>
        <w:t>Division 1</w:t>
      </w:r>
      <w:r>
        <w:rPr>
          <w:snapToGrid w:val="0"/>
        </w:rPr>
        <w:t> — </w:t>
      </w:r>
      <w:r>
        <w:rPr>
          <w:rStyle w:val="CharDivText"/>
        </w:rPr>
        <w:t>General matters</w:t>
      </w:r>
      <w:bookmarkEnd w:id="38"/>
      <w:r>
        <w:rPr>
          <w:rStyle w:val="CharDivText"/>
        </w:rPr>
        <w:t xml:space="preserve"> </w:t>
      </w:r>
    </w:p>
    <w:p>
      <w:pPr>
        <w:pStyle w:val="Heading5"/>
        <w:rPr>
          <w:snapToGrid w:val="0"/>
        </w:rPr>
      </w:pPr>
      <w:bookmarkStart w:id="39" w:name="_Toc389662653"/>
      <w:r>
        <w:rPr>
          <w:rStyle w:val="CharSectno"/>
        </w:rPr>
        <w:t>30A</w:t>
      </w:r>
      <w:r>
        <w:rPr>
          <w:snapToGrid w:val="0"/>
        </w:rPr>
        <w:t>.</w:t>
      </w:r>
      <w:r>
        <w:rPr>
          <w:snapToGrid w:val="0"/>
        </w:rPr>
        <w:tab/>
        <w:t>Licensing authority may grant licences to sell liquor</w:t>
      </w:r>
      <w:bookmarkEnd w:id="39"/>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40" w:name="_Toc389662654"/>
      <w:r>
        <w:rPr>
          <w:rStyle w:val="CharSectno"/>
        </w:rPr>
        <w:t>30B</w:t>
      </w:r>
      <w:r>
        <w:rPr>
          <w:snapToGrid w:val="0"/>
        </w:rPr>
        <w:t>.</w:t>
      </w:r>
      <w:r>
        <w:rPr>
          <w:snapToGrid w:val="0"/>
        </w:rPr>
        <w:tab/>
        <w:t>Power of attorney does not empower donee to act for licensee under this Act</w:t>
      </w:r>
      <w:bookmarkEnd w:id="40"/>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41" w:name="_Toc389662655"/>
      <w:r>
        <w:rPr>
          <w:rStyle w:val="CharSectno"/>
        </w:rPr>
        <w:t>31</w:t>
      </w:r>
      <w:r>
        <w:rPr>
          <w:snapToGrid w:val="0"/>
        </w:rPr>
        <w:t>.</w:t>
      </w:r>
      <w:r>
        <w:rPr>
          <w:snapToGrid w:val="0"/>
        </w:rPr>
        <w:tab/>
        <w:t>Licences, generally</w:t>
      </w:r>
      <w:bookmarkEnd w:id="41"/>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42" w:name="_Toc389662656"/>
      <w:r>
        <w:rPr>
          <w:rStyle w:val="CharSectno"/>
        </w:rPr>
        <w:t>32</w:t>
      </w:r>
      <w:r>
        <w:rPr>
          <w:snapToGrid w:val="0"/>
        </w:rPr>
        <w:t>.</w:t>
      </w:r>
      <w:r>
        <w:rPr>
          <w:snapToGrid w:val="0"/>
        </w:rPr>
        <w:tab/>
        <w:t>Duration of licences</w:t>
      </w:r>
      <w:bookmarkEnd w:id="42"/>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where the Director determines that a special facility licence is no longer necessitated, on a date specified by the Director in a notice in writing given to the licensee, unless the Court 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w:t>
      </w:r>
    </w:p>
    <w:p>
      <w:pPr>
        <w:pStyle w:val="Heading5"/>
        <w:rPr>
          <w:snapToGrid w:val="0"/>
        </w:rPr>
      </w:pPr>
      <w:bookmarkStart w:id="43" w:name="_Toc389662657"/>
      <w:r>
        <w:rPr>
          <w:rStyle w:val="CharSectno"/>
        </w:rPr>
        <w:t>33</w:t>
      </w:r>
      <w:r>
        <w:rPr>
          <w:snapToGrid w:val="0"/>
        </w:rPr>
        <w:t>.</w:t>
      </w:r>
      <w:r>
        <w:rPr>
          <w:snapToGrid w:val="0"/>
        </w:rPr>
        <w:tab/>
        <w:t>Discretion vested in licensing authority</w:t>
      </w:r>
      <w:bookmarkEnd w:id="43"/>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rPr>
          <w:snapToGrid w:val="0"/>
        </w:rPr>
      </w:pPr>
      <w:r>
        <w:rPr>
          <w:snapToGrid w:val="0"/>
        </w:rPr>
        <w:tab/>
        <w:t>(6a)</w:t>
      </w:r>
      <w:r>
        <w:rPr>
          <w:snapToGrid w:val="0"/>
        </w:rPr>
        <w:tab/>
        <w:t>In making a determination under subsection (6), the licensing authority may require a person to demonstrate knowledge relevant to managing licensed premises, and may require a person to undertake an examination or an approved course of instruction.</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w:t>
      </w:r>
    </w:p>
    <w:p>
      <w:pPr>
        <w:pStyle w:val="Heading5"/>
        <w:rPr>
          <w:snapToGrid w:val="0"/>
        </w:rPr>
      </w:pPr>
      <w:bookmarkStart w:id="44" w:name="_Toc389662658"/>
      <w:r>
        <w:rPr>
          <w:rStyle w:val="CharSectno"/>
        </w:rPr>
        <w:t>34</w:t>
      </w:r>
      <w:r>
        <w:rPr>
          <w:snapToGrid w:val="0"/>
        </w:rPr>
        <w:t>.</w:t>
      </w:r>
      <w:r>
        <w:rPr>
          <w:snapToGrid w:val="0"/>
        </w:rPr>
        <w:tab/>
        <w:t>Restrictions on certain applications</w:t>
      </w:r>
      <w:bookmarkEnd w:id="44"/>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45" w:name="_Toc389662659"/>
      <w:r>
        <w:rPr>
          <w:rStyle w:val="CharSectno"/>
        </w:rPr>
        <w:t>35</w:t>
      </w:r>
      <w:r>
        <w:rPr>
          <w:snapToGrid w:val="0"/>
        </w:rPr>
        <w:t>.</w:t>
      </w:r>
      <w:r>
        <w:rPr>
          <w:snapToGrid w:val="0"/>
        </w:rPr>
        <w:tab/>
        <w:t>Persons who may hold licences</w:t>
      </w:r>
      <w:bookmarkEnd w:id="45"/>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46" w:name="_Toc389662660"/>
      <w:r>
        <w:rPr>
          <w:rStyle w:val="CharSectno"/>
        </w:rPr>
        <w:t>35A</w:t>
      </w:r>
      <w:r>
        <w:rPr>
          <w:snapToGrid w:val="0"/>
        </w:rPr>
        <w:t>.</w:t>
      </w:r>
      <w:r>
        <w:rPr>
          <w:snapToGrid w:val="0"/>
        </w:rPr>
        <w:tab/>
        <w:t>Trustees</w:t>
      </w:r>
      <w:bookmarkEnd w:id="46"/>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47" w:name="_Toc389662661"/>
      <w:r>
        <w:rPr>
          <w:rStyle w:val="CharSectno"/>
        </w:rPr>
        <w:t>35B</w:t>
      </w:r>
      <w:r>
        <w:rPr>
          <w:snapToGrid w:val="0"/>
        </w:rPr>
        <w:t>.</w:t>
      </w:r>
      <w:r>
        <w:rPr>
          <w:snapToGrid w:val="0"/>
        </w:rPr>
        <w:tab/>
        <w:t>Approval of person as manager</w:t>
      </w:r>
      <w:bookmarkEnd w:id="47"/>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rPr>
          <w:snapToGrid w:val="0"/>
        </w:rPr>
      </w:pPr>
      <w:r>
        <w:rPr>
          <w:snapToGrid w:val="0"/>
        </w:rPr>
        <w:tab/>
        <w:t>(b)</w:t>
      </w:r>
      <w:r>
        <w:rPr>
          <w:snapToGrid w:val="0"/>
        </w:rPr>
        <w:tab/>
        <w:t>that the conduct of the manager is such as to show that he or she is not a suitable person to manage licensed premises.</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 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Footnotesection"/>
      </w:pPr>
      <w:r>
        <w:tab/>
        <w:t xml:space="preserve">[Section 35B inserted by No. 12 of 1998 s. 22.] </w:t>
      </w:r>
    </w:p>
    <w:p>
      <w:pPr>
        <w:pStyle w:val="Heading5"/>
        <w:rPr>
          <w:snapToGrid w:val="0"/>
        </w:rPr>
      </w:pPr>
      <w:bookmarkStart w:id="48" w:name="_Toc389662662"/>
      <w:r>
        <w:rPr>
          <w:rStyle w:val="CharSectno"/>
        </w:rPr>
        <w:t>36</w:t>
      </w:r>
      <w:r>
        <w:rPr>
          <w:snapToGrid w:val="0"/>
        </w:rPr>
        <w:t>.</w:t>
      </w:r>
      <w:r>
        <w:rPr>
          <w:snapToGrid w:val="0"/>
        </w:rPr>
        <w:tab/>
        <w:t>Limitation on dual licensing of premises</w:t>
      </w:r>
      <w:bookmarkEnd w:id="48"/>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49" w:name="_Toc389662663"/>
      <w:r>
        <w:rPr>
          <w:rStyle w:val="CharSectno"/>
        </w:rPr>
        <w:t>36A</w:t>
      </w:r>
      <w:r>
        <w:t>.</w:t>
      </w:r>
      <w:r>
        <w:tab/>
        <w:t>Petrol stations in some areas not to be granted licences</w:t>
      </w:r>
      <w:bookmarkEnd w:id="49"/>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50" w:name="_Toc389662664"/>
      <w:r>
        <w:rPr>
          <w:rStyle w:val="CharSectno"/>
        </w:rPr>
        <w:t>37</w:t>
      </w:r>
      <w:r>
        <w:rPr>
          <w:snapToGrid w:val="0"/>
        </w:rPr>
        <w:t>.</w:t>
      </w:r>
      <w:r>
        <w:rPr>
          <w:snapToGrid w:val="0"/>
        </w:rPr>
        <w:tab/>
        <w:t>Requirements relating to licences and permits, generally</w:t>
      </w:r>
      <w:bookmarkEnd w:id="5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Footnotesection"/>
      </w:pPr>
      <w:r>
        <w:tab/>
        <w:t xml:space="preserve">[Section 37 amended by No. 12 of 1998 s. 23.] </w:t>
      </w:r>
    </w:p>
    <w:p>
      <w:pPr>
        <w:pStyle w:val="Heading5"/>
        <w:rPr>
          <w:snapToGrid w:val="0"/>
        </w:rPr>
      </w:pPr>
      <w:bookmarkStart w:id="51" w:name="_Toc389662665"/>
      <w:r>
        <w:rPr>
          <w:rStyle w:val="CharSectno"/>
        </w:rPr>
        <w:t>37A</w:t>
      </w:r>
      <w:r>
        <w:rPr>
          <w:snapToGrid w:val="0"/>
        </w:rPr>
        <w:t>.</w:t>
      </w:r>
      <w:r>
        <w:rPr>
          <w:snapToGrid w:val="0"/>
        </w:rPr>
        <w:tab/>
        <w:t>Director to be informed of convictions</w:t>
      </w:r>
      <w:bookmarkEnd w:id="51"/>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$5 000.</w:t>
      </w:r>
    </w:p>
    <w:p>
      <w:pPr>
        <w:pStyle w:val="Footnotesection"/>
      </w:pPr>
      <w:r>
        <w:tab/>
        <w:t xml:space="preserve">[Section 37A inserted by No. 12 of 1998 s. 24.] </w:t>
      </w:r>
    </w:p>
    <w:p>
      <w:pPr>
        <w:pStyle w:val="Heading3"/>
        <w:rPr>
          <w:snapToGrid w:val="0"/>
        </w:rPr>
      </w:pPr>
      <w:bookmarkStart w:id="52" w:name="_Toc389662666"/>
      <w:r>
        <w:rPr>
          <w:rStyle w:val="CharDivNo"/>
        </w:rPr>
        <w:t>Division 2</w:t>
      </w:r>
      <w:r>
        <w:rPr>
          <w:snapToGrid w:val="0"/>
        </w:rPr>
        <w:t> — </w:t>
      </w:r>
      <w:r>
        <w:rPr>
          <w:rStyle w:val="CharDivText"/>
        </w:rPr>
        <w:t>Category A licences</w:t>
      </w:r>
      <w:bookmarkEnd w:id="52"/>
      <w:r>
        <w:rPr>
          <w:rStyle w:val="CharDivText"/>
        </w:rPr>
        <w:t xml:space="preserve"> </w:t>
      </w:r>
    </w:p>
    <w:p>
      <w:pPr>
        <w:pStyle w:val="Heading5"/>
        <w:rPr>
          <w:snapToGrid w:val="0"/>
        </w:rPr>
      </w:pPr>
      <w:bookmarkStart w:id="53" w:name="_Toc389662667"/>
      <w:r>
        <w:rPr>
          <w:rStyle w:val="CharSectno"/>
        </w:rPr>
        <w:t>38</w:t>
      </w:r>
      <w:r>
        <w:rPr>
          <w:snapToGrid w:val="0"/>
        </w:rPr>
        <w:t>.</w:t>
      </w:r>
      <w:r>
        <w:rPr>
          <w:snapToGrid w:val="0"/>
        </w:rPr>
        <w:tab/>
        <w:t>Requirements for the grant or removal of a Category A licence</w:t>
      </w:r>
      <w:bookmarkEnd w:id="53"/>
      <w:r>
        <w:rPr>
          <w:snapToGrid w:val="0"/>
        </w:rPr>
        <w:t xml:space="preserve"> </w:t>
      </w:r>
    </w:p>
    <w:p>
      <w:pPr>
        <w:pStyle w:val="Subsection"/>
        <w:rPr>
          <w:snapToGrid w:val="0"/>
        </w:rPr>
      </w:pPr>
      <w:r>
        <w:rPr>
          <w:snapToGrid w:val="0"/>
        </w:rPr>
        <w:tab/>
        <w:t>(1)</w:t>
      </w:r>
      <w:r>
        <w:rPr>
          <w:snapToGrid w:val="0"/>
        </w:rPr>
        <w:tab/>
        <w:t>An applicant for the grant or removal of a Category A licence must satisfy the licensing authority that, having regard to — </w:t>
      </w:r>
    </w:p>
    <w:p>
      <w:pPr>
        <w:pStyle w:val="Indenta"/>
        <w:rPr>
          <w:snapToGrid w:val="0"/>
        </w:rPr>
      </w:pPr>
      <w:r>
        <w:rPr>
          <w:snapToGrid w:val="0"/>
        </w:rPr>
        <w:tab/>
        <w:t>(a)</w:t>
      </w:r>
      <w:r>
        <w:rPr>
          <w:snapToGrid w:val="0"/>
        </w:rPr>
        <w:tab/>
        <w:t>the number and condition of the licensed premises already existing in the affected area;</w:t>
      </w:r>
    </w:p>
    <w:p>
      <w:pPr>
        <w:pStyle w:val="Indenta"/>
        <w:rPr>
          <w:snapToGrid w:val="0"/>
        </w:rPr>
      </w:pPr>
      <w:r>
        <w:rPr>
          <w:snapToGrid w:val="0"/>
        </w:rPr>
        <w:tab/>
        <w:t>(b)</w:t>
      </w:r>
      <w:r>
        <w:rPr>
          <w:snapToGrid w:val="0"/>
        </w:rPr>
        <w:tab/>
        <w:t>the manner in which, and the extent to which, those premises are distributed throughout the area;</w:t>
      </w:r>
    </w:p>
    <w:p>
      <w:pPr>
        <w:pStyle w:val="Indenta"/>
        <w:rPr>
          <w:snapToGrid w:val="0"/>
        </w:rPr>
      </w:pPr>
      <w:r>
        <w:rPr>
          <w:snapToGrid w:val="0"/>
        </w:rPr>
        <w:tab/>
        <w:t>(c)</w:t>
      </w:r>
      <w:r>
        <w:rPr>
          <w:snapToGrid w:val="0"/>
        </w:rPr>
        <w:tab/>
        <w:t>the extent and quality of the services provided on those premises; and</w:t>
      </w:r>
    </w:p>
    <w:p>
      <w:pPr>
        <w:pStyle w:val="Indenta"/>
        <w:rPr>
          <w:snapToGrid w:val="0"/>
        </w:rPr>
      </w:pPr>
      <w:r>
        <w:rPr>
          <w:snapToGrid w:val="0"/>
        </w:rPr>
        <w:tab/>
        <w:t>(d)</w:t>
      </w:r>
      <w:r>
        <w:rPr>
          <w:snapToGrid w:val="0"/>
        </w:rPr>
        <w:tab/>
        <w:t>any other relevant factor, being a matter as to which the licensing authority seeks to be satisfied,</w:t>
      </w:r>
    </w:p>
    <w:p>
      <w:pPr>
        <w:pStyle w:val="Subsection"/>
        <w:rPr>
          <w:snapToGrid w:val="0"/>
        </w:rPr>
      </w:pPr>
      <w:r>
        <w:rPr>
          <w:snapToGrid w:val="0"/>
        </w:rPr>
        <w:tab/>
      </w:r>
      <w:r>
        <w:rPr>
          <w:snapToGrid w:val="0"/>
        </w:rPr>
        <w:tab/>
        <w:t>the licence is necessary in order to provide for the reasonable requirements of the public for liquor and related services or accommodation in that area.</w:t>
      </w:r>
    </w:p>
    <w:p>
      <w:pPr>
        <w:pStyle w:val="Subsection"/>
        <w:rPr>
          <w:snapToGrid w:val="0"/>
        </w:rPr>
      </w:pPr>
      <w:r>
        <w:rPr>
          <w:snapToGrid w:val="0"/>
        </w:rPr>
        <w:tab/>
        <w:t>(2)</w:t>
      </w:r>
      <w:r>
        <w:rPr>
          <w:snapToGrid w:val="0"/>
        </w:rPr>
        <w:tab/>
        <w:t>Taking into account the matters referred to in subsection (1), the licensing authority in considering what the requirements of the public may be shall have regard to — </w:t>
      </w:r>
    </w:p>
    <w:p>
      <w:pPr>
        <w:pStyle w:val="Indenta"/>
        <w:rPr>
          <w:snapToGrid w:val="0"/>
        </w:rPr>
      </w:pPr>
      <w:r>
        <w:rPr>
          <w:snapToGrid w:val="0"/>
        </w:rPr>
        <w:tab/>
        <w:t>(a)</w:t>
      </w:r>
      <w:r>
        <w:rPr>
          <w:snapToGrid w:val="0"/>
        </w:rPr>
        <w:tab/>
        <w:t>the population of, and the interest of the community in, the affected area;</w:t>
      </w:r>
    </w:p>
    <w:p>
      <w:pPr>
        <w:pStyle w:val="Indenta"/>
        <w:rPr>
          <w:snapToGrid w:val="0"/>
        </w:rPr>
      </w:pPr>
      <w:r>
        <w:rPr>
          <w:snapToGrid w:val="0"/>
        </w:rPr>
        <w:tab/>
        <w:t>(b)</w:t>
      </w:r>
      <w:r>
        <w:rPr>
          <w:snapToGrid w:val="0"/>
        </w:rPr>
        <w:tab/>
        <w:t>the number and kinds of persons residing in, resorting to or passing through the affected area, or likely in the foreseeable future to do so, and their respective expectations; and</w:t>
      </w:r>
    </w:p>
    <w:p>
      <w:pPr>
        <w:pStyle w:val="Indenta"/>
        <w:rPr>
          <w:snapToGrid w:val="0"/>
        </w:rPr>
      </w:pPr>
      <w:r>
        <w:rPr>
          <w:snapToGrid w:val="0"/>
        </w:rPr>
        <w:tab/>
        <w:t>(c)</w:t>
      </w:r>
      <w:r>
        <w:rPr>
          <w:snapToGrid w:val="0"/>
        </w:rPr>
        <w:tab/>
        <w:t>the extent to which any requirement or expectation — </w:t>
      </w:r>
    </w:p>
    <w:p>
      <w:pPr>
        <w:pStyle w:val="Indenti"/>
        <w:rPr>
          <w:snapToGrid w:val="0"/>
        </w:rPr>
      </w:pPr>
      <w:r>
        <w:rPr>
          <w:snapToGrid w:val="0"/>
        </w:rPr>
        <w:tab/>
        <w:t>(i)</w:t>
      </w:r>
      <w:r>
        <w:rPr>
          <w:snapToGrid w:val="0"/>
        </w:rPr>
        <w:tab/>
        <w:t>varies during different times or periods; or</w:t>
      </w:r>
    </w:p>
    <w:p>
      <w:pPr>
        <w:pStyle w:val="Indenti"/>
        <w:rPr>
          <w:snapToGrid w:val="0"/>
        </w:rPr>
      </w:pPr>
      <w:r>
        <w:rPr>
          <w:snapToGrid w:val="0"/>
        </w:rPr>
        <w:tab/>
        <w:t>(ii)</w:t>
      </w:r>
      <w:r>
        <w:rPr>
          <w:snapToGrid w:val="0"/>
        </w:rPr>
        <w:tab/>
        <w:t>is lawfully met by other premises, licensed or unlicensed.</w:t>
      </w:r>
    </w:p>
    <w:p>
      <w:pPr>
        <w:pStyle w:val="Subsection"/>
        <w:rPr>
          <w:snapToGrid w:val="0"/>
        </w:rPr>
      </w:pPr>
      <w:r>
        <w:rPr>
          <w:snapToGrid w:val="0"/>
        </w:rPr>
        <w:tab/>
        <w:t>(2a)</w:t>
      </w:r>
      <w:r>
        <w:rPr>
          <w:snapToGrid w:val="0"/>
        </w:rPr>
        <w:tab/>
        <w:t>In considering what the reasonable requirements of the public may be for the purposes of an application under subsection (1) the licensing authority may have regard to — </w:t>
      </w:r>
    </w:p>
    <w:p>
      <w:pPr>
        <w:pStyle w:val="Indenta"/>
        <w:rPr>
          <w:snapToGrid w:val="0"/>
        </w:rPr>
      </w:pPr>
      <w:r>
        <w:rPr>
          <w:snapToGrid w:val="0"/>
        </w:rPr>
        <w:tab/>
        <w:t>(a)</w:t>
      </w:r>
      <w:r>
        <w:rPr>
          <w:snapToGrid w:val="0"/>
        </w:rPr>
        <w:tab/>
        <w:t>the subjective requirements of the public, or a section of the public, in the affected area for liquor and related services, whether those requirements are objectively reasonable or not; and</w:t>
      </w:r>
    </w:p>
    <w:p>
      <w:pPr>
        <w:pStyle w:val="Indenta"/>
        <w:rPr>
          <w:snapToGrid w:val="0"/>
        </w:rPr>
      </w:pPr>
      <w:r>
        <w:rPr>
          <w:snapToGrid w:val="0"/>
        </w:rPr>
        <w:tab/>
        <w:t>(b)</w:t>
      </w:r>
      <w:r>
        <w:rPr>
          <w:snapToGrid w:val="0"/>
        </w:rPr>
        <w:tab/>
        <w:t>whether the grant or removal of the licence will convenience the public or a section of the public in the affected area,</w:t>
      </w:r>
    </w:p>
    <w:p>
      <w:pPr>
        <w:pStyle w:val="Subsection"/>
        <w:rPr>
          <w:snapToGrid w:val="0"/>
        </w:rPr>
      </w:pPr>
      <w:r>
        <w:rPr>
          <w:snapToGrid w:val="0"/>
        </w:rPr>
        <w:tab/>
      </w:r>
      <w:r>
        <w:rPr>
          <w:snapToGrid w:val="0"/>
        </w:rPr>
        <w:tab/>
        <w:t>but the licensing authority may disregard either or both such considerations as it sees fit.</w:t>
      </w:r>
    </w:p>
    <w:p>
      <w:pPr>
        <w:pStyle w:val="Subsection"/>
        <w:rPr>
          <w:snapToGrid w:val="0"/>
        </w:rPr>
      </w:pPr>
      <w:r>
        <w:rPr>
          <w:snapToGrid w:val="0"/>
        </w:rPr>
        <w:tab/>
        <w:t>(2b)</w:t>
      </w:r>
      <w:r>
        <w:rPr>
          <w:snapToGrid w:val="0"/>
        </w:rPr>
        <w:tab/>
        <w:t>Notwithstanding anything else in this section — </w:t>
      </w:r>
    </w:p>
    <w:p>
      <w:pPr>
        <w:pStyle w:val="Indenta"/>
        <w:rPr>
          <w:snapToGrid w:val="0"/>
        </w:rPr>
      </w:pPr>
      <w:r>
        <w:rPr>
          <w:snapToGrid w:val="0"/>
        </w:rPr>
        <w:tab/>
        <w:t>(a)</w:t>
      </w:r>
      <w:r>
        <w:rPr>
          <w:snapToGrid w:val="0"/>
        </w:rPr>
        <w:tab/>
        <w:t>a liquor store licence shall not, other than in accordance with paragraph (b), be granted in respect of, or removed to, premises unless the licensing authority is satisfied that the reasonable requirements of the public for liquor and related services in the affected area cannot be provided for by licensed premises already existing in that area; and</w:t>
      </w:r>
    </w:p>
    <w:p>
      <w:pPr>
        <w:pStyle w:val="Indenta"/>
        <w:rPr>
          <w:snapToGrid w:val="0"/>
        </w:rPr>
      </w:pPr>
      <w:r>
        <w:rPr>
          <w:snapToGrid w:val="0"/>
        </w:rPr>
        <w:tab/>
        <w:t>(b)</w:t>
      </w:r>
      <w:r>
        <w:rPr>
          <w:snapToGrid w:val="0"/>
        </w:rPr>
        <w:tab/>
        <w:t>where application is made for the removal of a liquor store licence to premises situated not more than 500 metres from the premises from which the licence is sought to be removed, the licensing authority need not have regard to the reasonable requirements of the public for liquor and related services in the affected area.</w:t>
      </w:r>
    </w:p>
    <w:p>
      <w:pPr>
        <w:pStyle w:val="Subsection"/>
        <w:rPr>
          <w:snapToGrid w:val="0"/>
        </w:rPr>
      </w:pPr>
      <w:r>
        <w:rPr>
          <w:snapToGrid w:val="0"/>
        </w:rPr>
        <w:tab/>
        <w:t>(3)</w:t>
      </w:r>
      <w:r>
        <w:rPr>
          <w:snapToGrid w:val="0"/>
        </w:rPr>
        <w:tab/>
        <w:t>Having regard to likely future demand for residential accommodation or other facilities, amenities or services, the licensing authority on the grant or removal of a Category A licence may impose a condition that — </w:t>
      </w:r>
    </w:p>
    <w:p>
      <w:pPr>
        <w:pStyle w:val="Indenta"/>
        <w:rPr>
          <w:snapToGrid w:val="0"/>
        </w:rPr>
      </w:pPr>
      <w:r>
        <w:rPr>
          <w:snapToGrid w:val="0"/>
        </w:rPr>
        <w:tab/>
        <w:t>(a)</w:t>
      </w:r>
      <w:r>
        <w:rPr>
          <w:snapToGrid w:val="0"/>
        </w:rPr>
        <w:tab/>
        <w:t>in respect of a hotel licence (other than a tavern licence) or a special facility licence, residential accommodation; and</w:t>
      </w:r>
    </w:p>
    <w:p>
      <w:pPr>
        <w:pStyle w:val="Indenta"/>
        <w:rPr>
          <w:snapToGrid w:val="0"/>
        </w:rPr>
      </w:pPr>
      <w:r>
        <w:rPr>
          <w:snapToGrid w:val="0"/>
        </w:rPr>
        <w:tab/>
        <w:t>(b)</w:t>
      </w:r>
      <w:r>
        <w:rPr>
          <w:snapToGrid w:val="0"/>
        </w:rPr>
        <w:tab/>
        <w:t>in all cases, facilities, amenities or services,</w:t>
      </w:r>
    </w:p>
    <w:p>
      <w:pPr>
        <w:pStyle w:val="Subsection"/>
        <w:spacing w:before="100"/>
        <w:rPr>
          <w:snapToGrid w:val="0"/>
        </w:rPr>
      </w:pPr>
      <w:r>
        <w:rPr>
          <w:snapToGrid w:val="0"/>
        </w:rPr>
        <w:tab/>
      </w:r>
      <w:r>
        <w:rPr>
          <w:snapToGrid w:val="0"/>
        </w:rPr>
        <w:tab/>
        <w:t>be provided, or be extended or improved, on or adjacent to the licensed premises, if and when the licensing authority so requires.</w:t>
      </w:r>
    </w:p>
    <w:p>
      <w:pPr>
        <w:pStyle w:val="Subsection"/>
        <w:spacing w:before="100"/>
        <w:rPr>
          <w:snapToGrid w:val="0"/>
        </w:rPr>
      </w:pPr>
      <w:r>
        <w:rPr>
          <w:snapToGrid w:val="0"/>
        </w:rPr>
        <w:tab/>
        <w:t>(4)</w:t>
      </w:r>
      <w:r>
        <w:rPr>
          <w:snapToGrid w:val="0"/>
        </w:rPr>
        <w:tab/>
        <w:t>A reference in this section to licensed premises already existing in an affected area extends to any premises in that area, or premises proposed for that area, in respect of which — </w:t>
      </w:r>
    </w:p>
    <w:p>
      <w:pPr>
        <w:pStyle w:val="Indenta"/>
        <w:rPr>
          <w:snapToGrid w:val="0"/>
        </w:rPr>
      </w:pPr>
      <w:r>
        <w:rPr>
          <w:snapToGrid w:val="0"/>
        </w:rPr>
        <w:tab/>
        <w:t>(a)</w:t>
      </w:r>
      <w:r>
        <w:rPr>
          <w:snapToGrid w:val="0"/>
        </w:rPr>
        <w:tab/>
        <w:t>a conditional grant is made under section 62;</w:t>
      </w:r>
    </w:p>
    <w:p>
      <w:pPr>
        <w:pStyle w:val="Indenta"/>
        <w:rPr>
          <w:snapToGrid w:val="0"/>
        </w:rPr>
      </w:pPr>
      <w:r>
        <w:rPr>
          <w:snapToGrid w:val="0"/>
        </w:rPr>
        <w:tab/>
        <w:t>(b)</w:t>
      </w:r>
      <w:r>
        <w:rPr>
          <w:snapToGrid w:val="0"/>
        </w:rPr>
        <w:tab/>
        <w:t>a licence is granted; or</w:t>
      </w:r>
    </w:p>
    <w:p>
      <w:pPr>
        <w:pStyle w:val="Indenta"/>
        <w:rPr>
          <w:snapToGrid w:val="0"/>
        </w:rPr>
      </w:pPr>
      <w:r>
        <w:rPr>
          <w:snapToGrid w:val="0"/>
        </w:rPr>
        <w:tab/>
        <w:t>(c)</w:t>
      </w:r>
      <w:r>
        <w:rPr>
          <w:snapToGrid w:val="0"/>
        </w:rPr>
        <w:tab/>
        <w:t>an application for the removal of a licence to those premises is granted.</w:t>
      </w:r>
    </w:p>
    <w:p>
      <w:pPr>
        <w:pStyle w:val="Subsection"/>
        <w:spacing w:before="100"/>
        <w:rPr>
          <w:snapToGrid w:val="0"/>
        </w:rPr>
      </w:pPr>
      <w:r>
        <w:rPr>
          <w:snapToGrid w:val="0"/>
        </w:rPr>
        <w:tab/>
        <w:t>(5)</w:t>
      </w:r>
      <w:r>
        <w:rPr>
          <w:snapToGrid w:val="0"/>
        </w:rPr>
        <w:tab/>
        <w:t>Where an application to which this section applies is not granted by reason of a finding that a licence of the class to which the application related is not necessary in order to provide for the requirements of the public in any area, no application for the grant or removal of a licence of the same class in respect of the same premises or land may be lodged within 36 months of the date of that finding unless the Director certifies — </w:t>
      </w:r>
    </w:p>
    <w:p>
      <w:pPr>
        <w:pStyle w:val="Indenta"/>
        <w:rPr>
          <w:snapToGrid w:val="0"/>
        </w:rPr>
      </w:pPr>
      <w:r>
        <w:rPr>
          <w:snapToGrid w:val="0"/>
        </w:rPr>
        <w:tab/>
        <w:t>(a)</w:t>
      </w:r>
      <w:r>
        <w:rPr>
          <w:snapToGrid w:val="0"/>
        </w:rPr>
        <w:tab/>
        <w:t>that the affected area in relation to the proposed application would be substantially different to that specified in relation to the application which was not granted; or</w:t>
      </w:r>
    </w:p>
    <w:p>
      <w:pPr>
        <w:pStyle w:val="Indenta"/>
        <w:rPr>
          <w:snapToGrid w:val="0"/>
        </w:rPr>
      </w:pPr>
      <w:r>
        <w:rPr>
          <w:snapToGrid w:val="0"/>
        </w:rPr>
        <w:tab/>
        <w:t>(b)</w:t>
      </w:r>
      <w:r>
        <w:rPr>
          <w:snapToGrid w:val="0"/>
        </w:rPr>
        <w:tab/>
        <w:t>that the proposed application is of a kind sufficiently different from the application which was not granted to be distinguished and heard notwithstanding the previous finding.</w:t>
      </w:r>
    </w:p>
    <w:p>
      <w:pPr>
        <w:pStyle w:val="Footnotesection"/>
      </w:pPr>
      <w:r>
        <w:tab/>
        <w:t xml:space="preserve">[Section 38 amended by No. 12 of 1998 s. 25.] </w:t>
      </w:r>
    </w:p>
    <w:p>
      <w:pPr>
        <w:pStyle w:val="Heading5"/>
        <w:rPr>
          <w:snapToGrid w:val="0"/>
        </w:rPr>
      </w:pPr>
      <w:bookmarkStart w:id="54" w:name="_Toc389662668"/>
      <w:r>
        <w:rPr>
          <w:rStyle w:val="CharSectno"/>
        </w:rPr>
        <w:t>39</w:t>
      </w:r>
      <w:r>
        <w:rPr>
          <w:snapToGrid w:val="0"/>
        </w:rPr>
        <w:t>.</w:t>
      </w:r>
      <w:r>
        <w:rPr>
          <w:snapToGrid w:val="0"/>
        </w:rPr>
        <w:tab/>
        <w:t>Certificate of local government</w:t>
      </w:r>
      <w:bookmarkEnd w:id="5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55" w:name="_Toc389662669"/>
      <w:r>
        <w:rPr>
          <w:rStyle w:val="CharSectno"/>
        </w:rPr>
        <w:t>40</w:t>
      </w:r>
      <w:r>
        <w:rPr>
          <w:snapToGrid w:val="0"/>
        </w:rPr>
        <w:t>.</w:t>
      </w:r>
      <w:r>
        <w:rPr>
          <w:snapToGrid w:val="0"/>
        </w:rPr>
        <w:tab/>
        <w:t>Certificate of local planning authority</w:t>
      </w:r>
      <w:bookmarkEnd w:id="55"/>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56" w:name="_Toc389662670"/>
      <w:r>
        <w:rPr>
          <w:rStyle w:val="CharSectno"/>
        </w:rPr>
        <w:t>41</w:t>
      </w:r>
      <w:r>
        <w:rPr>
          <w:snapToGrid w:val="0"/>
        </w:rPr>
        <w:t>.</w:t>
      </w:r>
      <w:r>
        <w:rPr>
          <w:snapToGrid w:val="0"/>
        </w:rPr>
        <w:tab/>
        <w:t>Hotel licences</w:t>
      </w:r>
      <w:bookmarkEnd w:id="56"/>
      <w:r>
        <w:rPr>
          <w:snapToGrid w:val="0"/>
        </w:rPr>
        <w:t xml:space="preserve"> </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where a hotel licence is not subject to the condition referred to in subsection (4)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is required to sell liquor on the premises to any person for consumption on the premises; and</w:t>
      </w:r>
    </w:p>
    <w:p>
      <w:pPr>
        <w:pStyle w:val="Indenta"/>
      </w:pPr>
      <w:r>
        <w:tab/>
        <w:t>(b)</w:t>
      </w:r>
      <w:r>
        <w:tab/>
        <w:t>may, unless the licence is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rPr>
          <w:snapToGrid w:val="0"/>
        </w:rPr>
      </w:pPr>
      <w:r>
        <w:rPr>
          <w:snapToGrid w:val="0"/>
        </w:rPr>
        <w:tab/>
        <w:t>(4)</w:t>
      </w:r>
      <w:r>
        <w:rPr>
          <w:snapToGrid w:val="0"/>
        </w:rPr>
        <w:tab/>
        <w:t>A hotel licence, unless it is a tavern licence, is subject to the condition that the licensee, subject to subsection (5) and to any variation under subsection (6), provides — </w:t>
      </w:r>
    </w:p>
    <w:p>
      <w:pPr>
        <w:pStyle w:val="Indenta"/>
        <w:rPr>
          <w:snapToGrid w:val="0"/>
        </w:rPr>
      </w:pPr>
      <w:r>
        <w:rPr>
          <w:snapToGrid w:val="0"/>
        </w:rPr>
        <w:tab/>
        <w:t>(a)</w:t>
      </w:r>
      <w:r>
        <w:rPr>
          <w:snapToGrid w:val="0"/>
        </w:rPr>
        <w:tab/>
        <w:t>residential accommodation for any person;</w:t>
      </w:r>
    </w:p>
    <w:p>
      <w:pPr>
        <w:pStyle w:val="Indenta"/>
        <w:rPr>
          <w:snapToGrid w:val="0"/>
        </w:rPr>
      </w:pPr>
      <w:r>
        <w:rPr>
          <w:snapToGrid w:val="0"/>
        </w:rPr>
        <w:tab/>
        <w:t>(b)</w:t>
      </w:r>
      <w:r>
        <w:rPr>
          <w:snapToGrid w:val="0"/>
        </w:rPr>
        <w:tab/>
        <w:t>breakfast for lodgers, between 7 a.m. and 9 a.m.; and</w:t>
      </w:r>
    </w:p>
    <w:p>
      <w:pPr>
        <w:pStyle w:val="Indenta"/>
        <w:rPr>
          <w:snapToGrid w:val="0"/>
        </w:rPr>
      </w:pPr>
      <w:r>
        <w:rPr>
          <w:snapToGrid w:val="0"/>
        </w:rPr>
        <w:tab/>
        <w:t>(c)</w:t>
      </w:r>
      <w:r>
        <w:rPr>
          <w:snapToGrid w:val="0"/>
        </w:rPr>
        <w:tab/>
        <w:t>dinner for lodgers, between 6 p.m. and 8 p.m.</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rPr>
          <w:snapToGrid w:val="0"/>
        </w:rPr>
      </w:pPr>
      <w:r>
        <w:rPr>
          <w:snapToGrid w:val="0"/>
        </w:rPr>
        <w:tab/>
        <w:t>(a)</w:t>
      </w:r>
      <w:r>
        <w:rPr>
          <w:snapToGrid w:val="0"/>
        </w:rPr>
        <w:tab/>
        <w:t>the person seeking the residential accommodation or the meal is a person whom, under section 108(3), the licensee would have reasonable cause to refuse to receive;</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residential accommodation in the locality;</w:t>
      </w:r>
    </w:p>
    <w:p>
      <w:pPr>
        <w:pStyle w:val="Indenta"/>
        <w:rPr>
          <w:snapToGrid w:val="0"/>
        </w:rPr>
      </w:pPr>
      <w:r>
        <w:rPr>
          <w:snapToGrid w:val="0"/>
        </w:rPr>
        <w:tab/>
        <w:t>(b)</w:t>
      </w:r>
      <w:r>
        <w:rPr>
          <w:snapToGrid w:val="0"/>
        </w:rPr>
        <w:tab/>
        <w:t>that, notwithstanding the existence of such a need, adequate residential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residential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w:t>
      </w:r>
    </w:p>
    <w:p>
      <w:pPr>
        <w:pStyle w:val="Heading5"/>
        <w:rPr>
          <w:snapToGrid w:val="0"/>
        </w:rPr>
      </w:pPr>
      <w:bookmarkStart w:id="57" w:name="_Toc389662671"/>
      <w:r>
        <w:rPr>
          <w:rStyle w:val="CharSectno"/>
        </w:rPr>
        <w:t>42</w:t>
      </w:r>
      <w:r>
        <w:rPr>
          <w:snapToGrid w:val="0"/>
        </w:rPr>
        <w:t>.</w:t>
      </w:r>
      <w:r>
        <w:rPr>
          <w:snapToGrid w:val="0"/>
        </w:rPr>
        <w:tab/>
        <w:t>Nightclub licences</w:t>
      </w:r>
      <w:bookmarkEnd w:id="57"/>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58" w:name="_Toc389662672"/>
      <w:r>
        <w:rPr>
          <w:rStyle w:val="CharSectno"/>
        </w:rPr>
        <w:t>43</w:t>
      </w:r>
      <w:r>
        <w:rPr>
          <w:snapToGrid w:val="0"/>
        </w:rPr>
        <w:t>.</w:t>
      </w:r>
      <w:r>
        <w:rPr>
          <w:snapToGrid w:val="0"/>
        </w:rPr>
        <w:tab/>
        <w:t xml:space="preserve">Requirements relating to a </w:t>
      </w:r>
      <w:r>
        <w:t xml:space="preserve">nightclub </w:t>
      </w:r>
      <w:r>
        <w:rPr>
          <w:snapToGrid w:val="0"/>
        </w:rPr>
        <w:t>licence</w:t>
      </w:r>
      <w:bookmarkEnd w:id="58"/>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spacing w:before="180"/>
        <w:rPr>
          <w:snapToGrid w:val="0"/>
        </w:rPr>
      </w:pPr>
      <w:bookmarkStart w:id="59" w:name="_Toc389662673"/>
      <w:r>
        <w:rPr>
          <w:rStyle w:val="CharSectno"/>
        </w:rPr>
        <w:t>44</w:t>
      </w:r>
      <w:r>
        <w:rPr>
          <w:snapToGrid w:val="0"/>
        </w:rPr>
        <w:t>.</w:t>
      </w:r>
      <w:r>
        <w:rPr>
          <w:snapToGrid w:val="0"/>
        </w:rPr>
        <w:tab/>
        <w:t>Casino liquor licences</w:t>
      </w:r>
      <w:bookmarkEnd w:id="59"/>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 No. 73 of 2006 s. 107.]</w:t>
      </w:r>
    </w:p>
    <w:p>
      <w:pPr>
        <w:pStyle w:val="Heading5"/>
        <w:rPr>
          <w:snapToGrid w:val="0"/>
        </w:rPr>
      </w:pPr>
      <w:bookmarkStart w:id="60" w:name="_Toc389662674"/>
      <w:r>
        <w:rPr>
          <w:rStyle w:val="CharSectno"/>
        </w:rPr>
        <w:t>45</w:t>
      </w:r>
      <w:r>
        <w:rPr>
          <w:snapToGrid w:val="0"/>
        </w:rPr>
        <w:t>.</w:t>
      </w:r>
      <w:r>
        <w:rPr>
          <w:snapToGrid w:val="0"/>
        </w:rPr>
        <w:tab/>
        <w:t>Requirements relating to a casino liquor licence</w:t>
      </w:r>
      <w:bookmarkEnd w:id="60"/>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61" w:name="_Toc389662675"/>
      <w:r>
        <w:rPr>
          <w:rStyle w:val="CharSectno"/>
        </w:rPr>
        <w:t>46</w:t>
      </w:r>
      <w:r>
        <w:rPr>
          <w:snapToGrid w:val="0"/>
        </w:rPr>
        <w:t>.</w:t>
      </w:r>
      <w:r>
        <w:rPr>
          <w:snapToGrid w:val="0"/>
        </w:rPr>
        <w:tab/>
        <w:t>Special facility licences</w:t>
      </w:r>
      <w:bookmarkEnd w:id="61"/>
      <w:r>
        <w:rPr>
          <w:snapToGrid w:val="0"/>
        </w:rPr>
        <w:t xml:space="preserve"> </w:t>
      </w:r>
    </w:p>
    <w:p>
      <w:pPr>
        <w:pStyle w:val="Subsection"/>
      </w:pPr>
      <w:r>
        <w:tab/>
        <w:t>(1)</w:t>
      </w:r>
      <w:r>
        <w:tab/>
        <w:t>The licensing authority shall not grant a special facility licence except for a prescribed purpose.</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w:t>
      </w:r>
    </w:p>
    <w:p>
      <w:pPr>
        <w:pStyle w:val="Heading5"/>
        <w:rPr>
          <w:snapToGrid w:val="0"/>
        </w:rPr>
      </w:pPr>
      <w:bookmarkStart w:id="62" w:name="_Toc389662676"/>
      <w:r>
        <w:rPr>
          <w:rStyle w:val="CharSectno"/>
        </w:rPr>
        <w:t>47</w:t>
      </w:r>
      <w:r>
        <w:rPr>
          <w:snapToGrid w:val="0"/>
        </w:rPr>
        <w:t>.</w:t>
      </w:r>
      <w:r>
        <w:rPr>
          <w:snapToGrid w:val="0"/>
        </w:rPr>
        <w:tab/>
        <w:t>Liquor store licences</w:t>
      </w:r>
      <w:bookmarkEnd w:id="6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Heading3"/>
        <w:rPr>
          <w:snapToGrid w:val="0"/>
        </w:rPr>
      </w:pPr>
      <w:bookmarkStart w:id="63" w:name="_Toc389662677"/>
      <w:r>
        <w:rPr>
          <w:rStyle w:val="CharDivNo"/>
        </w:rPr>
        <w:t>Division 3</w:t>
      </w:r>
      <w:r>
        <w:rPr>
          <w:snapToGrid w:val="0"/>
        </w:rPr>
        <w:t> — </w:t>
      </w:r>
      <w:r>
        <w:rPr>
          <w:rStyle w:val="CharDivText"/>
        </w:rPr>
        <w:t>Category B licences</w:t>
      </w:r>
      <w:bookmarkEnd w:id="63"/>
      <w:r>
        <w:rPr>
          <w:rStyle w:val="CharDivText"/>
        </w:rPr>
        <w:t xml:space="preserve"> </w:t>
      </w:r>
    </w:p>
    <w:p>
      <w:pPr>
        <w:pStyle w:val="Heading5"/>
        <w:rPr>
          <w:snapToGrid w:val="0"/>
        </w:rPr>
      </w:pPr>
      <w:bookmarkStart w:id="64" w:name="_Toc389662678"/>
      <w:r>
        <w:rPr>
          <w:rStyle w:val="CharSectno"/>
        </w:rPr>
        <w:t>48</w:t>
      </w:r>
      <w:r>
        <w:rPr>
          <w:snapToGrid w:val="0"/>
        </w:rPr>
        <w:t>.</w:t>
      </w:r>
      <w:r>
        <w:rPr>
          <w:snapToGrid w:val="0"/>
        </w:rPr>
        <w:tab/>
        <w:t>Club or club restricted licences</w:t>
      </w:r>
      <w:bookmarkEnd w:id="64"/>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rPr>
          <w:snapToGrid w:val="0"/>
        </w:rPr>
      </w:pPr>
      <w:r>
        <w:rPr>
          <w:snapToGrid w:val="0"/>
        </w:rPr>
        <w:tab/>
        <w:t>(b)</w:t>
      </w:r>
      <w:r>
        <w:rPr>
          <w:snapToGrid w:val="0"/>
        </w:rPr>
        <w:tab/>
        <w:t>which is subject to conditions — </w:t>
      </w:r>
    </w:p>
    <w:p>
      <w:pPr>
        <w:pStyle w:val="Indenti"/>
        <w:rPr>
          <w:snapToGrid w:val="0"/>
        </w:rPr>
      </w:pPr>
      <w:r>
        <w:rPr>
          <w:snapToGrid w:val="0"/>
        </w:rPr>
        <w:tab/>
        <w:t>(i)</w:t>
      </w:r>
      <w:r>
        <w:rPr>
          <w:snapToGrid w:val="0"/>
        </w:rPr>
        <w:tab/>
        <w:t>restricting the sale of liquor to liquor purchased for the purpose by or on behalf of the club from a supplier selected by the club from a list of suppliers nominated by the Secretary of the club in writing to, and approved by, the Director; and</w:t>
      </w:r>
    </w:p>
    <w:p>
      <w:pPr>
        <w:pStyle w:val="Indenti"/>
        <w:rPr>
          <w:snapToGrid w:val="0"/>
        </w:rPr>
      </w:pPr>
      <w:r>
        <w:rPr>
          <w:snapToGrid w:val="0"/>
        </w:rPr>
        <w:tab/>
        <w:t>(ii)</w:t>
      </w:r>
      <w:r>
        <w:rPr>
          <w:snapToGrid w:val="0"/>
        </w:rPr>
        <w:tab/>
        <w:t>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and the liquor is packaged liquor, subject to subsection (3) and subsection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rPr>
          <w:snapToGrid w:val="0"/>
        </w:rPr>
      </w:pPr>
      <w:r>
        <w:rPr>
          <w:snapToGrid w:val="0"/>
        </w:rPr>
        <w:tab/>
        <w:t>(5)</w:t>
      </w:r>
      <w:r>
        <w:rPr>
          <w:snapToGrid w:val="0"/>
        </w:rPr>
        <w:tab/>
        <w:t>Subject to subsection (6), where a club has as one of its principal objects the conduct of a sport a person who is on any day visiting the club — </w:t>
      </w:r>
    </w:p>
    <w:p>
      <w:pPr>
        <w:pStyle w:val="Indenta"/>
        <w:rPr>
          <w:snapToGrid w:val="0"/>
        </w:rPr>
      </w:pPr>
      <w:r>
        <w:rPr>
          <w:snapToGrid w:val="0"/>
        </w:rPr>
        <w:tab/>
        <w:t>(a)</w:t>
      </w:r>
      <w:r>
        <w:rPr>
          <w:snapToGrid w:val="0"/>
        </w:rPr>
        <w:tab/>
        <w:t>as a member or an official of, or a person assisting, a team that is to contest a pre</w:t>
      </w:r>
      <w:r>
        <w:rPr>
          <w:snapToGrid w:val="0"/>
        </w:rPr>
        <w:noBreakHyphen/>
        <w:t>arranged event in that sport on that day; or</w:t>
      </w:r>
    </w:p>
    <w:p>
      <w:pPr>
        <w:pStyle w:val="Indenta"/>
        <w:rPr>
          <w:snapToGrid w:val="0"/>
        </w:rPr>
      </w:pPr>
      <w:r>
        <w:rPr>
          <w:snapToGrid w:val="0"/>
        </w:rPr>
        <w:tab/>
        <w:t>(b)</w:t>
      </w:r>
      <w:r>
        <w:rPr>
          <w:snapToGrid w:val="0"/>
        </w:rPr>
        <w:tab/>
        <w:t>at the invitation of a member, to engage in that sport on that day,</w:t>
      </w:r>
    </w:p>
    <w:p>
      <w:pPr>
        <w:pStyle w:val="Subsection"/>
        <w:rPr>
          <w:snapToGrid w:val="0"/>
        </w:rPr>
      </w:pPr>
      <w:r>
        <w:rPr>
          <w:snapToGrid w:val="0"/>
        </w:rPr>
        <w:tab/>
      </w:r>
      <w:r>
        <w:rPr>
          <w:snapToGrid w:val="0"/>
        </w:rPr>
        <w:tab/>
        <w:t>may for the purposes of this Act be taken to be a person who is accorded temporary membership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Subsection"/>
        <w:spacing w:before="120"/>
        <w:rPr>
          <w:snapToGrid w:val="0"/>
        </w:rPr>
      </w:pPr>
      <w:r>
        <w:rPr>
          <w:snapToGrid w:val="0"/>
        </w:rPr>
        <w:tab/>
        <w:t>(8)</w:t>
      </w:r>
      <w:r>
        <w:rPr>
          <w:snapToGrid w:val="0"/>
        </w:rPr>
        <w:tab/>
        <w:t>The list of suppliers to be nominated by the Secretary of a club which holds a club restricted licence shall, unless — </w:t>
      </w:r>
    </w:p>
    <w:p>
      <w:pPr>
        <w:pStyle w:val="Indenta"/>
        <w:rPr>
          <w:snapToGrid w:val="0"/>
        </w:rPr>
      </w:pPr>
      <w:r>
        <w:rPr>
          <w:snapToGrid w:val="0"/>
        </w:rPr>
        <w:tab/>
        <w:t>(a)</w:t>
      </w:r>
      <w:r>
        <w:rPr>
          <w:snapToGrid w:val="0"/>
        </w:rPr>
        <w:tab/>
        <w:t>there is no such licensee; or</w:t>
      </w:r>
    </w:p>
    <w:p>
      <w:pPr>
        <w:pStyle w:val="Indenta"/>
        <w:rPr>
          <w:snapToGrid w:val="0"/>
        </w:rPr>
      </w:pPr>
      <w:r>
        <w:rPr>
          <w:snapToGrid w:val="0"/>
        </w:rPr>
        <w:tab/>
        <w:t>(b)</w:t>
      </w:r>
      <w:r>
        <w:rPr>
          <w:snapToGrid w:val="0"/>
        </w:rPr>
        <w:tab/>
        <w:t>there are so few such licensees that — </w:t>
      </w:r>
    </w:p>
    <w:p>
      <w:pPr>
        <w:pStyle w:val="Indenti"/>
        <w:rPr>
          <w:snapToGrid w:val="0"/>
        </w:rPr>
      </w:pPr>
      <w:r>
        <w:rPr>
          <w:snapToGrid w:val="0"/>
        </w:rPr>
        <w:tab/>
        <w:t>(i)</w:t>
      </w:r>
      <w:r>
        <w:rPr>
          <w:snapToGrid w:val="0"/>
        </w:rPr>
        <w:tab/>
        <w:t>the club’s choice of supplier would be unreasonably restricted if confined to them alone; and</w:t>
      </w:r>
    </w:p>
    <w:p>
      <w:pPr>
        <w:pStyle w:val="Indenti"/>
        <w:rPr>
          <w:snapToGrid w:val="0"/>
        </w:rPr>
      </w:pPr>
      <w:r>
        <w:rPr>
          <w:snapToGrid w:val="0"/>
        </w:rPr>
        <w:tab/>
        <w:t>(ii)</w:t>
      </w:r>
      <w:r>
        <w:rPr>
          <w:snapToGrid w:val="0"/>
        </w:rPr>
        <w:tab/>
        <w:t>the Director so authorises,</w:t>
      </w:r>
    </w:p>
    <w:p>
      <w:pPr>
        <w:pStyle w:val="Subsection"/>
        <w:rPr>
          <w:snapToGrid w:val="0"/>
        </w:rPr>
      </w:pPr>
      <w:r>
        <w:rPr>
          <w:snapToGrid w:val="0"/>
        </w:rPr>
        <w:tab/>
      </w:r>
      <w:r>
        <w:rPr>
          <w:snapToGrid w:val="0"/>
        </w:rPr>
        <w:tab/>
        <w:t>consist of licensees who have hotels or liquor stores situated within 8 kilometres of the club premises.</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w:t>
      </w:r>
    </w:p>
    <w:p>
      <w:pPr>
        <w:pStyle w:val="Heading5"/>
        <w:rPr>
          <w:snapToGrid w:val="0"/>
        </w:rPr>
      </w:pPr>
      <w:bookmarkStart w:id="65" w:name="_Toc389662679"/>
      <w:r>
        <w:rPr>
          <w:rStyle w:val="CharSectno"/>
        </w:rPr>
        <w:t>49</w:t>
      </w:r>
      <w:r>
        <w:rPr>
          <w:snapToGrid w:val="0"/>
        </w:rPr>
        <w:t>.</w:t>
      </w:r>
      <w:r>
        <w:rPr>
          <w:snapToGrid w:val="0"/>
        </w:rPr>
        <w:tab/>
        <w:t>Requirements relating to a club licence</w:t>
      </w:r>
      <w:bookmarkEnd w:id="6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w:t>
      </w:r>
    </w:p>
    <w:p>
      <w:pPr>
        <w:pStyle w:val="Indenta"/>
        <w:rPr>
          <w:snapToGrid w:val="0"/>
        </w:rPr>
      </w:pPr>
      <w:r>
        <w:rPr>
          <w:snapToGrid w:val="0"/>
        </w:rPr>
        <w:tab/>
        <w:t>(b)</w:t>
      </w:r>
      <w:r>
        <w:rPr>
          <w:snapToGrid w:val="0"/>
        </w:rPr>
        <w:tab/>
        <w:t>that provision is made for regular meetings of the general body of members and of the committee of management;</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rPr>
          <w:snapToGrid w:val="0"/>
        </w:rPr>
      </w:pPr>
      <w:r>
        <w:rPr>
          <w:snapToGrid w:val="0"/>
        </w:rPr>
        <w:tab/>
        <w:t>(iii)</w:t>
      </w:r>
      <w:r>
        <w:rPr>
          <w:snapToGrid w:val="0"/>
        </w:rPr>
        <w:tab/>
        <w:t>where provision is made for honorary or temporary membership — that the classes of persons entitled to such membership are not unduly large, having regard to the nature of the club;</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 or quarterly 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w:t>
      </w:r>
    </w:p>
    <w:p>
      <w:pPr>
        <w:pStyle w:val="Heading5"/>
        <w:rPr>
          <w:snapToGrid w:val="0"/>
        </w:rPr>
      </w:pPr>
      <w:bookmarkStart w:id="66" w:name="_Toc389662680"/>
      <w:r>
        <w:rPr>
          <w:rStyle w:val="CharSectno"/>
        </w:rPr>
        <w:t>50</w:t>
      </w:r>
      <w:r>
        <w:rPr>
          <w:snapToGrid w:val="0"/>
        </w:rPr>
        <w:t>.</w:t>
      </w:r>
      <w:r>
        <w:rPr>
          <w:snapToGrid w:val="0"/>
        </w:rPr>
        <w:tab/>
        <w:t>Restaurant licences</w:t>
      </w:r>
      <w:bookmarkEnd w:id="66"/>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the liquor is consumed at a dining table; and</w:t>
      </w:r>
    </w:p>
    <w:p>
      <w:pPr>
        <w:pStyle w:val="Indenta"/>
        <w:rPr>
          <w:snapToGrid w:val="0"/>
        </w:rPr>
      </w:pPr>
      <w:r>
        <w:rPr>
          <w:snapToGrid w:val="0"/>
        </w:rPr>
        <w:tab/>
        <w:t>(b)</w:t>
      </w:r>
      <w:r>
        <w:rPr>
          <w:snapToGrid w:val="0"/>
        </w:rPr>
        <w:tab/>
        <w:t>not more than 20% of the seating capacity for customers on the premises is available, or being used at any one time, for persons to consume liquor other than ancillary to a meal.</w:t>
      </w:r>
    </w:p>
    <w:p>
      <w:pPr>
        <w:pStyle w:val="Subsection"/>
        <w:rPr>
          <w:snapToGrid w:val="0"/>
        </w:rPr>
      </w:pPr>
      <w:r>
        <w:rPr>
          <w:snapToGrid w:val="0"/>
        </w:rPr>
        <w:tab/>
        <w:t>(2)</w:t>
      </w:r>
      <w:r>
        <w:rPr>
          <w:snapToGrid w:val="0"/>
        </w:rPr>
        <w:tab/>
        <w:t>Where the licensee of a restaurant licence holds an extended trading permit under section 60(4)(c) in respect of residential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rPr>
          <w:snapToGrid w:val="0"/>
        </w:rPr>
      </w:pPr>
      <w:r>
        <w:rPr>
          <w:snapToGrid w:val="0"/>
        </w:rPr>
        <w:tab/>
        <w:t>(b)</w:t>
      </w:r>
      <w:r>
        <w:rPr>
          <w:snapToGrid w:val="0"/>
        </w:rPr>
        <w:tab/>
        <w:t>liquor must not be consumed by a person on the licensed premises except ancillary to a meal supplied, or to be supplied, by the licensee to, and eaten by, that person there.</w:t>
      </w:r>
    </w:p>
    <w:p>
      <w:pPr>
        <w:pStyle w:val="Footnotesection"/>
        <w:ind w:left="890" w:hanging="890"/>
      </w:pPr>
      <w:r>
        <w:tab/>
        <w:t xml:space="preserve">[Section 50 amended by No. 12 of 1998 s. 33.] </w:t>
      </w:r>
    </w:p>
    <w:p>
      <w:pPr>
        <w:pStyle w:val="Heading5"/>
        <w:rPr>
          <w:snapToGrid w:val="0"/>
        </w:rPr>
      </w:pPr>
      <w:bookmarkStart w:id="67" w:name="_Toc389662681"/>
      <w:r>
        <w:rPr>
          <w:rStyle w:val="CharSectno"/>
        </w:rPr>
        <w:t>51</w:t>
      </w:r>
      <w:r>
        <w:rPr>
          <w:snapToGrid w:val="0"/>
        </w:rPr>
        <w:t>.</w:t>
      </w:r>
      <w:r>
        <w:rPr>
          <w:snapToGrid w:val="0"/>
        </w:rPr>
        <w:tab/>
        <w:t>Liquor in unlicensed restaurants</w:t>
      </w:r>
      <w:bookmarkEnd w:id="6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$1 000.</w:t>
      </w:r>
    </w:p>
    <w:p>
      <w:pPr>
        <w:pStyle w:val="Footnotesection"/>
      </w:pPr>
      <w:r>
        <w:tab/>
        <w:t xml:space="preserve">[Section 51 amended by No. 12 of 1998 s. 34.] </w:t>
      </w:r>
    </w:p>
    <w:p>
      <w:pPr>
        <w:pStyle w:val="Heading5"/>
        <w:rPr>
          <w:snapToGrid w:val="0"/>
        </w:rPr>
      </w:pPr>
      <w:bookmarkStart w:id="68" w:name="_Toc389662682"/>
      <w:r>
        <w:rPr>
          <w:rStyle w:val="CharSectno"/>
        </w:rPr>
        <w:t>52</w:t>
      </w:r>
      <w:r>
        <w:rPr>
          <w:snapToGrid w:val="0"/>
        </w:rPr>
        <w:t>.</w:t>
      </w:r>
      <w:r>
        <w:rPr>
          <w:snapToGrid w:val="0"/>
        </w:rPr>
        <w:tab/>
        <w:t>Liquor sold or consumed ancillary to a meal, and evidentiary matters</w:t>
      </w:r>
      <w:bookmarkEnd w:id="68"/>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69" w:name="_Toc389662683"/>
      <w:r>
        <w:rPr>
          <w:rStyle w:val="CharSectno"/>
        </w:rPr>
        <w:t>53</w:t>
      </w:r>
      <w:r>
        <w:rPr>
          <w:snapToGrid w:val="0"/>
        </w:rPr>
        <w:t>.</w:t>
      </w:r>
      <w:r>
        <w:rPr>
          <w:snapToGrid w:val="0"/>
        </w:rPr>
        <w:tab/>
        <w:t>Conditions on authorisation for sale ancillary to a meal</w:t>
      </w:r>
      <w:bookmarkEnd w:id="69"/>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70" w:name="_Toc389662684"/>
      <w:r>
        <w:rPr>
          <w:rStyle w:val="CharSectno"/>
        </w:rPr>
        <w:t>55</w:t>
      </w:r>
      <w:r>
        <w:rPr>
          <w:snapToGrid w:val="0"/>
        </w:rPr>
        <w:t>.</w:t>
      </w:r>
      <w:r>
        <w:rPr>
          <w:snapToGrid w:val="0"/>
        </w:rPr>
        <w:tab/>
        <w:t>Producer’s licences</w:t>
      </w:r>
      <w:bookmarkEnd w:id="70"/>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in an aggregate quantity per person of not less than 9 litres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w:t>
      </w:r>
    </w:p>
    <w:p>
      <w:pPr>
        <w:pStyle w:val="Heading5"/>
        <w:rPr>
          <w:snapToGrid w:val="0"/>
        </w:rPr>
      </w:pPr>
      <w:bookmarkStart w:id="71" w:name="_Toc389662685"/>
      <w:r>
        <w:rPr>
          <w:rStyle w:val="CharSectno"/>
        </w:rPr>
        <w:t>56</w:t>
      </w:r>
      <w:r>
        <w:rPr>
          <w:snapToGrid w:val="0"/>
        </w:rPr>
        <w:t>.</w:t>
      </w:r>
      <w:r>
        <w:rPr>
          <w:snapToGrid w:val="0"/>
        </w:rPr>
        <w:tab/>
        <w:t>Evidence as to production of liquor</w:t>
      </w:r>
      <w:bookmarkEnd w:id="71"/>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72" w:name="_Toc389662686"/>
      <w:r>
        <w:rPr>
          <w:rStyle w:val="CharSectno"/>
        </w:rPr>
        <w:t>57</w:t>
      </w:r>
      <w:r>
        <w:rPr>
          <w:snapToGrid w:val="0"/>
        </w:rPr>
        <w:t>.</w:t>
      </w:r>
      <w:r>
        <w:rPr>
          <w:snapToGrid w:val="0"/>
        </w:rPr>
        <w:tab/>
        <w:t>Requirements relating to a producer’s licence</w:t>
      </w:r>
      <w:bookmarkEnd w:id="72"/>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73" w:name="_Toc389662687"/>
      <w:r>
        <w:rPr>
          <w:rStyle w:val="CharSectno"/>
        </w:rPr>
        <w:t>58</w:t>
      </w:r>
      <w:r>
        <w:rPr>
          <w:snapToGrid w:val="0"/>
        </w:rPr>
        <w:t>.</w:t>
      </w:r>
      <w:r>
        <w:rPr>
          <w:snapToGrid w:val="0"/>
        </w:rPr>
        <w:tab/>
        <w:t>Wholesaler’s licences</w:t>
      </w:r>
      <w:bookmarkEnd w:id="73"/>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business conducted must consist, 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w:t>
      </w:r>
    </w:p>
    <w:p>
      <w:pPr>
        <w:pStyle w:val="Heading5"/>
        <w:rPr>
          <w:snapToGrid w:val="0"/>
        </w:rPr>
      </w:pPr>
      <w:bookmarkStart w:id="74" w:name="_Toc389662688"/>
      <w:r>
        <w:rPr>
          <w:rStyle w:val="CharSectno"/>
        </w:rPr>
        <w:t>59</w:t>
      </w:r>
      <w:r>
        <w:rPr>
          <w:snapToGrid w:val="0"/>
        </w:rPr>
        <w:t>.</w:t>
      </w:r>
      <w:r>
        <w:rPr>
          <w:snapToGrid w:val="0"/>
        </w:rPr>
        <w:tab/>
        <w:t>Occasional licences</w:t>
      </w:r>
      <w:bookmarkEnd w:id="74"/>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75" w:name="_Toc389662689"/>
      <w:r>
        <w:rPr>
          <w:rStyle w:val="CharDivNo"/>
        </w:rPr>
        <w:t>Division 4</w:t>
      </w:r>
      <w:r>
        <w:rPr>
          <w:snapToGrid w:val="0"/>
        </w:rPr>
        <w:t> — </w:t>
      </w:r>
      <w:r>
        <w:rPr>
          <w:rStyle w:val="CharDivText"/>
        </w:rPr>
        <w:t>Permits</w:t>
      </w:r>
      <w:bookmarkEnd w:id="75"/>
      <w:r>
        <w:rPr>
          <w:rStyle w:val="CharDivText"/>
        </w:rPr>
        <w:t xml:space="preserve"> </w:t>
      </w:r>
    </w:p>
    <w:p>
      <w:pPr>
        <w:pStyle w:val="Heading5"/>
        <w:rPr>
          <w:snapToGrid w:val="0"/>
        </w:rPr>
      </w:pPr>
      <w:bookmarkStart w:id="76" w:name="_Toc389662690"/>
      <w:r>
        <w:rPr>
          <w:rStyle w:val="CharSectno"/>
        </w:rPr>
        <w:t>60</w:t>
      </w:r>
      <w:r>
        <w:rPr>
          <w:snapToGrid w:val="0"/>
        </w:rPr>
        <w:t>.</w:t>
      </w:r>
      <w:r>
        <w:rPr>
          <w:snapToGrid w:val="0"/>
        </w:rPr>
        <w:tab/>
        <w:t>Extended trading permits</w:t>
      </w:r>
      <w:bookmarkEnd w:id="76"/>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to sell and supply liquor under that licence according to the tenor of the permit, upon such terms as are specified 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rPr>
          <w:snapToGrid w:val="0"/>
        </w:rPr>
      </w:pPr>
      <w:r>
        <w:rPr>
          <w:snapToGrid w:val="0"/>
        </w:rPr>
        <w:tab/>
        <w:t>(4)</w:t>
      </w:r>
      <w:r>
        <w:rPr>
          <w:snapToGrid w:val="0"/>
        </w:rPr>
        <w:tab/>
        <w:t>The purposes for which an extended trading permit may be issued include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w:t>
      </w:r>
    </w:p>
    <w:p>
      <w:pPr>
        <w:pStyle w:val="Indenta"/>
        <w:rPr>
          <w:snapToGrid w:val="0"/>
        </w:rPr>
      </w:pPr>
      <w:r>
        <w:rPr>
          <w:snapToGrid w:val="0"/>
        </w:rPr>
        <w:tab/>
        <w:t>(c)</w:t>
      </w:r>
      <w:r>
        <w:rPr>
          <w:snapToGrid w:val="0"/>
        </w:rPr>
        <w:tab/>
        <w:t>a restaurant comprised within residential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residential accommodation for the travelling public;</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w:t>
      </w:r>
    </w:p>
    <w:p>
      <w:pPr>
        <w:pStyle w:val="Indenta"/>
        <w:rPr>
          <w:snapToGrid w:val="0"/>
        </w:rPr>
      </w:pPr>
      <w:r>
        <w:rPr>
          <w:snapToGrid w:val="0"/>
        </w:rPr>
        <w:tab/>
        <w:t>(cb)</w:t>
      </w:r>
      <w:r>
        <w:rPr>
          <w:snapToGrid w:val="0"/>
        </w:rPr>
        <w:tab/>
        <w:t>authorising the licensee of a club licence to sell liquor on a specified special occasion or a day on which a specified function is held on, or on a specified part of, the licensed premises, to persons other than members, or guests of members, of the club, notwithstanding section 48(2);</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2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 which remains in force for the period specified; or</w:t>
      </w:r>
    </w:p>
    <w:p>
      <w:pPr>
        <w:pStyle w:val="Indenta"/>
        <w:rPr>
          <w:snapToGrid w:val="0"/>
        </w:rPr>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p>
    <w:p>
      <w:pPr>
        <w:pStyle w:val="Subsection"/>
        <w:rPr>
          <w:snapToGrid w:val="0"/>
        </w:rPr>
      </w:pPr>
      <w:r>
        <w:rPr>
          <w:snapToGrid w:val="0"/>
        </w:rPr>
        <w:tab/>
        <w:t>(5)</w:t>
      </w:r>
      <w:r>
        <w:rPr>
          <w:snapToGrid w:val="0"/>
        </w:rPr>
        <w:tab/>
        <w:t>Nothing in subsection (4) precludes the licensing authority from issuing an extended trading permit for a purpose to which that subsection does not refer.</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t>Where 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107.] </w:t>
      </w:r>
    </w:p>
    <w:p>
      <w:pPr>
        <w:pStyle w:val="Heading5"/>
        <w:rPr>
          <w:snapToGrid w:val="0"/>
        </w:rPr>
      </w:pPr>
      <w:bookmarkStart w:id="77" w:name="_Toc389662691"/>
      <w:r>
        <w:rPr>
          <w:rStyle w:val="CharSectno"/>
        </w:rPr>
        <w:t>61</w:t>
      </w:r>
      <w:r>
        <w:rPr>
          <w:snapToGrid w:val="0"/>
        </w:rPr>
        <w:t>.</w:t>
      </w:r>
      <w:r>
        <w:rPr>
          <w:snapToGrid w:val="0"/>
        </w:rPr>
        <w:tab/>
        <w:t>Requirements relating to permits for an extended area</w:t>
      </w:r>
      <w:bookmarkEnd w:id="7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3"/>
        <w:keepLines/>
        <w:rPr>
          <w:snapToGrid w:val="0"/>
        </w:rPr>
      </w:pPr>
      <w:bookmarkStart w:id="78" w:name="_Toc389662692"/>
      <w:r>
        <w:rPr>
          <w:rStyle w:val="CharDivNo"/>
        </w:rPr>
        <w:t>Division 5</w:t>
      </w:r>
      <w:r>
        <w:rPr>
          <w:snapToGrid w:val="0"/>
        </w:rPr>
        <w:t> — </w:t>
      </w:r>
      <w:r>
        <w:rPr>
          <w:rStyle w:val="CharDivText"/>
        </w:rPr>
        <w:t>Conditional grants or approvals</w:t>
      </w:r>
      <w:bookmarkEnd w:id="78"/>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79" w:name="_Toc389662693"/>
      <w:r>
        <w:rPr>
          <w:rStyle w:val="CharSectno"/>
        </w:rPr>
        <w:t>62</w:t>
      </w:r>
      <w:r>
        <w:rPr>
          <w:snapToGrid w:val="0"/>
        </w:rPr>
        <w:t>.</w:t>
      </w:r>
      <w:r>
        <w:rPr>
          <w:snapToGrid w:val="0"/>
        </w:rPr>
        <w:tab/>
        <w:t>Conditional grants or removals for uncompleted premises</w:t>
      </w:r>
      <w:bookmarkEnd w:id="79"/>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80" w:name="_Toc389662694"/>
      <w:r>
        <w:rPr>
          <w:rStyle w:val="CharSectno"/>
        </w:rPr>
        <w:t>62A</w:t>
      </w:r>
      <w:r>
        <w:rPr>
          <w:snapToGrid w:val="0"/>
        </w:rPr>
        <w:t>.</w:t>
      </w:r>
      <w:r>
        <w:rPr>
          <w:snapToGrid w:val="0"/>
        </w:rPr>
        <w:tab/>
        <w:t>Conditional grants pending local authority approvals etc.</w:t>
      </w:r>
      <w:bookmarkEnd w:id="8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81" w:name="_Toc389662695"/>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81"/>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82" w:name="_Toc389662696"/>
      <w:r>
        <w:rPr>
          <w:rStyle w:val="CharDivNo"/>
        </w:rPr>
        <w:t>Division 6</w:t>
      </w:r>
      <w:r>
        <w:rPr>
          <w:snapToGrid w:val="0"/>
        </w:rPr>
        <w:t> — </w:t>
      </w:r>
      <w:r>
        <w:rPr>
          <w:rStyle w:val="CharDivText"/>
        </w:rPr>
        <w:t>Conditions, generally</w:t>
      </w:r>
      <w:bookmarkEnd w:id="82"/>
      <w:r>
        <w:rPr>
          <w:rStyle w:val="CharDivText"/>
        </w:rPr>
        <w:t xml:space="preserve"> </w:t>
      </w:r>
    </w:p>
    <w:p>
      <w:pPr>
        <w:pStyle w:val="Heading5"/>
        <w:spacing w:before="260"/>
        <w:rPr>
          <w:snapToGrid w:val="0"/>
        </w:rPr>
      </w:pPr>
      <w:bookmarkStart w:id="83" w:name="_Toc389662697"/>
      <w:r>
        <w:rPr>
          <w:rStyle w:val="CharSectno"/>
        </w:rPr>
        <w:t>63</w:t>
      </w:r>
      <w:r>
        <w:rPr>
          <w:snapToGrid w:val="0"/>
        </w:rPr>
        <w:t>.</w:t>
      </w:r>
      <w:r>
        <w:rPr>
          <w:snapToGrid w:val="0"/>
        </w:rPr>
        <w:tab/>
        <w:t>Restriction on power to vary terms fixed or conditions imposed by the Act</w:t>
      </w:r>
      <w:bookmarkEnd w:id="83"/>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where the permitted hours applicable under section 97 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(cb)</w:t>
      </w:r>
      <w:r>
        <w:rPr>
          <w:snapToGrid w:val="0"/>
        </w:rPr>
        <w:tab/>
        <w:t>in relation to a hotel licence, other than a hotel restricted licence, vary the requirement under section 41(2)(a) to sell liquor, while the licensed premises are open, for consumption on the premises if the premises are temporarily damaged or rendered unsuitable by an unforeseen event;</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w:t>
      </w:r>
    </w:p>
    <w:p>
      <w:pPr>
        <w:pStyle w:val="Heading5"/>
        <w:rPr>
          <w:snapToGrid w:val="0"/>
        </w:rPr>
      </w:pPr>
      <w:bookmarkStart w:id="84" w:name="_Toc389662698"/>
      <w:r>
        <w:rPr>
          <w:rStyle w:val="CharSectno"/>
        </w:rPr>
        <w:t>64</w:t>
      </w:r>
      <w:r>
        <w:rPr>
          <w:snapToGrid w:val="0"/>
        </w:rPr>
        <w:t>.</w:t>
      </w:r>
      <w:r>
        <w:rPr>
          <w:snapToGrid w:val="0"/>
        </w:rPr>
        <w:tab/>
        <w:t>Power of licensing authority to impose, vary or cancel conditions</w:t>
      </w:r>
      <w:bookmarkEnd w:id="8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w:t>
      </w:r>
    </w:p>
    <w:p>
      <w:pPr>
        <w:pStyle w:val="Indenta"/>
        <w:rPr>
          <w:snapToGrid w:val="0"/>
        </w:rPr>
      </w:pPr>
      <w:r>
        <w:rPr>
          <w:snapToGrid w:val="0"/>
        </w:rPr>
        <w:tab/>
        <w:t>(c)</w:t>
      </w:r>
      <w:r>
        <w:rPr>
          <w:snapToGrid w:val="0"/>
        </w:rPr>
        <w:tab/>
        <w:t>ensure that the safety, health or welfare of persons who may resort to the licensed premises is not at risk;</w:t>
      </w:r>
    </w:p>
    <w:p>
      <w:pPr>
        <w:pStyle w:val="Indenta"/>
        <w:rPr>
          <w:snapToGrid w:val="0"/>
        </w:rPr>
      </w:pPr>
      <w:r>
        <w:rPr>
          <w:snapToGrid w:val="0"/>
        </w:rPr>
        <w:tab/>
        <w:t>(ca)</w:t>
      </w:r>
      <w:r>
        <w:rPr>
          <w:snapToGrid w:val="0"/>
        </w:rPr>
        <w:tab/>
        <w:t>ensure that liquor is sold and consumed in a responsible manner;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w:t>
      </w:r>
    </w:p>
    <w:p>
      <w:pPr>
        <w:pStyle w:val="Indenta"/>
        <w:rPr>
          <w:snapToGrid w:val="0"/>
        </w:rPr>
      </w:pPr>
      <w:r>
        <w:rPr>
          <w:snapToGrid w:val="0"/>
        </w:rPr>
        <w:tab/>
        <w:t>(cd)</w:t>
      </w:r>
      <w:r>
        <w:rPr>
          <w:snapToGrid w:val="0"/>
        </w:rPr>
        <w:tab/>
        <w:t>limit or prohibit the sale of liquor on credit;</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w:t>
      </w:r>
    </w:p>
    <w:p>
      <w:pPr>
        <w:pStyle w:val="Indenta"/>
        <w:rPr>
          <w:snapToGrid w:val="0"/>
        </w:rPr>
      </w:pPr>
      <w:r>
        <w:rPr>
          <w:snapToGrid w:val="0"/>
        </w:rPr>
        <w:tab/>
        <w:t>(gb)</w:t>
      </w:r>
      <w:r>
        <w:rPr>
          <w:snapToGrid w:val="0"/>
        </w:rPr>
        <w:tab/>
        <w:t>prohibit any practices which encourage irresponsible drinking;</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Subsection"/>
        <w:rPr>
          <w:snapToGrid w:val="0"/>
        </w:rPr>
      </w:pPr>
      <w:r>
        <w:rPr>
          <w:snapToGrid w:val="0"/>
        </w:rPr>
        <w:tab/>
        <w:t>(5)</w:t>
      </w:r>
      <w:r>
        <w:rPr>
          <w:snapToGrid w:val="0"/>
        </w:rPr>
        <w:tab/>
        <w:t>A condition may be imposed under this section which varies the obligation imposed by section 108(2)(a).</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Footnotesection"/>
      </w:pPr>
      <w:r>
        <w:tab/>
        <w:t xml:space="preserve">[Section 64 amended by No. 56 of 1997 s. 31; No. 12 of 1998 s. 44.] </w:t>
      </w:r>
    </w:p>
    <w:p>
      <w:pPr>
        <w:pStyle w:val="Heading5"/>
        <w:rPr>
          <w:snapToGrid w:val="0"/>
        </w:rPr>
      </w:pPr>
      <w:bookmarkStart w:id="85" w:name="_Toc389662699"/>
      <w:r>
        <w:rPr>
          <w:rStyle w:val="CharSectno"/>
        </w:rPr>
        <w:t>65</w:t>
      </w:r>
      <w:r>
        <w:rPr>
          <w:snapToGrid w:val="0"/>
        </w:rPr>
        <w:t>.</w:t>
      </w:r>
      <w:r>
        <w:rPr>
          <w:snapToGrid w:val="0"/>
        </w:rPr>
        <w:tab/>
        <w:t>Conditions relating to sales for consumption off the licensed premises</w:t>
      </w:r>
      <w:bookmarkEnd w:id="8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86" w:name="_Toc389662700"/>
      <w:r>
        <w:rPr>
          <w:rStyle w:val="CharSectno"/>
        </w:rPr>
        <w:t>65A</w:t>
      </w:r>
      <w:r>
        <w:t>.</w:t>
      </w:r>
      <w:r>
        <w:tab/>
        <w:t>Petrol station not to be established on premises from which packaged liquor is sold</w:t>
      </w:r>
      <w:bookmarkEnd w:id="86"/>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3"/>
        <w:rPr>
          <w:snapToGrid w:val="0"/>
        </w:rPr>
      </w:pPr>
      <w:bookmarkStart w:id="87" w:name="_Toc389662701"/>
      <w:r>
        <w:rPr>
          <w:rStyle w:val="CharDivNo"/>
        </w:rPr>
        <w:t>Division 7</w:t>
      </w:r>
      <w:r>
        <w:rPr>
          <w:snapToGrid w:val="0"/>
        </w:rPr>
        <w:t> — </w:t>
      </w:r>
      <w:r>
        <w:rPr>
          <w:rStyle w:val="CharDivText"/>
        </w:rPr>
        <w:t>Applications</w:t>
      </w:r>
      <w:bookmarkEnd w:id="87"/>
      <w:r>
        <w:rPr>
          <w:rStyle w:val="CharDivText"/>
        </w:rPr>
        <w:t xml:space="preserve"> </w:t>
      </w:r>
    </w:p>
    <w:p>
      <w:pPr>
        <w:pStyle w:val="Heading5"/>
        <w:rPr>
          <w:snapToGrid w:val="0"/>
        </w:rPr>
      </w:pPr>
      <w:bookmarkStart w:id="88" w:name="_Toc389662702"/>
      <w:r>
        <w:rPr>
          <w:rStyle w:val="CharSectno"/>
        </w:rPr>
        <w:t>66</w:t>
      </w:r>
      <w:r>
        <w:rPr>
          <w:snapToGrid w:val="0"/>
        </w:rPr>
        <w:t>.</w:t>
      </w:r>
      <w:r>
        <w:rPr>
          <w:snapToGrid w:val="0"/>
        </w:rPr>
        <w:tab/>
        <w:t>Plans and specifications</w:t>
      </w:r>
      <w:bookmarkEnd w:id="8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89" w:name="_Toc389662703"/>
      <w:r>
        <w:rPr>
          <w:rStyle w:val="CharSectno"/>
        </w:rPr>
        <w:t>67</w:t>
      </w:r>
      <w:r>
        <w:rPr>
          <w:snapToGrid w:val="0"/>
        </w:rPr>
        <w:t>.</w:t>
      </w:r>
      <w:r>
        <w:rPr>
          <w:snapToGrid w:val="0"/>
        </w:rPr>
        <w:tab/>
        <w:t>Advertisement of applications</w:t>
      </w:r>
      <w:bookmarkEnd w:id="89"/>
      <w:r>
        <w:rPr>
          <w:snapToGrid w:val="0"/>
        </w:rPr>
        <w:t xml:space="preserve"> </w:t>
      </w:r>
    </w:p>
    <w:p>
      <w:pPr>
        <w:pStyle w:val="Subsection"/>
        <w:rPr>
          <w:snapToGrid w:val="0"/>
        </w:rPr>
      </w:pPr>
      <w:r>
        <w:rPr>
          <w:snapToGrid w:val="0"/>
        </w:rPr>
        <w:tab/>
        <w:t>(1)</w:t>
      </w:r>
      <w:r>
        <w:rPr>
          <w:snapToGrid w:val="0"/>
        </w:rPr>
        <w:tab/>
        <w:t>An application in respect of any of the following matters must be advertised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Ednotepara"/>
        <w:keepNext/>
        <w:rPr>
          <w:snapToGrid w:val="0"/>
        </w:rPr>
      </w:pPr>
      <w:r>
        <w:rPr>
          <w:snapToGrid w:val="0"/>
        </w:rPr>
        <w:tab/>
        <w:t>[(c)</w:t>
      </w:r>
      <w:r>
        <w:rPr>
          <w:snapToGrid w:val="0"/>
        </w:rPr>
        <w:tab/>
        <w:t>deleted]</w:t>
      </w:r>
    </w:p>
    <w:p>
      <w:pPr>
        <w:pStyle w:val="Indenta"/>
        <w:rPr>
          <w:snapToGrid w:val="0"/>
        </w:rPr>
      </w:pPr>
      <w:r>
        <w:rPr>
          <w:snapToGrid w:val="0"/>
        </w:rPr>
        <w:tab/>
        <w:t>(d)</w:t>
      </w:r>
      <w:r>
        <w:rPr>
          <w:snapToGrid w:val="0"/>
        </w:rPr>
        <w:tab/>
        <w:t>an application to which section 77(6) applies,</w:t>
      </w:r>
    </w:p>
    <w:p>
      <w:pPr>
        <w:pStyle w:val="Subsection"/>
        <w:rPr>
          <w:snapToGrid w:val="0"/>
        </w:rPr>
      </w:pPr>
      <w:r>
        <w:rPr>
          <w:snapToGrid w:val="0"/>
        </w:rPr>
        <w:tab/>
      </w:r>
      <w:r>
        <w:rPr>
          <w:snapToGrid w:val="0"/>
        </w:rPr>
        <w:tab/>
        <w:t>and the applicant must comply with any relevant requirement under subsection (3) and with subsection (4).</w:t>
      </w:r>
    </w:p>
    <w:p>
      <w:pPr>
        <w:pStyle w:val="Subsection"/>
        <w:rPr>
          <w:snapToGrid w:val="0"/>
        </w:rPr>
      </w:pPr>
      <w:r>
        <w:rPr>
          <w:snapToGrid w:val="0"/>
        </w:rPr>
        <w:tab/>
        <w:t>(2)</w:t>
      </w:r>
      <w:r>
        <w:rPr>
          <w:snapToGrid w:val="0"/>
        </w:rPr>
        <w:tab/>
        <w:t>An application in respect of any other matter must, if the Director so requires, be advertised.</w:t>
      </w:r>
    </w:p>
    <w:p>
      <w:pPr>
        <w:pStyle w:val="Subsection"/>
        <w:keepNext/>
        <w:rPr>
          <w:snapToGrid w:val="0"/>
        </w:rPr>
      </w:pPr>
      <w:r>
        <w:rPr>
          <w:snapToGrid w:val="0"/>
        </w:rPr>
        <w:tab/>
        <w:t>(3)</w:t>
      </w:r>
      <w:r>
        <w:rPr>
          <w:snapToGrid w:val="0"/>
        </w:rPr>
        <w:tab/>
        <w:t>The Director may, in an appropriate case — </w:t>
      </w:r>
    </w:p>
    <w:p>
      <w:pPr>
        <w:pStyle w:val="Indenta"/>
        <w:rPr>
          <w:snapToGrid w:val="0"/>
        </w:rPr>
      </w:pPr>
      <w:r>
        <w:rPr>
          <w:snapToGrid w:val="0"/>
        </w:rPr>
        <w:tab/>
        <w:t>(a)</w:t>
      </w:r>
      <w:r>
        <w:rPr>
          <w:snapToGrid w:val="0"/>
        </w:rPr>
        <w:tab/>
        <w:t>waive or modify any requirement as to advertisement prescribed, or specified in this section;</w:t>
      </w:r>
    </w:p>
    <w:p>
      <w:pPr>
        <w:pStyle w:val="Indenta"/>
        <w:rPr>
          <w:snapToGrid w:val="0"/>
        </w:rPr>
      </w:pPr>
      <w:r>
        <w:rPr>
          <w:snapToGrid w:val="0"/>
        </w:rPr>
        <w:tab/>
        <w:t>(b)</w:t>
      </w:r>
      <w:r>
        <w:rPr>
          <w:snapToGrid w:val="0"/>
        </w:rPr>
        <w:tab/>
        <w:t>direct that — </w:t>
      </w:r>
    </w:p>
    <w:p>
      <w:pPr>
        <w:pStyle w:val="Indenti"/>
        <w:rPr>
          <w:snapToGrid w:val="0"/>
        </w:rPr>
      </w:pPr>
      <w:r>
        <w:rPr>
          <w:snapToGrid w:val="0"/>
        </w:rPr>
        <w:tab/>
        <w:t>(i)</w:t>
      </w:r>
      <w:r>
        <w:rPr>
          <w:snapToGrid w:val="0"/>
        </w:rPr>
        <w:tab/>
        <w:t>a requirement as to advertisement shall have effect in relation to a particular application to which it would not otherwise apply; or</w:t>
      </w:r>
    </w:p>
    <w:p>
      <w:pPr>
        <w:pStyle w:val="Indenti"/>
        <w:rPr>
          <w:snapToGrid w:val="0"/>
        </w:rPr>
      </w:pPr>
      <w:r>
        <w:rPr>
          <w:snapToGrid w:val="0"/>
        </w:rPr>
        <w:tab/>
        <w:t>(ii)</w:t>
      </w:r>
      <w:r>
        <w:rPr>
          <w:snapToGrid w:val="0"/>
        </w:rPr>
        <w:tab/>
        <w:t>for a requirement of this section there shall be substituted a requirement as to advertisement specified by the Director.</w:t>
      </w:r>
    </w:p>
    <w:p>
      <w:pPr>
        <w:pStyle w:val="Subsection"/>
        <w:rPr>
          <w:snapToGrid w:val="0"/>
        </w:rPr>
      </w:pPr>
      <w:r>
        <w:rPr>
          <w:snapToGrid w:val="0"/>
        </w:rPr>
        <w:tab/>
        <w:t>(4)</w:t>
      </w:r>
      <w:r>
        <w:rPr>
          <w:snapToGrid w:val="0"/>
        </w:rPr>
        <w:tab/>
        <w:t>Where an application is required to be advertised — </w:t>
      </w:r>
    </w:p>
    <w:p>
      <w:pPr>
        <w:pStyle w:val="Indenta"/>
        <w:rPr>
          <w:snapToGrid w:val="0"/>
        </w:rPr>
      </w:pPr>
      <w:r>
        <w:rPr>
          <w:snapToGrid w:val="0"/>
        </w:rPr>
        <w:tab/>
        <w:t>(a)</w:t>
      </w:r>
      <w:r>
        <w:rPr>
          <w:snapToGrid w:val="0"/>
        </w:rPr>
        <w:tab/>
        <w:t>the applicant shall cause a notice, complying with any direction given by the Director and with any prescribed requirement, to be published, within such period after the application is lodged as the Director may specify, by way of advertisement in a daily newspaper specified by the Director; and</w:t>
      </w:r>
    </w:p>
    <w:p>
      <w:pPr>
        <w:pStyle w:val="Indenta"/>
        <w:rPr>
          <w:snapToGrid w:val="0"/>
        </w:rPr>
      </w:pPr>
      <w:r>
        <w:rPr>
          <w:snapToGrid w:val="0"/>
        </w:rPr>
        <w:tab/>
        <w:t>(b)</w:t>
      </w:r>
      <w:r>
        <w:rPr>
          <w:snapToGrid w:val="0"/>
        </w:rPr>
        <w:tab/>
        <w:t>in the case of an application relating to a Category A licence, the applicant shall take all reasonable steps to ensure that a notice of the application, complying with any direction given by the Director and with any prescribed requirement, is kept posted and conspicuously displayed — </w:t>
      </w:r>
    </w:p>
    <w:p>
      <w:pPr>
        <w:pStyle w:val="Indenti"/>
        <w:rPr>
          <w:snapToGrid w:val="0"/>
        </w:rPr>
      </w:pPr>
      <w:r>
        <w:rPr>
          <w:snapToGrid w:val="0"/>
        </w:rPr>
        <w:tab/>
        <w:t>(i)</w:t>
      </w:r>
      <w:r>
        <w:rPr>
          <w:snapToGrid w:val="0"/>
        </w:rPr>
        <w:tab/>
        <w:t>on the premises to which the application relates; or</w:t>
      </w:r>
    </w:p>
    <w:p>
      <w:pPr>
        <w:pStyle w:val="Indenti"/>
        <w:keepNext/>
        <w:rPr>
          <w:snapToGrid w:val="0"/>
        </w:rPr>
      </w:pPr>
      <w:r>
        <w:rPr>
          <w:snapToGrid w:val="0"/>
        </w:rPr>
        <w:tab/>
        <w:t>(ii)</w:t>
      </w:r>
      <w:r>
        <w:rPr>
          <w:snapToGrid w:val="0"/>
        </w:rPr>
        <w:tab/>
        <w:t>if those premises are not then constructed, on the land on which it is proposed to construct them,</w:t>
      </w:r>
    </w:p>
    <w:p>
      <w:pPr>
        <w:pStyle w:val="Indenta"/>
        <w:rPr>
          <w:snapToGrid w:val="0"/>
        </w:rPr>
      </w:pPr>
      <w:r>
        <w:rPr>
          <w:snapToGrid w:val="0"/>
        </w:rPr>
        <w:tab/>
      </w:r>
      <w:r>
        <w:rPr>
          <w:snapToGrid w:val="0"/>
        </w:rPr>
        <w:tab/>
        <w:t>so that it can be clearly seen and easily read by passers</w:t>
      </w:r>
      <w:r>
        <w:rPr>
          <w:snapToGrid w:val="0"/>
        </w:rPr>
        <w:noBreakHyphen/>
        <w:t>by, during such period after the application is lodged as the Director may require, being a period ending after the last day on which objections to the application should be lodged.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w:t>
      </w:r>
    </w:p>
    <w:p>
      <w:pPr>
        <w:pStyle w:val="Heading5"/>
        <w:rPr>
          <w:snapToGrid w:val="0"/>
        </w:rPr>
      </w:pPr>
      <w:bookmarkStart w:id="90" w:name="_Toc389662704"/>
      <w:r>
        <w:rPr>
          <w:rStyle w:val="CharSectno"/>
        </w:rPr>
        <w:t>68</w:t>
      </w:r>
      <w:r>
        <w:rPr>
          <w:snapToGrid w:val="0"/>
        </w:rPr>
        <w:t>.</w:t>
      </w:r>
      <w:r>
        <w:rPr>
          <w:snapToGrid w:val="0"/>
        </w:rPr>
        <w:tab/>
        <w:t>Notice of application, and inspection of records</w:t>
      </w:r>
      <w:bookmarkEnd w:id="9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 if a form and manner of giving notice of an application of that kind is prescribed, be so made by notice;</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Heading5"/>
        <w:rPr>
          <w:snapToGrid w:val="0"/>
        </w:rPr>
      </w:pPr>
      <w:bookmarkStart w:id="91" w:name="_Toc389662705"/>
      <w:r>
        <w:rPr>
          <w:rStyle w:val="CharSectno"/>
        </w:rPr>
        <w:t>69</w:t>
      </w:r>
      <w:r>
        <w:rPr>
          <w:snapToGrid w:val="0"/>
        </w:rPr>
        <w:t>.</w:t>
      </w:r>
      <w:r>
        <w:rPr>
          <w:snapToGrid w:val="0"/>
        </w:rPr>
        <w:tab/>
        <w:t>Disposal of applications, and interventions generally</w:t>
      </w:r>
      <w:bookmarkEnd w:id="91"/>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give to the applicant sufficient directions to enable the application to be advertised in accordance with the requirements of this Act and the licensing authority.</w:t>
      </w:r>
    </w:p>
    <w:p>
      <w:pPr>
        <w:pStyle w:val="Subsection"/>
        <w:rPr>
          <w:snapToGrid w:val="0"/>
        </w:rPr>
      </w:pPr>
      <w:r>
        <w:rPr>
          <w:snapToGrid w:val="0"/>
        </w:rPr>
        <w:tab/>
        <w:t>(3)</w:t>
      </w:r>
      <w:r>
        <w:rPr>
          <w:snapToGrid w:val="0"/>
        </w:rPr>
        <w:tab/>
        <w:t>Every advertisement required under section 67(4)(a) 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if the application is for the grant or removal of a Category A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w:t>
      </w:r>
    </w:p>
    <w:p>
      <w:pPr>
        <w:pStyle w:val="Indenti"/>
        <w:rPr>
          <w:snapToGrid w:val="0"/>
        </w:rPr>
      </w:pPr>
      <w:r>
        <w:rPr>
          <w:snapToGrid w:val="0"/>
        </w:rPr>
        <w:tab/>
        <w:t>(ii)</w:t>
      </w:r>
      <w:r>
        <w:rPr>
          <w:snapToGrid w:val="0"/>
        </w:rPr>
        <w:tab/>
        <w:t>on the question of whether, if a particular application were granted, public disorder or disturbance would be likely to result;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(8a)</w:t>
      </w:r>
      <w:r>
        <w:rPr>
          <w:snapToGrid w:val="0"/>
        </w:rPr>
        <w:tab/>
        <w:t xml:space="preserve">The Executive Director, Public Health within the meaning of the </w:t>
      </w:r>
      <w:r>
        <w:rPr>
          <w:i/>
          <w:snapToGrid w:val="0"/>
        </w:rPr>
        <w:t>Health Act 1911</w:t>
      </w:r>
      <w:r>
        <w:rPr>
          <w:snapToGrid w:val="0"/>
        </w:rPr>
        <w:t>, or a person authorised in writing by the Executive Director to act on his or her behalf, may intervene in proceedings before the licensing authority for the purpose of introducing evidence or making representations in relation to the harm or ill</w:t>
      </w:r>
      <w:r>
        <w:rPr>
          <w:snapToGrid w:val="0"/>
        </w:rPr>
        <w:noBreakHyphen/>
        <w:t>health caused to people, or any group of people, due to the use of liquor, and the minimization of that harm or ill</w:t>
      </w:r>
      <w:r>
        <w:rPr>
          <w:snapToGrid w:val="0"/>
        </w:rP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t>In proceedings before the Court, the Director may intervene 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w:t>
      </w:r>
    </w:p>
    <w:p>
      <w:pPr>
        <w:pStyle w:val="Heading5"/>
        <w:rPr>
          <w:snapToGrid w:val="0"/>
        </w:rPr>
      </w:pPr>
      <w:bookmarkStart w:id="92" w:name="_Toc389662706"/>
      <w:r>
        <w:rPr>
          <w:rStyle w:val="CharSectno"/>
        </w:rPr>
        <w:t>70</w:t>
      </w:r>
      <w:r>
        <w:rPr>
          <w:snapToGrid w:val="0"/>
        </w:rPr>
        <w:t>.</w:t>
      </w:r>
      <w:r>
        <w:rPr>
          <w:snapToGrid w:val="0"/>
        </w:rPr>
        <w:tab/>
        <w:t>Intervention by persons interested in a club licence</w:t>
      </w:r>
      <w:bookmarkEnd w:id="92"/>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Heading5"/>
        <w:rPr>
          <w:snapToGrid w:val="0"/>
        </w:rPr>
      </w:pPr>
      <w:bookmarkStart w:id="93" w:name="_Toc389662707"/>
      <w:r>
        <w:rPr>
          <w:rStyle w:val="CharSectno"/>
        </w:rPr>
        <w:t>71</w:t>
      </w:r>
      <w:r>
        <w:rPr>
          <w:snapToGrid w:val="0"/>
        </w:rPr>
        <w:t>.</w:t>
      </w:r>
      <w:r>
        <w:rPr>
          <w:snapToGrid w:val="0"/>
        </w:rPr>
        <w:tab/>
        <w:t>The affected area</w:t>
      </w:r>
      <w:bookmarkEnd w:id="9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notice of application is lodged for the grant, or removal, of a Category A licence; or</w:t>
      </w:r>
    </w:p>
    <w:p>
      <w:pPr>
        <w:pStyle w:val="Indenta"/>
        <w:rPr>
          <w:snapToGrid w:val="0"/>
        </w:rPr>
      </w:pPr>
      <w:r>
        <w:rPr>
          <w:snapToGrid w:val="0"/>
        </w:rPr>
        <w:tab/>
        <w:t>(b)</w:t>
      </w:r>
      <w:r>
        <w:rPr>
          <w:snapToGrid w:val="0"/>
        </w:rPr>
        <w:tab/>
        <w:t>the Director, having regard to the nature of an application in any other case, determines that it would be appropriate,</w:t>
      </w:r>
    </w:p>
    <w:p>
      <w:pPr>
        <w:pStyle w:val="Subsection"/>
        <w:rPr>
          <w:snapToGrid w:val="0"/>
        </w:rPr>
      </w:pPr>
      <w:r>
        <w:rPr>
          <w:snapToGrid w:val="0"/>
        </w:rPr>
        <w:tab/>
      </w:r>
      <w:r>
        <w:rPr>
          <w:snapToGrid w:val="0"/>
        </w:rPr>
        <w:tab/>
        <w:t>the Director shall cause an area surrounding the place where the premises to which the application relates are, or are proposed to be, situate to be specified, and the area so specified shall be taken to be the affected area to which the application relates.</w:t>
      </w:r>
    </w:p>
    <w:p>
      <w:pPr>
        <w:pStyle w:val="Subsection"/>
        <w:rPr>
          <w:snapToGrid w:val="0"/>
        </w:rPr>
      </w:pPr>
      <w:r>
        <w:rPr>
          <w:snapToGrid w:val="0"/>
        </w:rPr>
        <w:tab/>
        <w:t>(2)</w:t>
      </w:r>
      <w:r>
        <w:rPr>
          <w:snapToGrid w:val="0"/>
        </w:rPr>
        <w:tab/>
        <w:t>In specifying an affected area, the Director may take into account — </w:t>
      </w:r>
    </w:p>
    <w:p>
      <w:pPr>
        <w:pStyle w:val="Indenta"/>
        <w:rPr>
          <w:snapToGrid w:val="0"/>
        </w:rPr>
      </w:pPr>
      <w:r>
        <w:rPr>
          <w:snapToGrid w:val="0"/>
        </w:rPr>
        <w:tab/>
        <w:t>(a)</w:t>
      </w:r>
      <w:r>
        <w:rPr>
          <w:snapToGrid w:val="0"/>
        </w:rPr>
        <w:tab/>
        <w:t>the class of licence to which the application relates;</w:t>
      </w:r>
    </w:p>
    <w:p>
      <w:pPr>
        <w:pStyle w:val="Indenta"/>
        <w:rPr>
          <w:snapToGrid w:val="0"/>
        </w:rPr>
      </w:pPr>
      <w:r>
        <w:rPr>
          <w:snapToGrid w:val="0"/>
        </w:rPr>
        <w:tab/>
        <w:t>(b)</w:t>
      </w:r>
      <w:r>
        <w:rPr>
          <w:snapToGrid w:val="0"/>
        </w:rPr>
        <w:tab/>
        <w:t>the nature and location of the places from which, and the persons from whom, the prospective licensee might derive trade;</w:t>
      </w:r>
    </w:p>
    <w:p>
      <w:pPr>
        <w:pStyle w:val="Indenta"/>
        <w:rPr>
          <w:snapToGrid w:val="0"/>
        </w:rPr>
      </w:pPr>
      <w:r>
        <w:rPr>
          <w:snapToGrid w:val="0"/>
        </w:rPr>
        <w:tab/>
        <w:t>(c)</w:t>
      </w:r>
      <w:r>
        <w:rPr>
          <w:snapToGrid w:val="0"/>
        </w:rPr>
        <w:tab/>
        <w:t>planning matters;</w:t>
      </w:r>
    </w:p>
    <w:p>
      <w:pPr>
        <w:pStyle w:val="Indenta"/>
        <w:rPr>
          <w:snapToGrid w:val="0"/>
        </w:rPr>
      </w:pPr>
      <w:r>
        <w:rPr>
          <w:snapToGrid w:val="0"/>
        </w:rPr>
        <w:tab/>
        <w:t>(d)</w:t>
      </w:r>
      <w:r>
        <w:rPr>
          <w:snapToGrid w:val="0"/>
        </w:rPr>
        <w:tab/>
        <w:t>existing or proposed licensed premises or other recreational venues, facilities or amenities;</w:t>
      </w:r>
    </w:p>
    <w:p>
      <w:pPr>
        <w:pStyle w:val="Indenta"/>
        <w:rPr>
          <w:snapToGrid w:val="0"/>
        </w:rPr>
      </w:pPr>
      <w:r>
        <w:rPr>
          <w:snapToGrid w:val="0"/>
        </w:rPr>
        <w:tab/>
        <w:t>(e)</w:t>
      </w:r>
      <w:r>
        <w:rPr>
          <w:snapToGrid w:val="0"/>
        </w:rPr>
        <w:tab/>
        <w:t>questions of access, or of limitations on access;</w:t>
      </w:r>
    </w:p>
    <w:p>
      <w:pPr>
        <w:pStyle w:val="Indenta"/>
        <w:rPr>
          <w:snapToGrid w:val="0"/>
        </w:rPr>
      </w:pPr>
      <w:r>
        <w:rPr>
          <w:snapToGrid w:val="0"/>
        </w:rPr>
        <w:tab/>
        <w:t>(f)</w:t>
      </w:r>
      <w:r>
        <w:rPr>
          <w:snapToGrid w:val="0"/>
        </w:rPr>
        <w:tab/>
        <w:t>established or prospective trading patterns; and</w:t>
      </w:r>
    </w:p>
    <w:p>
      <w:pPr>
        <w:pStyle w:val="Indenta"/>
        <w:rPr>
          <w:snapToGrid w:val="0"/>
        </w:rPr>
      </w:pPr>
      <w:r>
        <w:rPr>
          <w:snapToGrid w:val="0"/>
        </w:rPr>
        <w:tab/>
        <w:t>(g)</w:t>
      </w:r>
      <w:r>
        <w:rPr>
          <w:snapToGrid w:val="0"/>
        </w:rPr>
        <w:tab/>
        <w:t>any other matter likely to be relevant to the reasonable requirements or expectations of the public.</w:t>
      </w:r>
    </w:p>
    <w:p>
      <w:pPr>
        <w:pStyle w:val="Subsection"/>
        <w:rPr>
          <w:snapToGrid w:val="0"/>
        </w:rPr>
      </w:pPr>
      <w:r>
        <w:rPr>
          <w:snapToGrid w:val="0"/>
        </w:rPr>
        <w:tab/>
        <w:t>(3)</w:t>
      </w:r>
      <w:r>
        <w:rPr>
          <w:snapToGrid w:val="0"/>
        </w:rPr>
        <w:tab/>
        <w:t>A person may obtain a copy of the specification of the affected area from the Director.</w:t>
      </w:r>
    </w:p>
    <w:p>
      <w:pPr>
        <w:pStyle w:val="Footnotesection"/>
      </w:pPr>
      <w:r>
        <w:tab/>
        <w:t xml:space="preserve">[Section 71 amended by No. 12 of 1998 s. 49.] </w:t>
      </w:r>
    </w:p>
    <w:p>
      <w:pPr>
        <w:pStyle w:val="Heading5"/>
        <w:rPr>
          <w:snapToGrid w:val="0"/>
        </w:rPr>
      </w:pPr>
      <w:bookmarkStart w:id="94" w:name="_Toc389662708"/>
      <w:r>
        <w:rPr>
          <w:rStyle w:val="CharSectno"/>
        </w:rPr>
        <w:t>72</w:t>
      </w:r>
      <w:r>
        <w:rPr>
          <w:snapToGrid w:val="0"/>
        </w:rPr>
        <w:t>.</w:t>
      </w:r>
      <w:r>
        <w:rPr>
          <w:snapToGrid w:val="0"/>
        </w:rPr>
        <w:tab/>
        <w:t>Requirement for consent of an owner or lessor, and objections by an owner, lessor, lessee or mortgagee</w:t>
      </w:r>
      <w:bookmarkEnd w:id="94"/>
      <w:r>
        <w:rPr>
          <w:snapToGrid w:val="0"/>
        </w:rPr>
        <w:t xml:space="preserve"> </w:t>
      </w:r>
    </w:p>
    <w:p>
      <w:pPr>
        <w:pStyle w:val="Subsection"/>
        <w:rPr>
          <w:snapToGrid w:val="0"/>
        </w:rPr>
      </w:pPr>
      <w:r>
        <w:rPr>
          <w:snapToGrid w:val="0"/>
        </w:rPr>
        <w:tab/>
        <w:t>(1)</w:t>
      </w:r>
      <w:r>
        <w:rPr>
          <w:snapToGrid w:val="0"/>
        </w:rPr>
        <w:tab/>
        <w:t>Subject to subsection (2) — </w:t>
      </w:r>
    </w:p>
    <w:p>
      <w:pPr>
        <w:pStyle w:val="Indenta"/>
        <w:rPr>
          <w:snapToGrid w:val="0"/>
        </w:rPr>
      </w:pPr>
      <w:r>
        <w:rPr>
          <w:snapToGrid w:val="0"/>
        </w:rPr>
        <w:tab/>
        <w:t>(a)</w:t>
      </w:r>
      <w:r>
        <w:rPr>
          <w:snapToGrid w:val="0"/>
        </w:rPr>
        <w:tab/>
        <w:t>the licensing authority shall not grant an application for — </w:t>
      </w:r>
    </w:p>
    <w:p>
      <w:pPr>
        <w:pStyle w:val="Indenti"/>
        <w:rPr>
          <w:snapToGrid w:val="0"/>
        </w:rPr>
      </w:pPr>
      <w:r>
        <w:rPr>
          <w:snapToGrid w:val="0"/>
        </w:rPr>
        <w:tab/>
        <w:t>(i)</w:t>
      </w:r>
      <w:r>
        <w:rPr>
          <w:snapToGrid w:val="0"/>
        </w:rPr>
        <w:tab/>
        <w:t>the grant or transfer of a licence;</w:t>
      </w:r>
    </w:p>
    <w:p>
      <w:pPr>
        <w:pStyle w:val="Indenti"/>
        <w:rPr>
          <w:snapToGrid w:val="0"/>
        </w:rPr>
      </w:pPr>
      <w:r>
        <w:rPr>
          <w:snapToGrid w:val="0"/>
        </w:rPr>
        <w:tab/>
        <w:t>(ii)</w:t>
      </w:r>
      <w:r>
        <w:rPr>
          <w:snapToGrid w:val="0"/>
        </w:rPr>
        <w:tab/>
        <w:t>variation or cancellation of any condition imposed on a hotel licence and requiring the provision of residential accommodation;</w:t>
      </w:r>
    </w:p>
    <w:p>
      <w:pPr>
        <w:pStyle w:val="Indenti"/>
        <w:rPr>
          <w:snapToGrid w:val="0"/>
        </w:rPr>
      </w:pPr>
      <w:r>
        <w:rPr>
          <w:snapToGrid w:val="0"/>
        </w:rPr>
        <w:tab/>
        <w:t>(iii)</w:t>
      </w:r>
      <w:r>
        <w:rPr>
          <w:snapToGrid w:val="0"/>
        </w:rPr>
        <w:tab/>
        <w:t>approval to a proposed alteration to, or redefinition of, the licensed premises; or</w:t>
      </w:r>
    </w:p>
    <w:p>
      <w:pPr>
        <w:pStyle w:val="Indenti"/>
        <w:rPr>
          <w:snapToGrid w:val="0"/>
        </w:rPr>
      </w:pPr>
      <w:r>
        <w:rPr>
          <w:snapToGrid w:val="0"/>
        </w:rPr>
        <w:tab/>
        <w:t>(iv)</w:t>
      </w:r>
      <w:r>
        <w:rPr>
          <w:snapToGrid w:val="0"/>
        </w:rPr>
        <w:tab/>
        <w:t>an extended area permit in respect of any place which is to be comprised within the licensed premises,</w:t>
      </w:r>
    </w:p>
    <w:p>
      <w:pPr>
        <w:pStyle w:val="Indenta"/>
        <w:rPr>
          <w:snapToGrid w:val="0"/>
        </w:rPr>
      </w:pPr>
      <w:r>
        <w:rPr>
          <w:snapToGrid w:val="0"/>
        </w:rPr>
        <w:tab/>
      </w:r>
      <w:r>
        <w:rPr>
          <w:snapToGrid w:val="0"/>
        </w:rPr>
        <w:tab/>
        <w:t>unless the applicant satisfies the licensing authority that the owner, and where the licensed premises or proposed licensed premises are occupied, or are to be occupied, under a lease, the lessor, has consented to the application; and</w:t>
      </w:r>
    </w:p>
    <w:p>
      <w:pPr>
        <w:pStyle w:val="Indenta"/>
        <w:rPr>
          <w:snapToGrid w:val="0"/>
        </w:rPr>
      </w:pPr>
      <w:r>
        <w:rPr>
          <w:snapToGrid w:val="0"/>
        </w:rPr>
        <w:tab/>
        <w:t>(b)</w:t>
      </w:r>
      <w:r>
        <w:rPr>
          <w:snapToGrid w:val="0"/>
        </w:rPr>
        <w:tab/>
        <w:t>the licensing authority shall not grant an application for the removal of a licence unless the applicant satisfies the licensing authority that — </w:t>
      </w:r>
    </w:p>
    <w:p>
      <w:pPr>
        <w:pStyle w:val="Indenti"/>
        <w:rPr>
          <w:snapToGrid w:val="0"/>
        </w:rPr>
      </w:pPr>
      <w:r>
        <w:rPr>
          <w:snapToGrid w:val="0"/>
        </w:rPr>
        <w:tab/>
        <w:t>(i)</w:t>
      </w:r>
      <w:r>
        <w:rPr>
          <w:snapToGrid w:val="0"/>
        </w:rPr>
        <w:tab/>
        <w:t>the owner of the premises from, and the owner of the premises to, which the licence is sought to be removed have each consented to the application;</w:t>
      </w:r>
    </w:p>
    <w:p>
      <w:pPr>
        <w:pStyle w:val="Indenti"/>
        <w:rPr>
          <w:snapToGrid w:val="0"/>
        </w:rPr>
      </w:pPr>
      <w:r>
        <w:rPr>
          <w:snapToGrid w:val="0"/>
        </w:rPr>
        <w:tab/>
        <w:t>(ii)</w:t>
      </w:r>
      <w:r>
        <w:rPr>
          <w:snapToGrid w:val="0"/>
        </w:rPr>
        <w:tab/>
        <w:t>where either the premises from or the premises to which the licence is sought to be removed are occupied, or are to be occupied, under a lease, the lessor has consented to the application; and</w:t>
      </w:r>
    </w:p>
    <w:p>
      <w:pPr>
        <w:pStyle w:val="Indenti"/>
        <w:rPr>
          <w:snapToGrid w:val="0"/>
        </w:rPr>
      </w:pPr>
      <w:r>
        <w:rPr>
          <w:snapToGrid w:val="0"/>
        </w:rPr>
        <w:tab/>
        <w:t>(iii)</w:t>
      </w:r>
      <w:r>
        <w:rPr>
          <w:snapToGrid w:val="0"/>
        </w:rPr>
        <w:tab/>
        <w:t>notice was given under section 81(3)(c)(ii).</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Subsection"/>
        <w:rPr>
          <w:snapToGrid w:val="0"/>
        </w:rPr>
      </w:pPr>
      <w:r>
        <w:rPr>
          <w:snapToGrid w:val="0"/>
        </w:rPr>
        <w:tab/>
        <w:t>(6)</w:t>
      </w:r>
      <w:r>
        <w:rPr>
          <w:snapToGrid w:val="0"/>
        </w:rPr>
        <w:tab/>
        <w:t>For the purposes of this Act, a lessor of the premises to which a licence is sought to be removed will be taken to have consented to an application for the grant or removal of a licence or approval to the transfer of a licence if, at the time of granting or assigning the lease of the premises to the applicant, the lessor was aware that the applicant proposed to sell or supply liquor on the premises.</w:t>
      </w:r>
    </w:p>
    <w:p>
      <w:pPr>
        <w:pStyle w:val="Footnotesection"/>
      </w:pPr>
      <w:r>
        <w:tab/>
        <w:t xml:space="preserve">[Section 72 amended by No. 12 of 1998 s. 50.] </w:t>
      </w:r>
    </w:p>
    <w:p>
      <w:pPr>
        <w:pStyle w:val="Heading5"/>
        <w:rPr>
          <w:snapToGrid w:val="0"/>
        </w:rPr>
      </w:pPr>
      <w:bookmarkStart w:id="95" w:name="_Toc389662709"/>
      <w:r>
        <w:rPr>
          <w:rStyle w:val="CharSectno"/>
        </w:rPr>
        <w:t>73</w:t>
      </w:r>
      <w:r>
        <w:rPr>
          <w:snapToGrid w:val="0"/>
        </w:rPr>
        <w:t>.</w:t>
      </w:r>
      <w:r>
        <w:rPr>
          <w:snapToGrid w:val="0"/>
        </w:rPr>
        <w:tab/>
        <w:t>The general right of objection</w:t>
      </w:r>
      <w:bookmarkEnd w:id="95"/>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rPr>
          <w:snapToGrid w:val="0"/>
        </w:rPr>
      </w:pPr>
      <w:r>
        <w:rPr>
          <w:snapToGrid w:val="0"/>
        </w:rPr>
        <w:tab/>
        <w:t>(2)</w:t>
      </w:r>
      <w:r>
        <w:rPr>
          <w:snapToGrid w:val="0"/>
        </w:rPr>
        <w:tab/>
        <w:t>Where an application is required to be advertised a right to object to the application is conferred — </w:t>
      </w:r>
    </w:p>
    <w:p>
      <w:pPr>
        <w:pStyle w:val="Indenta"/>
        <w:rPr>
          <w:snapToGrid w:val="0"/>
        </w:rPr>
      </w:pPr>
      <w:r>
        <w:rPr>
          <w:snapToGrid w:val="0"/>
        </w:rPr>
        <w:tab/>
        <w:t>(a)</w:t>
      </w:r>
      <w:r>
        <w:rPr>
          <w:snapToGrid w:val="0"/>
        </w:rPr>
        <w:tab/>
        <w:t>in any case where an affected area is specified, on — </w:t>
      </w:r>
    </w:p>
    <w:p>
      <w:pPr>
        <w:pStyle w:val="Indenti"/>
        <w:rPr>
          <w:snapToGrid w:val="0"/>
        </w:rPr>
      </w:pPr>
      <w:r>
        <w:rPr>
          <w:snapToGrid w:val="0"/>
        </w:rPr>
        <w:tab/>
        <w:t>(i)</w:t>
      </w:r>
      <w:r>
        <w:rPr>
          <w:snapToGrid w:val="0"/>
        </w:rPr>
        <w:tab/>
        <w:t>any resident of the affected area; and</w:t>
      </w:r>
    </w:p>
    <w:p>
      <w:pPr>
        <w:pStyle w:val="Indenti"/>
        <w:rPr>
          <w:snapToGrid w:val="0"/>
        </w:rPr>
      </w:pPr>
      <w:r>
        <w:rPr>
          <w:snapToGrid w:val="0"/>
        </w:rPr>
        <w:tab/>
        <w:t>(ii)</w:t>
      </w:r>
      <w:r>
        <w:rPr>
          <w:snapToGrid w:val="0"/>
        </w:rPr>
        <w:tab/>
        <w:t>any person holding a Category A licence for premises which are, or are premises referred to in a licence granted under section 62 and are proposed to be, situated in the affected area,</w:t>
      </w:r>
    </w:p>
    <w:p>
      <w:pPr>
        <w:pStyle w:val="Indenta"/>
        <w:rPr>
          <w:snapToGrid w:val="0"/>
        </w:rPr>
      </w:pPr>
      <w:r>
        <w:rPr>
          <w:snapToGrid w:val="0"/>
        </w:rPr>
        <w:tab/>
      </w:r>
      <w:r>
        <w:rPr>
          <w:snapToGrid w:val="0"/>
        </w:rPr>
        <w:tab/>
        <w:t>on any ground permitted by section 74; and</w:t>
      </w:r>
    </w:p>
    <w:p>
      <w:pPr>
        <w:pStyle w:val="Indenta"/>
        <w:rPr>
          <w:snapToGrid w:val="0"/>
        </w:rPr>
      </w:pPr>
      <w:r>
        <w:rPr>
          <w:snapToGrid w:val="0"/>
        </w:rPr>
        <w:tab/>
        <w:t>(b)</w:t>
      </w:r>
      <w:r>
        <w:rPr>
          <w:snapToGrid w:val="0"/>
        </w:rPr>
        <w:tab/>
        <w:t>in relation to any application, on such persons, or persons of such a class, as may be — </w:t>
      </w:r>
    </w:p>
    <w:p>
      <w:pPr>
        <w:pStyle w:val="Indenti"/>
        <w:rPr>
          <w:snapToGrid w:val="0"/>
        </w:rPr>
      </w:pPr>
      <w:r>
        <w:rPr>
          <w:snapToGrid w:val="0"/>
        </w:rPr>
        <w:tab/>
        <w:t>(i)</w:t>
      </w:r>
      <w:r>
        <w:rPr>
          <w:snapToGrid w:val="0"/>
        </w:rPr>
        <w:tab/>
        <w:t>prescribed; or</w:t>
      </w:r>
    </w:p>
    <w:p>
      <w:pPr>
        <w:pStyle w:val="Indenti"/>
        <w:rPr>
          <w:snapToGrid w:val="0"/>
        </w:rPr>
      </w:pPr>
      <w:r>
        <w:rPr>
          <w:snapToGrid w:val="0"/>
        </w:rPr>
        <w:tab/>
        <w:t>(ii)</w:t>
      </w:r>
      <w:r>
        <w:rPr>
          <w:snapToGrid w:val="0"/>
        </w:rPr>
        <w:tab/>
        <w:t>specified by the licensing authority and defined in the advertisement required to be made relating to the application,</w:t>
      </w:r>
    </w:p>
    <w:p>
      <w:pPr>
        <w:pStyle w:val="Indenta"/>
        <w:rPr>
          <w:snapToGrid w:val="0"/>
        </w:rPr>
      </w:pPr>
      <w:r>
        <w:rPr>
          <w:snapToGrid w:val="0"/>
        </w:rPr>
        <w:tab/>
      </w:r>
      <w:r>
        <w:rPr>
          <w:snapToGrid w:val="0"/>
        </w:rPr>
        <w:tab/>
        <w:t>on such of the grounds permitted under section 74 as may be so prescribed or specified.</w:t>
      </w:r>
    </w:p>
    <w:p>
      <w:pPr>
        <w:pStyle w:val="Subsection"/>
        <w:rPr>
          <w:snapToGrid w:val="0"/>
        </w:rPr>
      </w:pPr>
      <w:r>
        <w:rPr>
          <w:snapToGrid w:val="0"/>
        </w:rPr>
        <w:tab/>
        <w:t>(3)</w:t>
      </w:r>
      <w:r>
        <w:rPr>
          <w:snapToGrid w:val="0"/>
        </w:rPr>
        <w:tab/>
        <w:t xml:space="preserve">For the purposes of subsection (2)(a)(i), the expression </w:t>
      </w:r>
      <w:r>
        <w:rPr>
          <w:b/>
          <w:snapToGrid w:val="0"/>
        </w:rPr>
        <w:t>“</w:t>
      </w:r>
      <w:r>
        <w:rPr>
          <w:rStyle w:val="CharDefText"/>
        </w:rPr>
        <w:t>resident</w:t>
      </w:r>
      <w:r>
        <w:rPr>
          <w:b/>
          <w:snapToGrid w:val="0"/>
        </w:rPr>
        <w:t>”</w:t>
      </w:r>
      <w:r>
        <w:rPr>
          <w:snapToGrid w:val="0"/>
        </w:rPr>
        <w:t xml:space="preserve"> shall be taken to include any person or body of persons, corporate or unincorporate, who or which in the opinion of the licensing authority has a proper interest in the affected area, other than as a licensee, and is likely to be affected by the grant of the application.</w:t>
      </w:r>
    </w:p>
    <w:p>
      <w:pPr>
        <w:pStyle w:val="Subsection"/>
        <w:rPr>
          <w:snapToGrid w:val="0"/>
        </w:rPr>
      </w:pPr>
      <w:r>
        <w:rPr>
          <w:snapToGrid w:val="0"/>
        </w:rPr>
        <w:tab/>
        <w:t>(4)</w:t>
      </w:r>
      <w:r>
        <w:rPr>
          <w:snapToGrid w:val="0"/>
        </w:rPr>
        <w:tab/>
        <w:t>Subject to subsections (5) and (6), an objection shall be made by lodging a notice in the prescribed form with the Director, 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which is not in prescribed 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w:t>
      </w:r>
    </w:p>
    <w:p>
      <w:pPr>
        <w:pStyle w:val="Heading5"/>
        <w:rPr>
          <w:snapToGrid w:val="0"/>
        </w:rPr>
      </w:pPr>
      <w:bookmarkStart w:id="96" w:name="_Toc389662710"/>
      <w:r>
        <w:rPr>
          <w:rStyle w:val="CharSectno"/>
        </w:rPr>
        <w:t>74</w:t>
      </w:r>
      <w:r>
        <w:rPr>
          <w:snapToGrid w:val="0"/>
        </w:rPr>
        <w:t>.</w:t>
      </w:r>
      <w:r>
        <w:rPr>
          <w:snapToGrid w:val="0"/>
        </w:rPr>
        <w:tab/>
        <w:t>The general grounds of objection</w:t>
      </w:r>
      <w:bookmarkEnd w:id="9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that the grant of the application would be contrary to the public interest;</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on an application relating to a Category A licence, that the grant of the application is not necessary in order to provide for the requirements of the public;</w:t>
      </w:r>
    </w:p>
    <w:p>
      <w:pPr>
        <w:pStyle w:val="Ednotepara"/>
        <w:spacing w:before="80"/>
        <w:rPr>
          <w:snapToGrid w:val="0"/>
        </w:rPr>
      </w:pPr>
      <w:r>
        <w:rPr>
          <w:snapToGrid w:val="0"/>
        </w:rPr>
        <w:tab/>
        <w:t>[(e), (f)</w:t>
      </w:r>
      <w:r>
        <w:rPr>
          <w:snapToGrid w:val="0"/>
        </w:rPr>
        <w:tab/>
        <w:t>deleted]</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t>(h)</w:t>
      </w:r>
      <w:r>
        <w:rPr>
          <w:snapToGrid w:val="0"/>
        </w:rPr>
        <w:tab/>
        <w:t>on an application relating to a club licence — </w:t>
      </w:r>
    </w:p>
    <w:p>
      <w:pPr>
        <w:pStyle w:val="Indenti"/>
        <w:rPr>
          <w:snapToGrid w:val="0"/>
        </w:rPr>
      </w:pPr>
      <w:r>
        <w:rPr>
          <w:snapToGrid w:val="0"/>
        </w:rPr>
        <w:tab/>
        <w:t>(i)</w:t>
      </w:r>
      <w:r>
        <w:rPr>
          <w:snapToGrid w:val="0"/>
        </w:rPr>
        <w:tab/>
        <w:t>that the club does not, or has ceased to, exist;</w:t>
      </w:r>
    </w:p>
    <w:p>
      <w:pPr>
        <w:pStyle w:val="Indenti"/>
        <w:rPr>
          <w:snapToGrid w:val="0"/>
        </w:rPr>
      </w:pPr>
      <w:r>
        <w:rPr>
          <w:snapToGrid w:val="0"/>
        </w:rPr>
        <w:tab/>
        <w:t>(ii)</w:t>
      </w:r>
      <w:r>
        <w:rPr>
          <w:snapToGrid w:val="0"/>
        </w:rPr>
        <w:tab/>
        <w:t>that persons who are not members are habitually admitted to the club premises, merely for the purpose of obtaining liquor;</w:t>
      </w:r>
    </w:p>
    <w:p>
      <w:pPr>
        <w:pStyle w:val="Indenti"/>
        <w:rPr>
          <w:snapToGrid w:val="0"/>
        </w:rPr>
      </w:pPr>
      <w:r>
        <w:rPr>
          <w:snapToGrid w:val="0"/>
        </w:rPr>
        <w:tab/>
        <w:t>(iii)</w:t>
      </w:r>
      <w:r>
        <w:rPr>
          <w:snapToGrid w:val="0"/>
        </w:rPr>
        <w:tab/>
        <w:t>that the supply of liquor to the club is not under the control of the members or of the committee appointed by the members; or</w:t>
      </w:r>
    </w:p>
    <w:p>
      <w:pPr>
        <w:pStyle w:val="Indenti"/>
        <w:rPr>
          <w:snapToGrid w:val="0"/>
        </w:rPr>
      </w:pPr>
      <w:r>
        <w:rPr>
          <w:snapToGrid w:val="0"/>
        </w:rPr>
        <w:tab/>
        <w:t>(iv)</w:t>
      </w:r>
      <w:r>
        <w:rPr>
          <w:snapToGrid w:val="0"/>
        </w:rPr>
        <w:tab/>
        <w:t xml:space="preserve">that the rules, or some of the rules, of the club are habitually broken or are so administered as not to conform to the requirements of this Act; </w:t>
      </w:r>
    </w:p>
    <w:p>
      <w:pPr>
        <w:pStyle w:val="Indenta"/>
        <w:rPr>
          <w:snapToGrid w:val="0"/>
        </w:rPr>
      </w:pPr>
      <w:r>
        <w:rPr>
          <w:snapToGrid w:val="0"/>
        </w:rPr>
        <w:tab/>
      </w:r>
      <w:r>
        <w:rPr>
          <w:snapToGrid w:val="0"/>
        </w:rPr>
        <w:tab/>
        <w:t>or</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Where an objection is lodged on the ground that the grant of the application would be contrary to 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w:t>
      </w:r>
    </w:p>
    <w:p>
      <w:pPr>
        <w:pStyle w:val="Heading5"/>
        <w:spacing w:before="260"/>
        <w:rPr>
          <w:snapToGrid w:val="0"/>
        </w:rPr>
      </w:pPr>
      <w:bookmarkStart w:id="97" w:name="_Toc389662711"/>
      <w:r>
        <w:rPr>
          <w:rStyle w:val="CharSectno"/>
        </w:rPr>
        <w:t>75</w:t>
      </w:r>
      <w:r>
        <w:rPr>
          <w:snapToGrid w:val="0"/>
        </w:rPr>
        <w:t>.</w:t>
      </w:r>
      <w:r>
        <w:rPr>
          <w:snapToGrid w:val="0"/>
        </w:rPr>
        <w:tab/>
        <w:t>Application for an occasional licence</w:t>
      </w:r>
      <w:bookmarkEnd w:id="97"/>
      <w:r>
        <w:rPr>
          <w:snapToGrid w:val="0"/>
        </w:rPr>
        <w:t xml:space="preserve"> </w:t>
      </w:r>
    </w:p>
    <w:p>
      <w:pPr>
        <w:pStyle w:val="Subsection"/>
        <w:spacing w:before="180"/>
        <w:rPr>
          <w:snapToGrid w:val="0"/>
        </w:rPr>
      </w:pPr>
      <w:r>
        <w:rPr>
          <w:snapToGrid w:val="0"/>
        </w:rPr>
        <w:tab/>
        <w:t>(1)</w:t>
      </w:r>
      <w:r>
        <w:rPr>
          <w:snapToGrid w:val="0"/>
        </w:rPr>
        <w:tab/>
        <w:t>An application for the grant of an occasional licence may be made by lodging with the Director an application in the prescribed manner and form not later, unless the Director otherwise approves, than 14 days before the licence is to take effect.</w:t>
      </w:r>
    </w:p>
    <w:p>
      <w:pPr>
        <w:pStyle w:val="Subsection"/>
        <w:spacing w:before="180"/>
        <w:rPr>
          <w:snapToGrid w:val="0"/>
        </w:rPr>
      </w:pPr>
      <w:r>
        <w:rPr>
          <w:snapToGrid w:val="0"/>
        </w:rPr>
        <w:tab/>
        <w:t>(2)</w:t>
      </w:r>
      <w:r>
        <w:rPr>
          <w:snapToGrid w:val="0"/>
        </w:rPr>
        <w:tab/>
        <w:t>An application for the grant of an occasional licence — </w:t>
      </w:r>
    </w:p>
    <w:p>
      <w:pPr>
        <w:pStyle w:val="Indenta"/>
        <w:rPr>
          <w:snapToGrid w:val="0"/>
        </w:rPr>
      </w:pPr>
      <w:r>
        <w:rPr>
          <w:snapToGrid w:val="0"/>
        </w:rPr>
        <w:tab/>
        <w:t>(a)</w:t>
      </w:r>
      <w:r>
        <w:rPr>
          <w:snapToGrid w:val="0"/>
        </w:rPr>
        <w:tab/>
        <w:t>is not required to be advertised, unless the Director so directs;</w:t>
      </w:r>
    </w:p>
    <w:p>
      <w:pPr>
        <w:pStyle w:val="Indenta"/>
        <w:rPr>
          <w:snapToGrid w:val="0"/>
        </w:rPr>
      </w:pPr>
      <w:r>
        <w:rPr>
          <w:snapToGrid w:val="0"/>
        </w:rPr>
        <w:tab/>
        <w:t>(b)</w:t>
      </w:r>
      <w:r>
        <w:rPr>
          <w:snapToGrid w:val="0"/>
        </w:rPr>
        <w:tab/>
        <w:t>is not subject to objection, but may be made the subject of a submission or an intervention under section 69;</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ind w:left="890" w:hanging="890"/>
      </w:pPr>
      <w:r>
        <w:tab/>
        <w:t xml:space="preserve">[Section 75 amended by No. 12 of 1998 s. 53.] </w:t>
      </w:r>
    </w:p>
    <w:p>
      <w:pPr>
        <w:pStyle w:val="Heading5"/>
        <w:rPr>
          <w:snapToGrid w:val="0"/>
        </w:rPr>
      </w:pPr>
      <w:bookmarkStart w:id="98" w:name="_Toc389662712"/>
      <w:r>
        <w:rPr>
          <w:rStyle w:val="CharSectno"/>
        </w:rPr>
        <w:t>76</w:t>
      </w:r>
      <w:r>
        <w:rPr>
          <w:snapToGrid w:val="0"/>
        </w:rPr>
        <w:t>.</w:t>
      </w:r>
      <w:r>
        <w:rPr>
          <w:snapToGrid w:val="0"/>
        </w:rPr>
        <w:tab/>
        <w:t>Applications for extended trading permits</w:t>
      </w:r>
      <w:bookmarkEnd w:id="98"/>
      <w:r>
        <w:rPr>
          <w:snapToGrid w:val="0"/>
        </w:rPr>
        <w:t xml:space="preserve"> </w:t>
      </w:r>
    </w:p>
    <w:p>
      <w:pPr>
        <w:pStyle w:val="Subsection"/>
        <w:rPr>
          <w:snapToGrid w:val="0"/>
        </w:rPr>
      </w:pPr>
      <w:r>
        <w:rPr>
          <w:snapToGrid w:val="0"/>
        </w:rPr>
        <w:tab/>
        <w:t>(1)</w:t>
      </w:r>
      <w:r>
        <w:rPr>
          <w:snapToGrid w:val="0"/>
        </w:rPr>
        <w:tab/>
        <w:t>An application for the issue of an extended trading permit may be made by lodging an application in the prescribed manner and form with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in relation to an application for a permit of that kind 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Indenta"/>
        <w:rPr>
          <w:snapToGrid w:val="0"/>
        </w:rPr>
      </w:pPr>
      <w:r>
        <w:rPr>
          <w:snapToGrid w:val="0"/>
        </w:rPr>
        <w:tab/>
        <w:t>(a)</w:t>
      </w:r>
      <w:r>
        <w:rPr>
          <w:snapToGrid w:val="0"/>
        </w:rPr>
        <w:tab/>
        <w:t>is not required to be advertised, unless the Director otherwise directs;</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w:t>
      </w:r>
    </w:p>
    <w:p>
      <w:pPr>
        <w:pStyle w:val="Indenta"/>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 Court, or to appeal.</w:t>
      </w:r>
    </w:p>
    <w:p>
      <w:pPr>
        <w:pStyle w:val="Footnotesection"/>
      </w:pPr>
      <w:r>
        <w:tab/>
        <w:t xml:space="preserve">[Section 76 amended by No. 12 of 1998 s. 54.] </w:t>
      </w:r>
    </w:p>
    <w:p>
      <w:pPr>
        <w:pStyle w:val="Heading5"/>
        <w:keepNext w:val="0"/>
        <w:keepLines w:val="0"/>
        <w:rPr>
          <w:snapToGrid w:val="0"/>
        </w:rPr>
      </w:pPr>
      <w:bookmarkStart w:id="99" w:name="_Toc389662713"/>
      <w:r>
        <w:rPr>
          <w:rStyle w:val="CharSectno"/>
        </w:rPr>
        <w:t>77</w:t>
      </w:r>
      <w:r>
        <w:rPr>
          <w:snapToGrid w:val="0"/>
        </w:rPr>
        <w:t>.</w:t>
      </w:r>
      <w:r>
        <w:rPr>
          <w:snapToGrid w:val="0"/>
        </w:rPr>
        <w:tab/>
        <w:t>Applications for alteration, or redefinition, of licensed premises</w:t>
      </w:r>
      <w:bookmarkEnd w:id="99"/>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Indenti"/>
        <w:rPr>
          <w:snapToGrid w:val="0"/>
        </w:rPr>
      </w:pPr>
      <w:r>
        <w:rPr>
          <w:snapToGrid w:val="0"/>
        </w:rPr>
        <w:tab/>
        <w:t>(i)</w:t>
      </w:r>
      <w:r>
        <w:rPr>
          <w:snapToGrid w:val="0"/>
        </w:rPr>
        <w:tab/>
        <w:t>a material change, whether structural, decorative or otherwise, affecting the premises or the accommodation or facilities provided;</w:t>
      </w:r>
    </w:p>
    <w:p>
      <w:pPr>
        <w:pStyle w:val="Indenti"/>
        <w:rPr>
          <w:snapToGrid w:val="0"/>
        </w:rPr>
      </w:pPr>
      <w:r>
        <w:rPr>
          <w:snapToGrid w:val="0"/>
        </w:rPr>
        <w:tab/>
        <w:t>(ii)</w:t>
      </w:r>
      <w:r>
        <w:rPr>
          <w:snapToGrid w:val="0"/>
        </w:rPr>
        <w:tab/>
        <w:t>a substantial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Subsection"/>
        <w:spacing w:before="120"/>
        <w:rPr>
          <w:snapToGrid w:val="0"/>
        </w:rPr>
      </w:pPr>
      <w:r>
        <w:rPr>
          <w:snapToGrid w:val="0"/>
        </w:rPr>
        <w:tab/>
        <w:t>(6)</w:t>
      </w:r>
      <w:r>
        <w:rPr>
          <w:snapToGrid w:val="0"/>
        </w:rPr>
        <w:tab/>
        <w:t>Where the Director is satisfied in relation to a Category A licence that an alteration of the licensed premises or redefinition proposed is likely — </w:t>
      </w:r>
    </w:p>
    <w:p>
      <w:pPr>
        <w:pStyle w:val="Indenta"/>
        <w:rPr>
          <w:snapToGrid w:val="0"/>
        </w:rPr>
      </w:pPr>
      <w:r>
        <w:rPr>
          <w:snapToGrid w:val="0"/>
        </w:rPr>
        <w:tab/>
        <w:t>(a)</w:t>
      </w:r>
      <w:r>
        <w:rPr>
          <w:snapToGrid w:val="0"/>
        </w:rPr>
        <w:tab/>
        <w:t>to lead to a substantial increase in actual or potential liquor sales; and</w:t>
      </w:r>
    </w:p>
    <w:p>
      <w:pPr>
        <w:pStyle w:val="Indenta"/>
        <w:rPr>
          <w:snapToGrid w:val="0"/>
        </w:rPr>
      </w:pPr>
      <w:r>
        <w:rPr>
          <w:snapToGrid w:val="0"/>
        </w:rPr>
        <w:tab/>
        <w:t>(b)</w:t>
      </w:r>
      <w:r>
        <w:rPr>
          <w:snapToGrid w:val="0"/>
        </w:rPr>
        <w:tab/>
        <w:t>to reduce significantly the actual or potential liquor sales under a Category A licence held by any other person,</w:t>
      </w:r>
    </w:p>
    <w:p>
      <w:pPr>
        <w:pStyle w:val="Subsection"/>
        <w:spacing w:before="120"/>
        <w:rPr>
          <w:snapToGrid w:val="0"/>
        </w:rPr>
      </w:pPr>
      <w:r>
        <w:rPr>
          <w:snapToGrid w:val="0"/>
        </w:rPr>
        <w:tab/>
      </w:r>
      <w:r>
        <w:rPr>
          <w:snapToGrid w:val="0"/>
        </w:rPr>
        <w:tab/>
        <w:t>and so directs the application is required to be advertised under section 67.</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w:t>
      </w:r>
    </w:p>
    <w:p>
      <w:pPr>
        <w:pStyle w:val="Heading3"/>
        <w:spacing w:before="220"/>
        <w:rPr>
          <w:snapToGrid w:val="0"/>
        </w:rPr>
      </w:pPr>
      <w:bookmarkStart w:id="100" w:name="_Toc389662714"/>
      <w:r>
        <w:rPr>
          <w:rStyle w:val="CharDivNo"/>
        </w:rPr>
        <w:t>Division 8</w:t>
      </w:r>
      <w:r>
        <w:rPr>
          <w:snapToGrid w:val="0"/>
        </w:rPr>
        <w:t> — </w:t>
      </w:r>
      <w:r>
        <w:rPr>
          <w:rStyle w:val="CharDivText"/>
        </w:rPr>
        <w:t>Removals</w:t>
      </w:r>
      <w:bookmarkEnd w:id="100"/>
      <w:r>
        <w:rPr>
          <w:rStyle w:val="CharDivText"/>
        </w:rPr>
        <w:t xml:space="preserve"> </w:t>
      </w:r>
    </w:p>
    <w:p>
      <w:pPr>
        <w:pStyle w:val="Heading5"/>
        <w:spacing w:before="180"/>
        <w:rPr>
          <w:snapToGrid w:val="0"/>
        </w:rPr>
      </w:pPr>
      <w:bookmarkStart w:id="101" w:name="_Toc389662715"/>
      <w:r>
        <w:rPr>
          <w:rStyle w:val="CharSectno"/>
        </w:rPr>
        <w:t>78</w:t>
      </w:r>
      <w:r>
        <w:rPr>
          <w:snapToGrid w:val="0"/>
        </w:rPr>
        <w:t>.</w:t>
      </w:r>
      <w:r>
        <w:rPr>
          <w:snapToGrid w:val="0"/>
        </w:rPr>
        <w:tab/>
        <w:t>Casino liquor licences not removable</w:t>
      </w:r>
      <w:bookmarkEnd w:id="101"/>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102" w:name="_Toc389662716"/>
      <w:r>
        <w:rPr>
          <w:rStyle w:val="CharSectno"/>
        </w:rPr>
        <w:t>79</w:t>
      </w:r>
      <w:r>
        <w:rPr>
          <w:snapToGrid w:val="0"/>
        </w:rPr>
        <w:t>.</w:t>
      </w:r>
      <w:r>
        <w:rPr>
          <w:snapToGrid w:val="0"/>
        </w:rPr>
        <w:tab/>
        <w:t>Applications for variation or removal of licences relating to transport may be made informally</w:t>
      </w:r>
      <w:bookmarkEnd w:id="102"/>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103" w:name="_Toc389662717"/>
      <w:r>
        <w:rPr>
          <w:rStyle w:val="CharSectno"/>
        </w:rPr>
        <w:t>80</w:t>
      </w:r>
      <w:r>
        <w:rPr>
          <w:snapToGrid w:val="0"/>
        </w:rPr>
        <w:t>.</w:t>
      </w:r>
      <w:r>
        <w:rPr>
          <w:snapToGrid w:val="0"/>
        </w:rPr>
        <w:tab/>
        <w:t>Temporary removal or redefinition</w:t>
      </w:r>
      <w:bookmarkEnd w:id="103"/>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the application has not been advertised, and 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Heading5"/>
        <w:rPr>
          <w:snapToGrid w:val="0"/>
        </w:rPr>
      </w:pPr>
      <w:bookmarkStart w:id="104" w:name="_Toc389662718"/>
      <w:r>
        <w:rPr>
          <w:rStyle w:val="CharSectno"/>
        </w:rPr>
        <w:t>81</w:t>
      </w:r>
      <w:r>
        <w:rPr>
          <w:snapToGrid w:val="0"/>
        </w:rPr>
        <w:t>.</w:t>
      </w:r>
      <w:r>
        <w:rPr>
          <w:snapToGrid w:val="0"/>
        </w:rPr>
        <w:tab/>
        <w:t>Applications for removal</w:t>
      </w:r>
      <w:bookmarkEnd w:id="10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Subsection"/>
        <w:rPr>
          <w:snapToGrid w:val="0"/>
        </w:rPr>
      </w:pPr>
      <w:r>
        <w:rPr>
          <w:snapToGrid w:val="0"/>
        </w:rPr>
        <w:tab/>
        <w:t>(4)</w:t>
      </w:r>
      <w:r>
        <w:rPr>
          <w:snapToGrid w:val="0"/>
        </w:rPr>
        <w:tab/>
        <w:t>Notwithstanding subsection (3), the Director, at the written request of the applicant, may dispense with any requirement for advertising, and need not specify an affected area, where the Director considers that the removal of the licence is from and to premises within the same locality and is unlikely to cause significant adverse effects on other licences, or that any other proper reason exists, and that to do so will assist in an expeditious determination of the application in a manner not contrary to the public interest.</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Footnotesection"/>
        <w:spacing w:before="100"/>
        <w:ind w:left="890" w:hanging="890"/>
      </w:pPr>
      <w:r>
        <w:tab/>
        <w:t xml:space="preserve">[Section 81 amended by No. 12 of 1998 s. 55.] </w:t>
      </w:r>
    </w:p>
    <w:p>
      <w:pPr>
        <w:pStyle w:val="Heading3"/>
        <w:spacing w:before="220"/>
        <w:rPr>
          <w:snapToGrid w:val="0"/>
        </w:rPr>
      </w:pPr>
      <w:bookmarkStart w:id="105" w:name="_Toc389662719"/>
      <w:r>
        <w:rPr>
          <w:rStyle w:val="CharDivNo"/>
        </w:rPr>
        <w:t>Division 9</w:t>
      </w:r>
      <w:r>
        <w:rPr>
          <w:snapToGrid w:val="0"/>
        </w:rPr>
        <w:t> — </w:t>
      </w:r>
      <w:r>
        <w:rPr>
          <w:rStyle w:val="CharDivText"/>
        </w:rPr>
        <w:t>Transfers</w:t>
      </w:r>
      <w:bookmarkEnd w:id="105"/>
      <w:r>
        <w:rPr>
          <w:rStyle w:val="CharDivText"/>
        </w:rPr>
        <w:t xml:space="preserve"> </w:t>
      </w:r>
    </w:p>
    <w:p>
      <w:pPr>
        <w:pStyle w:val="Heading5"/>
        <w:spacing w:before="180"/>
        <w:rPr>
          <w:snapToGrid w:val="0"/>
        </w:rPr>
      </w:pPr>
      <w:bookmarkStart w:id="106" w:name="_Toc389662720"/>
      <w:r>
        <w:rPr>
          <w:rStyle w:val="CharSectno"/>
        </w:rPr>
        <w:t>82</w:t>
      </w:r>
      <w:r>
        <w:rPr>
          <w:snapToGrid w:val="0"/>
        </w:rPr>
        <w:t>.</w:t>
      </w:r>
      <w:r>
        <w:rPr>
          <w:snapToGrid w:val="0"/>
        </w:rPr>
        <w:tab/>
        <w:t>Transfer of a licence</w:t>
      </w:r>
      <w:bookmarkEnd w:id="10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07" w:name="_Toc389662721"/>
      <w:r>
        <w:rPr>
          <w:rStyle w:val="CharSectno"/>
        </w:rPr>
        <w:t>82A</w:t>
      </w:r>
      <w:r>
        <w:rPr>
          <w:snapToGrid w:val="0"/>
        </w:rPr>
        <w:t>.</w:t>
      </w:r>
      <w:r>
        <w:rPr>
          <w:snapToGrid w:val="0"/>
        </w:rPr>
        <w:tab/>
        <w:t>Transfer of licence between licence holders</w:t>
      </w:r>
      <w:bookmarkEnd w:id="10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08" w:name="_Toc389662722"/>
      <w:r>
        <w:rPr>
          <w:rStyle w:val="CharSectno"/>
        </w:rPr>
        <w:t>83</w:t>
      </w:r>
      <w:r>
        <w:rPr>
          <w:snapToGrid w:val="0"/>
        </w:rPr>
        <w:t>.</w:t>
      </w:r>
      <w:r>
        <w:rPr>
          <w:snapToGrid w:val="0"/>
        </w:rPr>
        <w:tab/>
        <w:t>Certain licences not transferable</w:t>
      </w:r>
      <w:bookmarkEnd w:id="108"/>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09" w:name="_Toc389662723"/>
      <w:r>
        <w:rPr>
          <w:rStyle w:val="CharSectno"/>
        </w:rPr>
        <w:t>84</w:t>
      </w:r>
      <w:r>
        <w:rPr>
          <w:snapToGrid w:val="0"/>
        </w:rPr>
        <w:t>.</w:t>
      </w:r>
      <w:r>
        <w:rPr>
          <w:snapToGrid w:val="0"/>
        </w:rPr>
        <w:tab/>
        <w:t>Applications for approval to a transfer</w:t>
      </w:r>
      <w:bookmarkEnd w:id="109"/>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that notice of the application was given by the applicant to that licensee at least 3 days before the last day on which objections should be lodged; 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the prescribed form or such other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w:t>
      </w:r>
    </w:p>
    <w:p>
      <w:pPr>
        <w:pStyle w:val="Heading5"/>
        <w:rPr>
          <w:snapToGrid w:val="0"/>
        </w:rPr>
      </w:pPr>
      <w:bookmarkStart w:id="110" w:name="_Toc389662724"/>
      <w:r>
        <w:rPr>
          <w:rStyle w:val="CharSectno"/>
        </w:rPr>
        <w:t>85</w:t>
      </w:r>
      <w:r>
        <w:rPr>
          <w:snapToGrid w:val="0"/>
        </w:rPr>
        <w:t>.</w:t>
      </w:r>
      <w:r>
        <w:rPr>
          <w:snapToGrid w:val="0"/>
        </w:rPr>
        <w:tab/>
        <w:t>Transferee to succeed to certain of transferor’s liabilities and rights</w:t>
      </w:r>
      <w:bookmarkEnd w:id="110"/>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11" w:name="_Toc389662725"/>
      <w:r>
        <w:rPr>
          <w:rStyle w:val="CharDivNo"/>
        </w:rPr>
        <w:t>Division 10</w:t>
      </w:r>
      <w:r>
        <w:rPr>
          <w:snapToGrid w:val="0"/>
        </w:rPr>
        <w:t> — </w:t>
      </w:r>
      <w:r>
        <w:rPr>
          <w:rStyle w:val="CharDivText"/>
        </w:rPr>
        <w:t>Interim authorisations and protection orders</w:t>
      </w:r>
      <w:bookmarkEnd w:id="111"/>
      <w:r>
        <w:rPr>
          <w:rStyle w:val="CharDivText"/>
        </w:rPr>
        <w:t xml:space="preserve"> </w:t>
      </w:r>
    </w:p>
    <w:p>
      <w:pPr>
        <w:pStyle w:val="Heading5"/>
        <w:rPr>
          <w:snapToGrid w:val="0"/>
        </w:rPr>
      </w:pPr>
      <w:bookmarkStart w:id="112" w:name="_Toc389662726"/>
      <w:r>
        <w:rPr>
          <w:rStyle w:val="CharSectno"/>
        </w:rPr>
        <w:t>86</w:t>
      </w:r>
      <w:r>
        <w:rPr>
          <w:snapToGrid w:val="0"/>
        </w:rPr>
        <w:t>.</w:t>
      </w:r>
      <w:r>
        <w:rPr>
          <w:snapToGrid w:val="0"/>
        </w:rPr>
        <w:tab/>
        <w:t>Interim authorisations to carry on business</w:t>
      </w:r>
      <w:bookmarkEnd w:id="112"/>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advertisement or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w:t>
      </w:r>
    </w:p>
    <w:p>
      <w:pPr>
        <w:pStyle w:val="Heading5"/>
        <w:keepLines w:val="0"/>
        <w:spacing w:before="260"/>
        <w:rPr>
          <w:snapToGrid w:val="0"/>
        </w:rPr>
      </w:pPr>
      <w:bookmarkStart w:id="113" w:name="_Toc389662727"/>
      <w:r>
        <w:rPr>
          <w:rStyle w:val="CharSectno"/>
        </w:rPr>
        <w:t>87</w:t>
      </w:r>
      <w:r>
        <w:rPr>
          <w:snapToGrid w:val="0"/>
        </w:rPr>
        <w:t>.</w:t>
      </w:r>
      <w:r>
        <w:rPr>
          <w:snapToGrid w:val="0"/>
        </w:rPr>
        <w:tab/>
        <w:t>Protection orders</w:t>
      </w:r>
      <w:bookmarkEnd w:id="113"/>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other than premises to which a liquor store licence applies, and the owner, lessor or mortgagee of the licensed premises applies within 28 days thereafter;</w:t>
      </w:r>
    </w:p>
    <w:p>
      <w:pPr>
        <w:pStyle w:val="Indenta"/>
        <w:rPr>
          <w:snapToGrid w:val="0"/>
        </w:rPr>
      </w:pPr>
      <w:r>
        <w:rPr>
          <w:snapToGrid w:val="0"/>
        </w:rPr>
        <w:tab/>
        <w:t>(b)</w:t>
      </w:r>
      <w:r>
        <w:rPr>
          <w:snapToGrid w:val="0"/>
        </w:rPr>
        <w:tab/>
        <w:t>the operation of a licence, other than a liquor store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without advertisement unless the Director otherwise requires but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w:t>
      </w:r>
    </w:p>
    <w:p>
      <w:pPr>
        <w:pStyle w:val="Heading5"/>
        <w:rPr>
          <w:snapToGrid w:val="0"/>
        </w:rPr>
      </w:pPr>
      <w:bookmarkStart w:id="114" w:name="_Toc389662728"/>
      <w:r>
        <w:rPr>
          <w:rStyle w:val="CharSectno"/>
        </w:rPr>
        <w:t>88</w:t>
      </w:r>
      <w:r>
        <w:rPr>
          <w:snapToGrid w:val="0"/>
        </w:rPr>
        <w:t>.</w:t>
      </w:r>
      <w:r>
        <w:rPr>
          <w:snapToGrid w:val="0"/>
        </w:rPr>
        <w:tab/>
        <w:t>Effect of a protection order</w:t>
      </w:r>
      <w:bookmarkEnd w:id="114"/>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15" w:name="_Toc389662729"/>
      <w:r>
        <w:rPr>
          <w:rStyle w:val="CharSectno"/>
        </w:rPr>
        <w:t>89</w:t>
      </w:r>
      <w:r>
        <w:rPr>
          <w:snapToGrid w:val="0"/>
        </w:rPr>
        <w:t>.</w:t>
      </w:r>
      <w:r>
        <w:rPr>
          <w:snapToGrid w:val="0"/>
        </w:rPr>
        <w:tab/>
        <w:t>Disputes as to leases</w:t>
      </w:r>
      <w:bookmarkEnd w:id="115"/>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16" w:name="_Toc389662730"/>
      <w:r>
        <w:rPr>
          <w:rStyle w:val="CharDivNo"/>
        </w:rPr>
        <w:t>Division 11</w:t>
      </w:r>
      <w:r>
        <w:rPr>
          <w:snapToGrid w:val="0"/>
        </w:rPr>
        <w:t> — </w:t>
      </w:r>
      <w:r>
        <w:rPr>
          <w:rStyle w:val="CharDivText"/>
        </w:rPr>
        <w:t>Suspensions</w:t>
      </w:r>
      <w:bookmarkEnd w:id="116"/>
      <w:r>
        <w:rPr>
          <w:rStyle w:val="CharDivText"/>
        </w:rPr>
        <w:t xml:space="preserve"> </w:t>
      </w:r>
    </w:p>
    <w:p>
      <w:pPr>
        <w:pStyle w:val="Heading5"/>
        <w:rPr>
          <w:snapToGrid w:val="0"/>
        </w:rPr>
      </w:pPr>
      <w:bookmarkStart w:id="117" w:name="_Toc389662731"/>
      <w:r>
        <w:rPr>
          <w:rStyle w:val="CharSectno"/>
        </w:rPr>
        <w:t>90</w:t>
      </w:r>
      <w:r>
        <w:rPr>
          <w:snapToGrid w:val="0"/>
        </w:rPr>
        <w:t>.</w:t>
      </w:r>
      <w:r>
        <w:rPr>
          <w:snapToGrid w:val="0"/>
        </w:rPr>
        <w:tab/>
        <w:t>Application for suspension of a licence or permit</w:t>
      </w:r>
      <w:bookmarkEnd w:id="117"/>
      <w:r>
        <w:rPr>
          <w:snapToGrid w:val="0"/>
        </w:rPr>
        <w:t xml:space="preserve"> </w:t>
      </w:r>
    </w:p>
    <w:p>
      <w:pPr>
        <w:pStyle w:val="Subsection"/>
        <w:rPr>
          <w:snapToGrid w:val="0"/>
        </w:rPr>
      </w:pPr>
      <w:r>
        <w:rPr>
          <w:snapToGrid w:val="0"/>
        </w:rPr>
        <w:tab/>
      </w:r>
      <w:r>
        <w:rPr>
          <w:snapToGrid w:val="0"/>
        </w:rPr>
        <w:tab/>
        <w:t>The Director, on informal application in writing being made by the licensee, may suspend the operation of any licence or permit held by the applicant — </w:t>
      </w:r>
    </w:p>
    <w:p>
      <w:pPr>
        <w:pStyle w:val="Indenta"/>
        <w:rPr>
          <w:snapToGrid w:val="0"/>
        </w:rPr>
      </w:pPr>
      <w:r>
        <w:rPr>
          <w:snapToGrid w:val="0"/>
        </w:rPr>
        <w:tab/>
        <w:t>(a)</w:t>
      </w:r>
      <w:r>
        <w:rPr>
          <w:snapToGrid w:val="0"/>
        </w:rPr>
        <w:tab/>
        <w:t>temporarily, on any ground upon which a temporary removal of a licence might be sought under section 80; or</w:t>
      </w:r>
    </w:p>
    <w:p>
      <w:pPr>
        <w:pStyle w:val="Indenta"/>
        <w:keepNext/>
        <w:keepLines/>
        <w:rPr>
          <w:snapToGrid w:val="0"/>
        </w:rPr>
      </w:pPr>
      <w:r>
        <w:rPr>
          <w:snapToGrid w:val="0"/>
        </w:rPr>
        <w:tab/>
        <w:t>(b)</w:t>
      </w:r>
      <w:r>
        <w:rPr>
          <w:snapToGrid w:val="0"/>
        </w:rPr>
        <w:tab/>
        <w:t>otherwise, having regard in relation to — </w:t>
      </w:r>
    </w:p>
    <w:p>
      <w:pPr>
        <w:pStyle w:val="Indenti"/>
        <w:rPr>
          <w:snapToGrid w:val="0"/>
        </w:rPr>
      </w:pPr>
      <w:r>
        <w:rPr>
          <w:snapToGrid w:val="0"/>
        </w:rPr>
        <w:tab/>
        <w:t>(i)</w:t>
      </w:r>
      <w:r>
        <w:rPr>
          <w:snapToGrid w:val="0"/>
        </w:rPr>
        <w:tab/>
        <w:t>any Category A licence, to any detrimental effect which the suspension might have on the interests of the public in the area; and</w:t>
      </w:r>
    </w:p>
    <w:p>
      <w:pPr>
        <w:pStyle w:val="Indenti"/>
        <w:rPr>
          <w:snapToGrid w:val="0"/>
        </w:rPr>
      </w:pPr>
      <w:r>
        <w:rPr>
          <w:snapToGrid w:val="0"/>
        </w:rPr>
        <w:tab/>
        <w:t>(ii)</w:t>
      </w:r>
      <w:r>
        <w:rPr>
          <w:snapToGrid w:val="0"/>
        </w:rPr>
        <w:tab/>
        <w:t>a hotel licence in respect of which a condition is imposed under section 41(4), to the matters referred to in section 41(6),</w:t>
      </w:r>
    </w:p>
    <w:p>
      <w:pPr>
        <w:pStyle w:val="Indenta"/>
        <w:rPr>
          <w:snapToGrid w:val="0"/>
        </w:rPr>
      </w:pPr>
      <w:r>
        <w:rPr>
          <w:snapToGrid w:val="0"/>
        </w:rPr>
        <w:tab/>
      </w:r>
      <w:r>
        <w:rPr>
          <w:snapToGrid w:val="0"/>
        </w:rPr>
        <w:tab/>
        <w:t>in accordance with the wishes of the licensee,</w:t>
      </w:r>
    </w:p>
    <w:p>
      <w:pPr>
        <w:pStyle w:val="Subsection"/>
        <w:rPr>
          <w:snapToGrid w:val="0"/>
        </w:rPr>
      </w:pPr>
      <w:r>
        <w:rPr>
          <w:snapToGrid w:val="0"/>
        </w:rPr>
        <w:tab/>
      </w:r>
      <w:r>
        <w:rPr>
          <w:snapToGrid w:val="0"/>
        </w:rPr>
        <w:tab/>
        <w:t>for such period as the Director thinks fit, and the licence shall thereupon be deemed to be varied accordingly.</w:t>
      </w:r>
    </w:p>
    <w:p>
      <w:pPr>
        <w:pStyle w:val="Heading5"/>
        <w:rPr>
          <w:snapToGrid w:val="0"/>
        </w:rPr>
      </w:pPr>
      <w:bookmarkStart w:id="118" w:name="_Toc389662732"/>
      <w:r>
        <w:rPr>
          <w:rStyle w:val="CharSectno"/>
        </w:rPr>
        <w:t>91</w:t>
      </w:r>
      <w:r>
        <w:rPr>
          <w:snapToGrid w:val="0"/>
        </w:rPr>
        <w:t>.</w:t>
      </w:r>
      <w:r>
        <w:rPr>
          <w:snapToGrid w:val="0"/>
        </w:rPr>
        <w:tab/>
        <w:t>Suspension on ground of public order or safety</w:t>
      </w:r>
      <w:bookmarkEnd w:id="118"/>
      <w:r>
        <w:rPr>
          <w:snapToGrid w:val="0"/>
        </w:rPr>
        <w:t xml:space="preserve"> </w:t>
      </w:r>
    </w:p>
    <w:p>
      <w:pPr>
        <w:pStyle w:val="Subsection"/>
        <w:rPr>
          <w:snapToGrid w:val="0"/>
        </w:rPr>
      </w:pPr>
      <w:r>
        <w:rPr>
          <w:snapToGrid w:val="0"/>
        </w:rPr>
        <w:tab/>
      </w:r>
      <w:r>
        <w:rPr>
          <w:snapToGrid w:val="0"/>
        </w:rPr>
        <w:tab/>
        <w:t>The Director may, at discretion or on an application made by or on behalf of the Commissioner of Police, suspend the operation of any licence or permit, for such period or on such occasion as the Director thinks fit, by reason of the requirements of public order or of safety.</w:t>
      </w:r>
    </w:p>
    <w:p>
      <w:pPr>
        <w:pStyle w:val="Heading5"/>
        <w:rPr>
          <w:snapToGrid w:val="0"/>
        </w:rPr>
      </w:pPr>
      <w:bookmarkStart w:id="119" w:name="_Toc389662733"/>
      <w:r>
        <w:rPr>
          <w:rStyle w:val="CharSectno"/>
        </w:rPr>
        <w:t>92</w:t>
      </w:r>
      <w:r>
        <w:rPr>
          <w:snapToGrid w:val="0"/>
        </w:rPr>
        <w:t>.</w:t>
      </w:r>
      <w:r>
        <w:rPr>
          <w:snapToGrid w:val="0"/>
        </w:rPr>
        <w:tab/>
        <w:t>Suspension where business not carried on</w:t>
      </w:r>
      <w:bookmarkEnd w:id="11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20" w:name="_Toc389662734"/>
      <w:r>
        <w:rPr>
          <w:rStyle w:val="CharSectno"/>
        </w:rPr>
        <w:t>92A</w:t>
      </w:r>
      <w:r>
        <w:rPr>
          <w:snapToGrid w:val="0"/>
        </w:rPr>
        <w:t>.</w:t>
      </w:r>
      <w:r>
        <w:rPr>
          <w:snapToGrid w:val="0"/>
        </w:rPr>
        <w:tab/>
        <w:t>Cancellation of suspension</w:t>
      </w:r>
      <w:bookmarkEnd w:id="12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21" w:name="_Toc389662735"/>
      <w:r>
        <w:rPr>
          <w:rStyle w:val="CharSectno"/>
        </w:rPr>
        <w:t>93</w:t>
      </w:r>
      <w:r>
        <w:rPr>
          <w:snapToGrid w:val="0"/>
        </w:rPr>
        <w:t>.</w:t>
      </w:r>
      <w:r>
        <w:rPr>
          <w:snapToGrid w:val="0"/>
        </w:rPr>
        <w:tab/>
        <w:t>Cancellation of suspended licences</w:t>
      </w:r>
      <w:bookmarkEnd w:id="121"/>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 that there are no longer any circumstances that justify the licence continuing; and</w:t>
      </w:r>
    </w:p>
    <w:p>
      <w:pPr>
        <w:pStyle w:val="Indenta"/>
        <w:keepNext/>
        <w:rPr>
          <w:snapToGrid w:val="0"/>
        </w:rPr>
      </w:pPr>
      <w:r>
        <w:rPr>
          <w:snapToGrid w:val="0"/>
        </w:rPr>
        <w:tab/>
        <w:t>(b)</w:t>
      </w:r>
      <w:r>
        <w:rPr>
          <w:snapToGrid w:val="0"/>
        </w:rPr>
        <w:tab/>
        <w:t>that 28 days have 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Subsection"/>
        <w:rPr>
          <w:snapToGrid w:val="0"/>
        </w:rPr>
      </w:pPr>
      <w:r>
        <w:rPr>
          <w:snapToGrid w:val="0"/>
        </w:rPr>
        <w:tab/>
        <w:t>(3)</w:t>
      </w:r>
      <w:r>
        <w:rPr>
          <w:snapToGrid w:val="0"/>
        </w:rPr>
        <w:tab/>
        <w:t>Without prejudice to the generality of subsection (1), a licence shall be taken not to be justified if — </w:t>
      </w:r>
    </w:p>
    <w:p>
      <w:pPr>
        <w:pStyle w:val="Indenta"/>
        <w:rPr>
          <w:snapToGrid w:val="0"/>
        </w:rPr>
      </w:pPr>
      <w:r>
        <w:rPr>
          <w:snapToGrid w:val="0"/>
        </w:rPr>
        <w:tab/>
        <w:t>(a)</w:t>
      </w:r>
      <w:r>
        <w:rPr>
          <w:snapToGrid w:val="0"/>
        </w:rPr>
        <w:tab/>
        <w:t>the licensee has ceased to carry on business at the licensed premises;</w:t>
      </w:r>
    </w:p>
    <w:p>
      <w:pPr>
        <w:pStyle w:val="Indenta"/>
        <w:rPr>
          <w:snapToGrid w:val="0"/>
        </w:rPr>
      </w:pPr>
      <w:r>
        <w:rPr>
          <w:snapToGrid w:val="0"/>
        </w:rPr>
        <w:tab/>
        <w:t>(b)</w:t>
      </w:r>
      <w:r>
        <w:rPr>
          <w:snapToGrid w:val="0"/>
        </w:rPr>
        <w:tab/>
        <w:t>the licensed premises are no longer suitable to be licensed;</w:t>
      </w:r>
    </w:p>
    <w:p>
      <w:pPr>
        <w:pStyle w:val="Indenta"/>
        <w:rPr>
          <w:snapToGrid w:val="0"/>
        </w:rPr>
      </w:pPr>
      <w:r>
        <w:rPr>
          <w:snapToGrid w:val="0"/>
        </w:rPr>
        <w:tab/>
        <w:t>(c)</w:t>
      </w:r>
      <w:r>
        <w:rPr>
          <w:snapToGrid w:val="0"/>
        </w:rPr>
        <w:tab/>
        <w:t>the licensee no longer has tenure of the premises; and</w:t>
      </w:r>
    </w:p>
    <w:p>
      <w:pPr>
        <w:pStyle w:val="Indenta"/>
        <w:rPr>
          <w:snapToGrid w:val="0"/>
        </w:rPr>
      </w:pPr>
      <w:r>
        <w:rPr>
          <w:snapToGrid w:val="0"/>
        </w:rPr>
        <w:tab/>
        <w:t>(d)</w:t>
      </w:r>
      <w:r>
        <w:rPr>
          <w:snapToGrid w:val="0"/>
        </w:rPr>
        <w:tab/>
        <w:t>it appears to the Director that re</w:t>
      </w:r>
      <w:r>
        <w:rPr>
          <w:snapToGrid w:val="0"/>
        </w:rPr>
        <w:noBreakHyphen/>
        <w:t>establishment of business under the licence by the licensee at the premises is not likely or feasible.</w:t>
      </w:r>
    </w:p>
    <w:p>
      <w:pPr>
        <w:pStyle w:val="Footnotesection"/>
      </w:pPr>
      <w:r>
        <w:tab/>
        <w:t xml:space="preserve">[Section 93 amended by No. 12 of 1998 s. 65.] </w:t>
      </w:r>
    </w:p>
    <w:p>
      <w:pPr>
        <w:pStyle w:val="Heading3"/>
        <w:keepLines/>
        <w:rPr>
          <w:snapToGrid w:val="0"/>
        </w:rPr>
      </w:pPr>
      <w:bookmarkStart w:id="122" w:name="_Toc389662736"/>
      <w:r>
        <w:rPr>
          <w:rStyle w:val="CharDivNo"/>
        </w:rPr>
        <w:t>Division 12</w:t>
      </w:r>
      <w:r>
        <w:rPr>
          <w:snapToGrid w:val="0"/>
        </w:rPr>
        <w:t> — </w:t>
      </w:r>
      <w:r>
        <w:rPr>
          <w:rStyle w:val="CharDivText"/>
        </w:rPr>
        <w:t>Surrenders</w:t>
      </w:r>
      <w:bookmarkEnd w:id="122"/>
      <w:r>
        <w:rPr>
          <w:rStyle w:val="CharDivText"/>
        </w:rPr>
        <w:t xml:space="preserve"> </w:t>
      </w:r>
    </w:p>
    <w:p>
      <w:pPr>
        <w:pStyle w:val="Heading5"/>
        <w:keepNext w:val="0"/>
        <w:rPr>
          <w:snapToGrid w:val="0"/>
        </w:rPr>
      </w:pPr>
      <w:bookmarkStart w:id="123" w:name="_Toc389662737"/>
      <w:r>
        <w:rPr>
          <w:rStyle w:val="CharSectno"/>
        </w:rPr>
        <w:t>94</w:t>
      </w:r>
      <w:r>
        <w:rPr>
          <w:snapToGrid w:val="0"/>
        </w:rPr>
        <w:t>.</w:t>
      </w:r>
      <w:r>
        <w:rPr>
          <w:snapToGrid w:val="0"/>
        </w:rPr>
        <w:tab/>
        <w:t>Surrender of licences</w:t>
      </w:r>
      <w:bookmarkEnd w:id="123"/>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24" w:name="_Toc389662738"/>
      <w:r>
        <w:rPr>
          <w:rStyle w:val="CharDivNo"/>
        </w:rPr>
        <w:t>Division 13</w:t>
      </w:r>
      <w:r>
        <w:rPr>
          <w:snapToGrid w:val="0"/>
        </w:rPr>
        <w:t> — </w:t>
      </w:r>
      <w:r>
        <w:rPr>
          <w:rStyle w:val="CharDivText"/>
        </w:rPr>
        <w:t>Disciplinary matters</w:t>
      </w:r>
      <w:bookmarkEnd w:id="124"/>
      <w:r>
        <w:rPr>
          <w:rStyle w:val="CharDivText"/>
        </w:rPr>
        <w:t xml:space="preserve"> </w:t>
      </w:r>
    </w:p>
    <w:p>
      <w:pPr>
        <w:pStyle w:val="Heading5"/>
        <w:rPr>
          <w:snapToGrid w:val="0"/>
        </w:rPr>
      </w:pPr>
      <w:bookmarkStart w:id="125" w:name="_Toc389662739"/>
      <w:r>
        <w:rPr>
          <w:rStyle w:val="CharSectno"/>
        </w:rPr>
        <w:t>95</w:t>
      </w:r>
      <w:r>
        <w:rPr>
          <w:snapToGrid w:val="0"/>
        </w:rPr>
        <w:t>.</w:t>
      </w:r>
      <w:r>
        <w:rPr>
          <w:snapToGrid w:val="0"/>
        </w:rPr>
        <w:tab/>
        <w:t>Disciplinary action</w:t>
      </w:r>
      <w:bookmarkEnd w:id="125"/>
      <w:r>
        <w:rPr>
          <w:snapToGrid w:val="0"/>
        </w:rPr>
        <w:t xml:space="preserve"> </w:t>
      </w:r>
    </w:p>
    <w:p>
      <w:pPr>
        <w:pStyle w:val="Subsection"/>
        <w:rPr>
          <w:snapToGrid w:val="0"/>
        </w:rPr>
      </w:pPr>
      <w:r>
        <w:rPr>
          <w:snapToGrid w:val="0"/>
        </w:rPr>
        <w:tab/>
        <w:t>(1)</w:t>
      </w:r>
      <w:r>
        <w:rPr>
          <w:snapToGrid w:val="0"/>
        </w:rPr>
        <w:tab/>
        <w:t>The Court 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Upon the making of a complaint, the Court may require the complainant to attend a preliminary conference before the Court, and may require a licensee to show cause to the Court why disciplinary action should not be taken, and where the Court is satisfied that the grounds on which the allegation is based are vexatious or can not be made out the Court shall give notice of that determination to the complainant and the complaint shall not then be heard without leave of the Court.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The complainant is to lodge the complaint with the Court 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 Court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any other person the Court may direct.</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The Court 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and 70(6) and (7).] </w:t>
      </w:r>
    </w:p>
    <w:p>
      <w:pPr>
        <w:pStyle w:val="Heading5"/>
        <w:rPr>
          <w:snapToGrid w:val="0"/>
        </w:rPr>
      </w:pPr>
      <w:bookmarkStart w:id="126" w:name="_Toc389662740"/>
      <w:r>
        <w:rPr>
          <w:rStyle w:val="CharSectno"/>
        </w:rPr>
        <w:t>96</w:t>
      </w:r>
      <w:r>
        <w:rPr>
          <w:snapToGrid w:val="0"/>
        </w:rPr>
        <w:t>.</w:t>
      </w:r>
      <w:r>
        <w:rPr>
          <w:snapToGrid w:val="0"/>
        </w:rPr>
        <w:tab/>
        <w:t>Disciplinary powers</w:t>
      </w:r>
      <w:bookmarkEnd w:id="126"/>
      <w:r>
        <w:rPr>
          <w:snapToGrid w:val="0"/>
        </w:rPr>
        <w:t xml:space="preserve"> </w:t>
      </w:r>
    </w:p>
    <w:p>
      <w:pPr>
        <w:pStyle w:val="Subsection"/>
        <w:rPr>
          <w:snapToGrid w:val="0"/>
        </w:rPr>
      </w:pPr>
      <w:r>
        <w:rPr>
          <w:snapToGrid w:val="0"/>
        </w:rPr>
        <w:tab/>
        <w:t>(1)</w:t>
      </w:r>
      <w:r>
        <w:rPr>
          <w:snapToGrid w:val="0"/>
        </w:rPr>
        <w:tab/>
        <w:t>Upon the appearance of the licensee, and of any other person required to be given notice of the complaint, or complaints, under section 95 or in the absence of the licensee or other person after due notice was given (where practicable), the Court 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Court 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disqualify, for such period as the Court thinks fit, the licensee from holding a licence;</w:t>
      </w:r>
    </w:p>
    <w:p>
      <w:pPr>
        <w:pStyle w:val="Indenta"/>
        <w:rPr>
          <w:snapToGrid w:val="0"/>
        </w:rPr>
      </w:pPr>
      <w:r>
        <w:rPr>
          <w:snapToGrid w:val="0"/>
        </w:rPr>
        <w:tab/>
        <w:t>(g)</w:t>
      </w:r>
      <w:r>
        <w:rPr>
          <w:snapToGrid w:val="0"/>
        </w:rPr>
        <w:tab/>
        <w:t>disqualify, for such period as the Court 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make such other order as the Court 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The Court 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Where the Court is satisfied that a licensee is committing, or permitting the commission of, a continuing breach of any condition of a licence the Court 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prescribed form or in a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w:t>
      </w:r>
    </w:p>
    <w:p>
      <w:pPr>
        <w:pStyle w:val="Heading2"/>
      </w:pPr>
      <w:bookmarkStart w:id="127" w:name="_Toc389662741"/>
      <w:r>
        <w:rPr>
          <w:rStyle w:val="CharPartNo"/>
        </w:rPr>
        <w:t>Part 4</w:t>
      </w:r>
      <w:r>
        <w:t> — </w:t>
      </w:r>
      <w:r>
        <w:rPr>
          <w:rStyle w:val="CharPartText"/>
        </w:rPr>
        <w:t>The conduct of business</w:t>
      </w:r>
      <w:bookmarkEnd w:id="127"/>
      <w:r>
        <w:rPr>
          <w:rStyle w:val="CharPartText"/>
        </w:rPr>
        <w:t xml:space="preserve"> </w:t>
      </w:r>
    </w:p>
    <w:p>
      <w:pPr>
        <w:pStyle w:val="Heading3"/>
        <w:rPr>
          <w:snapToGrid w:val="0"/>
        </w:rPr>
      </w:pPr>
      <w:bookmarkStart w:id="128" w:name="_Toc389662742"/>
      <w:r>
        <w:rPr>
          <w:rStyle w:val="CharDivNo"/>
        </w:rPr>
        <w:t>Division 1</w:t>
      </w:r>
      <w:r>
        <w:rPr>
          <w:snapToGrid w:val="0"/>
        </w:rPr>
        <w:t> — </w:t>
      </w:r>
      <w:r>
        <w:rPr>
          <w:rStyle w:val="CharDivText"/>
        </w:rPr>
        <w:t>Hours of trading</w:t>
      </w:r>
      <w:bookmarkEnd w:id="128"/>
      <w:r>
        <w:rPr>
          <w:rStyle w:val="CharDivText"/>
        </w:rPr>
        <w:t xml:space="preserve"> </w:t>
      </w:r>
    </w:p>
    <w:p>
      <w:pPr>
        <w:pStyle w:val="Heading5"/>
        <w:rPr>
          <w:snapToGrid w:val="0"/>
        </w:rPr>
      </w:pPr>
      <w:bookmarkStart w:id="129" w:name="_Toc389662743"/>
      <w:r>
        <w:rPr>
          <w:rStyle w:val="CharSectno"/>
        </w:rPr>
        <w:t>97</w:t>
      </w:r>
      <w:r>
        <w:rPr>
          <w:snapToGrid w:val="0"/>
        </w:rPr>
        <w:t>.</w:t>
      </w:r>
      <w:r>
        <w:rPr>
          <w:snapToGrid w:val="0"/>
        </w:rPr>
        <w:tab/>
        <w:t>Permitted hours of trading</w:t>
      </w:r>
      <w:bookmarkEnd w:id="129"/>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30" w:name="_Toc389662744"/>
      <w:r>
        <w:rPr>
          <w:rStyle w:val="CharSectno"/>
        </w:rPr>
        <w:t>98</w:t>
      </w:r>
      <w:r>
        <w:t>.</w:t>
      </w:r>
      <w:r>
        <w:tab/>
        <w:t>Permitted hours under a hotel licence</w:t>
      </w:r>
      <w:bookmarkEnd w:id="13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pPr>
      <w:r>
        <w:tab/>
        <w:t>(2)</w:t>
      </w:r>
      <w:r>
        <w:tab/>
        <w:t>The permitted hours under a hotel licence for the sale of liquor to a lodger are unrestricted.</w:t>
      </w:r>
    </w:p>
    <w:p>
      <w:pPr>
        <w:pStyle w:val="Footnotesection"/>
      </w:pPr>
      <w:r>
        <w:tab/>
        <w:t>[Section 98  inserted by No. 73 of 2006 s. 68.]</w:t>
      </w:r>
    </w:p>
    <w:p>
      <w:pPr>
        <w:pStyle w:val="Heading5"/>
      </w:pPr>
      <w:bookmarkStart w:id="131" w:name="_Toc389662745"/>
      <w:r>
        <w:rPr>
          <w:rStyle w:val="CharSectno"/>
        </w:rPr>
        <w:t>98A</w:t>
      </w:r>
      <w:r>
        <w:t>.</w:t>
      </w:r>
      <w:r>
        <w:tab/>
        <w:t>Permitted hours under a nightclub licence</w:t>
      </w:r>
      <w:bookmarkEnd w:id="131"/>
    </w:p>
    <w:p>
      <w:pPr>
        <w:pStyle w:val="Subsection"/>
        <w:outlineLvl w:val="0"/>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outlineLvl w:val="0"/>
      </w:pPr>
      <w:r>
        <w:tab/>
        <w:t>(2)</w:t>
      </w:r>
      <w:r>
        <w:tab/>
        <w:t xml:space="preserve">If Christmas Day falls on a Monday — </w:t>
      </w:r>
    </w:p>
    <w:p>
      <w:pPr>
        <w:pStyle w:val="Indenta"/>
      </w:pPr>
      <w:r>
        <w:tab/>
        <w:t>(a)</w:t>
      </w:r>
      <w:r>
        <w:tab/>
        <w:t>there are no permitted hours under a nightclub licence on that day; and</w:t>
      </w:r>
    </w:p>
    <w:p>
      <w:pPr>
        <w:pStyle w:val="Indenta"/>
      </w:pPr>
      <w:r>
        <w:tab/>
        <w:t>(b)</w:t>
      </w:r>
      <w:r>
        <w:tab/>
        <w:t>there are no further permitted hours before 6 p.m. on the following day.</w:t>
      </w:r>
    </w:p>
    <w:p>
      <w:pPr>
        <w:pStyle w:val="Footnotesection"/>
      </w:pPr>
      <w:r>
        <w:tab/>
        <w:t>[Section 98A  inserted by No. 73 of 2006 s. 68.]</w:t>
      </w:r>
    </w:p>
    <w:p>
      <w:pPr>
        <w:pStyle w:val="Heading5"/>
      </w:pPr>
      <w:bookmarkStart w:id="132" w:name="_Toc389662746"/>
      <w:r>
        <w:rPr>
          <w:rStyle w:val="CharSectno"/>
        </w:rPr>
        <w:t>98B</w:t>
      </w:r>
      <w:r>
        <w:t>.</w:t>
      </w:r>
      <w:r>
        <w:tab/>
        <w:t>Permitted hours under a casino liquor licence</w:t>
      </w:r>
      <w:bookmarkEnd w:id="13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33" w:name="_Toc389662747"/>
      <w:r>
        <w:rPr>
          <w:rStyle w:val="CharSectno"/>
        </w:rPr>
        <w:t>98C</w:t>
      </w:r>
      <w:r>
        <w:t>.</w:t>
      </w:r>
      <w:r>
        <w:tab/>
        <w:t>Permitted hours under a special facility licence</w:t>
      </w:r>
      <w:bookmarkEnd w:id="13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34" w:name="_Toc389662748"/>
      <w:r>
        <w:rPr>
          <w:rStyle w:val="CharSectno"/>
        </w:rPr>
        <w:t>98D</w:t>
      </w:r>
      <w:r>
        <w:t>.</w:t>
      </w:r>
      <w:r>
        <w:tab/>
        <w:t>Permitted hours under a liquor store licence</w:t>
      </w:r>
      <w:bookmarkEnd w:id="13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35" w:name="_Toc389662749"/>
      <w:r>
        <w:rPr>
          <w:rStyle w:val="CharSectno"/>
        </w:rPr>
        <w:t>98E</w:t>
      </w:r>
      <w:r>
        <w:t>.</w:t>
      </w:r>
      <w:r>
        <w:tab/>
        <w:t>Permitted hours under a club licence and club restricted licence</w:t>
      </w:r>
      <w:bookmarkEnd w:id="13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36" w:name="_Toc389662750"/>
      <w:r>
        <w:rPr>
          <w:rStyle w:val="CharSectno"/>
        </w:rPr>
        <w:t>98F</w:t>
      </w:r>
      <w:r>
        <w:t>.</w:t>
      </w:r>
      <w:r>
        <w:tab/>
        <w:t>Permitted hours under a restaurant licence</w:t>
      </w:r>
      <w:bookmarkEnd w:id="13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37" w:name="_Toc389662751"/>
      <w:r>
        <w:rPr>
          <w:rStyle w:val="CharSectno"/>
        </w:rPr>
        <w:t>98G</w:t>
      </w:r>
      <w:r>
        <w:t>.</w:t>
      </w:r>
      <w:r>
        <w:tab/>
        <w:t>Permitted hours under a producer’s licence</w:t>
      </w:r>
      <w:bookmarkEnd w:id="13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38" w:name="_Toc389662752"/>
      <w:r>
        <w:rPr>
          <w:rStyle w:val="CharSectno"/>
        </w:rPr>
        <w:t>98H</w:t>
      </w:r>
      <w:r>
        <w:t>.</w:t>
      </w:r>
      <w:r>
        <w:tab/>
        <w:t>Permitted hours under a wholesaler’s licence</w:t>
      </w:r>
      <w:bookmarkEnd w:id="138"/>
    </w:p>
    <w:p>
      <w:pPr>
        <w:pStyle w:val="Subsection"/>
        <w:outlineLvl w:val="0"/>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outlineLvl w:val="0"/>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39" w:name="_Toc389662753"/>
      <w:r>
        <w:rPr>
          <w:rStyle w:val="CharDivNo"/>
        </w:rPr>
        <w:t>Division 2</w:t>
      </w:r>
      <w:r>
        <w:rPr>
          <w:snapToGrid w:val="0"/>
        </w:rPr>
        <w:t> — </w:t>
      </w:r>
      <w:r>
        <w:rPr>
          <w:rStyle w:val="CharDivText"/>
        </w:rPr>
        <w:t>Maintenance of the premises</w:t>
      </w:r>
      <w:bookmarkEnd w:id="139"/>
      <w:r>
        <w:rPr>
          <w:rStyle w:val="CharDivText"/>
        </w:rPr>
        <w:t xml:space="preserve"> </w:t>
      </w:r>
    </w:p>
    <w:p>
      <w:pPr>
        <w:pStyle w:val="Heading5"/>
        <w:rPr>
          <w:snapToGrid w:val="0"/>
        </w:rPr>
      </w:pPr>
      <w:bookmarkStart w:id="140" w:name="_Toc389662754"/>
      <w:r>
        <w:rPr>
          <w:rStyle w:val="CharSectno"/>
        </w:rPr>
        <w:t>99</w:t>
      </w:r>
      <w:r>
        <w:rPr>
          <w:snapToGrid w:val="0"/>
        </w:rPr>
        <w:t>.</w:t>
      </w:r>
      <w:r>
        <w:rPr>
          <w:snapToGrid w:val="0"/>
        </w:rPr>
        <w:tab/>
        <w:t>Obligation to keep clean and in repair, and directions to make alterations or provide facilities, services etc.</w:t>
      </w:r>
      <w:bookmarkEnd w:id="140"/>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41" w:name="_Toc389662755"/>
      <w:r>
        <w:rPr>
          <w:rStyle w:val="CharDivNo"/>
        </w:rPr>
        <w:t>Division 3</w:t>
      </w:r>
      <w:r>
        <w:rPr>
          <w:snapToGrid w:val="0"/>
        </w:rPr>
        <w:t> — </w:t>
      </w:r>
      <w:r>
        <w:rPr>
          <w:rStyle w:val="CharDivText"/>
        </w:rPr>
        <w:t>Supervision and management</w:t>
      </w:r>
      <w:bookmarkEnd w:id="141"/>
      <w:r>
        <w:rPr>
          <w:rStyle w:val="CharDivText"/>
        </w:rPr>
        <w:t xml:space="preserve"> </w:t>
      </w:r>
    </w:p>
    <w:p>
      <w:pPr>
        <w:pStyle w:val="Heading5"/>
        <w:rPr>
          <w:snapToGrid w:val="0"/>
        </w:rPr>
      </w:pPr>
      <w:bookmarkStart w:id="142" w:name="_Toc389662756"/>
      <w:r>
        <w:rPr>
          <w:rStyle w:val="CharSectno"/>
        </w:rPr>
        <w:t>100</w:t>
      </w:r>
      <w:r>
        <w:rPr>
          <w:snapToGrid w:val="0"/>
        </w:rPr>
        <w:t>.</w:t>
      </w:r>
      <w:r>
        <w:rPr>
          <w:snapToGrid w:val="0"/>
        </w:rPr>
        <w:tab/>
        <w:t>Supervision and management</w:t>
      </w:r>
      <w:bookmarkEnd w:id="142"/>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the manager 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$5 000,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$5 000.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w:t>
      </w:r>
    </w:p>
    <w:p>
      <w:pPr>
        <w:pStyle w:val="Heading5"/>
        <w:rPr>
          <w:snapToGrid w:val="0"/>
        </w:rPr>
      </w:pPr>
      <w:bookmarkStart w:id="143" w:name="_Toc389662757"/>
      <w:r>
        <w:rPr>
          <w:rStyle w:val="CharSectno"/>
        </w:rPr>
        <w:t>101</w:t>
      </w:r>
      <w:r>
        <w:rPr>
          <w:snapToGrid w:val="0"/>
        </w:rPr>
        <w:t>.</w:t>
      </w:r>
      <w:r>
        <w:rPr>
          <w:snapToGrid w:val="0"/>
        </w:rPr>
        <w:tab/>
        <w:t>Responsibility of managers, etc.</w:t>
      </w:r>
      <w:bookmarkEnd w:id="143"/>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$5 000.</w:t>
      </w:r>
    </w:p>
    <w:p>
      <w:pPr>
        <w:pStyle w:val="Footnotesection"/>
      </w:pPr>
      <w:r>
        <w:tab/>
        <w:t xml:space="preserve">[Section 101 amended by No. 12 of 1998 s. 72; No. 84 of 2004 s. 80.] </w:t>
      </w:r>
    </w:p>
    <w:p>
      <w:pPr>
        <w:pStyle w:val="Heading5"/>
        <w:rPr>
          <w:snapToGrid w:val="0"/>
        </w:rPr>
      </w:pPr>
      <w:bookmarkStart w:id="144" w:name="_Toc389662758"/>
      <w:r>
        <w:rPr>
          <w:rStyle w:val="CharSectno"/>
        </w:rPr>
        <w:t>102</w:t>
      </w:r>
      <w:r>
        <w:rPr>
          <w:snapToGrid w:val="0"/>
        </w:rPr>
        <w:t>.</w:t>
      </w:r>
      <w:r>
        <w:rPr>
          <w:snapToGrid w:val="0"/>
        </w:rPr>
        <w:tab/>
        <w:t>Approval of corporate management and control</w:t>
      </w:r>
      <w:bookmarkEnd w:id="144"/>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Subsection (1) does not apply to or in relation to an occasional licence.</w:t>
      </w:r>
    </w:p>
    <w:p>
      <w:pPr>
        <w:pStyle w:val="Heading5"/>
        <w:rPr>
          <w:snapToGrid w:val="0"/>
        </w:rPr>
      </w:pPr>
      <w:bookmarkStart w:id="145" w:name="_Toc389662759"/>
      <w:r>
        <w:rPr>
          <w:rStyle w:val="CharSectno"/>
        </w:rPr>
        <w:t>103</w:t>
      </w:r>
      <w:r>
        <w:rPr>
          <w:snapToGrid w:val="0"/>
        </w:rPr>
        <w:t>.</w:t>
      </w:r>
      <w:r>
        <w:rPr>
          <w:snapToGrid w:val="0"/>
        </w:rPr>
        <w:tab/>
        <w:t>Notification of ownership of licensed premises etc.</w:t>
      </w:r>
      <w:bookmarkEnd w:id="145"/>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snapToGrid w:val="0"/>
        </w:rPr>
      </w:pPr>
      <w:bookmarkStart w:id="146" w:name="_Toc389662760"/>
      <w:r>
        <w:rPr>
          <w:rStyle w:val="CharDivNo"/>
        </w:rPr>
        <w:t>Division 4</w:t>
      </w:r>
      <w:r>
        <w:rPr>
          <w:snapToGrid w:val="0"/>
        </w:rPr>
        <w:t> — </w:t>
      </w:r>
      <w:r>
        <w:rPr>
          <w:rStyle w:val="CharDivText"/>
        </w:rPr>
        <w:t>Profit sharing</w:t>
      </w:r>
      <w:bookmarkEnd w:id="146"/>
      <w:r>
        <w:rPr>
          <w:rStyle w:val="CharDivText"/>
        </w:rPr>
        <w:t xml:space="preserve"> </w:t>
      </w:r>
    </w:p>
    <w:p>
      <w:pPr>
        <w:pStyle w:val="Heading5"/>
        <w:rPr>
          <w:snapToGrid w:val="0"/>
        </w:rPr>
      </w:pPr>
      <w:bookmarkStart w:id="147" w:name="_Toc389662761"/>
      <w:r>
        <w:rPr>
          <w:rStyle w:val="CharSectno"/>
        </w:rPr>
        <w:t>104</w:t>
      </w:r>
      <w:r>
        <w:rPr>
          <w:snapToGrid w:val="0"/>
        </w:rPr>
        <w:t>.</w:t>
      </w:r>
      <w:r>
        <w:rPr>
          <w:snapToGrid w:val="0"/>
        </w:rPr>
        <w:tab/>
        <w:t>Prohibition of profit sharing etc.</w:t>
      </w:r>
      <w:bookmarkEnd w:id="147"/>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w:t>
      </w:r>
    </w:p>
    <w:p>
      <w:pPr>
        <w:pStyle w:val="Indenta"/>
        <w:rPr>
          <w:snapToGrid w:val="0"/>
        </w:rPr>
      </w:pPr>
      <w:r>
        <w:rPr>
          <w:snapToGrid w:val="0"/>
        </w:rPr>
        <w:tab/>
        <w:t>(b)</w:t>
      </w:r>
      <w:r>
        <w:rPr>
          <w:snapToGrid w:val="0"/>
        </w:rPr>
        <w:tab/>
        <w:t>an extended trading permit, where it is approved under section 60(8);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w:t>
      </w:r>
    </w:p>
    <w:p>
      <w:pPr>
        <w:pStyle w:val="Heading3"/>
        <w:rPr>
          <w:snapToGrid w:val="0"/>
        </w:rPr>
      </w:pPr>
      <w:bookmarkStart w:id="148" w:name="_Toc389662762"/>
      <w:r>
        <w:rPr>
          <w:rStyle w:val="CharDivNo"/>
        </w:rPr>
        <w:t>Division 5</w:t>
      </w:r>
      <w:r>
        <w:rPr>
          <w:snapToGrid w:val="0"/>
        </w:rPr>
        <w:t> — </w:t>
      </w:r>
      <w:r>
        <w:rPr>
          <w:rStyle w:val="CharDivText"/>
        </w:rPr>
        <w:t>Lodgers</w:t>
      </w:r>
      <w:bookmarkEnd w:id="148"/>
      <w:r>
        <w:rPr>
          <w:rStyle w:val="CharDivText"/>
        </w:rPr>
        <w:t xml:space="preserve"> </w:t>
      </w:r>
    </w:p>
    <w:p>
      <w:pPr>
        <w:pStyle w:val="Heading5"/>
        <w:rPr>
          <w:snapToGrid w:val="0"/>
        </w:rPr>
      </w:pPr>
      <w:bookmarkStart w:id="149" w:name="_Toc389662763"/>
      <w:r>
        <w:rPr>
          <w:rStyle w:val="CharSectno"/>
        </w:rPr>
        <w:t>105</w:t>
      </w:r>
      <w:r>
        <w:rPr>
          <w:snapToGrid w:val="0"/>
        </w:rPr>
        <w:t>.</w:t>
      </w:r>
      <w:r>
        <w:rPr>
          <w:snapToGrid w:val="0"/>
        </w:rPr>
        <w:tab/>
        <w:t>Register of lodgers, etc.</w:t>
      </w:r>
      <w:bookmarkEnd w:id="149"/>
      <w:r>
        <w:rPr>
          <w:snapToGrid w:val="0"/>
        </w:rPr>
        <w:t xml:space="preserve"> </w:t>
      </w:r>
    </w:p>
    <w:p>
      <w:pPr>
        <w:pStyle w:val="Subsection"/>
        <w:rPr>
          <w:snapToGrid w:val="0"/>
        </w:rPr>
      </w:pPr>
      <w:r>
        <w:rPr>
          <w:snapToGrid w:val="0"/>
        </w:rPr>
        <w:tab/>
        <w:t>(1)</w:t>
      </w:r>
      <w:r>
        <w:rPr>
          <w:snapToGrid w:val="0"/>
        </w:rPr>
        <w:tab/>
        <w:t>The holder of a hotel licence, other than a tavern licence, shall maintain a register of lodgers, in a form acceptable to the Director, in accordance with this section.</w:t>
      </w:r>
    </w:p>
    <w:p>
      <w:pPr>
        <w:pStyle w:val="Subsection"/>
        <w:rPr>
          <w:snapToGrid w:val="0"/>
        </w:rPr>
      </w:pPr>
      <w:r>
        <w:rPr>
          <w:snapToGrid w:val="0"/>
        </w:rPr>
        <w:tab/>
        <w:t>(2)</w:t>
      </w:r>
      <w:r>
        <w:rPr>
          <w:snapToGrid w:val="0"/>
        </w:rPr>
        <w:tab/>
        <w:t>For the purposes of subsection (1), a person shall be regarded as a lodger in licensed premises if, and only if — </w:t>
      </w:r>
    </w:p>
    <w:p>
      <w:pPr>
        <w:pStyle w:val="Indenta"/>
        <w:rPr>
          <w:snapToGrid w:val="0"/>
        </w:rPr>
      </w:pPr>
      <w:r>
        <w:rPr>
          <w:snapToGrid w:val="0"/>
        </w:rPr>
        <w:tab/>
        <w:t>(a)</w:t>
      </w:r>
      <w:r>
        <w:rPr>
          <w:snapToGrid w:val="0"/>
        </w:rPr>
        <w:tab/>
        <w:t>the person spent the previous night at the premises or premises to which subsection (3) refers or is booked to spend the forthcoming night there; and</w:t>
      </w:r>
    </w:p>
    <w:p>
      <w:pPr>
        <w:pStyle w:val="Indenta"/>
        <w:rPr>
          <w:snapToGrid w:val="0"/>
        </w:rPr>
      </w:pPr>
      <w:r>
        <w:rPr>
          <w:snapToGrid w:val="0"/>
        </w:rPr>
        <w:tab/>
        <w:t>(b)</w:t>
      </w:r>
      <w:r>
        <w:rPr>
          <w:snapToGrid w:val="0"/>
        </w:rPr>
        <w:tab/>
        <w:t>the person is not, and is not a member of the family of, the licensee or the manager or an employee there.</w:t>
      </w:r>
    </w:p>
    <w:p>
      <w:pPr>
        <w:pStyle w:val="Subsection"/>
        <w:rPr>
          <w:snapToGrid w:val="0"/>
        </w:rPr>
      </w:pPr>
      <w:r>
        <w:rPr>
          <w:snapToGrid w:val="0"/>
        </w:rPr>
        <w:tab/>
        <w:t>(3)</w:t>
      </w:r>
      <w:r>
        <w:rPr>
          <w:snapToGrid w:val="0"/>
        </w:rPr>
        <w:tab/>
        <w:t>Where on the licensed premises no bedroom accommodation is available and other residential accommodation is provided there or on adjacent premises by or on behalf of the licensee in a location approved by the Director, a person so accommodated shall be deemed to be a lodger of the licensed premises.</w:t>
      </w:r>
    </w:p>
    <w:p>
      <w:pPr>
        <w:pStyle w:val="Subsection"/>
        <w:rPr>
          <w:snapToGrid w:val="0"/>
        </w:rPr>
      </w:pPr>
      <w:r>
        <w:rPr>
          <w:snapToGrid w:val="0"/>
        </w:rPr>
        <w:tab/>
        <w:t>(4)</w:t>
      </w:r>
      <w:r>
        <w:rPr>
          <w:snapToGrid w:val="0"/>
        </w:rPr>
        <w:tab/>
        <w:t>The licensee, and any employee or agent of the licensee, shall ensure the register required to be maintained by this section — </w:t>
      </w:r>
    </w:p>
    <w:p>
      <w:pPr>
        <w:pStyle w:val="Indenta"/>
        <w:rPr>
          <w:snapToGrid w:val="0"/>
        </w:rPr>
      </w:pPr>
      <w:r>
        <w:rPr>
          <w:snapToGrid w:val="0"/>
        </w:rPr>
        <w:tab/>
        <w:t>(a)</w:t>
      </w:r>
      <w:r>
        <w:rPr>
          <w:snapToGrid w:val="0"/>
        </w:rPr>
        <w:tab/>
        <w:t>is signed by the lodger;</w:t>
      </w:r>
    </w:p>
    <w:p>
      <w:pPr>
        <w:pStyle w:val="Indenta"/>
        <w:rPr>
          <w:snapToGrid w:val="0"/>
        </w:rPr>
      </w:pPr>
      <w:r>
        <w:rPr>
          <w:snapToGrid w:val="0"/>
        </w:rPr>
        <w:tab/>
        <w:t>(b)</w:t>
      </w:r>
      <w:r>
        <w:rPr>
          <w:snapToGrid w:val="0"/>
        </w:rPr>
        <w:tab/>
        <w:t>identifies the accommodation provided, and the period for which it was provided;</w:t>
      </w:r>
    </w:p>
    <w:p>
      <w:pPr>
        <w:pStyle w:val="Indenta"/>
        <w:rPr>
          <w:snapToGrid w:val="0"/>
        </w:rPr>
      </w:pPr>
      <w:r>
        <w:rPr>
          <w:snapToGrid w:val="0"/>
        </w:rPr>
        <w:tab/>
        <w:t>(c)</w:t>
      </w:r>
      <w:r>
        <w:rPr>
          <w:snapToGrid w:val="0"/>
        </w:rPr>
        <w:tab/>
        <w:t>includes the name and address of each lodger, and any further particulars prescribed;</w:t>
      </w:r>
    </w:p>
    <w:p>
      <w:pPr>
        <w:pStyle w:val="Indenta"/>
        <w:rPr>
          <w:snapToGrid w:val="0"/>
        </w:rPr>
      </w:pPr>
      <w:r>
        <w:rPr>
          <w:snapToGrid w:val="0"/>
        </w:rPr>
        <w:tab/>
        <w:t>(d)</w:t>
      </w:r>
      <w:r>
        <w:rPr>
          <w:snapToGrid w:val="0"/>
        </w:rPr>
        <w:tab/>
        <w:t>is not obliterated, or removed, wholly or in part; and</w:t>
      </w:r>
    </w:p>
    <w:p>
      <w:pPr>
        <w:pStyle w:val="Indenta"/>
        <w:rPr>
          <w:snapToGrid w:val="0"/>
        </w:rPr>
      </w:pPr>
      <w:r>
        <w:rPr>
          <w:snapToGrid w:val="0"/>
        </w:rPr>
        <w:tab/>
        <w:t>(e)</w:t>
      </w:r>
      <w:r>
        <w:rPr>
          <w:snapToGrid w:val="0"/>
        </w:rPr>
        <w:tab/>
        <w:t>is, unless the Director otherwise approves, kept on the licensed premises.</w:t>
      </w:r>
    </w:p>
    <w:p>
      <w:pPr>
        <w:pStyle w:val="Subsection"/>
        <w:rPr>
          <w:snapToGrid w:val="0"/>
        </w:rPr>
      </w:pPr>
      <w:r>
        <w:rPr>
          <w:snapToGrid w:val="0"/>
        </w:rPr>
        <w:tab/>
        <w:t>(5)</w:t>
      </w:r>
      <w:r>
        <w:rPr>
          <w:snapToGrid w:val="0"/>
        </w:rPr>
        <w:tab/>
        <w:t>Where a person is found on premises to which a hotel licence relates at a time when the sale of liquor to persons other than lodgers is not authorised, if in relation to that person any requirement of this section is contravened it is prima facie evidence against that person and against the licensee, in any proceedings in which the question is relevant, that the person was not at that time a lodger.</w:t>
      </w:r>
    </w:p>
    <w:p>
      <w:pPr>
        <w:pStyle w:val="Subsection"/>
        <w:rPr>
          <w:snapToGrid w:val="0"/>
        </w:rPr>
      </w:pPr>
      <w:r>
        <w:rPr>
          <w:snapToGrid w:val="0"/>
        </w:rPr>
        <w:tab/>
        <w:t>(6)</w:t>
      </w:r>
      <w:r>
        <w:rPr>
          <w:snapToGrid w:val="0"/>
        </w:rPr>
        <w:tab/>
        <w:t>Where a person was during a time when that person carried on business under a licence required to maintain a register under this section — </w:t>
      </w:r>
    </w:p>
    <w:p>
      <w:pPr>
        <w:pStyle w:val="Indenta"/>
        <w:rPr>
          <w:snapToGrid w:val="0"/>
        </w:rPr>
      </w:pPr>
      <w:r>
        <w:rPr>
          <w:snapToGrid w:val="0"/>
        </w:rPr>
        <w:tab/>
        <w:t>(a)</w:t>
      </w:r>
      <w:r>
        <w:rPr>
          <w:snapToGrid w:val="0"/>
        </w:rPr>
        <w:tab/>
        <w:t>on the transfer of the licence, the register shall be handed over to the transferee; and</w:t>
      </w:r>
    </w:p>
    <w:p>
      <w:pPr>
        <w:pStyle w:val="Indenta"/>
        <w:rPr>
          <w:snapToGrid w:val="0"/>
        </w:rPr>
      </w:pPr>
      <w:r>
        <w:rPr>
          <w:snapToGrid w:val="0"/>
        </w:rPr>
        <w:tab/>
        <w:t>(b)</w:t>
      </w:r>
      <w:r>
        <w:rPr>
          <w:snapToGrid w:val="0"/>
        </w:rPr>
        <w:tab/>
        <w:t>on the surrender or cancellation of the licence, the register shall be handed over to the Director,</w:t>
      </w:r>
    </w:p>
    <w:p>
      <w:pPr>
        <w:pStyle w:val="Subsection"/>
        <w:rPr>
          <w:snapToGrid w:val="0"/>
        </w:rPr>
      </w:pPr>
      <w:r>
        <w:rPr>
          <w:snapToGrid w:val="0"/>
        </w:rPr>
        <w:tab/>
      </w:r>
      <w:r>
        <w:rPr>
          <w:snapToGrid w:val="0"/>
        </w:rPr>
        <w:tab/>
        <w:t>by that person.</w:t>
      </w:r>
    </w:p>
    <w:p>
      <w:pPr>
        <w:pStyle w:val="Subsection"/>
        <w:rPr>
          <w:snapToGrid w:val="0"/>
        </w:rPr>
      </w:pPr>
      <w:r>
        <w:rPr>
          <w:snapToGrid w:val="0"/>
        </w:rPr>
        <w:tab/>
        <w:t>(7)</w:t>
      </w:r>
      <w:r>
        <w:rPr>
          <w:snapToGrid w:val="0"/>
        </w:rPr>
        <w:tab/>
        <w:t>A register maintained under this Act or the repealed Act, whether by the licensee or a person who handed it over to the licensee, shall be — </w:t>
      </w:r>
    </w:p>
    <w:p>
      <w:pPr>
        <w:pStyle w:val="Indenta"/>
        <w:rPr>
          <w:snapToGrid w:val="0"/>
        </w:rPr>
      </w:pPr>
      <w:r>
        <w:rPr>
          <w:snapToGrid w:val="0"/>
        </w:rPr>
        <w:tab/>
        <w:t>(a)</w:t>
      </w:r>
      <w:r>
        <w:rPr>
          <w:snapToGrid w:val="0"/>
        </w:rPr>
        <w:tab/>
        <w:t>retained by the licensee for 2 years after the last date appearing in the register; and</w:t>
      </w:r>
    </w:p>
    <w:p>
      <w:pPr>
        <w:pStyle w:val="Indenta"/>
        <w:rPr>
          <w:snapToGrid w:val="0"/>
        </w:rPr>
      </w:pPr>
      <w:r>
        <w:rPr>
          <w:snapToGrid w:val="0"/>
        </w:rPr>
        <w:tab/>
        <w:t>(b)</w:t>
      </w:r>
      <w:r>
        <w:rPr>
          <w:snapToGrid w:val="0"/>
        </w:rPr>
        <w:tab/>
        <w:t>made available for inspection by an authorised officer,</w:t>
      </w:r>
    </w:p>
    <w:p>
      <w:pPr>
        <w:pStyle w:val="Subsection"/>
        <w:rPr>
          <w:snapToGrid w:val="0"/>
        </w:rPr>
      </w:pPr>
      <w:r>
        <w:rPr>
          <w:snapToGrid w:val="0"/>
        </w:rPr>
        <w:tab/>
      </w:r>
      <w:r>
        <w:rPr>
          <w:snapToGrid w:val="0"/>
        </w:rPr>
        <w:tab/>
        <w:t>unless subsection (6)(b) applies.</w:t>
      </w:r>
    </w:p>
    <w:p>
      <w:pPr>
        <w:pStyle w:val="Subsection"/>
        <w:rPr>
          <w:snapToGrid w:val="0"/>
        </w:rPr>
      </w:pPr>
      <w:r>
        <w:rPr>
          <w:snapToGrid w:val="0"/>
        </w:rPr>
        <w:tab/>
        <w:t>(8)</w:t>
      </w:r>
      <w:r>
        <w:rPr>
          <w:snapToGrid w:val="0"/>
        </w:rPr>
        <w:tab/>
        <w:t>A licensee, or the employee or agent of a licensee, or any other person who — </w:t>
      </w:r>
    </w:p>
    <w:p>
      <w:pPr>
        <w:pStyle w:val="Indenta"/>
        <w:rPr>
          <w:snapToGrid w:val="0"/>
        </w:rPr>
      </w:pPr>
      <w:r>
        <w:rPr>
          <w:snapToGrid w:val="0"/>
        </w:rPr>
        <w:tab/>
        <w:t>(a)</w:t>
      </w:r>
      <w:r>
        <w:rPr>
          <w:snapToGrid w:val="0"/>
        </w:rPr>
        <w:tab/>
        <w:t>fails to maintain, retain or hand over to the Director a register as required by this section;</w:t>
      </w:r>
    </w:p>
    <w:p>
      <w:pPr>
        <w:pStyle w:val="Indenta"/>
        <w:rPr>
          <w:snapToGrid w:val="0"/>
        </w:rPr>
      </w:pPr>
      <w:r>
        <w:rPr>
          <w:snapToGrid w:val="0"/>
        </w:rPr>
        <w:tab/>
        <w:t>(b)</w:t>
      </w:r>
      <w:r>
        <w:rPr>
          <w:snapToGrid w:val="0"/>
        </w:rPr>
        <w:tab/>
        <w:t>fails to make that register available for inspection by an authorised officer; or</w:t>
      </w:r>
    </w:p>
    <w:p>
      <w:pPr>
        <w:pStyle w:val="Indenta"/>
        <w:rPr>
          <w:snapToGrid w:val="0"/>
        </w:rPr>
      </w:pPr>
      <w:r>
        <w:rPr>
          <w:snapToGrid w:val="0"/>
        </w:rPr>
        <w:tab/>
        <w:t>(c)</w:t>
      </w:r>
      <w:r>
        <w:rPr>
          <w:snapToGrid w:val="0"/>
        </w:rPr>
        <w:tab/>
        <w:t>contravenes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105 amended by No. 23 of 2000 s. 7.]</w:t>
      </w:r>
    </w:p>
    <w:p>
      <w:pPr>
        <w:pStyle w:val="Heading5"/>
        <w:rPr>
          <w:snapToGrid w:val="0"/>
        </w:rPr>
      </w:pPr>
      <w:bookmarkStart w:id="150" w:name="_Toc389662764"/>
      <w:r>
        <w:rPr>
          <w:rStyle w:val="CharSectno"/>
        </w:rPr>
        <w:t>106</w:t>
      </w:r>
      <w:r>
        <w:rPr>
          <w:snapToGrid w:val="0"/>
        </w:rPr>
        <w:t>.</w:t>
      </w:r>
      <w:r>
        <w:rPr>
          <w:snapToGrid w:val="0"/>
        </w:rPr>
        <w:tab/>
        <w:t>Liquor supplied to lodgers etc.</w:t>
      </w:r>
      <w:bookmarkEnd w:id="150"/>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there shall not be more than 6 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$5 000, in the case of an employee or agent $2 000, and in the case of a lodger $1 000.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$5 000, in the case of an employee or agent $2 000, and in the case of a lodger $1 000.</w:t>
      </w:r>
    </w:p>
    <w:p>
      <w:pPr>
        <w:pStyle w:val="Footnotesection"/>
      </w:pPr>
      <w:r>
        <w:tab/>
        <w:t xml:space="preserve">[Section 106 amended by No. 12 of 1998 s. 74.] </w:t>
      </w:r>
    </w:p>
    <w:p>
      <w:pPr>
        <w:pStyle w:val="Heading5"/>
        <w:rPr>
          <w:snapToGrid w:val="0"/>
        </w:rPr>
      </w:pPr>
      <w:bookmarkStart w:id="151" w:name="_Toc389662765"/>
      <w:r>
        <w:rPr>
          <w:rStyle w:val="CharSectno"/>
        </w:rPr>
        <w:t>107</w:t>
      </w:r>
      <w:r>
        <w:rPr>
          <w:snapToGrid w:val="0"/>
        </w:rPr>
        <w:t>.</w:t>
      </w:r>
      <w:r>
        <w:rPr>
          <w:snapToGrid w:val="0"/>
        </w:rPr>
        <w:tab/>
        <w:t>Liability of licensee for loss of property of lodger</w:t>
      </w:r>
      <w:bookmarkEnd w:id="151"/>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52" w:name="_Toc389662766"/>
      <w:r>
        <w:rPr>
          <w:rStyle w:val="CharDivNo"/>
        </w:rPr>
        <w:t>Division 6</w:t>
      </w:r>
      <w:r>
        <w:rPr>
          <w:snapToGrid w:val="0"/>
        </w:rPr>
        <w:t> — </w:t>
      </w:r>
      <w:r>
        <w:rPr>
          <w:rStyle w:val="CharDivText"/>
        </w:rPr>
        <w:t>The sale and consumption of liquor, etc.</w:t>
      </w:r>
      <w:bookmarkEnd w:id="152"/>
      <w:r>
        <w:rPr>
          <w:rStyle w:val="CharDivText"/>
        </w:rPr>
        <w:t xml:space="preserve"> </w:t>
      </w:r>
    </w:p>
    <w:p>
      <w:pPr>
        <w:pStyle w:val="Heading5"/>
        <w:rPr>
          <w:snapToGrid w:val="0"/>
        </w:rPr>
      </w:pPr>
      <w:bookmarkStart w:id="153" w:name="_Toc389662767"/>
      <w:r>
        <w:rPr>
          <w:rStyle w:val="CharSectno"/>
        </w:rPr>
        <w:t>108</w:t>
      </w:r>
      <w:r>
        <w:rPr>
          <w:snapToGrid w:val="0"/>
        </w:rPr>
        <w:t>.</w:t>
      </w:r>
      <w:r>
        <w:rPr>
          <w:snapToGrid w:val="0"/>
        </w:rPr>
        <w:tab/>
        <w:t>Certain services to be provided</w:t>
      </w:r>
      <w:bookmarkEnd w:id="153"/>
      <w:r>
        <w:rPr>
          <w:snapToGrid w:val="0"/>
        </w:rPr>
        <w:t xml:space="preserve"> </w:t>
      </w:r>
    </w:p>
    <w:p>
      <w:pPr>
        <w:pStyle w:val="Subsection"/>
        <w:rPr>
          <w:snapToGrid w:val="0"/>
        </w:rPr>
      </w:pPr>
      <w:r>
        <w:rPr>
          <w:snapToGrid w:val="0"/>
        </w:rPr>
        <w:tab/>
        <w:t>(1)</w:t>
      </w:r>
      <w:r>
        <w:rPr>
          <w:snapToGrid w:val="0"/>
        </w:rPr>
        <w:tab/>
        <w:t>This section applies to and in relation to premises licensed under — </w:t>
      </w:r>
    </w:p>
    <w:p>
      <w:pPr>
        <w:pStyle w:val="Indenta"/>
        <w:rPr>
          <w:snapToGrid w:val="0"/>
        </w:rPr>
      </w:pPr>
      <w:r>
        <w:rPr>
          <w:snapToGrid w:val="0"/>
        </w:rPr>
        <w:tab/>
        <w:t>(a)</w:t>
      </w:r>
      <w:r>
        <w:rPr>
          <w:snapToGrid w:val="0"/>
        </w:rPr>
        <w:tab/>
        <w:t>any hotel licence; or</w:t>
      </w:r>
    </w:p>
    <w:p>
      <w:pPr>
        <w:pStyle w:val="Indenta"/>
        <w:keepNext/>
        <w:rPr>
          <w:snapToGrid w:val="0"/>
        </w:rPr>
      </w:pPr>
      <w:r>
        <w:rPr>
          <w:snapToGrid w:val="0"/>
        </w:rPr>
        <w:tab/>
        <w:t>(b)</w:t>
      </w:r>
      <w:r>
        <w:rPr>
          <w:snapToGrid w:val="0"/>
        </w:rPr>
        <w:tab/>
        <w:t>a special facility licence, if that licence so provides.</w:t>
      </w:r>
    </w:p>
    <w:p>
      <w:pPr>
        <w:pStyle w:val="Subsection"/>
        <w:keepNext/>
        <w:keepLines/>
        <w:rPr>
          <w:snapToGrid w:val="0"/>
        </w:rPr>
      </w:pPr>
      <w:r>
        <w:rPr>
          <w:snapToGrid w:val="0"/>
        </w:rPr>
        <w:tab/>
        <w:t>(2)</w:t>
      </w:r>
      <w:r>
        <w:rPr>
          <w:snapToGrid w:val="0"/>
        </w:rPr>
        <w:tab/>
        <w:t>The licensee of any licensed premises to which this section applies — </w:t>
      </w:r>
    </w:p>
    <w:p>
      <w:pPr>
        <w:pStyle w:val="Indenta"/>
        <w:rPr>
          <w:snapToGrid w:val="0"/>
        </w:rPr>
      </w:pPr>
      <w:r>
        <w:rPr>
          <w:snapToGrid w:val="0"/>
        </w:rPr>
        <w:tab/>
        <w:t>(a)</w:t>
      </w:r>
      <w:r>
        <w:rPr>
          <w:snapToGrid w:val="0"/>
        </w:rPr>
        <w:tab/>
        <w:t>subject to subsection (3) and any condition of the licence, shall not without reasonable cause (the burden of proof of which shall lie on the licensee) refuse — </w:t>
      </w:r>
    </w:p>
    <w:p>
      <w:pPr>
        <w:pStyle w:val="Indenti"/>
        <w:rPr>
          <w:snapToGrid w:val="0"/>
        </w:rPr>
      </w:pPr>
      <w:r>
        <w:rPr>
          <w:snapToGrid w:val="0"/>
        </w:rPr>
        <w:tab/>
        <w:t>(i)</w:t>
      </w:r>
      <w:r>
        <w:rPr>
          <w:snapToGrid w:val="0"/>
        </w:rPr>
        <w:tab/>
        <w:t>to receive a person on the licensed premises; or</w:t>
      </w:r>
    </w:p>
    <w:p>
      <w:pPr>
        <w:pStyle w:val="Indenti"/>
        <w:rPr>
          <w:snapToGrid w:val="0"/>
        </w:rPr>
      </w:pPr>
      <w:r>
        <w:rPr>
          <w:snapToGrid w:val="0"/>
        </w:rPr>
        <w:tab/>
        <w:t>(ii)</w:t>
      </w:r>
      <w:r>
        <w:rPr>
          <w:snapToGrid w:val="0"/>
        </w:rPr>
        <w:tab/>
        <w:t>to sell liquor there to any person,</w:t>
      </w:r>
    </w:p>
    <w:p>
      <w:pPr>
        <w:pStyle w:val="Indenta"/>
        <w:rPr>
          <w:snapToGrid w:val="0"/>
        </w:rPr>
      </w:pPr>
      <w:r>
        <w:rPr>
          <w:snapToGrid w:val="0"/>
        </w:rPr>
        <w:tab/>
      </w:r>
      <w:r>
        <w:rPr>
          <w:snapToGrid w:val="0"/>
        </w:rPr>
        <w:tab/>
        <w:t>at any time that the premises are open for business during permitted hours; or</w:t>
      </w:r>
    </w:p>
    <w:p>
      <w:pPr>
        <w:pStyle w:val="Indenta"/>
        <w:rPr>
          <w:snapToGrid w:val="0"/>
        </w:rPr>
      </w:pPr>
      <w:r>
        <w:rPr>
          <w:snapToGrid w:val="0"/>
        </w:rPr>
        <w:tab/>
        <w:t>(b)</w:t>
      </w:r>
      <w:r>
        <w:rPr>
          <w:snapToGrid w:val="0"/>
        </w:rPr>
        <w:tab/>
        <w:t>subject to section 41(5) (the burden of proof under which shall lie on the licensee) and to section 41(6), shall not contravene a condition of the kind to which section 41(4) refers, or fail to provide the service necessary to ensure compliance with the condition.</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A licensee has reasonable cause to refuse to receive a person or to sell liquor to a person, and may refuse to permit a person to enter the licensed premises, if — </w:t>
      </w:r>
    </w:p>
    <w:p>
      <w:pPr>
        <w:pStyle w:val="Indenta"/>
        <w:rPr>
          <w:snapToGrid w:val="0"/>
        </w:rPr>
      </w:pPr>
      <w:r>
        <w:rPr>
          <w:snapToGrid w:val="0"/>
        </w:rPr>
        <w:tab/>
        <w:t>(a)</w:t>
      </w:r>
      <w:r>
        <w:rPr>
          <w:snapToGrid w:val="0"/>
        </w:rPr>
        <w:tab/>
        <w:t>the person appears to be drunk or otherwise appears to be a person whose presence, or the provision of service to whom, on the licensed premises will occasion the licensee to commit an offence under this Act;</w:t>
      </w:r>
    </w:p>
    <w:p>
      <w:pPr>
        <w:pStyle w:val="Indenta"/>
        <w:rPr>
          <w:snapToGrid w:val="0"/>
        </w:rPr>
      </w:pPr>
      <w:r>
        <w:rPr>
          <w:snapToGrid w:val="0"/>
        </w:rPr>
        <w:tab/>
        <w:t>(b)</w:t>
      </w:r>
      <w:r>
        <w:rPr>
          <w:snapToGrid w:val="0"/>
        </w:rPr>
        <w:tab/>
        <w:t>the licensee has reasonable cause to believe that the person — </w:t>
      </w:r>
    </w:p>
    <w:p>
      <w:pPr>
        <w:pStyle w:val="Indenti"/>
        <w:rPr>
          <w:snapToGrid w:val="0"/>
        </w:rPr>
      </w:pPr>
      <w:r>
        <w:rPr>
          <w:snapToGrid w:val="0"/>
        </w:rPr>
        <w:tab/>
        <w:t>(i)</w:t>
      </w:r>
      <w:r>
        <w:rPr>
          <w:snapToGrid w:val="0"/>
        </w:rPr>
        <w:tab/>
        <w:t>cannot, or will not, pay;</w:t>
      </w:r>
    </w:p>
    <w:p>
      <w:pPr>
        <w:pStyle w:val="Indenti"/>
        <w:rPr>
          <w:snapToGrid w:val="0"/>
        </w:rPr>
      </w:pPr>
      <w:r>
        <w:rPr>
          <w:snapToGrid w:val="0"/>
        </w:rPr>
        <w:tab/>
        <w:t>(ii)</w:t>
      </w:r>
      <w:r>
        <w:rPr>
          <w:snapToGrid w:val="0"/>
        </w:rPr>
        <w:tab/>
        <w:t>is, or is known to be, quarrelsome or disorderly; or</w:t>
      </w:r>
    </w:p>
    <w:p>
      <w:pPr>
        <w:pStyle w:val="Indenti"/>
        <w:rPr>
          <w:snapToGrid w:val="0"/>
        </w:rPr>
      </w:pPr>
      <w:r>
        <w:rPr>
          <w:snapToGrid w:val="0"/>
        </w:rPr>
        <w:tab/>
        <w:t>(iii)</w:t>
      </w:r>
      <w:r>
        <w:rPr>
          <w:snapToGrid w:val="0"/>
        </w:rPr>
        <w:tab/>
        <w:t>is seeking to obtain liquor by begging;</w:t>
      </w:r>
    </w:p>
    <w:p>
      <w:pPr>
        <w:pStyle w:val="Indenta"/>
        <w:keepNext/>
        <w:rPr>
          <w:snapToGrid w:val="0"/>
        </w:rPr>
      </w:pPr>
      <w:r>
        <w:rPr>
          <w:snapToGrid w:val="0"/>
        </w:rPr>
        <w:tab/>
        <w:t>(c)</w:t>
      </w:r>
      <w:r>
        <w:rPr>
          <w:snapToGrid w:val="0"/>
        </w:rPr>
        <w:tab/>
        <w:t>the person is requesting service on a part of the premises — </w:t>
      </w:r>
    </w:p>
    <w:p>
      <w:pPr>
        <w:pStyle w:val="Indenti"/>
        <w:rPr>
          <w:snapToGrid w:val="0"/>
        </w:rPr>
      </w:pPr>
      <w:r>
        <w:rPr>
          <w:snapToGrid w:val="0"/>
        </w:rPr>
        <w:tab/>
        <w:t>(i)</w:t>
      </w:r>
      <w:r>
        <w:rPr>
          <w:snapToGrid w:val="0"/>
        </w:rPr>
        <w:tab/>
        <w:t>where the licensee is not authorised to provide the service requested; or</w:t>
      </w:r>
    </w:p>
    <w:p>
      <w:pPr>
        <w:pStyle w:val="Indenti"/>
        <w:rPr>
          <w:snapToGrid w:val="0"/>
        </w:rPr>
      </w:pPr>
      <w:r>
        <w:rPr>
          <w:snapToGrid w:val="0"/>
        </w:rPr>
        <w:tab/>
        <w:t>(ii)</w:t>
      </w:r>
      <w:r>
        <w:rPr>
          <w:snapToGrid w:val="0"/>
        </w:rPr>
        <w:tab/>
        <w:t>set aside for the purpose of a private function;</w:t>
      </w:r>
    </w:p>
    <w:p>
      <w:pPr>
        <w:pStyle w:val="Indenta"/>
        <w:rPr>
          <w:snapToGrid w:val="0"/>
        </w:rPr>
      </w:pPr>
      <w:r>
        <w:rPr>
          <w:snapToGrid w:val="0"/>
        </w:rPr>
        <w:tab/>
        <w:t>(d)</w:t>
      </w:r>
      <w:r>
        <w:rPr>
          <w:snapToGrid w:val="0"/>
        </w:rPr>
        <w:tab/>
        <w:t>the person is not dressed in conformity with a particular standard of dress required by the licensee, being a standard that was at the relevant time reasonable in the circumstances, of which requirement notice had been conspicuously displayed at each entrance to any part of the licensed premises where the standard was required to be observed; or</w:t>
      </w:r>
    </w:p>
    <w:p>
      <w:pPr>
        <w:pStyle w:val="Indenta"/>
        <w:rPr>
          <w:snapToGrid w:val="0"/>
        </w:rPr>
      </w:pPr>
      <w:r>
        <w:rPr>
          <w:snapToGrid w:val="0"/>
        </w:rPr>
        <w:tab/>
        <w:t>(e)</w:t>
      </w:r>
      <w:r>
        <w:rPr>
          <w:snapToGrid w:val="0"/>
        </w:rPr>
        <w:tab/>
        <w:t>the person is behaving in an offensive manner.</w:t>
      </w:r>
    </w:p>
    <w:p>
      <w:pPr>
        <w:pStyle w:val="Subsection"/>
        <w:spacing w:before="120"/>
        <w:rPr>
          <w:snapToGrid w:val="0"/>
        </w:rPr>
      </w:pPr>
      <w:r>
        <w:rPr>
          <w:snapToGrid w:val="0"/>
        </w:rPr>
        <w:tab/>
        <w:t>(4)</w:t>
      </w:r>
      <w:r>
        <w:rPr>
          <w:snapToGrid w:val="0"/>
        </w:rPr>
        <w:tab/>
        <w:t>Where a licensee of any premises authorised to sell liquor for consumption on or off the premises at the relevant time — </w:t>
      </w:r>
    </w:p>
    <w:p>
      <w:pPr>
        <w:pStyle w:val="Indenta"/>
        <w:rPr>
          <w:snapToGrid w:val="0"/>
        </w:rPr>
      </w:pPr>
      <w:r>
        <w:rPr>
          <w:snapToGrid w:val="0"/>
        </w:rPr>
        <w:tab/>
        <w:t>(a)</w:t>
      </w:r>
      <w:r>
        <w:rPr>
          <w:snapToGrid w:val="0"/>
        </w:rPr>
        <w:tab/>
        <w:t>sells liquor to a person for consumption off the premises only, if the person requires it for consumption on the premises; or</w:t>
      </w:r>
    </w:p>
    <w:p>
      <w:pPr>
        <w:pStyle w:val="Indenta"/>
        <w:rPr>
          <w:snapToGrid w:val="0"/>
        </w:rPr>
      </w:pPr>
      <w:r>
        <w:rPr>
          <w:snapToGrid w:val="0"/>
        </w:rPr>
        <w:tab/>
        <w:t>(b)</w:t>
      </w:r>
      <w:r>
        <w:rPr>
          <w:snapToGrid w:val="0"/>
        </w:rPr>
        <w:tab/>
        <w:t>conversely, sells liquor for consumption on the premises only, if the person requires it for consumption off the premises,</w:t>
      </w:r>
    </w:p>
    <w:p>
      <w:pPr>
        <w:pStyle w:val="Subsection"/>
        <w:rPr>
          <w:snapToGrid w:val="0"/>
        </w:rPr>
      </w:pPr>
      <w:r>
        <w:rPr>
          <w:snapToGrid w:val="0"/>
        </w:rPr>
        <w:tab/>
      </w:r>
      <w:r>
        <w:rPr>
          <w:snapToGrid w:val="0"/>
        </w:rPr>
        <w:tab/>
        <w:t>the licensee is deemed, for the purposes of subsection (2)(a)(ii), to have refused to sell liquor to that person.</w:t>
      </w:r>
    </w:p>
    <w:p>
      <w:pPr>
        <w:pStyle w:val="Subsection"/>
        <w:spacing w:before="120"/>
        <w:rPr>
          <w:snapToGrid w:val="0"/>
        </w:rPr>
      </w:pPr>
      <w:r>
        <w:rPr>
          <w:snapToGrid w:val="0"/>
        </w:rPr>
        <w:tab/>
        <w:t>(5)</w:t>
      </w:r>
      <w:r>
        <w:rPr>
          <w:snapToGrid w:val="0"/>
        </w:rPr>
        <w:tab/>
      </w:r>
      <w:r>
        <w:rPr>
          <w:snapToGrid w:val="0"/>
          <w:spacing w:val="-4"/>
        </w:rPr>
        <w:t>At a time when a licensee is authorised to sell liquor only with or ancillary to a meal the licensee shall cause to be exhibited in the place where that liquor is sold, for the use of and clearly visible to customers, a price list showing the charges made for meals and for the various types of liquor supplied ancillary to meals.</w:t>
      </w:r>
    </w:p>
    <w:p>
      <w:pPr>
        <w:pStyle w:val="Penstart"/>
        <w:rPr>
          <w:snapToGrid w:val="0"/>
        </w:rPr>
      </w:pPr>
      <w:r>
        <w:rPr>
          <w:snapToGrid w:val="0"/>
        </w:rPr>
        <w:tab/>
        <w:t>Penalty: $500.</w:t>
      </w:r>
    </w:p>
    <w:p>
      <w:pPr>
        <w:pStyle w:val="Subsection"/>
        <w:spacing w:before="120"/>
        <w:rPr>
          <w:snapToGrid w:val="0"/>
        </w:rPr>
      </w:pPr>
      <w:r>
        <w:rPr>
          <w:snapToGrid w:val="0"/>
        </w:rPr>
        <w:tab/>
        <w:t>(6)</w:t>
      </w:r>
      <w:r>
        <w:rPr>
          <w:snapToGrid w:val="0"/>
        </w:rPr>
        <w:tab/>
        <w:t>In this section, a reference to a licensee is deemed to include a reference to an employee or agent of the licensee.</w:t>
      </w:r>
    </w:p>
    <w:p>
      <w:pPr>
        <w:pStyle w:val="Footnotesection"/>
      </w:pPr>
      <w:r>
        <w:tab/>
        <w:t xml:space="preserve">[Section 108 amended by No. 12 of 1998 s. 75.] </w:t>
      </w:r>
    </w:p>
    <w:p>
      <w:pPr>
        <w:pStyle w:val="Heading5"/>
        <w:spacing w:before="180"/>
        <w:rPr>
          <w:snapToGrid w:val="0"/>
        </w:rPr>
      </w:pPr>
      <w:bookmarkStart w:id="154" w:name="_Toc389662768"/>
      <w:r>
        <w:rPr>
          <w:rStyle w:val="CharSectno"/>
        </w:rPr>
        <w:t>109</w:t>
      </w:r>
      <w:r>
        <w:rPr>
          <w:snapToGrid w:val="0"/>
        </w:rPr>
        <w:t>.</w:t>
      </w:r>
      <w:r>
        <w:rPr>
          <w:snapToGrid w:val="0"/>
        </w:rPr>
        <w:tab/>
        <w:t>The sale of liquor to be authorised under this Act</w:t>
      </w:r>
      <w:bookmarkEnd w:id="154"/>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w:t>
      </w:r>
    </w:p>
    <w:p>
      <w:pPr>
        <w:pStyle w:val="Heading5"/>
        <w:keepLines w:val="0"/>
        <w:spacing w:before="180"/>
        <w:rPr>
          <w:snapToGrid w:val="0"/>
        </w:rPr>
      </w:pPr>
      <w:bookmarkStart w:id="155" w:name="_Toc389662769"/>
      <w:r>
        <w:rPr>
          <w:rStyle w:val="CharSectno"/>
        </w:rPr>
        <w:t>110</w:t>
      </w:r>
      <w:r>
        <w:rPr>
          <w:snapToGrid w:val="0"/>
        </w:rPr>
        <w:t>.</w:t>
      </w:r>
      <w:r>
        <w:rPr>
          <w:snapToGrid w:val="0"/>
        </w:rPr>
        <w:tab/>
        <w:t>Offences relating to licensed premises</w:t>
      </w:r>
      <w:bookmarkEnd w:id="155"/>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$5 000, in the case of an employee or agent $2 000, in any other case $1 000.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$5 000, in the case of an employee or agent $2 000.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$5 000, in the case of an employee or agent $2 000, in any other case $1 000.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110 amended by No. 12 of 1998 s. 76.] </w:t>
      </w:r>
    </w:p>
    <w:p>
      <w:pPr>
        <w:pStyle w:val="Heading5"/>
        <w:rPr>
          <w:snapToGrid w:val="0"/>
        </w:rPr>
      </w:pPr>
      <w:bookmarkStart w:id="156" w:name="_Toc389662770"/>
      <w:r>
        <w:rPr>
          <w:rStyle w:val="CharSectno"/>
        </w:rPr>
        <w:t>111</w:t>
      </w:r>
      <w:r>
        <w:rPr>
          <w:snapToGrid w:val="0"/>
        </w:rPr>
        <w:t>.</w:t>
      </w:r>
      <w:r>
        <w:rPr>
          <w:snapToGrid w:val="0"/>
        </w:rPr>
        <w:tab/>
        <w:t>Trading outside permitted hours</w:t>
      </w:r>
      <w:bookmarkEnd w:id="156"/>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$1 000.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w:t>
      </w:r>
    </w:p>
    <w:p>
      <w:pPr>
        <w:pStyle w:val="Heading5"/>
        <w:rPr>
          <w:snapToGrid w:val="0"/>
        </w:rPr>
      </w:pPr>
      <w:bookmarkStart w:id="157" w:name="_Toc389662771"/>
      <w:r>
        <w:rPr>
          <w:rStyle w:val="CharSectno"/>
        </w:rPr>
        <w:t>112</w:t>
      </w:r>
      <w:r>
        <w:rPr>
          <w:snapToGrid w:val="0"/>
        </w:rPr>
        <w:t>.</w:t>
      </w:r>
      <w:r>
        <w:rPr>
          <w:snapToGrid w:val="0"/>
        </w:rPr>
        <w:tab/>
        <w:t>Application of sections 109, 110 and 111</w:t>
      </w:r>
      <w:bookmarkEnd w:id="157"/>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58" w:name="_Toc389662772"/>
      <w:r>
        <w:rPr>
          <w:rStyle w:val="CharSectno"/>
        </w:rPr>
        <w:t>113</w:t>
      </w:r>
      <w:r>
        <w:rPr>
          <w:snapToGrid w:val="0"/>
        </w:rPr>
        <w:t>.</w:t>
      </w:r>
      <w:r>
        <w:rPr>
          <w:snapToGrid w:val="0"/>
        </w:rPr>
        <w:tab/>
        <w:t>Unlawful dealing in liquor</w:t>
      </w:r>
      <w:bookmarkEnd w:id="158"/>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Subsection"/>
        <w:spacing w:before="100"/>
        <w:rPr>
          <w:snapToGrid w:val="0"/>
        </w:rPr>
      </w:pPr>
      <w:r>
        <w:rPr>
          <w:snapToGrid w:val="0"/>
        </w:rPr>
        <w:tab/>
        <w:t>(3)</w:t>
      </w:r>
      <w:r>
        <w:rPr>
          <w:snapToGrid w:val="0"/>
        </w:rPr>
        <w:tab/>
        <w:t>Where any liquor, container or packaging, is forfeited under this Act it may be sold or destroyed, as the court making the order for forfeiture may direct, and the proceeds of the sale (if any) shall, after payment of the expenses of sale, be credited to the Consolidated Fund.</w:t>
      </w:r>
    </w:p>
    <w:p>
      <w:pPr>
        <w:pStyle w:val="Footnotesection"/>
      </w:pPr>
      <w:r>
        <w:tab/>
        <w:t>[Section 113 amended by No. 6 of 1993 s. 11; No. 49 of 1996 s. 64.]</w:t>
      </w:r>
    </w:p>
    <w:p>
      <w:pPr>
        <w:pStyle w:val="Heading5"/>
        <w:rPr>
          <w:snapToGrid w:val="0"/>
        </w:rPr>
      </w:pPr>
      <w:bookmarkStart w:id="159" w:name="_Toc389662773"/>
      <w:r>
        <w:rPr>
          <w:rStyle w:val="CharSectno"/>
        </w:rPr>
        <w:t>114</w:t>
      </w:r>
      <w:r>
        <w:rPr>
          <w:snapToGrid w:val="0"/>
        </w:rPr>
        <w:t>.</w:t>
      </w:r>
      <w:r>
        <w:rPr>
          <w:snapToGrid w:val="0"/>
        </w:rPr>
        <w:tab/>
        <w:t>Closure of licensed premises by Police</w:t>
      </w:r>
      <w:bookmarkEnd w:id="159"/>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that person may require the licensee, or an employee or agent of the licensee, to close the licensed premises or a part of those premises, or to cease the sale, supply or consumption of liquor on 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On the orders of the member of the Police Force making a requirement in relation to licensed premises under subsection (1), a person may use such force as may be necessary to ensure compliance with the requirement.</w:t>
      </w:r>
    </w:p>
    <w:p>
      <w:pPr>
        <w:pStyle w:val="Footnotesection"/>
      </w:pPr>
      <w:r>
        <w:tab/>
        <w:t xml:space="preserve">[Section 114 amended by No. 12 of 1998 s. 79.] </w:t>
      </w:r>
    </w:p>
    <w:p>
      <w:pPr>
        <w:pStyle w:val="Heading5"/>
        <w:rPr>
          <w:snapToGrid w:val="0"/>
        </w:rPr>
      </w:pPr>
      <w:bookmarkStart w:id="160" w:name="_Toc389662774"/>
      <w:r>
        <w:rPr>
          <w:rStyle w:val="CharSectno"/>
        </w:rPr>
        <w:t>115</w:t>
      </w:r>
      <w:r>
        <w:rPr>
          <w:snapToGrid w:val="0"/>
        </w:rPr>
        <w:t>.</w:t>
      </w:r>
      <w:r>
        <w:rPr>
          <w:snapToGrid w:val="0"/>
        </w:rPr>
        <w:tab/>
        <w:t>Disorderly persons etc.</w:t>
      </w:r>
      <w:bookmarkEnd w:id="160"/>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to take place;</w:t>
      </w:r>
    </w:p>
    <w:p>
      <w:pPr>
        <w:pStyle w:val="Indenta"/>
        <w:rPr>
          <w:snapToGrid w:val="0"/>
        </w:rPr>
      </w:pPr>
      <w:r>
        <w:rPr>
          <w:snapToGrid w:val="0"/>
        </w:rPr>
        <w:tab/>
        <w:t>(b)</w:t>
      </w:r>
      <w:r>
        <w:rPr>
          <w:snapToGrid w:val="0"/>
        </w:rPr>
        <w:tab/>
        <w:t>permits any reputed thief, prostitute or supplier of unlawful drugs to remain, other than for so long as is necessary to obtain reasonable refreshment; 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rPr>
          <w:snapToGrid w:val="0"/>
        </w:rPr>
        <w:t>,</w:t>
      </w:r>
    </w:p>
    <w:p>
      <w:pPr>
        <w:pStyle w:val="Subsection"/>
        <w:rPr>
          <w:snapToGrid w:val="0"/>
        </w:rPr>
      </w:pPr>
      <w:r>
        <w:rPr>
          <w:snapToGrid w:val="0"/>
        </w:rPr>
        <w:tab/>
      </w:r>
      <w:r>
        <w:rPr>
          <w:snapToGrid w:val="0"/>
        </w:rPr>
        <w:tab/>
        <w:t>on the licensed premises that licensee, and the employee or agent concerned, commits an offence.</w:t>
      </w:r>
    </w:p>
    <w:p>
      <w:pPr>
        <w:pStyle w:val="Penstart"/>
        <w:rPr>
          <w:snapToGrid w:val="0"/>
        </w:rPr>
      </w:pPr>
      <w:r>
        <w:rPr>
          <w:snapToGrid w:val="0"/>
        </w:rPr>
        <w:tab/>
        <w:t>Penalty: In the case of the licensee or manager $5 000, in the case of an employee or agent $2 000.</w:t>
      </w:r>
    </w:p>
    <w:p>
      <w:pPr>
        <w:pStyle w:val="Subsection"/>
        <w:rPr>
          <w:snapToGrid w:val="0"/>
        </w:rPr>
      </w:pPr>
      <w:r>
        <w:rPr>
          <w:snapToGrid w:val="0"/>
        </w:rPr>
        <w:tab/>
        <w:t>(2)</w:t>
      </w:r>
      <w:r>
        <w:rPr>
          <w:snapToGrid w:val="0"/>
        </w:rPr>
        <w:tab/>
        <w:t>A person shall not, on licensed premises — </w:t>
      </w:r>
    </w:p>
    <w:p>
      <w:pPr>
        <w:pStyle w:val="Indenta"/>
        <w:rPr>
          <w:snapToGrid w:val="0"/>
        </w:rPr>
      </w:pPr>
      <w:r>
        <w:rPr>
          <w:snapToGrid w:val="0"/>
        </w:rPr>
        <w:tab/>
        <w:t>(a)</w:t>
      </w:r>
      <w:r>
        <w:rPr>
          <w:snapToGrid w:val="0"/>
        </w:rPr>
        <w:tab/>
        <w:t>sell or supply liquor, or cause or permit liquor to be sold or supplied, to a drunken person;</w:t>
      </w:r>
    </w:p>
    <w:p>
      <w:pPr>
        <w:pStyle w:val="Indenta"/>
        <w:rPr>
          <w:snapToGrid w:val="0"/>
        </w:rPr>
      </w:pPr>
      <w:r>
        <w:rPr>
          <w:snapToGrid w:val="0"/>
        </w:rPr>
        <w:tab/>
        <w:t>(b)</w:t>
      </w:r>
      <w:r>
        <w:rPr>
          <w:snapToGrid w:val="0"/>
        </w:rPr>
        <w:tab/>
        <w:t>allow or permit a drunken person to consume liquor;</w:t>
      </w:r>
    </w:p>
    <w:p>
      <w:pPr>
        <w:pStyle w:val="Indenta"/>
        <w:rPr>
          <w:snapToGrid w:val="0"/>
        </w:rPr>
      </w:pPr>
      <w:r>
        <w:rPr>
          <w:snapToGrid w:val="0"/>
        </w:rPr>
        <w:tab/>
        <w:t>(c)</w:t>
      </w:r>
      <w:r>
        <w:rPr>
          <w:snapToGrid w:val="0"/>
        </w:rPr>
        <w:tab/>
        <w:t>obtain or attempt to obtain liquor for consumption by a drunken person; or</w:t>
      </w:r>
    </w:p>
    <w:p>
      <w:pPr>
        <w:pStyle w:val="Indenta"/>
        <w:rPr>
          <w:snapToGrid w:val="0"/>
        </w:rPr>
      </w:pPr>
      <w:r>
        <w:rPr>
          <w:snapToGrid w:val="0"/>
        </w:rPr>
        <w:tab/>
        <w:t>(d)</w:t>
      </w:r>
      <w:r>
        <w:rPr>
          <w:snapToGrid w:val="0"/>
        </w:rPr>
        <w:tab/>
        <w:t>aid a drunken person in obtaining or consuming liquor.</w:t>
      </w:r>
    </w:p>
    <w:p>
      <w:pPr>
        <w:pStyle w:val="Penstart"/>
        <w:rPr>
          <w:snapToGrid w:val="0"/>
        </w:rPr>
      </w:pPr>
      <w:r>
        <w:rPr>
          <w:snapToGrid w:val="0"/>
        </w:rPr>
        <w:tab/>
        <w:t>Penalty: In the case of the licensee or manager $5 000, in the case of an employee or agent $2 000, and in any other case $1 000.</w:t>
      </w:r>
    </w:p>
    <w:p>
      <w:pPr>
        <w:pStyle w:val="Subsection"/>
        <w:rPr>
          <w:snapToGrid w:val="0"/>
        </w:rPr>
      </w:pPr>
      <w:r>
        <w:rPr>
          <w:snapToGrid w:val="0"/>
        </w:rPr>
        <w:tab/>
        <w:t>(3)</w:t>
      </w:r>
      <w:r>
        <w:rPr>
          <w:snapToGrid w:val="0"/>
        </w:rPr>
        <w:tab/>
        <w:t>A person is drunken for the purposes of this Act if the person’s speech, balance, co</w:t>
      </w:r>
      <w:r>
        <w:rPr>
          <w:snapToGrid w:val="0"/>
        </w:rPr>
        <w:noBreakHyphen/>
        <w:t>ordination, or behaviour is noticeably affected by liquor.</w:t>
      </w:r>
    </w:p>
    <w:p>
      <w:pPr>
        <w:pStyle w:val="Subsection"/>
        <w:rPr>
          <w:snapToGrid w:val="0"/>
          <w:spacing w:val="-4"/>
        </w:rPr>
      </w:pPr>
      <w:r>
        <w:rPr>
          <w:snapToGrid w:val="0"/>
          <w:spacing w:val="-4"/>
        </w:rPr>
        <w:tab/>
        <w:t>(3a)</w:t>
      </w:r>
      <w:r>
        <w:rPr>
          <w:snapToGrid w:val="0"/>
          <w:spacing w:val="-4"/>
        </w:rPr>
        <w:tab/>
        <w:t xml:space="preserve">If an </w:t>
      </w:r>
      <w:r>
        <w:rPr>
          <w:snapToGrid w:val="0"/>
        </w:rPr>
        <w:t>authorised</w:t>
      </w:r>
      <w:r>
        <w:rPr>
          <w:snapToGrid w:val="0"/>
          <w:spacing w:val="-4"/>
        </w:rPr>
        <w:t xml:space="preserve"> officer or a person on whom a duty is imposed under this section decides, in accordance with subsection (3), that a person is drunken at a particular time, then, in the absence of proof to the contrary, that person is to be taken to be drunken at that time.</w:t>
      </w:r>
    </w:p>
    <w:p>
      <w:pPr>
        <w:pStyle w:val="Subsection"/>
        <w:rPr>
          <w:snapToGrid w:val="0"/>
        </w:rPr>
      </w:pPr>
      <w:r>
        <w:rPr>
          <w:snapToGrid w:val="0"/>
        </w:rPr>
        <w:tab/>
        <w:t>(4)</w:t>
      </w:r>
      <w:r>
        <w:rPr>
          <w:snapToGrid w:val="0"/>
        </w:rPr>
        <w:tab/>
        <w:t>Without prejudice to any other right to refuse a person admission to the premises or remove a person from the premises, a licensee or a manager or an employee or agent of the licensee may refuse to admit to, and a licensee or the manager of the premises may cause to be removed from, the licensed premises any person who — </w:t>
      </w:r>
    </w:p>
    <w:p>
      <w:pPr>
        <w:pStyle w:val="Indenta"/>
        <w:rPr>
          <w:snapToGrid w:val="0"/>
        </w:rPr>
      </w:pPr>
      <w:r>
        <w:rPr>
          <w:snapToGrid w:val="0"/>
        </w:rPr>
        <w:tab/>
        <w:t>(a)</w:t>
      </w:r>
      <w:r>
        <w:rPr>
          <w:snapToGrid w:val="0"/>
        </w:rPr>
        <w:tab/>
        <w:t>is, or is known to be, or is an associate of, a reputed thief, prostitute, supplier of unlawful drugs, or person convicted of an offence involving unlawful drugs or violence which is punishable by a term of imprisonment exceeding 3 years; or</w:t>
      </w:r>
    </w:p>
    <w:p>
      <w:pPr>
        <w:pStyle w:val="Indenta"/>
        <w:rPr>
          <w:snapToGrid w:val="0"/>
        </w:rPr>
      </w:pPr>
      <w:r>
        <w:rPr>
          <w:snapToGrid w:val="0"/>
        </w:rPr>
        <w:tab/>
        <w:t>(b)</w:t>
      </w:r>
      <w:r>
        <w:rPr>
          <w:snapToGrid w:val="0"/>
        </w:rPr>
        <w:tab/>
        <w:t>is, or is known to be likely to be, a person to whom, under section 108(3), a licensee would have reasonable cause to refuse to sell liquor.</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rPr>
          <w:snapToGrid w:val="0"/>
        </w:rPr>
      </w:pPr>
      <w:r>
        <w:rPr>
          <w:snapToGrid w:val="0"/>
        </w:rPr>
        <w:tab/>
        <w:t>(b)</w:t>
      </w:r>
      <w:r>
        <w:rPr>
          <w:snapToGrid w:val="0"/>
        </w:rPr>
        <w:tab/>
        <w:t>without lawful excuse, the burden of proof of which lies on that person — </w:t>
      </w:r>
    </w:p>
    <w:p>
      <w:pPr>
        <w:pStyle w:val="Indenti"/>
        <w:rPr>
          <w:snapToGrid w:val="0"/>
        </w:rPr>
      </w:pPr>
      <w:r>
        <w:rPr>
          <w:snapToGrid w:val="0"/>
        </w:rPr>
        <w:tab/>
        <w:t>(i)</w:t>
      </w:r>
      <w:r>
        <w:rPr>
          <w:snapToGrid w:val="0"/>
        </w:rPr>
        <w:tab/>
        <w:t>enters; or</w:t>
      </w:r>
    </w:p>
    <w:p>
      <w:pPr>
        <w:pStyle w:val="Indenti"/>
        <w:rPr>
          <w:snapToGrid w:val="0"/>
        </w:rPr>
      </w:pPr>
      <w:r>
        <w:rPr>
          <w:snapToGrid w:val="0"/>
        </w:rPr>
        <w:tab/>
        <w:t>(ii)</w:t>
      </w:r>
      <w:r>
        <w:rPr>
          <w:snapToGrid w:val="0"/>
        </w:rPr>
        <w:tab/>
        <w:t>having been required by an authorised person to leave the premises, remains on,</w:t>
      </w:r>
    </w:p>
    <w:p>
      <w:pPr>
        <w:pStyle w:val="Indenta"/>
        <w:rPr>
          <w:snapToGrid w:val="0"/>
          <w:spacing w:val="-4"/>
        </w:rPr>
      </w:pPr>
      <w:r>
        <w:rPr>
          <w:snapToGrid w:val="0"/>
          <w:spacing w:val="-4"/>
        </w:rPr>
        <w:tab/>
      </w:r>
      <w:r>
        <w:rPr>
          <w:snapToGrid w:val="0"/>
          <w:spacing w:val="-4"/>
        </w:rPr>
        <w:tab/>
        <w:t>licensed premises at a time when that part of the premises is authorised or required under this Act to be closed,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Where, on being required by an authorised person to do so, a person to whom subsection (4) or (5) applies fails to leave the premises — </w:t>
      </w:r>
    </w:p>
    <w:p>
      <w:pPr>
        <w:pStyle w:val="Indenta"/>
        <w:rPr>
          <w:snapToGrid w:val="0"/>
        </w:rPr>
      </w:pPr>
      <w:r>
        <w:rPr>
          <w:snapToGrid w:val="0"/>
        </w:rPr>
        <w:tab/>
        <w:t>(a)</w:t>
      </w:r>
      <w:r>
        <w:rPr>
          <w:snapToGrid w:val="0"/>
        </w:rPr>
        <w:tab/>
        <w:t>the person commits an offence; and</w:t>
      </w:r>
    </w:p>
    <w:p>
      <w:pPr>
        <w:pStyle w:val="Indenta"/>
        <w:rPr>
          <w:snapToGrid w:val="0"/>
        </w:rPr>
      </w:pPr>
      <w:r>
        <w:rPr>
          <w:snapToGrid w:val="0"/>
        </w:rPr>
        <w:tab/>
        <w:t>(b)</w:t>
      </w:r>
      <w:r>
        <w:rPr>
          <w:snapToGrid w:val="0"/>
        </w:rPr>
        <w:tab/>
        <w:t>any other person, on the request of the licensee or manager of the premises, may remove the person to whom subsection (4) or (5) applies from the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(7)</w:t>
      </w:r>
      <w:r>
        <w:rPr>
          <w:snapToGrid w:val="0"/>
        </w:rPr>
        <w:tab/>
        <w:t>A person who re</w:t>
      </w:r>
      <w:r>
        <w:rPr>
          <w:snapToGrid w:val="0"/>
        </w:rPr>
        <w:noBreakHyphen/>
        <w:t>enters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rPr>
          <w:snapToGrid w:val="0"/>
        </w:rPr>
      </w:pPr>
      <w:r>
        <w:rPr>
          <w:snapToGrid w:val="0"/>
        </w:rPr>
        <w:tab/>
        <w:t>(9)</w:t>
      </w:r>
      <w:r>
        <w:rPr>
          <w:snapToGrid w:val="0"/>
        </w:rPr>
        <w:tab/>
        <w:t>A person who is aggrieved by having been refused admittance to, or removed from, licensed premises purportedly under subsection (4) may lodge a complaint in writing with the Director.</w:t>
      </w:r>
    </w:p>
    <w:p>
      <w:pPr>
        <w:pStyle w:val="Footnotesection"/>
      </w:pPr>
      <w:r>
        <w:tab/>
        <w:t xml:space="preserve">[Section 115 amended by No. 12 of 1998 s. 80; No. 35 of 2003 s. 173(3).] </w:t>
      </w:r>
    </w:p>
    <w:p>
      <w:pPr>
        <w:pStyle w:val="Heading5"/>
        <w:spacing w:before="180"/>
        <w:rPr>
          <w:snapToGrid w:val="0"/>
        </w:rPr>
      </w:pPr>
      <w:bookmarkStart w:id="161" w:name="_Toc389662775"/>
      <w:r>
        <w:rPr>
          <w:rStyle w:val="CharSectno"/>
        </w:rPr>
        <w:t>116</w:t>
      </w:r>
      <w:r>
        <w:rPr>
          <w:snapToGrid w:val="0"/>
        </w:rPr>
        <w:t>.</w:t>
      </w:r>
      <w:r>
        <w:rPr>
          <w:snapToGrid w:val="0"/>
        </w:rPr>
        <w:tab/>
        <w:t>Certain documents to be kept on premises, displayed and produced</w:t>
      </w:r>
      <w:bookmarkEnd w:id="161"/>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if the licensed premises are not managed by the licensee personally, the name of the manager, 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$1 000.</w:t>
      </w:r>
    </w:p>
    <w:p>
      <w:pPr>
        <w:pStyle w:val="Footnotesection"/>
      </w:pPr>
      <w:r>
        <w:tab/>
        <w:t xml:space="preserve">[Section 116 inserted by No. 12 of 1998 s. 81.] </w:t>
      </w:r>
    </w:p>
    <w:p>
      <w:pPr>
        <w:pStyle w:val="Heading3"/>
        <w:rPr>
          <w:snapToGrid w:val="0"/>
        </w:rPr>
      </w:pPr>
      <w:bookmarkStart w:id="162" w:name="_Toc389662776"/>
      <w:r>
        <w:rPr>
          <w:rStyle w:val="CharDivNo"/>
        </w:rPr>
        <w:t>Division 7</w:t>
      </w:r>
      <w:r>
        <w:rPr>
          <w:snapToGrid w:val="0"/>
        </w:rPr>
        <w:t> — </w:t>
      </w:r>
      <w:r>
        <w:rPr>
          <w:rStyle w:val="CharDivText"/>
        </w:rPr>
        <w:t>Complaints about noise, etc.</w:t>
      </w:r>
      <w:bookmarkEnd w:id="162"/>
      <w:r>
        <w:rPr>
          <w:rStyle w:val="CharDivText"/>
        </w:rPr>
        <w:t xml:space="preserve"> </w:t>
      </w:r>
    </w:p>
    <w:p>
      <w:pPr>
        <w:pStyle w:val="Heading5"/>
        <w:spacing w:before="180"/>
        <w:rPr>
          <w:snapToGrid w:val="0"/>
        </w:rPr>
      </w:pPr>
      <w:bookmarkStart w:id="163" w:name="_Toc389662777"/>
      <w:r>
        <w:rPr>
          <w:rStyle w:val="CharSectno"/>
        </w:rPr>
        <w:t>117</w:t>
      </w:r>
      <w:r>
        <w:rPr>
          <w:snapToGrid w:val="0"/>
        </w:rPr>
        <w:t>.</w:t>
      </w:r>
      <w:r>
        <w:rPr>
          <w:snapToGrid w:val="0"/>
        </w:rPr>
        <w:tab/>
        <w:t>Complaints about noise or behaviour related to licensed premises</w:t>
      </w:r>
      <w:bookmarkEnd w:id="163"/>
      <w:r>
        <w:rPr>
          <w:snapToGrid w:val="0"/>
        </w:rPr>
        <w:t xml:space="preserve"> </w:t>
      </w:r>
    </w:p>
    <w:p>
      <w:pPr>
        <w:pStyle w:val="Subsection"/>
        <w:rPr>
          <w:snapToGrid w:val="0"/>
        </w:rPr>
      </w:pPr>
      <w:r>
        <w:rPr>
          <w:snapToGrid w:val="0"/>
        </w:rPr>
        <w:tab/>
        <w:t>(1)</w:t>
      </w:r>
      <w:r>
        <w:rPr>
          <w:snapToGrid w:val="0"/>
        </w:rPr>
        <w:tab/>
        <w:t>Where, with respect to licensed premises, a complaint under this section is 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r>
      <w:r>
        <w:rPr>
          <w:snapToGrid w:val="0"/>
        </w:rPr>
        <w:tab/>
        <w:t>the Director may, by notice in writing, require the licensee to show cause why an order should not be made under this section.</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rPr>
          <w:snapToGrid w:val="0"/>
        </w:rPr>
      </w:pPr>
      <w:r>
        <w:rPr>
          <w:snapToGrid w:val="0"/>
        </w:rPr>
        <w:tab/>
        <w:t>(4)</w:t>
      </w:r>
      <w:r>
        <w:rPr>
          <w:snapToGrid w:val="0"/>
        </w:rPr>
        <w:tab/>
        <w:t>When a complaint is lodged with the Director under subsection (2), the Director may, after having given — </w:t>
      </w:r>
    </w:p>
    <w:p>
      <w:pPr>
        <w:pStyle w:val="Indenta"/>
        <w:rPr>
          <w:snapToGrid w:val="0"/>
        </w:rPr>
      </w:pPr>
      <w:r>
        <w:rPr>
          <w:snapToGrid w:val="0"/>
        </w:rPr>
        <w:tab/>
        <w:t>(a)</w:t>
      </w:r>
      <w:r>
        <w:rPr>
          <w:snapToGrid w:val="0"/>
        </w:rPr>
        <w:tab/>
        <w:t>the complainant;</w:t>
      </w:r>
    </w:p>
    <w:p>
      <w:pPr>
        <w:pStyle w:val="Indenta"/>
        <w:rPr>
          <w:snapToGrid w:val="0"/>
        </w:rPr>
      </w:pPr>
      <w:r>
        <w:rPr>
          <w:snapToGrid w:val="0"/>
        </w:rPr>
        <w:tab/>
        <w:t>(b)</w:t>
      </w:r>
      <w:r>
        <w:rPr>
          <w:snapToGrid w:val="0"/>
        </w:rPr>
        <w:tab/>
        <w:t>the licensee, if the licensee appears in answer to the notice; and</w:t>
      </w:r>
    </w:p>
    <w:p>
      <w:pPr>
        <w:pStyle w:val="Indenta"/>
        <w:rPr>
          <w:snapToGrid w:val="0"/>
        </w:rPr>
      </w:pPr>
      <w:r>
        <w:rPr>
          <w:snapToGrid w:val="0"/>
        </w:rPr>
        <w:tab/>
        <w:t>(c)</w:t>
      </w:r>
      <w:r>
        <w:rPr>
          <w:snapToGrid w:val="0"/>
        </w:rPr>
        <w:tab/>
        <w:t>any other person appearing to the Director to have a relevant interest in the matter,</w:t>
      </w:r>
    </w:p>
    <w:p>
      <w:pPr>
        <w:pStyle w:val="Subsection"/>
        <w:rPr>
          <w:snapToGrid w:val="0"/>
        </w:rPr>
      </w:pPr>
      <w:r>
        <w:rPr>
          <w:snapToGrid w:val="0"/>
        </w:rPr>
        <w:tab/>
      </w:r>
      <w:r>
        <w:rPr>
          <w:snapToGrid w:val="0"/>
        </w:rPr>
        <w:tab/>
        <w:t>an opportunity to be heard or to make submissions, determine the matter and, if of the opinion that the allegation in the complaint is established on the balance of probabilities and is of such a nature that the matter cannot be settled by conciliation or negotiation, make an order under this section but otherwise may dismiss the complaint.</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 Court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 Court,</w:t>
      </w:r>
    </w:p>
    <w:p>
      <w:pPr>
        <w:pStyle w:val="Subsection"/>
        <w:spacing w:before="200"/>
        <w:rPr>
          <w:snapToGrid w:val="0"/>
        </w:rPr>
      </w:pPr>
      <w:r>
        <w:rPr>
          <w:snapToGrid w:val="0"/>
        </w:rPr>
        <w:tab/>
      </w:r>
      <w:r>
        <w:rPr>
          <w:snapToGrid w:val="0"/>
        </w:rPr>
        <w:tab/>
        <w:t>unless the Court,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$5 000.</w:t>
      </w:r>
    </w:p>
    <w:p>
      <w:pPr>
        <w:pStyle w:val="Footnotesection"/>
      </w:pPr>
      <w:r>
        <w:tab/>
        <w:t xml:space="preserve">[Section 117 amended by No. 14 of 1996 s. 4; No. 12 of 1998 s. 82.] </w:t>
      </w:r>
    </w:p>
    <w:p>
      <w:pPr>
        <w:pStyle w:val="Heading3"/>
        <w:rPr>
          <w:snapToGrid w:val="0"/>
        </w:rPr>
      </w:pPr>
      <w:bookmarkStart w:id="164" w:name="_Toc389662778"/>
      <w:r>
        <w:rPr>
          <w:rStyle w:val="CharDivNo"/>
        </w:rPr>
        <w:t>Division 8</w:t>
      </w:r>
      <w:r>
        <w:rPr>
          <w:snapToGrid w:val="0"/>
        </w:rPr>
        <w:t> — </w:t>
      </w:r>
      <w:r>
        <w:rPr>
          <w:rStyle w:val="CharDivText"/>
        </w:rPr>
        <w:t>Liquor on unlicensed premises</w:t>
      </w:r>
      <w:bookmarkEnd w:id="164"/>
      <w:r>
        <w:rPr>
          <w:rStyle w:val="CharDivText"/>
        </w:rPr>
        <w:t xml:space="preserve"> </w:t>
      </w:r>
    </w:p>
    <w:p>
      <w:pPr>
        <w:pStyle w:val="Heading5"/>
        <w:rPr>
          <w:snapToGrid w:val="0"/>
        </w:rPr>
      </w:pPr>
      <w:bookmarkStart w:id="165" w:name="_Toc389662779"/>
      <w:r>
        <w:rPr>
          <w:rStyle w:val="CharSectno"/>
        </w:rPr>
        <w:t>118</w:t>
      </w:r>
      <w:r>
        <w:rPr>
          <w:snapToGrid w:val="0"/>
        </w:rPr>
        <w:t>.</w:t>
      </w:r>
      <w:r>
        <w:rPr>
          <w:snapToGrid w:val="0"/>
        </w:rPr>
        <w:tab/>
        <w:t>Persons purporting to be a licensee</w:t>
      </w:r>
      <w:bookmarkEnd w:id="165"/>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Heading5"/>
        <w:rPr>
          <w:snapToGrid w:val="0"/>
        </w:rPr>
      </w:pPr>
      <w:bookmarkStart w:id="166" w:name="_Toc389662780"/>
      <w:r>
        <w:rPr>
          <w:rStyle w:val="CharSectno"/>
        </w:rPr>
        <w:t>119</w:t>
      </w:r>
      <w:r>
        <w:rPr>
          <w:snapToGrid w:val="0"/>
        </w:rPr>
        <w:t>.</w:t>
      </w:r>
      <w:r>
        <w:rPr>
          <w:snapToGrid w:val="0"/>
        </w:rPr>
        <w:tab/>
        <w:t>Limitations as to liquor on unlicensed premises, etc.</w:t>
      </w:r>
      <w:bookmarkEnd w:id="166"/>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 xml:space="preserve">on any road, within the meaning of the </w:t>
      </w:r>
      <w:r>
        <w:rPr>
          <w:i/>
          <w:snapToGrid w:val="0"/>
        </w:rPr>
        <w:t>Road Traffic Act 1974</w:t>
      </w:r>
      <w:r>
        <w:rPr>
          <w:snapToGrid w:val="0"/>
        </w:rPr>
        <w:t>, within the boundaries of the metropolitan area or of a town or townsite;</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$500.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w:t>
      </w:r>
    </w:p>
    <w:p>
      <w:pPr>
        <w:pStyle w:val="Heading3"/>
        <w:rPr>
          <w:snapToGrid w:val="0"/>
        </w:rPr>
      </w:pPr>
      <w:bookmarkStart w:id="167" w:name="_Toc389662781"/>
      <w:r>
        <w:rPr>
          <w:rStyle w:val="CharDivNo"/>
        </w:rPr>
        <w:t>Division 9</w:t>
      </w:r>
      <w:r>
        <w:rPr>
          <w:snapToGrid w:val="0"/>
        </w:rPr>
        <w:t> — </w:t>
      </w:r>
      <w:r>
        <w:rPr>
          <w:rStyle w:val="CharDivText"/>
        </w:rPr>
        <w:t>Juveniles</w:t>
      </w:r>
      <w:bookmarkEnd w:id="167"/>
      <w:r>
        <w:rPr>
          <w:rStyle w:val="CharDivText"/>
        </w:rPr>
        <w:t xml:space="preserve"> </w:t>
      </w:r>
    </w:p>
    <w:p>
      <w:pPr>
        <w:pStyle w:val="Heading5"/>
        <w:rPr>
          <w:snapToGrid w:val="0"/>
        </w:rPr>
      </w:pPr>
      <w:bookmarkStart w:id="168" w:name="_Toc389662782"/>
      <w:r>
        <w:rPr>
          <w:rStyle w:val="CharSectno"/>
        </w:rPr>
        <w:t>120</w:t>
      </w:r>
      <w:r>
        <w:rPr>
          <w:snapToGrid w:val="0"/>
        </w:rPr>
        <w:t>.</w:t>
      </w:r>
      <w:r>
        <w:rPr>
          <w:snapToGrid w:val="0"/>
        </w:rPr>
        <w:tab/>
        <w:t>Juveniles permitted to be present on certain premises</w:t>
      </w:r>
      <w:bookmarkEnd w:id="168"/>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69" w:name="_Toc389662783"/>
      <w:r>
        <w:rPr>
          <w:rStyle w:val="CharSectno"/>
        </w:rPr>
        <w:t>121</w:t>
      </w:r>
      <w:r>
        <w:rPr>
          <w:snapToGrid w:val="0"/>
        </w:rPr>
        <w:t>.</w:t>
      </w:r>
      <w:r>
        <w:rPr>
          <w:snapToGrid w:val="0"/>
        </w:rPr>
        <w:tab/>
        <w:t>Juveniles on licensed premises</w:t>
      </w:r>
      <w:bookmarkEnd w:id="169"/>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respect of the sale or supply by any other person $2 000, and in any other case $1 000.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$5 000, in any other case $2 000.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$5 000, in the case of another employee or agent $2 000,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 provided on that part of the premises mainly 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by notices in the prescribed form 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 necessary.</w:t>
      </w:r>
    </w:p>
    <w:p>
      <w:pPr>
        <w:pStyle w:val="Penstart"/>
        <w:rPr>
          <w:snapToGrid w:val="0"/>
        </w:rPr>
      </w:pPr>
      <w:r>
        <w:rPr>
          <w:snapToGrid w:val="0"/>
        </w:rPr>
        <w:tab/>
        <w:t>Penalty: $1 000.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$500.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121 amended by No. 12 of 1998 s. 83.] </w:t>
      </w:r>
    </w:p>
    <w:p>
      <w:pPr>
        <w:pStyle w:val="Heading5"/>
        <w:rPr>
          <w:snapToGrid w:val="0"/>
        </w:rPr>
      </w:pPr>
      <w:bookmarkStart w:id="170" w:name="_Toc389662784"/>
      <w:r>
        <w:rPr>
          <w:rStyle w:val="CharSectno"/>
        </w:rPr>
        <w:t>122</w:t>
      </w:r>
      <w:r>
        <w:rPr>
          <w:snapToGrid w:val="0"/>
        </w:rPr>
        <w:t>.</w:t>
      </w:r>
      <w:r>
        <w:rPr>
          <w:snapToGrid w:val="0"/>
        </w:rPr>
        <w:tab/>
        <w:t>Juveniles on regulated premises</w:t>
      </w:r>
      <w:bookmarkEnd w:id="170"/>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rPr>
          <w:snapToGrid w:val="0"/>
        </w:rPr>
      </w:pPr>
      <w:r>
        <w:rPr>
          <w:snapToGrid w:val="0"/>
        </w:rPr>
        <w:tab/>
        <w:t>(2)</w:t>
      </w:r>
      <w:r>
        <w:rPr>
          <w:snapToGrid w:val="0"/>
        </w:rPr>
        <w:tab/>
        <w:t>Subject to this Act, a person who sells or supplies, or permits the sale or supply of, liquor to a juvenile on regulated premises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$1 000, in any other case $2 000.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w:t>
      </w:r>
    </w:p>
    <w:p>
      <w:pPr>
        <w:pStyle w:val="Heading5"/>
        <w:rPr>
          <w:snapToGrid w:val="0"/>
        </w:rPr>
      </w:pPr>
      <w:bookmarkStart w:id="171" w:name="_Toc389662785"/>
      <w:r>
        <w:rPr>
          <w:rStyle w:val="CharSectno"/>
        </w:rPr>
        <w:t>123</w:t>
      </w:r>
      <w:r>
        <w:rPr>
          <w:snapToGrid w:val="0"/>
        </w:rPr>
        <w:t>.</w:t>
      </w:r>
      <w:r>
        <w:rPr>
          <w:snapToGrid w:val="0"/>
        </w:rPr>
        <w:tab/>
        <w:t>Possession and consumption by juveniles of liquor</w:t>
      </w:r>
      <w:bookmarkEnd w:id="171"/>
      <w:r>
        <w:rPr>
          <w:snapToGrid w:val="0"/>
        </w:rPr>
        <w:t xml:space="preserve"> </w:t>
      </w:r>
    </w:p>
    <w:p>
      <w:pPr>
        <w:pStyle w:val="Subsection"/>
        <w:rPr>
          <w:snapToGrid w:val="0"/>
        </w:rPr>
      </w:pPr>
      <w:r>
        <w:rPr>
          <w:snapToGrid w:val="0"/>
        </w:rPr>
        <w:tab/>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$1 000.</w:t>
      </w:r>
    </w:p>
    <w:p>
      <w:pPr>
        <w:pStyle w:val="Heading5"/>
        <w:rPr>
          <w:snapToGrid w:val="0"/>
        </w:rPr>
      </w:pPr>
      <w:bookmarkStart w:id="172" w:name="_Toc389662786"/>
      <w:r>
        <w:rPr>
          <w:rStyle w:val="CharSectno"/>
        </w:rPr>
        <w:t>124</w:t>
      </w:r>
      <w:r>
        <w:rPr>
          <w:snapToGrid w:val="0"/>
        </w:rPr>
        <w:t>.</w:t>
      </w:r>
      <w:r>
        <w:rPr>
          <w:snapToGrid w:val="0"/>
        </w:rPr>
        <w:tab/>
        <w:t>Sending juveniles to obtain liquor</w:t>
      </w:r>
      <w:bookmarkEnd w:id="172"/>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$1 000.</w:t>
      </w:r>
    </w:p>
    <w:p>
      <w:pPr>
        <w:pStyle w:val="Heading5"/>
        <w:rPr>
          <w:snapToGrid w:val="0"/>
        </w:rPr>
      </w:pPr>
      <w:bookmarkStart w:id="173" w:name="_Toc389662787"/>
      <w:r>
        <w:rPr>
          <w:rStyle w:val="CharSectno"/>
        </w:rPr>
        <w:t>125</w:t>
      </w:r>
      <w:r>
        <w:rPr>
          <w:snapToGrid w:val="0"/>
        </w:rPr>
        <w:t>.</w:t>
      </w:r>
      <w:r>
        <w:rPr>
          <w:snapToGrid w:val="0"/>
        </w:rPr>
        <w:tab/>
        <w:t>Defences under this Division</w:t>
      </w:r>
      <w:bookmarkEnd w:id="173"/>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74" w:name="_Toc389662788"/>
      <w:r>
        <w:rPr>
          <w:rStyle w:val="CharSectno"/>
        </w:rPr>
        <w:t>126</w:t>
      </w:r>
      <w:r>
        <w:rPr>
          <w:snapToGrid w:val="0"/>
        </w:rPr>
        <w:t>.</w:t>
      </w:r>
      <w:r>
        <w:rPr>
          <w:snapToGrid w:val="0"/>
        </w:rPr>
        <w:tab/>
        <w:t>Suspected juvenile may be required to produce evidence of age, or to leave</w:t>
      </w:r>
      <w:bookmarkEnd w:id="174"/>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use such force as may be 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 necessary.</w:t>
      </w:r>
    </w:p>
    <w:p>
      <w:pPr>
        <w:pStyle w:val="Penstart"/>
        <w:rPr>
          <w:snapToGrid w:val="0"/>
        </w:rPr>
      </w:pPr>
      <w:r>
        <w:rPr>
          <w:snapToGrid w:val="0"/>
        </w:rPr>
        <w:tab/>
        <w:t>Penalty: $1 000.</w:t>
      </w:r>
    </w:p>
    <w:p>
      <w:pPr>
        <w:pStyle w:val="Footnotesection"/>
      </w:pPr>
      <w:r>
        <w:tab/>
        <w:t xml:space="preserve">[Section 126 amended by No. 12 of 1998 s. 85.] </w:t>
      </w:r>
    </w:p>
    <w:p>
      <w:pPr>
        <w:pStyle w:val="Heading2"/>
      </w:pPr>
      <w:bookmarkStart w:id="175" w:name="_Toc389662789"/>
      <w:r>
        <w:rPr>
          <w:rStyle w:val="CharPartNo"/>
        </w:rPr>
        <w:t>Part 5</w:t>
      </w:r>
      <w:r>
        <w:t> — </w:t>
      </w:r>
      <w:r>
        <w:rPr>
          <w:rStyle w:val="CharPartText"/>
        </w:rPr>
        <w:t>Financial provisions</w:t>
      </w:r>
      <w:bookmarkEnd w:id="175"/>
      <w:r>
        <w:rPr>
          <w:rStyle w:val="CharPartText"/>
        </w:rPr>
        <w:t xml:space="preserve"> </w:t>
      </w:r>
    </w:p>
    <w:p>
      <w:pPr>
        <w:pStyle w:val="Heading3"/>
        <w:rPr>
          <w:snapToGrid w:val="0"/>
        </w:rPr>
      </w:pPr>
      <w:bookmarkStart w:id="176" w:name="_Toc389662790"/>
      <w:r>
        <w:rPr>
          <w:rStyle w:val="CharDivNo"/>
        </w:rPr>
        <w:t>Division 1</w:t>
      </w:r>
      <w:r>
        <w:rPr>
          <w:snapToGrid w:val="0"/>
        </w:rPr>
        <w:t> — </w:t>
      </w:r>
      <w:r>
        <w:rPr>
          <w:rStyle w:val="CharDivText"/>
        </w:rPr>
        <w:t>Licence fees</w:t>
      </w:r>
      <w:bookmarkEnd w:id="176"/>
      <w:r>
        <w:rPr>
          <w:rStyle w:val="CharDivText"/>
        </w:rPr>
        <w:t xml:space="preserve"> </w:t>
      </w:r>
    </w:p>
    <w:p>
      <w:pPr>
        <w:pStyle w:val="Heading5"/>
        <w:rPr>
          <w:snapToGrid w:val="0"/>
        </w:rPr>
      </w:pPr>
      <w:bookmarkStart w:id="177" w:name="_Toc389662791"/>
      <w:r>
        <w:rPr>
          <w:rStyle w:val="CharSectno"/>
        </w:rPr>
        <w:t>127</w:t>
      </w:r>
      <w:r>
        <w:rPr>
          <w:snapToGrid w:val="0"/>
        </w:rPr>
        <w:t>.</w:t>
      </w:r>
      <w:r>
        <w:rPr>
          <w:snapToGrid w:val="0"/>
        </w:rPr>
        <w:tab/>
        <w:t>Licence fees</w:t>
      </w:r>
      <w:bookmarkEnd w:id="177"/>
      <w:r>
        <w:rPr>
          <w:snapToGrid w:val="0"/>
        </w:rPr>
        <w:t xml:space="preserve"> </w:t>
      </w:r>
    </w:p>
    <w:p>
      <w:pPr>
        <w:pStyle w:val="Subsection"/>
        <w:rPr>
          <w:snapToGrid w:val="0"/>
        </w:rPr>
      </w:pPr>
      <w:r>
        <w:rPr>
          <w:snapToGrid w:val="0"/>
        </w:rPr>
        <w:tab/>
        <w:t>(1)</w:t>
      </w:r>
      <w:r>
        <w:rPr>
          <w:snapToGrid w:val="0"/>
        </w:rPr>
        <w:tab/>
        <w:t>Subject to this Act, for so long as a licence is in force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w:t>
      </w:r>
    </w:p>
    <w:p>
      <w:pPr>
        <w:pStyle w:val="Heading5"/>
        <w:rPr>
          <w:snapToGrid w:val="0"/>
        </w:rPr>
      </w:pPr>
      <w:bookmarkStart w:id="178" w:name="_Toc389662792"/>
      <w:r>
        <w:rPr>
          <w:rStyle w:val="CharSectno"/>
        </w:rPr>
        <w:t>128</w:t>
      </w:r>
      <w:r>
        <w:rPr>
          <w:snapToGrid w:val="0"/>
        </w:rPr>
        <w:t>.</w:t>
      </w:r>
      <w:r>
        <w:rPr>
          <w:snapToGrid w:val="0"/>
        </w:rPr>
        <w:tab/>
        <w:t>Regulations relating to licence fees</w:t>
      </w:r>
      <w:bookmarkEnd w:id="178"/>
      <w:r>
        <w:rPr>
          <w:snapToGrid w:val="0"/>
        </w:rPr>
        <w:t xml:space="preserve"> </w:t>
      </w:r>
    </w:p>
    <w:p>
      <w:pPr>
        <w:pStyle w:val="Subsection"/>
        <w:rPr>
          <w:snapToGrid w:val="0"/>
        </w:rPr>
      </w:pPr>
      <w:r>
        <w:rPr>
          <w:snapToGrid w:val="0"/>
        </w:rPr>
        <w:tab/>
      </w:r>
      <w:r>
        <w:rPr>
          <w:snapToGrid w:val="0"/>
        </w:rPr>
        <w:tab/>
        <w:t>Regulations may be made for and with respect to the time, place and method of the payment of licence fees, penalties for late payment, the reduction, waiver or refund of such penalties, and the suspension or cancellation of licences or permits after a failure to pay any moneys payable.</w:t>
      </w:r>
    </w:p>
    <w:p>
      <w:pPr>
        <w:pStyle w:val="Footnotesection"/>
      </w:pPr>
      <w:r>
        <w:tab/>
        <w:t xml:space="preserve">[Section 128 inserted by No. 56 of 1997 s. 35.] </w:t>
      </w:r>
    </w:p>
    <w:p>
      <w:pPr>
        <w:pStyle w:val="Heading3"/>
        <w:keepLines/>
        <w:rPr>
          <w:snapToGrid w:val="0"/>
        </w:rPr>
      </w:pPr>
      <w:bookmarkStart w:id="179" w:name="_Toc389662793"/>
      <w:r>
        <w:rPr>
          <w:rStyle w:val="CharDivNo"/>
        </w:rPr>
        <w:t>Division 2</w:t>
      </w:r>
      <w:r>
        <w:rPr>
          <w:snapToGrid w:val="0"/>
        </w:rPr>
        <w:t> — </w:t>
      </w:r>
      <w:r>
        <w:rPr>
          <w:rStyle w:val="CharDivText"/>
        </w:rPr>
        <w:t>Subsidies</w:t>
      </w:r>
      <w:bookmarkEnd w:id="17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80" w:name="_Toc389662794"/>
      <w:r>
        <w:rPr>
          <w:rStyle w:val="CharSectno"/>
        </w:rPr>
        <w:t>129</w:t>
      </w:r>
      <w:r>
        <w:rPr>
          <w:snapToGrid w:val="0"/>
        </w:rPr>
        <w:t>.</w:t>
      </w:r>
      <w:r>
        <w:rPr>
          <w:snapToGrid w:val="0"/>
        </w:rPr>
        <w:tab/>
        <w:t>Interpretation</w:t>
      </w:r>
      <w:bookmarkEnd w:id="18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81" w:name="_Toc389662795"/>
      <w:r>
        <w:rPr>
          <w:rStyle w:val="CharSectno"/>
        </w:rPr>
        <w:t>130</w:t>
      </w:r>
      <w:r>
        <w:rPr>
          <w:snapToGrid w:val="0"/>
        </w:rPr>
        <w:t>.</w:t>
      </w:r>
      <w:r>
        <w:rPr>
          <w:snapToGrid w:val="0"/>
        </w:rPr>
        <w:tab/>
        <w:t>Subsidies to wholesalers and producers</w:t>
      </w:r>
      <w:bookmarkEnd w:id="181"/>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82" w:name="_Toc389662796"/>
      <w:r>
        <w:rPr>
          <w:rStyle w:val="CharSectno"/>
        </w:rPr>
        <w:t>131</w:t>
      </w:r>
      <w:r>
        <w:rPr>
          <w:snapToGrid w:val="0"/>
        </w:rPr>
        <w:t>.</w:t>
      </w:r>
      <w:r>
        <w:rPr>
          <w:snapToGrid w:val="0"/>
        </w:rPr>
        <w:tab/>
        <w:t>Application for a subsidy</w:t>
      </w:r>
      <w:bookmarkEnd w:id="182"/>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83" w:name="_Toc389662797"/>
      <w:r>
        <w:rPr>
          <w:rStyle w:val="CharSectno"/>
        </w:rPr>
        <w:t>132</w:t>
      </w:r>
      <w:r>
        <w:rPr>
          <w:snapToGrid w:val="0"/>
        </w:rPr>
        <w:t>.</w:t>
      </w:r>
      <w:r>
        <w:rPr>
          <w:snapToGrid w:val="0"/>
        </w:rPr>
        <w:tab/>
        <w:t>Director to pay subsidies</w:t>
      </w:r>
      <w:bookmarkEnd w:id="183"/>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84" w:name="_Toc389662798"/>
      <w:r>
        <w:rPr>
          <w:rStyle w:val="CharSectno"/>
        </w:rPr>
        <w:t>133</w:t>
      </w:r>
      <w:r>
        <w:rPr>
          <w:snapToGrid w:val="0"/>
        </w:rPr>
        <w:t>.</w:t>
      </w:r>
      <w:r>
        <w:rPr>
          <w:snapToGrid w:val="0"/>
        </w:rPr>
        <w:tab/>
        <w:t>Consolidated Fund appropriated</w:t>
      </w:r>
      <w:bookmarkEnd w:id="184"/>
      <w:r>
        <w:rPr>
          <w:snapToGrid w:val="0"/>
        </w:rPr>
        <w:t xml:space="preserve"> </w:t>
      </w:r>
    </w:p>
    <w:p>
      <w:pPr>
        <w:pStyle w:val="Subsection"/>
        <w:rPr>
          <w:snapToGrid w:val="0"/>
        </w:rPr>
      </w:pPr>
      <w:r>
        <w:rPr>
          <w:snapToGrid w:val="0"/>
        </w:rPr>
        <w:tab/>
      </w:r>
      <w:r>
        <w:rPr>
          <w:snapToGrid w:val="0"/>
        </w:rPr>
        <w:tab/>
        <w:t>The money required to pay subsidies is to be charged to the Consolidated Fund which is appropriated accordingly.</w:t>
      </w:r>
    </w:p>
    <w:p>
      <w:pPr>
        <w:pStyle w:val="Footnotesection"/>
      </w:pPr>
      <w:r>
        <w:tab/>
        <w:t>[Section 133 inserted by No. 56 of 1997 s. 36.]</w:t>
      </w:r>
    </w:p>
    <w:p>
      <w:pPr>
        <w:pStyle w:val="Heading5"/>
        <w:rPr>
          <w:snapToGrid w:val="0"/>
        </w:rPr>
      </w:pPr>
      <w:bookmarkStart w:id="185" w:name="_Toc389662799"/>
      <w:r>
        <w:rPr>
          <w:rStyle w:val="CharSectno"/>
        </w:rPr>
        <w:t>134</w:t>
      </w:r>
      <w:r>
        <w:rPr>
          <w:snapToGrid w:val="0"/>
        </w:rPr>
        <w:t>.</w:t>
      </w:r>
      <w:r>
        <w:rPr>
          <w:snapToGrid w:val="0"/>
        </w:rPr>
        <w:tab/>
        <w:t>Correcting incorrect subsidy payments</w:t>
      </w:r>
      <w:bookmarkEnd w:id="18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86" w:name="_Toc389662800"/>
      <w:r>
        <w:rPr>
          <w:rStyle w:val="CharSectno"/>
        </w:rPr>
        <w:t>135</w:t>
      </w:r>
      <w:r>
        <w:rPr>
          <w:snapToGrid w:val="0"/>
        </w:rPr>
        <w:t>.</w:t>
      </w:r>
      <w:r>
        <w:rPr>
          <w:snapToGrid w:val="0"/>
        </w:rPr>
        <w:tab/>
        <w:t>Failure to correct incorrect subsidy application</w:t>
      </w:r>
      <w:bookmarkEnd w:id="18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87" w:name="_Toc389662801"/>
      <w:r>
        <w:rPr>
          <w:rStyle w:val="CharSectno"/>
        </w:rPr>
        <w:t>136</w:t>
      </w:r>
      <w:r>
        <w:rPr>
          <w:snapToGrid w:val="0"/>
        </w:rPr>
        <w:t>.</w:t>
      </w:r>
      <w:r>
        <w:rPr>
          <w:snapToGrid w:val="0"/>
        </w:rPr>
        <w:tab/>
        <w:t>Minister may order subsidies to cease</w:t>
      </w:r>
      <w:bookmarkEnd w:id="18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188" w:name="_Toc389662802"/>
      <w:r>
        <w:rPr>
          <w:rStyle w:val="CharDivNo"/>
        </w:rPr>
        <w:t>Division 3</w:t>
      </w:r>
      <w:r>
        <w:rPr>
          <w:snapToGrid w:val="0"/>
        </w:rPr>
        <w:t> — </w:t>
      </w:r>
      <w:r>
        <w:rPr>
          <w:rStyle w:val="CharDivText"/>
        </w:rPr>
        <w:t>Power of Court with respect to moneys due</w:t>
      </w:r>
      <w:bookmarkEnd w:id="188"/>
      <w:r>
        <w:rPr>
          <w:rStyle w:val="CharDivText"/>
        </w:rPr>
        <w:t xml:space="preserve"> </w:t>
      </w:r>
    </w:p>
    <w:p>
      <w:pPr>
        <w:pStyle w:val="Footnoteheading"/>
        <w:keepNext/>
        <w:keepLines/>
        <w:tabs>
          <w:tab w:val="left" w:pos="924"/>
        </w:tabs>
        <w:rPr>
          <w:snapToGrid w:val="0"/>
        </w:rPr>
      </w:pPr>
      <w:r>
        <w:rPr>
          <w:snapToGrid w:val="0"/>
        </w:rPr>
        <w:tab/>
        <w:t>[Heading amended by No. 56 of 1997 s. 37.]</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189" w:name="_Toc389662803"/>
      <w:r>
        <w:rPr>
          <w:rStyle w:val="CharSectno"/>
        </w:rPr>
        <w:t>143</w:t>
      </w:r>
      <w:r>
        <w:rPr>
          <w:snapToGrid w:val="0"/>
        </w:rPr>
        <w:t>.</w:t>
      </w:r>
      <w:r>
        <w:rPr>
          <w:snapToGrid w:val="0"/>
        </w:rPr>
        <w:tab/>
        <w:t>Order for payment of money</w:t>
      </w:r>
      <w:bookmarkEnd w:id="189"/>
      <w:r>
        <w:rPr>
          <w:snapToGrid w:val="0"/>
        </w:rPr>
        <w:t xml:space="preserve"> </w:t>
      </w:r>
    </w:p>
    <w:p>
      <w:pPr>
        <w:pStyle w:val="Subsection"/>
        <w:rPr>
          <w:snapToGrid w:val="0"/>
        </w:rPr>
      </w:pPr>
      <w:r>
        <w:rPr>
          <w:snapToGrid w:val="0"/>
        </w:rPr>
        <w:tab/>
        <w:t>(1)</w:t>
      </w:r>
      <w:r>
        <w:rPr>
          <w:snapToGrid w:val="0"/>
        </w:rPr>
        <w:tab/>
        <w:t>The Court 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w:t>
      </w:r>
    </w:p>
    <w:p>
      <w:pPr>
        <w:pStyle w:val="Ednotesection"/>
      </w:pPr>
      <w:r>
        <w:t>[</w:t>
      </w:r>
      <w:r>
        <w:rPr>
          <w:b/>
        </w:rPr>
        <w:t>144.</w:t>
      </w:r>
      <w:r>
        <w:rPr>
          <w:b/>
        </w:rPr>
        <w:tab/>
      </w:r>
      <w:r>
        <w:t xml:space="preserve">Repealed by No. 56 of 1997 s. 40.] </w:t>
      </w:r>
    </w:p>
    <w:p>
      <w:pPr>
        <w:pStyle w:val="Heading3"/>
        <w:rPr>
          <w:snapToGrid w:val="0"/>
        </w:rPr>
      </w:pPr>
      <w:bookmarkStart w:id="190" w:name="_Toc389662804"/>
      <w:r>
        <w:rPr>
          <w:rStyle w:val="CharDivNo"/>
        </w:rPr>
        <w:t>Division 4</w:t>
      </w:r>
      <w:r>
        <w:rPr>
          <w:snapToGrid w:val="0"/>
        </w:rPr>
        <w:t> — </w:t>
      </w:r>
      <w:r>
        <w:rPr>
          <w:rStyle w:val="CharDivText"/>
        </w:rPr>
        <w:t>Records and returns</w:t>
      </w:r>
      <w:bookmarkEnd w:id="190"/>
      <w:r>
        <w:rPr>
          <w:rStyle w:val="CharDivText"/>
        </w:rPr>
        <w:t xml:space="preserve"> </w:t>
      </w:r>
    </w:p>
    <w:p>
      <w:pPr>
        <w:pStyle w:val="Heading5"/>
        <w:rPr>
          <w:snapToGrid w:val="0"/>
        </w:rPr>
      </w:pPr>
      <w:bookmarkStart w:id="191" w:name="_Toc389662805"/>
      <w:r>
        <w:rPr>
          <w:rStyle w:val="CharSectno"/>
        </w:rPr>
        <w:t>145</w:t>
      </w:r>
      <w:r>
        <w:rPr>
          <w:snapToGrid w:val="0"/>
        </w:rPr>
        <w:t>.</w:t>
      </w:r>
      <w:r>
        <w:rPr>
          <w:snapToGrid w:val="0"/>
        </w:rPr>
        <w:tab/>
        <w:t>Records of liquor transactions</w:t>
      </w:r>
      <w:bookmarkEnd w:id="191"/>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spacing w:before="80"/>
        <w:ind w:left="890" w:hanging="890"/>
      </w:pPr>
      <w:r>
        <w:tab/>
        <w:t xml:space="preserve">[Section 145 amended by No. 56 of 1997 s. 41; No. 12 of 1998 s. 86.] </w:t>
      </w:r>
    </w:p>
    <w:p>
      <w:pPr>
        <w:pStyle w:val="Heading5"/>
        <w:rPr>
          <w:snapToGrid w:val="0"/>
        </w:rPr>
      </w:pPr>
      <w:bookmarkStart w:id="192" w:name="_Toc389662806"/>
      <w:r>
        <w:rPr>
          <w:rStyle w:val="CharSectno"/>
        </w:rPr>
        <w:t>146</w:t>
      </w:r>
      <w:r>
        <w:rPr>
          <w:snapToGrid w:val="0"/>
        </w:rPr>
        <w:t>.</w:t>
      </w:r>
      <w:r>
        <w:rPr>
          <w:snapToGrid w:val="0"/>
        </w:rPr>
        <w:tab/>
        <w:t>Returns</w:t>
      </w:r>
      <w:bookmarkEnd w:id="19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$5 000.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w:t>
      </w:r>
    </w:p>
    <w:p>
      <w:pPr>
        <w:pStyle w:val="Heading3"/>
        <w:rPr>
          <w:snapToGrid w:val="0"/>
        </w:rPr>
      </w:pPr>
      <w:bookmarkStart w:id="193" w:name="_Toc389662807"/>
      <w:r>
        <w:rPr>
          <w:rStyle w:val="CharDivNo"/>
        </w:rPr>
        <w:t>Division 5</w:t>
      </w:r>
      <w:r>
        <w:rPr>
          <w:snapToGrid w:val="0"/>
        </w:rPr>
        <w:t> — </w:t>
      </w:r>
      <w:r>
        <w:rPr>
          <w:rStyle w:val="CharDivText"/>
        </w:rPr>
        <w:t>Recovery of illegal gains</w:t>
      </w:r>
      <w:bookmarkEnd w:id="19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94" w:name="_Toc389662808"/>
      <w:r>
        <w:rPr>
          <w:rStyle w:val="CharSectno"/>
        </w:rPr>
        <w:t>147</w:t>
      </w:r>
      <w:r>
        <w:rPr>
          <w:snapToGrid w:val="0"/>
        </w:rPr>
        <w:t>.</w:t>
      </w:r>
      <w:r>
        <w:rPr>
          <w:snapToGrid w:val="0"/>
        </w:rPr>
        <w:tab/>
        <w:t>Illegal gains, and estimated amounts</w:t>
      </w:r>
      <w:bookmarkEnd w:id="194"/>
      <w:r>
        <w:rPr>
          <w:snapToGrid w:val="0"/>
        </w:rPr>
        <w:t xml:space="preserve"> </w:t>
      </w:r>
    </w:p>
    <w:p>
      <w:pPr>
        <w:pStyle w:val="Subsection"/>
        <w:rPr>
          <w:snapToGrid w:val="0"/>
        </w:rPr>
      </w:pPr>
      <w:r>
        <w:rPr>
          <w:snapToGrid w:val="0"/>
        </w:rPr>
        <w:tab/>
        <w:t>(1)</w:t>
      </w:r>
      <w:r>
        <w:rPr>
          <w:snapToGrid w:val="0"/>
        </w:rPr>
        <w:tab/>
        <w:t>Where a person by contravention of this Act or of a condition of a licence or permit gains any financial advantage, the Court 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w:t>
      </w:r>
    </w:p>
    <w:p>
      <w:pPr>
        <w:pStyle w:val="Heading3"/>
        <w:rPr>
          <w:snapToGrid w:val="0"/>
        </w:rPr>
      </w:pPr>
      <w:bookmarkStart w:id="195" w:name="_Toc389662809"/>
      <w:r>
        <w:rPr>
          <w:rStyle w:val="CharDivNo"/>
        </w:rPr>
        <w:t>Division 6</w:t>
      </w:r>
      <w:r>
        <w:rPr>
          <w:snapToGrid w:val="0"/>
        </w:rPr>
        <w:t> — </w:t>
      </w:r>
      <w:r>
        <w:rPr>
          <w:rStyle w:val="CharDivText"/>
        </w:rPr>
        <w:t>Information</w:t>
      </w:r>
      <w:bookmarkEnd w:id="195"/>
      <w:r>
        <w:rPr>
          <w:rStyle w:val="CharDivText"/>
        </w:rPr>
        <w:t xml:space="preserve"> </w:t>
      </w:r>
    </w:p>
    <w:p>
      <w:pPr>
        <w:pStyle w:val="Heading5"/>
        <w:rPr>
          <w:snapToGrid w:val="0"/>
        </w:rPr>
      </w:pPr>
      <w:bookmarkStart w:id="196" w:name="_Toc389662810"/>
      <w:r>
        <w:rPr>
          <w:rStyle w:val="CharSectno"/>
        </w:rPr>
        <w:t>148</w:t>
      </w:r>
      <w:r>
        <w:rPr>
          <w:snapToGrid w:val="0"/>
        </w:rPr>
        <w:t>.</w:t>
      </w:r>
      <w:r>
        <w:rPr>
          <w:snapToGrid w:val="0"/>
        </w:rPr>
        <w:tab/>
        <w:t>Power of Director to obtain information and evidence</w:t>
      </w:r>
      <w:bookmarkEnd w:id="19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97" w:name="_Toc389662811"/>
      <w:r>
        <w:rPr>
          <w:rStyle w:val="CharSectno"/>
        </w:rPr>
        <w:t>149</w:t>
      </w:r>
      <w:r>
        <w:rPr>
          <w:snapToGrid w:val="0"/>
        </w:rPr>
        <w:t>.</w:t>
      </w:r>
      <w:r>
        <w:rPr>
          <w:snapToGrid w:val="0"/>
        </w:rPr>
        <w:tab/>
        <w:t>Power of Director to use information</w:t>
      </w:r>
      <w:bookmarkEnd w:id="197"/>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98" w:name="_Toc389662812"/>
      <w:r>
        <w:rPr>
          <w:rStyle w:val="CharSectno"/>
        </w:rPr>
        <w:t>150</w:t>
      </w:r>
      <w:r>
        <w:rPr>
          <w:snapToGrid w:val="0"/>
        </w:rPr>
        <w:t>.</w:t>
      </w:r>
      <w:r>
        <w:rPr>
          <w:snapToGrid w:val="0"/>
        </w:rPr>
        <w:tab/>
        <w:t>Powers of Director in relation to entry and records</w:t>
      </w:r>
      <w:bookmarkEnd w:id="198"/>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$5 000.</w:t>
      </w:r>
    </w:p>
    <w:p>
      <w:pPr>
        <w:pStyle w:val="Footnotesection"/>
      </w:pPr>
      <w:r>
        <w:tab/>
        <w:t xml:space="preserve">[Section 150 amended by No. 56 of 1997 s. 46; No. 12 of 1998 s. 97(1).] </w:t>
      </w:r>
    </w:p>
    <w:p>
      <w:pPr>
        <w:pStyle w:val="Heading5"/>
        <w:rPr>
          <w:snapToGrid w:val="0"/>
        </w:rPr>
      </w:pPr>
      <w:bookmarkStart w:id="199" w:name="_Toc389662813"/>
      <w:r>
        <w:rPr>
          <w:rStyle w:val="CharSectno"/>
        </w:rPr>
        <w:t>151</w:t>
      </w:r>
      <w:r>
        <w:rPr>
          <w:snapToGrid w:val="0"/>
        </w:rPr>
        <w:t>.</w:t>
      </w:r>
      <w:r>
        <w:rPr>
          <w:snapToGrid w:val="0"/>
        </w:rPr>
        <w:tab/>
        <w:t>Authority may assist other authorities</w:t>
      </w:r>
      <w:bookmarkEnd w:id="199"/>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00" w:name="_Toc389662814"/>
      <w:r>
        <w:rPr>
          <w:rStyle w:val="CharSectno"/>
        </w:rPr>
        <w:t>152</w:t>
      </w:r>
      <w:r>
        <w:rPr>
          <w:snapToGrid w:val="0"/>
        </w:rPr>
        <w:t>.</w:t>
      </w:r>
      <w:r>
        <w:rPr>
          <w:snapToGrid w:val="0"/>
        </w:rPr>
        <w:tab/>
        <w:t>Obligation of secrecy</w:t>
      </w:r>
      <w:bookmarkEnd w:id="200"/>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$2 000.</w:t>
      </w:r>
    </w:p>
    <w:p>
      <w:pPr>
        <w:pStyle w:val="Heading2"/>
      </w:pPr>
      <w:bookmarkStart w:id="201" w:name="_Toc389662815"/>
      <w:r>
        <w:rPr>
          <w:rStyle w:val="CharPartNo"/>
        </w:rPr>
        <w:t>Part 6</w:t>
      </w:r>
      <w:r>
        <w:rPr>
          <w:rStyle w:val="CharDivNo"/>
        </w:rPr>
        <w:t> </w:t>
      </w:r>
      <w:r>
        <w:t>—</w:t>
      </w:r>
      <w:r>
        <w:rPr>
          <w:rStyle w:val="CharDivText"/>
        </w:rPr>
        <w:t> </w:t>
      </w:r>
      <w:r>
        <w:rPr>
          <w:rStyle w:val="CharPartText"/>
        </w:rPr>
        <w:t>Enforcement</w:t>
      </w:r>
      <w:bookmarkEnd w:id="201"/>
      <w:r>
        <w:rPr>
          <w:rStyle w:val="CharPartText"/>
        </w:rPr>
        <w:t xml:space="preserve"> </w:t>
      </w:r>
    </w:p>
    <w:p>
      <w:pPr>
        <w:pStyle w:val="Heading5"/>
        <w:rPr>
          <w:snapToGrid w:val="0"/>
        </w:rPr>
      </w:pPr>
      <w:bookmarkStart w:id="202" w:name="_Toc389662816"/>
      <w:r>
        <w:rPr>
          <w:rStyle w:val="CharSectno"/>
        </w:rPr>
        <w:t>153</w:t>
      </w:r>
      <w:r>
        <w:rPr>
          <w:snapToGrid w:val="0"/>
        </w:rPr>
        <w:t>.</w:t>
      </w:r>
      <w:r>
        <w:rPr>
          <w:snapToGrid w:val="0"/>
        </w:rPr>
        <w:tab/>
        <w:t>Functions of inspectors and other officers of the licensing authority</w:t>
      </w:r>
      <w:bookmarkEnd w:id="20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 Court,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w:t>
      </w:r>
    </w:p>
    <w:p>
      <w:pPr>
        <w:pStyle w:val="Heading5"/>
        <w:rPr>
          <w:snapToGrid w:val="0"/>
        </w:rPr>
      </w:pPr>
      <w:bookmarkStart w:id="203" w:name="_Toc389662817"/>
      <w:r>
        <w:rPr>
          <w:rStyle w:val="CharSectno"/>
        </w:rPr>
        <w:t>154</w:t>
      </w:r>
      <w:r>
        <w:rPr>
          <w:snapToGrid w:val="0"/>
        </w:rPr>
        <w:t>.</w:t>
      </w:r>
      <w:r>
        <w:rPr>
          <w:snapToGrid w:val="0"/>
        </w:rPr>
        <w:tab/>
        <w:t>Powers of authorised officers</w:t>
      </w:r>
      <w:bookmarkEnd w:id="203"/>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w:t>
      </w:r>
    </w:p>
    <w:p>
      <w:pPr>
        <w:pStyle w:val="Heading5"/>
        <w:rPr>
          <w:snapToGrid w:val="0"/>
        </w:rPr>
      </w:pPr>
      <w:bookmarkStart w:id="204" w:name="_Toc389662818"/>
      <w:r>
        <w:rPr>
          <w:rStyle w:val="CharSectno"/>
        </w:rPr>
        <w:t>155</w:t>
      </w:r>
      <w:r>
        <w:rPr>
          <w:snapToGrid w:val="0"/>
        </w:rPr>
        <w:t>.</w:t>
      </w:r>
      <w:r>
        <w:rPr>
          <w:snapToGrid w:val="0"/>
        </w:rPr>
        <w:tab/>
        <w:t>Duties of police</w:t>
      </w:r>
      <w:bookmarkEnd w:id="20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 necessary for the purpose.</w:t>
      </w:r>
    </w:p>
    <w:p>
      <w:pPr>
        <w:pStyle w:val="Subsection"/>
        <w:rPr>
          <w:snapToGrid w:val="0"/>
        </w:rPr>
      </w:pPr>
      <w:r>
        <w:rPr>
          <w:snapToGrid w:val="0"/>
        </w:rPr>
        <w:tab/>
        <w:t>(4)</w:t>
      </w:r>
      <w:r>
        <w:rPr>
          <w:snapToGrid w:val="0"/>
        </w:rPr>
        <w:tab/>
        <w:t>A member of the Police Force may seize, carry away and take before a justice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section 113.</w:t>
      </w:r>
    </w:p>
    <w:p>
      <w:pPr>
        <w:pStyle w:val="Subsection"/>
        <w:rPr>
          <w:snapToGrid w:val="0"/>
        </w:rPr>
      </w:pPr>
      <w:r>
        <w:rPr>
          <w:snapToGrid w:val="0"/>
        </w:rPr>
        <w:tab/>
        <w:t>(5)</w:t>
      </w:r>
      <w:r>
        <w:rPr>
          <w:snapToGrid w:val="0"/>
        </w:rPr>
        <w:tab/>
        <w:t xml:space="preserve">Where any thing is, or is liable to be, seized or forfeited under this Act the provisions of section 90B and 90C of the </w:t>
      </w:r>
      <w:r>
        <w:rPr>
          <w:i/>
          <w:snapToGrid w:val="0"/>
        </w:rPr>
        <w:t>Police Act 1892</w:t>
      </w:r>
      <w:r>
        <w:rPr>
          <w:snapToGrid w:val="0"/>
        </w:rPr>
        <w:t xml:space="preserve"> shall apply to and in relation to that thing as if it had been, or had been liable to be, seized </w:t>
      </w:r>
      <w:r>
        <w:t>under Part V</w:t>
      </w:r>
      <w:r>
        <w:rPr>
          <w:snapToGrid w:val="0"/>
        </w:rPr>
        <w:t xml:space="preserve"> of that Act and as if the proceedings to which the things relate were proceedings for the purposes of that Act.</w:t>
      </w:r>
    </w:p>
    <w:p>
      <w:pPr>
        <w:pStyle w:val="Footnotesection"/>
      </w:pPr>
      <w:r>
        <w:tab/>
        <w:t>[Section 155 amended by No. 70 of 2004 s. 82.]</w:t>
      </w:r>
    </w:p>
    <w:p>
      <w:pPr>
        <w:pStyle w:val="Heading5"/>
        <w:rPr>
          <w:snapToGrid w:val="0"/>
        </w:rPr>
      </w:pPr>
      <w:bookmarkStart w:id="205" w:name="_Toc389662819"/>
      <w:r>
        <w:rPr>
          <w:rStyle w:val="CharSectno"/>
        </w:rPr>
        <w:t>156</w:t>
      </w:r>
      <w:r>
        <w:rPr>
          <w:snapToGrid w:val="0"/>
        </w:rPr>
        <w:t>.</w:t>
      </w:r>
      <w:r>
        <w:rPr>
          <w:snapToGrid w:val="0"/>
        </w:rPr>
        <w:tab/>
        <w:t>Duties of local governments</w:t>
      </w:r>
      <w:bookmarkEnd w:id="205"/>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06" w:name="_Toc389662820"/>
      <w:r>
        <w:rPr>
          <w:rStyle w:val="CharSectno"/>
        </w:rPr>
        <w:t>157</w:t>
      </w:r>
      <w:r>
        <w:rPr>
          <w:snapToGrid w:val="0"/>
        </w:rPr>
        <w:t>.</w:t>
      </w:r>
      <w:r>
        <w:rPr>
          <w:snapToGrid w:val="0"/>
        </w:rPr>
        <w:tab/>
        <w:t>Evasion of fees due etc.</w:t>
      </w:r>
      <w:bookmarkEnd w:id="206"/>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207" w:name="_Toc389662821"/>
      <w:r>
        <w:rPr>
          <w:rStyle w:val="CharSectno"/>
        </w:rPr>
        <w:t>158</w:t>
      </w:r>
      <w:r>
        <w:rPr>
          <w:snapToGrid w:val="0"/>
        </w:rPr>
        <w:t>.</w:t>
      </w:r>
      <w:r>
        <w:rPr>
          <w:snapToGrid w:val="0"/>
        </w:rPr>
        <w:tab/>
        <w:t>Failure to comply with requirements of the licensing authority</w:t>
      </w:r>
      <w:bookmarkEnd w:id="20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t>Penalty: $5 000.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Heading5"/>
        <w:spacing w:before="180"/>
        <w:rPr>
          <w:snapToGrid w:val="0"/>
        </w:rPr>
      </w:pPr>
      <w:bookmarkStart w:id="208" w:name="_Toc389662822"/>
      <w:r>
        <w:rPr>
          <w:rStyle w:val="CharSectno"/>
        </w:rPr>
        <w:t>159</w:t>
      </w:r>
      <w:r>
        <w:rPr>
          <w:snapToGrid w:val="0"/>
        </w:rPr>
        <w:t>.</w:t>
      </w:r>
      <w:r>
        <w:rPr>
          <w:snapToGrid w:val="0"/>
        </w:rPr>
        <w:tab/>
        <w:t>False or misleading statements and records</w:t>
      </w:r>
      <w:bookmarkEnd w:id="20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$5 000.</w:t>
      </w:r>
    </w:p>
    <w:p>
      <w:pPr>
        <w:pStyle w:val="Heading5"/>
        <w:rPr>
          <w:snapToGrid w:val="0"/>
        </w:rPr>
      </w:pPr>
      <w:bookmarkStart w:id="209" w:name="_Toc389662823"/>
      <w:r>
        <w:rPr>
          <w:rStyle w:val="CharSectno"/>
        </w:rPr>
        <w:t>160</w:t>
      </w:r>
      <w:r>
        <w:rPr>
          <w:snapToGrid w:val="0"/>
        </w:rPr>
        <w:t>.</w:t>
      </w:r>
      <w:r>
        <w:rPr>
          <w:snapToGrid w:val="0"/>
        </w:rPr>
        <w:tab/>
        <w:t>Power of authorised officers to demand information</w:t>
      </w:r>
      <w:bookmarkEnd w:id="209"/>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$1 000.</w:t>
      </w:r>
    </w:p>
    <w:p>
      <w:pPr>
        <w:pStyle w:val="Footnotesection"/>
      </w:pPr>
      <w:r>
        <w:tab/>
        <w:t xml:space="preserve">[Section 160 amended by No. 12 of 1998 s. 88.] </w:t>
      </w:r>
    </w:p>
    <w:p>
      <w:pPr>
        <w:pStyle w:val="Heading5"/>
        <w:spacing w:before="180"/>
        <w:rPr>
          <w:snapToGrid w:val="0"/>
        </w:rPr>
      </w:pPr>
      <w:bookmarkStart w:id="210" w:name="_Toc389662824"/>
      <w:r>
        <w:rPr>
          <w:rStyle w:val="CharSectno"/>
        </w:rPr>
        <w:t>161</w:t>
      </w:r>
      <w:r>
        <w:rPr>
          <w:snapToGrid w:val="0"/>
        </w:rPr>
        <w:t>.</w:t>
      </w:r>
      <w:r>
        <w:rPr>
          <w:snapToGrid w:val="0"/>
        </w:rPr>
        <w:tab/>
        <w:t>Search warrants</w:t>
      </w:r>
      <w:bookmarkEnd w:id="21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$5 000.</w:t>
      </w:r>
    </w:p>
    <w:p>
      <w:pPr>
        <w:pStyle w:val="Footnotesection"/>
      </w:pPr>
      <w:r>
        <w:tab/>
        <w:t xml:space="preserve">[Section 161 amended by No. 56 of 1997 s. 48; No. 84 of 2004 s. 80.] </w:t>
      </w:r>
    </w:p>
    <w:p>
      <w:pPr>
        <w:pStyle w:val="Heading5"/>
        <w:rPr>
          <w:snapToGrid w:val="0"/>
        </w:rPr>
      </w:pPr>
      <w:bookmarkStart w:id="211" w:name="_Toc389662825"/>
      <w:r>
        <w:rPr>
          <w:rStyle w:val="CharSectno"/>
        </w:rPr>
        <w:t>162</w:t>
      </w:r>
      <w:r>
        <w:rPr>
          <w:snapToGrid w:val="0"/>
        </w:rPr>
        <w:t>.</w:t>
      </w:r>
      <w:r>
        <w:rPr>
          <w:snapToGrid w:val="0"/>
        </w:rPr>
        <w:tab/>
        <w:t>Separate offences and continuing offences</w:t>
      </w:r>
      <w:bookmarkEnd w:id="211"/>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212" w:name="_Toc389662826"/>
      <w:r>
        <w:rPr>
          <w:rStyle w:val="CharSectno"/>
        </w:rPr>
        <w:t>163</w:t>
      </w:r>
      <w:r>
        <w:rPr>
          <w:snapToGrid w:val="0"/>
        </w:rPr>
        <w:t>.</w:t>
      </w:r>
      <w:r>
        <w:rPr>
          <w:snapToGrid w:val="0"/>
        </w:rPr>
        <w:tab/>
        <w:t>Presumption where liquor is supplied without charge but other charges are made</w:t>
      </w:r>
      <w:bookmarkEnd w:id="212"/>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13" w:name="_Toc389662827"/>
      <w:r>
        <w:rPr>
          <w:rStyle w:val="CharSectno"/>
        </w:rPr>
        <w:t>164</w:t>
      </w:r>
      <w:r>
        <w:rPr>
          <w:snapToGrid w:val="0"/>
        </w:rPr>
        <w:t>.</w:t>
      </w:r>
      <w:r>
        <w:rPr>
          <w:snapToGrid w:val="0"/>
        </w:rPr>
        <w:tab/>
        <w:t>Offences by bodies corporate and partnerships</w:t>
      </w:r>
      <w:bookmarkEnd w:id="213"/>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Where the ground upon which a complaint under section 95 is made out and the Court imposes, or is empowered to impose, a penalty on a licensee who is a body corporate, then —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then the Court 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the grounds upon which the complaint was made did not occur, then the Court 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w:t>
      </w:r>
    </w:p>
    <w:p>
      <w:pPr>
        <w:pStyle w:val="Heading5"/>
        <w:rPr>
          <w:snapToGrid w:val="0"/>
        </w:rPr>
      </w:pPr>
      <w:bookmarkStart w:id="214" w:name="_Toc389662828"/>
      <w:r>
        <w:rPr>
          <w:rStyle w:val="CharSectno"/>
        </w:rPr>
        <w:t>165</w:t>
      </w:r>
      <w:r>
        <w:rPr>
          <w:snapToGrid w:val="0"/>
        </w:rPr>
        <w:t>.</w:t>
      </w:r>
      <w:r>
        <w:rPr>
          <w:snapToGrid w:val="0"/>
        </w:rPr>
        <w:tab/>
        <w:t>Licensee liable for act of employee etc.</w:t>
      </w:r>
      <w:bookmarkEnd w:id="214"/>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Footnotesection"/>
      </w:pPr>
      <w:r>
        <w:tab/>
        <w:t xml:space="preserve">[Section 165 amended by No. 84 of 2004 s. 80.] </w:t>
      </w:r>
    </w:p>
    <w:p>
      <w:pPr>
        <w:pStyle w:val="Heading5"/>
        <w:rPr>
          <w:snapToGrid w:val="0"/>
        </w:rPr>
      </w:pPr>
      <w:bookmarkStart w:id="215" w:name="_Toc389662829"/>
      <w:r>
        <w:rPr>
          <w:rStyle w:val="CharSectno"/>
        </w:rPr>
        <w:t>166</w:t>
      </w:r>
      <w:r>
        <w:rPr>
          <w:snapToGrid w:val="0"/>
        </w:rPr>
        <w:t>.</w:t>
      </w:r>
      <w:r>
        <w:rPr>
          <w:snapToGrid w:val="0"/>
        </w:rPr>
        <w:tab/>
        <w:t>General penalty</w:t>
      </w:r>
      <w:bookmarkEnd w:id="21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$1 000.</w:t>
      </w:r>
    </w:p>
    <w:p>
      <w:pPr>
        <w:pStyle w:val="Heading5"/>
        <w:rPr>
          <w:snapToGrid w:val="0"/>
        </w:rPr>
      </w:pPr>
      <w:bookmarkStart w:id="216" w:name="_Toc389662830"/>
      <w:r>
        <w:rPr>
          <w:rStyle w:val="CharSectno"/>
        </w:rPr>
        <w:t>167</w:t>
      </w:r>
      <w:r>
        <w:rPr>
          <w:snapToGrid w:val="0"/>
        </w:rPr>
        <w:t>.</w:t>
      </w:r>
      <w:r>
        <w:rPr>
          <w:snapToGrid w:val="0"/>
        </w:rPr>
        <w:tab/>
        <w:t>Infringement notices</w:t>
      </w:r>
      <w:bookmarkEnd w:id="2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(5a)</w:t>
      </w:r>
      <w:r>
        <w:rPr>
          <w:snapToGrid w:val="0"/>
        </w:rPr>
        <w:tab/>
        <w:t>Where an infringement notice is withdrawn later than 28 days after it was given, no proceedings shall be brought in respect of the alleged offence.</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w:t>
      </w:r>
    </w:p>
    <w:p>
      <w:pPr>
        <w:pStyle w:val="Heading5"/>
        <w:spacing w:before="180"/>
        <w:rPr>
          <w:snapToGrid w:val="0"/>
        </w:rPr>
      </w:pPr>
      <w:bookmarkStart w:id="217" w:name="_Toc389662831"/>
      <w:r>
        <w:rPr>
          <w:rStyle w:val="CharSectno"/>
        </w:rPr>
        <w:t>168</w:t>
      </w:r>
      <w:r>
        <w:rPr>
          <w:snapToGrid w:val="0"/>
        </w:rPr>
        <w:t>.</w:t>
      </w:r>
      <w:r>
        <w:rPr>
          <w:snapToGrid w:val="0"/>
        </w:rPr>
        <w:tab/>
        <w:t>Institution of prosecutions</w:t>
      </w:r>
      <w:bookmarkEnd w:id="217"/>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218" w:name="_Toc389662832"/>
      <w:r>
        <w:rPr>
          <w:rStyle w:val="CharSectno"/>
        </w:rPr>
        <w:t>169</w:t>
      </w:r>
      <w:r>
        <w:rPr>
          <w:snapToGrid w:val="0"/>
        </w:rPr>
        <w:t>.</w:t>
      </w:r>
      <w:r>
        <w:rPr>
          <w:snapToGrid w:val="0"/>
        </w:rPr>
        <w:tab/>
        <w:t>Trials and prosecutions</w:t>
      </w:r>
      <w:bookmarkEnd w:id="21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19" w:name="_Toc389662833"/>
      <w:r>
        <w:rPr>
          <w:rStyle w:val="CharSectno"/>
        </w:rPr>
        <w:t>170</w:t>
      </w:r>
      <w:r>
        <w:rPr>
          <w:snapToGrid w:val="0"/>
        </w:rPr>
        <w:t>.</w:t>
      </w:r>
      <w:r>
        <w:rPr>
          <w:snapToGrid w:val="0"/>
        </w:rPr>
        <w:tab/>
        <w:t>Evidence of certain matters</w:t>
      </w:r>
      <w:bookmarkEnd w:id="219"/>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20" w:name="_Toc389662834"/>
      <w:r>
        <w:rPr>
          <w:rStyle w:val="CharSectno"/>
        </w:rPr>
        <w:t>171</w:t>
      </w:r>
      <w:r>
        <w:rPr>
          <w:snapToGrid w:val="0"/>
        </w:rPr>
        <w:t>.</w:t>
      </w:r>
      <w:r>
        <w:rPr>
          <w:snapToGrid w:val="0"/>
        </w:rPr>
        <w:tab/>
        <w:t>Accomplices and evidence</w:t>
      </w:r>
      <w:bookmarkEnd w:id="22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21" w:name="_Toc389662835"/>
      <w:r>
        <w:rPr>
          <w:rStyle w:val="CharSectno"/>
        </w:rPr>
        <w:t>172</w:t>
      </w:r>
      <w:r>
        <w:rPr>
          <w:snapToGrid w:val="0"/>
        </w:rPr>
        <w:t>.</w:t>
      </w:r>
      <w:r>
        <w:rPr>
          <w:snapToGrid w:val="0"/>
        </w:rPr>
        <w:tab/>
        <w:t>Averments, and other evidentiary matters</w:t>
      </w:r>
      <w:bookmarkEnd w:id="221"/>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 Court.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judge, 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w:t>
      </w:r>
    </w:p>
    <w:p>
      <w:pPr>
        <w:pStyle w:val="Heading2"/>
      </w:pPr>
      <w:bookmarkStart w:id="222" w:name="_Toc389662836"/>
      <w:r>
        <w:rPr>
          <w:rStyle w:val="CharPartNo"/>
        </w:rPr>
        <w:t>Part 7</w:t>
      </w:r>
      <w:r>
        <w:rPr>
          <w:rStyle w:val="CharDivNo"/>
        </w:rPr>
        <w:t> </w:t>
      </w:r>
      <w:r>
        <w:t>—</w:t>
      </w:r>
      <w:r>
        <w:rPr>
          <w:rStyle w:val="CharDivText"/>
        </w:rPr>
        <w:t> </w:t>
      </w:r>
      <w:r>
        <w:rPr>
          <w:rStyle w:val="CharPartText"/>
        </w:rPr>
        <w:t>General</w:t>
      </w:r>
      <w:bookmarkEnd w:id="222"/>
      <w:r>
        <w:rPr>
          <w:rStyle w:val="CharPartText"/>
        </w:rPr>
        <w:t xml:space="preserve"> </w:t>
      </w:r>
    </w:p>
    <w:p>
      <w:pPr>
        <w:pStyle w:val="Heading5"/>
        <w:rPr>
          <w:snapToGrid w:val="0"/>
        </w:rPr>
      </w:pPr>
      <w:bookmarkStart w:id="223" w:name="_Toc389662837"/>
      <w:r>
        <w:rPr>
          <w:rStyle w:val="CharSectno"/>
        </w:rPr>
        <w:t>173</w:t>
      </w:r>
      <w:r>
        <w:rPr>
          <w:snapToGrid w:val="0"/>
        </w:rPr>
        <w:t>.</w:t>
      </w:r>
      <w:r>
        <w:rPr>
          <w:snapToGrid w:val="0"/>
        </w:rPr>
        <w:tab/>
        <w:t>Pending review etc. not to affect liability</w:t>
      </w:r>
      <w:bookmarkEnd w:id="22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24" w:name="_Toc389662838"/>
      <w:r>
        <w:rPr>
          <w:rStyle w:val="CharSectno"/>
        </w:rPr>
        <w:t>174</w:t>
      </w:r>
      <w:r>
        <w:rPr>
          <w:snapToGrid w:val="0"/>
        </w:rPr>
        <w:t>.</w:t>
      </w:r>
      <w:r>
        <w:rPr>
          <w:snapToGrid w:val="0"/>
        </w:rPr>
        <w:tab/>
        <w:t>Service of documents</w:t>
      </w:r>
      <w:bookmarkEnd w:id="22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rPr>
          <w:snapToGrid w:val="0"/>
        </w:rPr>
      </w:pPr>
      <w:bookmarkStart w:id="225" w:name="_Toc389662839"/>
      <w:r>
        <w:rPr>
          <w:rStyle w:val="CharSectno"/>
        </w:rPr>
        <w:t>175</w:t>
      </w:r>
      <w:r>
        <w:rPr>
          <w:snapToGrid w:val="0"/>
        </w:rPr>
        <w:t>.</w:t>
      </w:r>
      <w:r>
        <w:rPr>
          <w:snapToGrid w:val="0"/>
        </w:rPr>
        <w:tab/>
        <w:t>Regulations</w:t>
      </w:r>
      <w:bookmarkEnd w:id="22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t>Court 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$2 000; and</w:t>
      </w:r>
    </w:p>
    <w:p>
      <w:pPr>
        <w:pStyle w:val="Indenta"/>
        <w:rPr>
          <w:snapToGrid w:val="0"/>
        </w:rPr>
      </w:pPr>
      <w:r>
        <w:rPr>
          <w:snapToGrid w:val="0"/>
        </w:rPr>
        <w:tab/>
        <w:t>(b)</w:t>
      </w:r>
      <w:r>
        <w:rPr>
          <w:snapToGrid w:val="0"/>
        </w:rPr>
        <w:tab/>
        <w:t>in any other case — $500.</w:t>
      </w:r>
    </w:p>
    <w:p>
      <w:pPr>
        <w:pStyle w:val="Footnotesection"/>
      </w:pPr>
      <w:r>
        <w:tab/>
        <w:t xml:space="preserve">[Section 175 amended by No. 56 of 1997 s. 50; No. 12 of 1998 s. 94.] </w:t>
      </w:r>
    </w:p>
    <w:p>
      <w:pPr>
        <w:pStyle w:val="Heading5"/>
        <w:rPr>
          <w:snapToGrid w:val="0"/>
        </w:rPr>
      </w:pPr>
      <w:bookmarkStart w:id="226" w:name="_Toc389662840"/>
      <w:r>
        <w:rPr>
          <w:rStyle w:val="CharSectno"/>
        </w:rPr>
        <w:t>176</w:t>
      </w:r>
      <w:r>
        <w:rPr>
          <w:snapToGrid w:val="0"/>
        </w:rPr>
        <w:t>.</w:t>
      </w:r>
      <w:r>
        <w:rPr>
          <w:snapToGrid w:val="0"/>
        </w:rPr>
        <w:tab/>
        <w:t>Repeal</w:t>
      </w:r>
      <w:bookmarkEnd w:id="226"/>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227" w:name="_Toc389662841"/>
      <w:r>
        <w:rPr>
          <w:rStyle w:val="CharSectno"/>
        </w:rPr>
        <w:t>177</w:t>
      </w:r>
      <w:r>
        <w:rPr>
          <w:snapToGrid w:val="0"/>
        </w:rPr>
        <w:t>.</w:t>
      </w:r>
      <w:r>
        <w:rPr>
          <w:snapToGrid w:val="0"/>
        </w:rPr>
        <w:tab/>
        <w:t>Transitional provisions</w:t>
      </w:r>
      <w:bookmarkEnd w:id="227"/>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rPr>
          <w:snapToGrid w:val="0"/>
        </w:rPr>
      </w:pPr>
      <w:bookmarkStart w:id="228" w:name="_Toc389662842"/>
      <w:r>
        <w:rPr>
          <w:rStyle w:val="CharSectno"/>
        </w:rPr>
        <w:t>178</w:t>
      </w:r>
      <w:r>
        <w:rPr>
          <w:snapToGrid w:val="0"/>
        </w:rPr>
        <w:t>.</w:t>
      </w:r>
      <w:r>
        <w:rPr>
          <w:snapToGrid w:val="0"/>
        </w:rPr>
        <w:tab/>
        <w:t>Review of the Act</w:t>
      </w:r>
      <w:bookmarkEnd w:id="22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29" w:name="_Toc389662843"/>
      <w:r>
        <w:rPr>
          <w:rStyle w:val="CharSchNo"/>
        </w:rPr>
        <w:t>Schedule 1</w:t>
      </w:r>
      <w:bookmarkEnd w:id="229"/>
      <w:r>
        <w:rPr>
          <w:rStyle w:val="CharSDivNo"/>
        </w:rPr>
        <w:t xml:space="preserve"> </w:t>
      </w:r>
    </w:p>
    <w:p>
      <w:pPr>
        <w:pStyle w:val="yShoulderClause"/>
        <w:rPr>
          <w:snapToGrid w:val="0"/>
        </w:rPr>
      </w:pPr>
      <w:r>
        <w:rPr>
          <w:snapToGrid w:val="0"/>
        </w:rPr>
        <w:t>[s. 177]</w:t>
      </w:r>
    </w:p>
    <w:p>
      <w:pPr>
        <w:pStyle w:val="yHeading2"/>
        <w:outlineLvl w:val="0"/>
      </w:pPr>
      <w:bookmarkStart w:id="230" w:name="_Toc389662844"/>
      <w:r>
        <w:rPr>
          <w:rStyle w:val="CharSchText"/>
        </w:rPr>
        <w:t>Transitional provisions</w:t>
      </w:r>
      <w:bookmarkEnd w:id="230"/>
      <w:r>
        <w:rPr>
          <w:rStyle w:val="CharSDivText"/>
        </w:rPr>
        <w:t xml:space="preserve"> </w:t>
      </w:r>
    </w:p>
    <w:p>
      <w:pPr>
        <w:pStyle w:val="yHeading5"/>
        <w:outlineLvl w:val="0"/>
        <w:rPr>
          <w:snapToGrid w:val="0"/>
        </w:rPr>
      </w:pPr>
      <w:bookmarkStart w:id="231" w:name="_Toc389662845"/>
      <w:r>
        <w:rPr>
          <w:rStyle w:val="CharSClsNo"/>
        </w:rPr>
        <w:t>1</w:t>
      </w:r>
      <w:r>
        <w:rPr>
          <w:snapToGrid w:val="0"/>
        </w:rPr>
        <w:t>.</w:t>
      </w:r>
      <w:r>
        <w:rPr>
          <w:snapToGrid w:val="0"/>
        </w:rPr>
        <w:tab/>
        <w:t>Interpretation</w:t>
      </w:r>
      <w:bookmarkEnd w:id="231"/>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0"/>
        <w:rPr>
          <w:snapToGrid w:val="0"/>
        </w:rPr>
      </w:pPr>
      <w:bookmarkStart w:id="232" w:name="_Toc389662846"/>
      <w:r>
        <w:rPr>
          <w:rStyle w:val="CharSClsNo"/>
        </w:rPr>
        <w:t>2</w:t>
      </w:r>
      <w:r>
        <w:rPr>
          <w:snapToGrid w:val="0"/>
        </w:rPr>
        <w:t>.</w:t>
      </w:r>
      <w:r>
        <w:rPr>
          <w:snapToGrid w:val="0"/>
        </w:rPr>
        <w:tab/>
        <w:t>Continuing effect of convictions, forfeitures etc.</w:t>
      </w:r>
      <w:bookmarkEnd w:id="23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0"/>
        <w:rPr>
          <w:snapToGrid w:val="0"/>
        </w:rPr>
      </w:pPr>
      <w:bookmarkStart w:id="233" w:name="_Toc389662847"/>
      <w:r>
        <w:rPr>
          <w:rStyle w:val="CharSClsNo"/>
        </w:rPr>
        <w:t>3</w:t>
      </w:r>
      <w:r>
        <w:rPr>
          <w:snapToGrid w:val="0"/>
        </w:rPr>
        <w:t>.</w:t>
      </w:r>
      <w:r>
        <w:rPr>
          <w:snapToGrid w:val="0"/>
        </w:rPr>
        <w:tab/>
        <w:t>Proceedings part heard, Rules of Court, and appointments under the repealed Act</w:t>
      </w:r>
      <w:bookmarkEnd w:id="23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0"/>
        <w:rPr>
          <w:snapToGrid w:val="0"/>
        </w:rPr>
      </w:pPr>
      <w:bookmarkStart w:id="234" w:name="_Toc389662848"/>
      <w:r>
        <w:rPr>
          <w:rStyle w:val="CharSClsNo"/>
        </w:rPr>
        <w:t>4</w:t>
      </w:r>
      <w:r>
        <w:rPr>
          <w:snapToGrid w:val="0"/>
        </w:rPr>
        <w:t>.</w:t>
      </w:r>
      <w:r>
        <w:rPr>
          <w:snapToGrid w:val="0"/>
        </w:rPr>
        <w:tab/>
        <w:t>Fees</w:t>
      </w:r>
      <w:bookmarkEnd w:id="23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0"/>
        <w:rPr>
          <w:snapToGrid w:val="0"/>
        </w:rPr>
      </w:pPr>
      <w:bookmarkStart w:id="235" w:name="_Toc389662849"/>
      <w:r>
        <w:rPr>
          <w:rStyle w:val="CharSClsNo"/>
        </w:rPr>
        <w:t>5</w:t>
      </w:r>
      <w:r>
        <w:rPr>
          <w:snapToGrid w:val="0"/>
        </w:rPr>
        <w:t>.</w:t>
      </w:r>
      <w:r>
        <w:rPr>
          <w:snapToGrid w:val="0"/>
        </w:rPr>
        <w:tab/>
        <w:t>Continuing effect of conditions, delineated or designated areas, approvals etc.</w:t>
      </w:r>
      <w:bookmarkEnd w:id="23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0"/>
        <w:rPr>
          <w:snapToGrid w:val="0"/>
        </w:rPr>
      </w:pPr>
      <w:bookmarkStart w:id="236" w:name="_Toc389662850"/>
      <w:r>
        <w:rPr>
          <w:rStyle w:val="CharSClsNo"/>
        </w:rPr>
        <w:t>6</w:t>
      </w:r>
      <w:r>
        <w:rPr>
          <w:snapToGrid w:val="0"/>
        </w:rPr>
        <w:t>.</w:t>
      </w:r>
      <w:r>
        <w:rPr>
          <w:snapToGrid w:val="0"/>
        </w:rPr>
        <w:tab/>
        <w:t>Conversion of licences generally</w:t>
      </w:r>
      <w:bookmarkEnd w:id="23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0"/>
        <w:rPr>
          <w:snapToGrid w:val="0"/>
        </w:rPr>
      </w:pPr>
      <w:bookmarkStart w:id="237" w:name="_Toc389662851"/>
      <w:r>
        <w:rPr>
          <w:rStyle w:val="CharSClsNo"/>
        </w:rPr>
        <w:t>7</w:t>
      </w:r>
      <w:r>
        <w:rPr>
          <w:snapToGrid w:val="0"/>
        </w:rPr>
        <w:t>.</w:t>
      </w:r>
      <w:r>
        <w:rPr>
          <w:snapToGrid w:val="0"/>
        </w:rPr>
        <w:tab/>
        <w:t>Hotel licences</w:t>
      </w:r>
      <w:bookmarkEnd w:id="23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0"/>
        <w:rPr>
          <w:snapToGrid w:val="0"/>
        </w:rPr>
      </w:pPr>
      <w:bookmarkStart w:id="238" w:name="_Toc389662852"/>
      <w:r>
        <w:rPr>
          <w:rStyle w:val="CharSClsNo"/>
        </w:rPr>
        <w:t>8</w:t>
      </w:r>
      <w:r>
        <w:rPr>
          <w:snapToGrid w:val="0"/>
        </w:rPr>
        <w:t>.</w:t>
      </w:r>
      <w:r>
        <w:rPr>
          <w:snapToGrid w:val="0"/>
        </w:rPr>
        <w:tab/>
        <w:t>Limited hotel licences</w:t>
      </w:r>
      <w:bookmarkEnd w:id="23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0"/>
        <w:rPr>
          <w:snapToGrid w:val="0"/>
        </w:rPr>
      </w:pPr>
      <w:bookmarkStart w:id="239" w:name="_Toc389662853"/>
      <w:r>
        <w:rPr>
          <w:rStyle w:val="CharSClsNo"/>
        </w:rPr>
        <w:t>9</w:t>
      </w:r>
      <w:r>
        <w:rPr>
          <w:snapToGrid w:val="0"/>
        </w:rPr>
        <w:t>.</w:t>
      </w:r>
      <w:r>
        <w:rPr>
          <w:snapToGrid w:val="0"/>
        </w:rPr>
        <w:tab/>
        <w:t>Tavern licences</w:t>
      </w:r>
      <w:bookmarkEnd w:id="23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0"/>
        <w:rPr>
          <w:snapToGrid w:val="0"/>
        </w:rPr>
      </w:pPr>
      <w:bookmarkStart w:id="240" w:name="_Toc389662854"/>
      <w:r>
        <w:rPr>
          <w:rStyle w:val="CharSClsNo"/>
        </w:rPr>
        <w:t>10</w:t>
      </w:r>
      <w:r>
        <w:rPr>
          <w:snapToGrid w:val="0"/>
        </w:rPr>
        <w:t>.</w:t>
      </w:r>
      <w:r>
        <w:rPr>
          <w:snapToGrid w:val="0"/>
        </w:rPr>
        <w:tab/>
        <w:t>Obligatory trading hours relating to hotel licences</w:t>
      </w:r>
      <w:bookmarkEnd w:id="24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0"/>
        <w:rPr>
          <w:snapToGrid w:val="0"/>
        </w:rPr>
      </w:pPr>
      <w:bookmarkStart w:id="241" w:name="_Toc389662855"/>
      <w:r>
        <w:rPr>
          <w:rStyle w:val="CharSClsNo"/>
        </w:rPr>
        <w:t>11</w:t>
      </w:r>
      <w:r>
        <w:rPr>
          <w:snapToGrid w:val="0"/>
        </w:rPr>
        <w:t>.</w:t>
      </w:r>
      <w:r>
        <w:rPr>
          <w:snapToGrid w:val="0"/>
        </w:rPr>
        <w:tab/>
        <w:t>Winehouse licences and Australian wine licences</w:t>
      </w:r>
      <w:bookmarkEnd w:id="241"/>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0"/>
        <w:rPr>
          <w:snapToGrid w:val="0"/>
        </w:rPr>
      </w:pPr>
      <w:bookmarkStart w:id="242" w:name="_Toc389662856"/>
      <w:r>
        <w:rPr>
          <w:rStyle w:val="CharSClsNo"/>
        </w:rPr>
        <w:t>12</w:t>
      </w:r>
      <w:r>
        <w:rPr>
          <w:snapToGrid w:val="0"/>
        </w:rPr>
        <w:t>.</w:t>
      </w:r>
      <w:r>
        <w:rPr>
          <w:snapToGrid w:val="0"/>
        </w:rPr>
        <w:tab/>
        <w:t>Casino liquor licences</w:t>
      </w:r>
      <w:bookmarkEnd w:id="24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0"/>
        <w:rPr>
          <w:snapToGrid w:val="0"/>
        </w:rPr>
      </w:pPr>
      <w:bookmarkStart w:id="243" w:name="_Toc389662857"/>
      <w:r>
        <w:rPr>
          <w:rStyle w:val="CharSClsNo"/>
        </w:rPr>
        <w:t>13</w:t>
      </w:r>
      <w:r>
        <w:rPr>
          <w:snapToGrid w:val="0"/>
        </w:rPr>
        <w:t>.</w:t>
      </w:r>
      <w:r>
        <w:rPr>
          <w:snapToGrid w:val="0"/>
        </w:rPr>
        <w:tab/>
        <w:t>Cabaret licences</w:t>
      </w:r>
      <w:bookmarkEnd w:id="24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0"/>
        <w:rPr>
          <w:snapToGrid w:val="0"/>
        </w:rPr>
      </w:pPr>
      <w:bookmarkStart w:id="244" w:name="_Toc389662858"/>
      <w:r>
        <w:rPr>
          <w:rStyle w:val="CharSClsNo"/>
        </w:rPr>
        <w:t>14</w:t>
      </w:r>
      <w:r>
        <w:rPr>
          <w:snapToGrid w:val="0"/>
        </w:rPr>
        <w:t>.</w:t>
      </w:r>
      <w:r>
        <w:rPr>
          <w:snapToGrid w:val="0"/>
        </w:rPr>
        <w:tab/>
        <w:t>Restaurant licences</w:t>
      </w:r>
      <w:bookmarkEnd w:id="24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0"/>
        <w:rPr>
          <w:snapToGrid w:val="0"/>
        </w:rPr>
      </w:pPr>
      <w:bookmarkStart w:id="245" w:name="_Toc389662859"/>
      <w:r>
        <w:rPr>
          <w:rStyle w:val="CharSClsNo"/>
        </w:rPr>
        <w:t>15</w:t>
      </w:r>
      <w:r>
        <w:rPr>
          <w:snapToGrid w:val="0"/>
        </w:rPr>
        <w:t>.</w:t>
      </w:r>
      <w:r>
        <w:rPr>
          <w:snapToGrid w:val="0"/>
        </w:rPr>
        <w:tab/>
        <w:t>Restaurant facilities on premises formerly licensed as a hotel, tavern, limited hotel, or winehouse</w:t>
      </w:r>
      <w:bookmarkEnd w:id="24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0"/>
        <w:rPr>
          <w:snapToGrid w:val="0"/>
        </w:rPr>
      </w:pPr>
      <w:bookmarkStart w:id="246" w:name="_Toc389662860"/>
      <w:r>
        <w:rPr>
          <w:rStyle w:val="CharSClsNo"/>
        </w:rPr>
        <w:t>16</w:t>
      </w:r>
      <w:r>
        <w:rPr>
          <w:snapToGrid w:val="0"/>
        </w:rPr>
        <w:t>.</w:t>
      </w:r>
      <w:r>
        <w:rPr>
          <w:snapToGrid w:val="0"/>
        </w:rPr>
        <w:tab/>
        <w:t>Store licences</w:t>
      </w:r>
      <w:bookmarkEnd w:id="24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0"/>
        <w:rPr>
          <w:snapToGrid w:val="0"/>
        </w:rPr>
      </w:pPr>
      <w:bookmarkStart w:id="247" w:name="_Toc389662861"/>
      <w:r>
        <w:rPr>
          <w:rStyle w:val="CharSClsNo"/>
        </w:rPr>
        <w:t>17</w:t>
      </w:r>
      <w:r>
        <w:rPr>
          <w:snapToGrid w:val="0"/>
        </w:rPr>
        <w:t>.</w:t>
      </w:r>
      <w:r>
        <w:rPr>
          <w:snapToGrid w:val="0"/>
        </w:rPr>
        <w:tab/>
        <w:t>Vigneron’s licences and brewer’s licences</w:t>
      </w:r>
      <w:bookmarkEnd w:id="24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0"/>
        <w:rPr>
          <w:snapToGrid w:val="0"/>
        </w:rPr>
      </w:pPr>
      <w:bookmarkStart w:id="248" w:name="_Toc389662862"/>
      <w:r>
        <w:rPr>
          <w:rStyle w:val="CharSClsNo"/>
        </w:rPr>
        <w:t>18</w:t>
      </w:r>
      <w:r>
        <w:rPr>
          <w:snapToGrid w:val="0"/>
        </w:rPr>
        <w:t>.</w:t>
      </w:r>
      <w:r>
        <w:rPr>
          <w:snapToGrid w:val="0"/>
        </w:rPr>
        <w:tab/>
        <w:t>Wholesale licences</w:t>
      </w:r>
      <w:bookmarkEnd w:id="24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0"/>
        <w:rPr>
          <w:snapToGrid w:val="0"/>
        </w:rPr>
      </w:pPr>
      <w:bookmarkStart w:id="249" w:name="_Toc389662863"/>
      <w:r>
        <w:rPr>
          <w:rStyle w:val="CharSClsNo"/>
        </w:rPr>
        <w:t>19</w:t>
      </w:r>
      <w:r>
        <w:rPr>
          <w:snapToGrid w:val="0"/>
        </w:rPr>
        <w:t>.</w:t>
      </w:r>
      <w:r>
        <w:rPr>
          <w:snapToGrid w:val="0"/>
        </w:rPr>
        <w:tab/>
        <w:t>Club licences and unlicensed club permits</w:t>
      </w:r>
      <w:bookmarkEnd w:id="24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0"/>
        <w:rPr>
          <w:snapToGrid w:val="0"/>
        </w:rPr>
      </w:pPr>
      <w:bookmarkStart w:id="250" w:name="_Toc389662864"/>
      <w:r>
        <w:rPr>
          <w:rStyle w:val="CharSClsNo"/>
        </w:rPr>
        <w:t>20</w:t>
      </w:r>
      <w:r>
        <w:rPr>
          <w:snapToGrid w:val="0"/>
        </w:rPr>
        <w:t>.</w:t>
      </w:r>
      <w:r>
        <w:rPr>
          <w:snapToGrid w:val="0"/>
        </w:rPr>
        <w:tab/>
        <w:t>Certain licences to become special facility licences</w:t>
      </w:r>
      <w:bookmarkEnd w:id="25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0"/>
        <w:rPr>
          <w:snapToGrid w:val="0"/>
        </w:rPr>
      </w:pPr>
      <w:bookmarkStart w:id="251" w:name="_Toc389662865"/>
      <w:r>
        <w:rPr>
          <w:rStyle w:val="CharSClsNo"/>
        </w:rPr>
        <w:t>21</w:t>
      </w:r>
      <w:r>
        <w:rPr>
          <w:snapToGrid w:val="0"/>
        </w:rPr>
        <w:t>.</w:t>
      </w:r>
      <w:r>
        <w:rPr>
          <w:snapToGrid w:val="0"/>
        </w:rPr>
        <w:tab/>
        <w:t>Caterer’s permit</w:t>
      </w:r>
      <w:bookmarkEnd w:id="251"/>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0"/>
        <w:rPr>
          <w:snapToGrid w:val="0"/>
        </w:rPr>
      </w:pPr>
      <w:bookmarkStart w:id="252" w:name="_Toc389662866"/>
      <w:r>
        <w:rPr>
          <w:rStyle w:val="CharSClsNo"/>
        </w:rPr>
        <w:t>22</w:t>
      </w:r>
      <w:r>
        <w:rPr>
          <w:snapToGrid w:val="0"/>
        </w:rPr>
        <w:t>.</w:t>
      </w:r>
      <w:r>
        <w:rPr>
          <w:snapToGrid w:val="0"/>
        </w:rPr>
        <w:tab/>
        <w:t>Exempted producers etc.</w:t>
      </w:r>
      <w:bookmarkEnd w:id="25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0"/>
        <w:rPr>
          <w:snapToGrid w:val="0"/>
        </w:rPr>
      </w:pPr>
      <w:bookmarkStart w:id="253" w:name="_Toc389662867"/>
      <w:r>
        <w:rPr>
          <w:rStyle w:val="CharSClsNo"/>
        </w:rPr>
        <w:t>23</w:t>
      </w:r>
      <w:r>
        <w:rPr>
          <w:snapToGrid w:val="0"/>
        </w:rPr>
        <w:t>.</w:t>
      </w:r>
      <w:r>
        <w:rPr>
          <w:snapToGrid w:val="0"/>
        </w:rPr>
        <w:tab/>
        <w:t>Certain licences may become special facility licences</w:t>
      </w:r>
      <w:bookmarkEnd w:id="25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0"/>
        <w:rPr>
          <w:snapToGrid w:val="0"/>
        </w:rPr>
      </w:pPr>
      <w:bookmarkStart w:id="254" w:name="_Toc389662868"/>
      <w:r>
        <w:rPr>
          <w:rStyle w:val="CharSClsNo"/>
        </w:rPr>
        <w:t>24</w:t>
      </w:r>
      <w:r>
        <w:rPr>
          <w:snapToGrid w:val="0"/>
        </w:rPr>
        <w:t>.</w:t>
      </w:r>
      <w:r>
        <w:rPr>
          <w:snapToGrid w:val="0"/>
        </w:rPr>
        <w:tab/>
        <w:t>References in other written laws</w:t>
      </w:r>
      <w:bookmarkEnd w:id="25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outlineLvl w:val="0"/>
      </w:pPr>
      <w:bookmarkStart w:id="255" w:name="_Toc389662869"/>
      <w:r>
        <w:rPr>
          <w:rStyle w:val="CharSchNo"/>
        </w:rPr>
        <w:t>Schedule 2</w:t>
      </w:r>
      <w:bookmarkEnd w:id="255"/>
      <w:r>
        <w:rPr>
          <w:rStyle w:val="CharSchText"/>
        </w:rPr>
        <w:t xml:space="preserve"> </w:t>
      </w:r>
    </w:p>
    <w:p>
      <w:pPr>
        <w:pStyle w:val="yShoulderClause"/>
        <w:rPr>
          <w:snapToGrid w:val="0"/>
        </w:rPr>
      </w:pPr>
      <w:r>
        <w:rPr>
          <w:snapToGrid w:val="0"/>
        </w:rPr>
        <w:t>[s. 49(1)(a)]</w:t>
      </w:r>
    </w:p>
    <w:p>
      <w:pPr>
        <w:pStyle w:val="yHeading3"/>
        <w:outlineLvl w:val="0"/>
      </w:pPr>
      <w:bookmarkStart w:id="256" w:name="_Toc389662870"/>
      <w:r>
        <w:rPr>
          <w:rStyle w:val="CharSDivNo"/>
        </w:rPr>
        <w:t>Division 1</w:t>
      </w:r>
      <w:r>
        <w:rPr>
          <w:snapToGrid w:val="0"/>
        </w:rPr>
        <w:t> — </w:t>
      </w:r>
      <w:r>
        <w:rPr>
          <w:rStyle w:val="CharSDivText"/>
        </w:rPr>
        <w:t>The Anzac Club</w:t>
      </w:r>
      <w:bookmarkEnd w:id="256"/>
      <w:r>
        <w:rPr>
          <w:snapToGrid w:val="0"/>
        </w:rPr>
        <w:t xml:space="preserve"> </w:t>
      </w:r>
    </w:p>
    <w:p>
      <w:pPr>
        <w:pStyle w:val="yHeading5"/>
        <w:outlineLvl w:val="0"/>
        <w:rPr>
          <w:snapToGrid w:val="0"/>
        </w:rPr>
      </w:pPr>
      <w:bookmarkStart w:id="257" w:name="_Toc389662871"/>
      <w:r>
        <w:rPr>
          <w:rStyle w:val="CharSClsNo"/>
        </w:rPr>
        <w:t>1</w:t>
      </w:r>
      <w:r>
        <w:rPr>
          <w:snapToGrid w:val="0"/>
        </w:rPr>
        <w:t>.</w:t>
      </w:r>
      <w:r>
        <w:rPr>
          <w:snapToGrid w:val="0"/>
        </w:rPr>
        <w:tab/>
        <w:t>Definitions</w:t>
      </w:r>
      <w:bookmarkEnd w:id="257"/>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0"/>
        <w:rPr>
          <w:snapToGrid w:val="0"/>
        </w:rPr>
      </w:pPr>
      <w:bookmarkStart w:id="258" w:name="_Toc389662872"/>
      <w:r>
        <w:rPr>
          <w:rStyle w:val="CharSClsNo"/>
        </w:rPr>
        <w:t>2</w:t>
      </w:r>
      <w:r>
        <w:rPr>
          <w:snapToGrid w:val="0"/>
        </w:rPr>
        <w:t>.</w:t>
      </w:r>
      <w:r>
        <w:rPr>
          <w:snapToGrid w:val="0"/>
        </w:rPr>
        <w:tab/>
        <w:t>The Anzac Club</w:t>
      </w:r>
      <w:bookmarkEnd w:id="258"/>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outlineLvl w:val="0"/>
        <w:rPr>
          <w:snapToGrid w:val="0"/>
        </w:rPr>
      </w:pPr>
      <w:bookmarkStart w:id="259" w:name="_Toc389662873"/>
      <w:r>
        <w:rPr>
          <w:rStyle w:val="CharSDivNo"/>
        </w:rPr>
        <w:t>Division 2</w:t>
      </w:r>
      <w:r>
        <w:rPr>
          <w:snapToGrid w:val="0"/>
        </w:rPr>
        <w:t> — </w:t>
      </w:r>
      <w:r>
        <w:rPr>
          <w:rStyle w:val="CharSDivText"/>
        </w:rPr>
        <w:t>The Air Force Association Club</w:t>
      </w:r>
      <w:bookmarkEnd w:id="259"/>
      <w:r>
        <w:rPr>
          <w:snapToGrid w:val="0"/>
        </w:rPr>
        <w:t xml:space="preserve"> </w:t>
      </w:r>
    </w:p>
    <w:p>
      <w:pPr>
        <w:pStyle w:val="yHeading5"/>
        <w:outlineLvl w:val="0"/>
        <w:rPr>
          <w:snapToGrid w:val="0"/>
        </w:rPr>
      </w:pPr>
      <w:bookmarkStart w:id="260" w:name="_Toc389662874"/>
      <w:r>
        <w:rPr>
          <w:rStyle w:val="CharSClsNo"/>
        </w:rPr>
        <w:t>1</w:t>
      </w:r>
      <w:r>
        <w:rPr>
          <w:snapToGrid w:val="0"/>
        </w:rPr>
        <w:t>.</w:t>
      </w:r>
      <w:r>
        <w:rPr>
          <w:snapToGrid w:val="0"/>
        </w:rPr>
        <w:tab/>
        <w:t>Definitions</w:t>
      </w:r>
      <w:bookmarkEnd w:id="260"/>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0"/>
        <w:rPr>
          <w:snapToGrid w:val="0"/>
        </w:rPr>
      </w:pPr>
      <w:bookmarkStart w:id="261" w:name="_Toc389662875"/>
      <w:r>
        <w:rPr>
          <w:rStyle w:val="CharSClsNo"/>
        </w:rPr>
        <w:t>2</w:t>
      </w:r>
      <w:r>
        <w:rPr>
          <w:snapToGrid w:val="0"/>
        </w:rPr>
        <w:t>.</w:t>
      </w:r>
      <w:r>
        <w:rPr>
          <w:snapToGrid w:val="0"/>
        </w:rPr>
        <w:tab/>
        <w:t>The Air Force Association (Western Australia Division) Club</w:t>
      </w:r>
      <w:bookmarkEnd w:id="261"/>
    </w:p>
    <w:p>
      <w:pPr>
        <w:pStyle w:val="ySubsection"/>
        <w:rPr>
          <w:snapToGrid w:val="0"/>
        </w:rPr>
      </w:pPr>
      <w:r>
        <w:rPr>
          <w:snapToGrid w:val="0"/>
        </w:rPr>
        <w:tab/>
        <w:t>(1)</w:t>
      </w:r>
      <w:r>
        <w:rPr>
          <w:snapToGrid w:val="0"/>
        </w:rPr>
        <w:tab/>
        <w:t>Whilst the club is licensed under this Act and has its premises and conducts its business at Bull Creek Drive (formerly Benningfield Road) Bull Creek, at the corner of Marmion Avenue and Baltimore Parade, Merriwa and at 133 Mandurah Terrace, Mandurah —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262" w:name="_Toc389662876"/>
      <w:r>
        <w:t>Notes</w:t>
      </w:r>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Liquor Licensing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63" w:name="_Toc389662877"/>
      <w:r>
        <w:rPr>
          <w:snapToGrid w:val="0"/>
        </w:rPr>
        <w:t>Compilation table</w:t>
      </w:r>
      <w:bookmarkEnd w:id="2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gridAfter w:val="1"/>
          <w:wAfter w:w="29"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tcPr>
          <w:p>
            <w:pPr>
              <w:pStyle w:val="nTable"/>
              <w:spacing w:after="40"/>
              <w:ind w:right="113"/>
              <w:rPr>
                <w:sz w:val="19"/>
              </w:rPr>
            </w:pPr>
            <w:r>
              <w:rPr>
                <w:i/>
                <w:sz w:val="19"/>
              </w:rPr>
              <w:t>Liquor Licensing Act 1988</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gridAfter w:val="1"/>
          <w:wAfter w:w="29" w:type="dxa"/>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29"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29" w:type="dxa"/>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9" w:type="dxa"/>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gridAfter w:val="1"/>
          <w:wAfter w:w="29"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29" w:type="dxa"/>
          <w:cantSplit/>
        </w:trPr>
        <w:tc>
          <w:tcPr>
            <w:tcW w:w="2268"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9" w:type="dxa"/>
          <w:cantSplit/>
        </w:trPr>
        <w:tc>
          <w:tcPr>
            <w:tcW w:w="2268"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9" w:type="dxa"/>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gridAfter w:val="1"/>
          <w:wAfter w:w="29" w:type="dxa"/>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gridAfter w:val="1"/>
          <w:wAfter w:w="29" w:type="dxa"/>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9" w:type="dxa"/>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2268" w:type="dxa"/>
          </w:tcPr>
          <w:p>
            <w:pPr>
              <w:pStyle w:val="nTable"/>
              <w:spacing w:after="40"/>
              <w:ind w:right="113"/>
              <w:rPr>
                <w:sz w:val="19"/>
              </w:rPr>
            </w:pPr>
            <w:r>
              <w:rPr>
                <w:i/>
                <w:sz w:val="19"/>
              </w:rPr>
              <w:t>Liquor Licensing Amendment Act 2001</w:t>
            </w:r>
            <w:r>
              <w:rPr>
                <w:sz w:val="19"/>
                <w:vertAlign w:val="superscript"/>
              </w:rPr>
              <w:t>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gridAfter w:val="1"/>
          <w:wAfter w:w="29" w:type="dxa"/>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9" w:type="dxa"/>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9" w:type="dxa"/>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rPr>
            </w:pPr>
            <w:r>
              <w:rPr>
                <w:sz w:val="19"/>
              </w:rPr>
              <w:t>35 of 2003</w:t>
            </w:r>
          </w:p>
        </w:tc>
        <w:tc>
          <w:tcPr>
            <w:tcW w:w="1134" w:type="dxa"/>
          </w:tcPr>
          <w:p>
            <w:pPr>
              <w:pStyle w:val="nTable"/>
              <w:spacing w:after="40"/>
              <w:rPr>
                <w:snapToGrid w:val="0"/>
                <w:sz w:val="19"/>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9" w:type="dxa"/>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29" w:type="dxa"/>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9" w:type="dxa"/>
          <w:cantSplit/>
        </w:trPr>
        <w:tc>
          <w:tcPr>
            <w:tcW w:w="2268" w:type="dxa"/>
          </w:tcPr>
          <w:p>
            <w:pPr>
              <w:pStyle w:val="nTable"/>
              <w:spacing w:after="40"/>
              <w:ind w:right="113"/>
              <w:rPr>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29" w:type="dxa"/>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29" w:type="dxa"/>
          <w:cantSplit/>
        </w:trPr>
        <w:tc>
          <w:tcPr>
            <w:tcW w:w="2268"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4" w:type="dxa"/>
          </w:tcPr>
          <w:p>
            <w:pPr>
              <w:pStyle w:val="nTable"/>
              <w:spacing w:after="40"/>
              <w:rPr>
                <w:snapToGrid w:val="0"/>
                <w:sz w:val="19"/>
              </w:rPr>
            </w:pPr>
            <w:r>
              <w:rPr>
                <w:snapToGrid w:val="0"/>
                <w:sz w:val="19"/>
              </w:rPr>
              <w:t>70 of 2004</w:t>
            </w:r>
          </w:p>
        </w:tc>
        <w:tc>
          <w:tcPr>
            <w:tcW w:w="1134" w:type="dxa"/>
          </w:tcPr>
          <w:p>
            <w:pPr>
              <w:pStyle w:val="nTable"/>
              <w:spacing w:after="40"/>
              <w:rPr>
                <w:sz w:val="19"/>
              </w:rPr>
            </w:pPr>
            <w:r>
              <w:rPr>
                <w:snapToGrid w:val="0"/>
                <w:sz w:val="19"/>
              </w:rPr>
              <w:t>8 Dec 2004</w:t>
            </w:r>
          </w:p>
        </w:tc>
        <w:tc>
          <w:tcPr>
            <w:tcW w:w="2551" w:type="dxa"/>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29" w:type="dxa"/>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After w:val="1"/>
          <w:wAfter w:w="29" w:type="dxa"/>
          <w:cantSplit/>
        </w:trPr>
        <w:tc>
          <w:tcPr>
            <w:tcW w:w="2268" w:type="dxa"/>
          </w:tcPr>
          <w:p>
            <w:pPr>
              <w:pStyle w:val="nTable"/>
              <w:spacing w:after="40"/>
              <w:ind w:right="113"/>
              <w:rPr>
                <w:i/>
                <w:snapToGrid w:val="0"/>
                <w:sz w:val="19"/>
              </w:rPr>
            </w:pPr>
            <w:r>
              <w:rPr>
                <w:i/>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snapToGrid w:val="0"/>
                <w:sz w:val="19"/>
              </w:rPr>
              <w:t>Gazette</w:t>
            </w:r>
            <w:r>
              <w:rPr>
                <w:snapToGrid w:val="0"/>
                <w:sz w:val="19"/>
              </w:rPr>
              <w:t xml:space="preserve"> 21 Mar 2006 p. 1078)</w:t>
            </w:r>
          </w:p>
        </w:tc>
      </w:tr>
      <w:tr>
        <w:trPr>
          <w:gridAfter w:val="1"/>
          <w:wAfter w:w="29" w:type="dxa"/>
          <w:cantSplit/>
        </w:trPr>
        <w:tc>
          <w:tcPr>
            <w:tcW w:w="7087" w:type="dxa"/>
            <w:gridSpan w:val="4"/>
          </w:tcPr>
          <w:p>
            <w:pPr>
              <w:pStyle w:val="nTable"/>
              <w:spacing w:after="40"/>
              <w:rPr>
                <w:snapToGrid w:val="0"/>
                <w:sz w:val="19"/>
              </w:rPr>
            </w:pPr>
            <w:r>
              <w:rPr>
                <w:b/>
                <w:snapToGrid w:val="0"/>
                <w:sz w:val="19"/>
              </w:rPr>
              <w:t xml:space="preserve">Reprint 4:  </w:t>
            </w:r>
            <w:r>
              <w:rPr>
                <w:b/>
                <w:sz w:val="19"/>
              </w:rPr>
              <w:t xml:space="preserve">The </w:t>
            </w:r>
            <w:r>
              <w:rPr>
                <w:b/>
                <w:i/>
                <w:sz w:val="19"/>
              </w:rPr>
              <w:t>Liquor Licensing Act 1988</w:t>
            </w:r>
            <w:r>
              <w:rPr>
                <w:b/>
                <w:sz w:val="19"/>
              </w:rPr>
              <w:t xml:space="preserve"> as at 9 Jun 2006</w:t>
            </w:r>
            <w:r>
              <w:rPr>
                <w:snapToGrid w:val="0"/>
                <w:sz w:val="19"/>
              </w:rPr>
              <w:t xml:space="preserve"> (includes amendments listed above)</w:t>
            </w:r>
          </w:p>
        </w:tc>
      </w:tr>
      <w:tr>
        <w:tc>
          <w:tcPr>
            <w:tcW w:w="2268" w:type="dxa"/>
            <w:tcBorders>
              <w:bottom w:val="single" w:sz="4" w:space="0" w:color="auto"/>
            </w:tcBorders>
          </w:tcPr>
          <w:p>
            <w:pPr>
              <w:pStyle w:val="nTable"/>
              <w:spacing w:after="40"/>
              <w:rPr>
                <w:i/>
                <w:iCs/>
                <w:snapToGrid w:val="0"/>
                <w:sz w:val="19"/>
              </w:rPr>
            </w:pPr>
            <w:r>
              <w:rPr>
                <w:i/>
                <w:iCs/>
                <w:snapToGrid w:val="0"/>
                <w:sz w:val="19"/>
              </w:rPr>
              <w:t xml:space="preserve">Liquor and Gaming Legislation Amendment Act 2006 </w:t>
            </w:r>
            <w:r>
              <w:rPr>
                <w:snapToGrid w:val="0"/>
                <w:sz w:val="19"/>
              </w:rPr>
              <w:t>s. 6(1)(b) and (u), 67, 68 and 107</w:t>
            </w:r>
          </w:p>
        </w:tc>
        <w:tc>
          <w:tcPr>
            <w:tcW w:w="1134" w:type="dxa"/>
            <w:tcBorders>
              <w:bottom w:val="single" w:sz="4" w:space="0" w:color="auto"/>
            </w:tcBorders>
          </w:tcPr>
          <w:p>
            <w:pPr>
              <w:pStyle w:val="nTable"/>
              <w:spacing w:after="40"/>
              <w:rPr>
                <w:snapToGrid w:val="0"/>
                <w:sz w:val="19"/>
              </w:rPr>
            </w:pPr>
            <w:r>
              <w:rPr>
                <w:snapToGrid w:val="0"/>
                <w:sz w:val="19"/>
              </w:rPr>
              <w:t>73 of 2006</w:t>
            </w:r>
          </w:p>
        </w:tc>
        <w:tc>
          <w:tcPr>
            <w:tcW w:w="1134" w:type="dxa"/>
            <w:tcBorders>
              <w:bottom w:val="single" w:sz="4" w:space="0" w:color="auto"/>
            </w:tcBorders>
          </w:tcPr>
          <w:p>
            <w:pPr>
              <w:pStyle w:val="nTable"/>
              <w:spacing w:after="40"/>
              <w:rPr>
                <w:snapToGrid w:val="0"/>
                <w:sz w:val="19"/>
              </w:rPr>
            </w:pPr>
            <w:r>
              <w:rPr>
                <w:snapToGrid w:val="0"/>
                <w:sz w:val="19"/>
              </w:rPr>
              <w:t>13 Dec 2006</w:t>
            </w:r>
          </w:p>
        </w:tc>
        <w:tc>
          <w:tcPr>
            <w:tcW w:w="2552" w:type="dxa"/>
            <w:gridSpan w:val="2"/>
            <w:tcBorders>
              <w:bottom w:val="single" w:sz="4" w:space="0" w:color="auto"/>
            </w:tcBorders>
          </w:tcPr>
          <w:p>
            <w:pPr>
              <w:pStyle w:val="nTable"/>
              <w:spacing w:after="40"/>
              <w:rPr>
                <w:snapToGrid w:val="0"/>
                <w:sz w:val="19"/>
              </w:rPr>
            </w:pPr>
            <w:r>
              <w:rPr>
                <w:snapToGrid w:val="0"/>
                <w:sz w:val="19"/>
              </w:rPr>
              <w:t xml:space="preserve">17 Dec 2006 (see s. 2(2) and </w:t>
            </w:r>
            <w:r>
              <w:rPr>
                <w:i/>
                <w:iCs/>
                <w:snapToGrid w:val="0"/>
                <w:sz w:val="19"/>
              </w:rPr>
              <w:t>Gazette</w:t>
            </w:r>
            <w:r>
              <w:rPr>
                <w:snapToGrid w:val="0"/>
                <w:sz w:val="19"/>
              </w:rPr>
              <w:t xml:space="preserve"> 14 Dec 2006 p. 5661)</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264" w:name="_Toc389662878"/>
      <w:r>
        <w:rPr>
          <w:snapToGrid w:val="0"/>
        </w:rPr>
        <w:t>Provisions that have not come into operation</w:t>
      </w:r>
      <w:bookmarkEnd w:id="2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rPr>
            </w:pPr>
            <w:r>
              <w:rPr>
                <w:b/>
                <w:snapToGrid w:val="0"/>
                <w:sz w:val="19"/>
              </w:rPr>
              <w:t>Short title</w:t>
            </w:r>
          </w:p>
        </w:tc>
        <w:tc>
          <w:tcPr>
            <w:tcW w:w="1118" w:type="dxa"/>
            <w:gridSpan w:val="2"/>
          </w:tcPr>
          <w:p>
            <w:pPr>
              <w:pStyle w:val="nTable"/>
              <w:rPr>
                <w:b/>
                <w:snapToGrid w:val="0"/>
                <w:sz w:val="19"/>
              </w:rPr>
            </w:pPr>
            <w:r>
              <w:rPr>
                <w:b/>
                <w:snapToGrid w:val="0"/>
                <w:sz w:val="19"/>
              </w:rPr>
              <w:t>Number and Year</w:t>
            </w:r>
          </w:p>
        </w:tc>
        <w:tc>
          <w:tcPr>
            <w:tcW w:w="1195" w:type="dxa"/>
            <w:gridSpan w:val="2"/>
          </w:tcPr>
          <w:p>
            <w:pPr>
              <w:pStyle w:val="nTable"/>
              <w:rPr>
                <w:b/>
                <w:snapToGrid w:val="0"/>
                <w:sz w:val="19"/>
              </w:rPr>
            </w:pPr>
            <w:r>
              <w:rPr>
                <w:b/>
                <w:snapToGrid w:val="0"/>
                <w:sz w:val="19"/>
              </w:rPr>
              <w:t>Assent</w:t>
            </w:r>
          </w:p>
        </w:tc>
        <w:tc>
          <w:tcPr>
            <w:tcW w:w="2552" w:type="dxa"/>
          </w:tcPr>
          <w:p>
            <w:pPr>
              <w:pStyle w:val="nTable"/>
              <w:rPr>
                <w:b/>
                <w:snapToGrid w:val="0"/>
                <w:sz w:val="19"/>
              </w:rPr>
            </w:pPr>
            <w:r>
              <w:rPr>
                <w:b/>
                <w:snapToGrid w:val="0"/>
                <w:sz w:val="19"/>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iCs/>
                <w:snapToGrid w:val="0"/>
                <w:sz w:val="19"/>
              </w:rPr>
            </w:pPr>
            <w:r>
              <w:rPr>
                <w:i/>
                <w:iCs/>
                <w:snapToGrid w:val="0"/>
                <w:sz w:val="19"/>
              </w:rPr>
              <w:t>Criminal Investigation (Consequential Provisions) Act 2006</w:t>
            </w:r>
            <w:r>
              <w:rPr>
                <w:snapToGrid w:val="0"/>
                <w:sz w:val="19"/>
              </w:rPr>
              <w:t xml:space="preserve"> Pt. 10</w:t>
            </w:r>
            <w:r>
              <w:rPr>
                <w:snapToGrid w:val="0"/>
                <w:sz w:val="19"/>
                <w:vertAlign w:val="superscript"/>
              </w:rPr>
              <w:t> 10</w:t>
            </w:r>
          </w:p>
        </w:tc>
        <w:tc>
          <w:tcPr>
            <w:tcW w:w="1134" w:type="dxa"/>
            <w:gridSpan w:val="2"/>
          </w:tcPr>
          <w:p>
            <w:pPr>
              <w:pStyle w:val="nTable"/>
              <w:spacing w:after="40"/>
              <w:rPr>
                <w:snapToGrid w:val="0"/>
                <w:sz w:val="19"/>
              </w:rPr>
            </w:pPr>
            <w:r>
              <w:rPr>
                <w:snapToGrid w:val="0"/>
                <w:sz w:val="19"/>
              </w:rPr>
              <w:t>59 of 2006</w:t>
            </w:r>
          </w:p>
        </w:tc>
        <w:tc>
          <w:tcPr>
            <w:tcW w:w="1134" w:type="dxa"/>
          </w:tcPr>
          <w:p>
            <w:pPr>
              <w:pStyle w:val="nTable"/>
              <w:spacing w:after="40"/>
              <w:rPr>
                <w:snapToGrid w:val="0"/>
                <w:sz w:val="19"/>
              </w:rPr>
            </w:pPr>
            <w:r>
              <w:rPr>
                <w:snapToGrid w:val="0"/>
                <w:sz w:val="19"/>
              </w:rPr>
              <w:t>16 Nov 2006</w:t>
            </w:r>
          </w:p>
        </w:tc>
        <w:tc>
          <w:tcPr>
            <w:tcW w:w="2552" w:type="dxa"/>
          </w:tcPr>
          <w:p>
            <w:pPr>
              <w:pStyle w:val="nTable"/>
              <w:spacing w:after="40"/>
              <w:rPr>
                <w:snapToGrid w:val="0"/>
                <w:sz w:val="19"/>
              </w:rPr>
            </w:pPr>
            <w:r>
              <w:rPr>
                <w:snapToGrid w:val="0"/>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 xml:space="preserve">Pt. 2 (other than </w:t>
            </w:r>
            <w:r>
              <w:rPr>
                <w:sz w:val="19"/>
              </w:rPr>
              <w:t xml:space="preserve">6(1)(b) and (u), 67, 68 and 107) </w:t>
            </w:r>
            <w:r>
              <w:rPr>
                <w:snapToGrid w:val="0"/>
                <w:sz w:val="19"/>
                <w:vertAlign w:val="superscript"/>
              </w:rPr>
              <w:t>11</w:t>
            </w:r>
          </w:p>
        </w:tc>
        <w:tc>
          <w:tcPr>
            <w:tcW w:w="1134" w:type="dxa"/>
            <w:gridSpan w:val="2"/>
            <w:tcBorders>
              <w:bottom w:val="single" w:sz="4" w:space="0" w:color="auto"/>
            </w:tcBorders>
          </w:tcPr>
          <w:p>
            <w:pPr>
              <w:pStyle w:val="nTable"/>
              <w:spacing w:after="40"/>
              <w:rPr>
                <w:snapToGrid w:val="0"/>
                <w:sz w:val="19"/>
              </w:rPr>
            </w:pPr>
            <w:r>
              <w:rPr>
                <w:snapToGrid w:val="0"/>
                <w:sz w:val="19"/>
              </w:rPr>
              <w:t>73 of 2006</w:t>
            </w:r>
          </w:p>
        </w:tc>
        <w:tc>
          <w:tcPr>
            <w:tcW w:w="1134" w:type="dxa"/>
            <w:tcBorders>
              <w:bottom w:val="single" w:sz="4" w:space="0" w:color="auto"/>
            </w:tcBorders>
          </w:tcPr>
          <w:p>
            <w:pPr>
              <w:pStyle w:val="nTable"/>
              <w:spacing w:after="40"/>
              <w:rPr>
                <w:snapToGrid w:val="0"/>
                <w:sz w:val="19"/>
              </w:rPr>
            </w:pPr>
            <w:r>
              <w:rPr>
                <w:snapToGrid w:val="0"/>
                <w:sz w:val="19"/>
              </w:rPr>
              <w:t>13 Dec 2006</w:t>
            </w:r>
          </w:p>
        </w:tc>
        <w:tc>
          <w:tcPr>
            <w:tcW w:w="2552" w:type="dxa"/>
            <w:tcBorders>
              <w:bottom w:val="single" w:sz="4" w:space="0" w:color="auto"/>
            </w:tcBorders>
          </w:tcPr>
          <w:p>
            <w:pPr>
              <w:pStyle w:val="nTable"/>
              <w:spacing w:after="40"/>
              <w:rPr>
                <w:snapToGrid w:val="0"/>
                <w:sz w:val="19"/>
              </w:rPr>
            </w:pPr>
            <w:r>
              <w:rPr>
                <w:snapToGrid w:val="0"/>
                <w:sz w:val="19"/>
              </w:rPr>
              <w:t>To be proclaimed (see s. 2(2))</w:t>
            </w:r>
          </w:p>
        </w:tc>
      </w:tr>
    </w:tbl>
    <w:p>
      <w:pPr>
        <w:pStyle w:val="nSubsection"/>
        <w:rPr>
          <w:snapToGrid w:val="0"/>
          <w:vertAlign w:val="superscript"/>
        </w:rPr>
      </w:pPr>
    </w:p>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nzHeading2"/>
        <w:outlineLvl w:val="0"/>
      </w:pPr>
      <w:r>
        <w:t>Schedule 1 — Transitional provisions</w:t>
      </w:r>
    </w:p>
    <w:p>
      <w:pPr>
        <w:pStyle w:val="nzMiscellaneousBody"/>
        <w:jc w:val="right"/>
        <w:rPr>
          <w:snapToGrid w:val="0"/>
        </w:rPr>
      </w:pPr>
      <w:r>
        <w:rPr>
          <w:snapToGrid w:val="0"/>
        </w:rPr>
        <w:t xml:space="preserve">[s. 98] </w:t>
      </w:r>
    </w:p>
    <w:p>
      <w:pPr>
        <w:pStyle w:val="nzHeading5"/>
        <w:outlineLvl w:val="0"/>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outlineLvl w:val="0"/>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outlineLvl w:val="0"/>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outlineLvl w:val="0"/>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outlineLvl w:val="0"/>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outlineLvl w:val="0"/>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rPr>
        <w:t>Criminal Investigation (Consequential Provisions) Act 2006</w:t>
      </w:r>
      <w:r>
        <w:rPr>
          <w:iCs/>
          <w:snapToGrid w:val="0"/>
          <w:sz w:val="19"/>
        </w:rPr>
        <w:t xml:space="preserve"> Pt. 10 </w:t>
      </w:r>
      <w:r>
        <w:rPr>
          <w:snapToGrid w:val="0"/>
        </w:rPr>
        <w:t>had not come into operation.  It reads as follows:</w:t>
      </w:r>
    </w:p>
    <w:p>
      <w:pPr>
        <w:pStyle w:val="MiscOpen"/>
        <w:rPr>
          <w:snapToGrid w:val="0"/>
        </w:rPr>
      </w:pPr>
      <w:r>
        <w:rPr>
          <w:snapToGrid w:val="0"/>
        </w:rPr>
        <w:t>“</w:t>
      </w:r>
    </w:p>
    <w:p>
      <w:pPr>
        <w:pStyle w:val="nzHeading2"/>
        <w:outlineLvl w:val="0"/>
      </w:pPr>
      <w:r>
        <w:rPr>
          <w:rStyle w:val="CharPartNo"/>
        </w:rPr>
        <w:t>Part 10</w:t>
      </w:r>
      <w:r>
        <w:rPr>
          <w:rStyle w:val="CharDivNo"/>
        </w:rPr>
        <w:t> </w:t>
      </w:r>
      <w:r>
        <w:t>—</w:t>
      </w:r>
      <w:r>
        <w:rPr>
          <w:rStyle w:val="CharDivText"/>
        </w:rPr>
        <w:t> </w:t>
      </w:r>
      <w:r>
        <w:rPr>
          <w:rStyle w:val="CharPartText"/>
          <w:i/>
          <w:iCs/>
        </w:rPr>
        <w:t>Liquor Licensing Act 1988</w:t>
      </w:r>
      <w:r>
        <w:rPr>
          <w:rStyle w:val="CharPartText"/>
        </w:rPr>
        <w:t xml:space="preserve"> amended</w:t>
      </w:r>
    </w:p>
    <w:p>
      <w:pPr>
        <w:pStyle w:val="nzHeading5"/>
        <w:outlineLvl w:val="0"/>
        <w:rPr>
          <w:snapToGrid w:val="0"/>
        </w:rPr>
      </w:pPr>
      <w:r>
        <w:rPr>
          <w:rStyle w:val="CharSectno"/>
        </w:rPr>
        <w:t>53</w:t>
      </w:r>
      <w:r>
        <w:rPr>
          <w:snapToGrid w:val="0"/>
        </w:rPr>
        <w:t>.</w:t>
      </w:r>
      <w:r>
        <w:rPr>
          <w:snapToGrid w:val="0"/>
        </w:rPr>
        <w:tab/>
        <w:t>The Act amended in this Part</w:t>
      </w:r>
    </w:p>
    <w:p>
      <w:pPr>
        <w:pStyle w:val="nzSubsection"/>
      </w:pPr>
      <w:r>
        <w:tab/>
      </w:r>
      <w:r>
        <w:tab/>
        <w:t xml:space="preserve">The amendments in this Part are to the </w:t>
      </w:r>
      <w:r>
        <w:rPr>
          <w:i/>
        </w:rPr>
        <w:t>Liquor Licensing Act 1988</w:t>
      </w:r>
      <w:r>
        <w:t>.</w:t>
      </w:r>
    </w:p>
    <w:p>
      <w:pPr>
        <w:pStyle w:val="nzHeading5"/>
        <w:outlineLvl w:val="0"/>
      </w:pPr>
      <w:r>
        <w:rPr>
          <w:rStyle w:val="CharSectno"/>
        </w:rPr>
        <w:t>54</w:t>
      </w:r>
      <w:r>
        <w:t>.</w:t>
      </w:r>
      <w:r>
        <w:tab/>
        <w:t>Section 113 amended</w:t>
      </w:r>
    </w:p>
    <w:p>
      <w:pPr>
        <w:pStyle w:val="nzSubsection"/>
      </w:pPr>
      <w:r>
        <w:tab/>
      </w:r>
      <w:r>
        <w:tab/>
        <w:t>Section 113(3) is repealed.</w:t>
      </w:r>
    </w:p>
    <w:p>
      <w:pPr>
        <w:pStyle w:val="nzHeading5"/>
        <w:outlineLvl w:val="0"/>
      </w:pPr>
      <w:r>
        <w:rPr>
          <w:rStyle w:val="CharSectno"/>
        </w:rPr>
        <w:t>55</w:t>
      </w:r>
      <w:r>
        <w:t>.</w:t>
      </w:r>
      <w:r>
        <w:tab/>
        <w:t>Section 155 amended</w:t>
      </w:r>
    </w:p>
    <w:p>
      <w:pPr>
        <w:pStyle w:val="nzSubsection"/>
      </w:pPr>
      <w:r>
        <w:tab/>
        <w:t>(1)</w:t>
      </w:r>
      <w:r>
        <w:tab/>
        <w:t>Section 155(4) is amended as follows:</w:t>
      </w:r>
    </w:p>
    <w:p>
      <w:pPr>
        <w:pStyle w:val="nzIndenta"/>
      </w:pPr>
      <w:r>
        <w:tab/>
        <w:t>(a)</w:t>
      </w:r>
      <w:r>
        <w:tab/>
        <w:t>by deleting “, carry away and take before a justice”;</w:t>
      </w:r>
    </w:p>
    <w:p>
      <w:pPr>
        <w:pStyle w:val="nzIndenta"/>
      </w:pPr>
      <w:r>
        <w:tab/>
        <w:t>(b)</w:t>
      </w:r>
      <w:r>
        <w:tab/>
        <w:t xml:space="preserve">by deleting “section 113” and inserting instead — </w:t>
      </w:r>
    </w:p>
    <w:p>
      <w:pPr>
        <w:pStyle w:val="nzIndenta"/>
      </w:pPr>
      <w:r>
        <w:tab/>
      </w:r>
      <w:r>
        <w:tab/>
        <w:t>“    this Act    ”.</w:t>
      </w:r>
    </w:p>
    <w:p>
      <w:pPr>
        <w:pStyle w:val="nzSubsection"/>
      </w:pPr>
      <w:r>
        <w:tab/>
        <w:t>(2)</w:t>
      </w:r>
      <w:r>
        <w:tab/>
        <w:t xml:space="preserve">Section 155(5) is repealed and the following subsection is inserted instead — </w:t>
      </w:r>
    </w:p>
    <w:p>
      <w:pPr>
        <w:pStyle w:val="MiscOpen"/>
        <w:ind w:left="600"/>
      </w:pPr>
      <w:r>
        <w:t xml:space="preserve">“    </w:t>
      </w:r>
    </w:p>
    <w:p>
      <w:pPr>
        <w:pStyle w:val="nz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MiscClose"/>
        <w:ind w:right="376"/>
      </w:pPr>
      <w:r>
        <w:t xml:space="preserve">    ”.</w:t>
      </w:r>
    </w:p>
    <w:p>
      <w:pPr>
        <w:pStyle w:val="nzHeading5"/>
        <w:outlineLvl w:val="0"/>
      </w:pPr>
      <w:r>
        <w:rPr>
          <w:rStyle w:val="CharSectno"/>
        </w:rPr>
        <w:t>56</w:t>
      </w:r>
      <w:r>
        <w:t>.</w:t>
      </w:r>
      <w:r>
        <w:tab/>
        <w:t>Section 172A inserted</w:t>
      </w:r>
    </w:p>
    <w:p>
      <w:pPr>
        <w:pStyle w:val="nzSubsection"/>
      </w:pPr>
      <w:r>
        <w:tab/>
      </w:r>
      <w:r>
        <w:tab/>
        <w:t xml:space="preserve">After section 172 the following section is inserted in Part 6 — </w:t>
      </w:r>
    </w:p>
    <w:p>
      <w:pPr>
        <w:pStyle w:val="MiscOpen"/>
      </w:pPr>
      <w:r>
        <w:t xml:space="preserve">“    </w:t>
      </w:r>
    </w:p>
    <w:p>
      <w:pPr>
        <w:pStyle w:val="nzHeading5"/>
      </w:pPr>
      <w:r>
        <w:t>172A.</w:t>
      </w:r>
      <w:r>
        <w:tab/>
        <w:t>Forfeiture</w:t>
      </w:r>
    </w:p>
    <w:p>
      <w:pPr>
        <w:pStyle w:val="nzSubsection"/>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nzSubsection"/>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MiscClose"/>
        <w:ind w:right="376"/>
      </w:pPr>
      <w:r>
        <w:t xml:space="preserve">    ”.</w:t>
      </w:r>
    </w:p>
    <w:p>
      <w:pPr>
        <w:pStyle w:val="nzHeading5"/>
        <w:outlineLvl w:val="0"/>
      </w:pPr>
      <w:r>
        <w:rPr>
          <w:rStyle w:val="CharSectno"/>
        </w:rPr>
        <w:t>57</w:t>
      </w:r>
      <w:r>
        <w:t>.</w:t>
      </w:r>
      <w:r>
        <w:tab/>
        <w:t>Section 174A inserted</w:t>
      </w:r>
    </w:p>
    <w:p>
      <w:pPr>
        <w:pStyle w:val="nzSubsection"/>
      </w:pPr>
      <w:r>
        <w:tab/>
      </w:r>
      <w:r>
        <w:tab/>
        <w:t>After section 174 the following section is inserted —</w:t>
      </w:r>
    </w:p>
    <w:p>
      <w:pPr>
        <w:pStyle w:val="MiscOpen"/>
      </w:pPr>
      <w:r>
        <w:t xml:space="preserve">“    </w:t>
      </w:r>
    </w:p>
    <w:p>
      <w:pPr>
        <w:pStyle w:val="nzHeading5"/>
      </w:pPr>
      <w:r>
        <w:t>174A.</w:t>
      </w:r>
      <w:r>
        <w:tab/>
        <w:t xml:space="preserve">Application of </w:t>
      </w:r>
      <w:r>
        <w:rPr>
          <w:i/>
          <w:iCs/>
        </w:rPr>
        <w:t>Criminal and Found Property Disposal Act 2006</w:t>
      </w:r>
    </w:p>
    <w:p>
      <w:pPr>
        <w:pStyle w:val="nzSubsection"/>
      </w:pPr>
      <w:r>
        <w:tab/>
        <w:t>(1)</w:t>
      </w:r>
      <w:r>
        <w:tab/>
        <w:t xml:space="preserve">The </w:t>
      </w:r>
      <w:r>
        <w:rPr>
          <w:i/>
          <w:iCs/>
        </w:rPr>
        <w:t xml:space="preserve">Criminal and Found Property Disposal Act 2006 </w:t>
      </w:r>
      <w:r>
        <w:t>applies to and in respect of any thing that is seized or forfeited under this Act.</w:t>
      </w:r>
    </w:p>
    <w:p>
      <w:pPr>
        <w:pStyle w:val="nz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MiscClose"/>
        <w:ind w:right="376"/>
      </w:pPr>
      <w:r>
        <w:t xml:space="preserve">    ”.</w:t>
      </w:r>
    </w:p>
    <w:p>
      <w:pPr>
        <w:pStyle w:val="MiscClose"/>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rPr>
        <w:t xml:space="preserve">Liquor and Gaming Legislation Amendment Act 2006 </w:t>
      </w:r>
      <w:r>
        <w:rPr>
          <w:snapToGrid w:val="0"/>
        </w:rPr>
        <w:t xml:space="preserve">Pt. 2 </w:t>
      </w:r>
      <w:r>
        <w:rPr>
          <w:snapToGrid w:val="0"/>
          <w:sz w:val="19"/>
        </w:rPr>
        <w:t xml:space="preserve">(other than </w:t>
      </w:r>
      <w:r>
        <w:rPr>
          <w:sz w:val="19"/>
        </w:rPr>
        <w:t xml:space="preserve">6(1)(b) and (u), 67, 68 and 107) </w:t>
      </w:r>
      <w:r>
        <w:rPr>
          <w:snapToGrid w:val="0"/>
        </w:rPr>
        <w:t>had not come into operation.  It reads as follows:</w:t>
      </w:r>
    </w:p>
    <w:p>
      <w:pPr>
        <w:pStyle w:val="MiscOpen"/>
        <w:rPr>
          <w:snapToGrid w:val="0"/>
        </w:rPr>
      </w:pPr>
      <w:r>
        <w:rPr>
          <w:snapToGrid w:val="0"/>
        </w:rPr>
        <w:t>“</w:t>
      </w:r>
    </w:p>
    <w:p>
      <w:pPr>
        <w:pStyle w:val="nzHeading2"/>
        <w:outlineLvl w:val="0"/>
      </w:pPr>
      <w:r>
        <w:rPr>
          <w:rStyle w:val="CharPartNo"/>
        </w:rPr>
        <w:t>Part 2</w:t>
      </w:r>
      <w:r>
        <w:t> — </w:t>
      </w:r>
      <w:r>
        <w:rPr>
          <w:rStyle w:val="CharPartText"/>
        </w:rPr>
        <w:t xml:space="preserve">Amendments to the </w:t>
      </w:r>
      <w:r>
        <w:rPr>
          <w:rStyle w:val="CharPartText"/>
          <w:i/>
          <w:iCs/>
        </w:rPr>
        <w:t>Liquor Licensing Act 1988</w:t>
      </w:r>
    </w:p>
    <w:p>
      <w:pPr>
        <w:pStyle w:val="nzHeading5"/>
        <w:outlineLvl w:val="0"/>
        <w:rPr>
          <w:snapToGrid w:val="0"/>
        </w:rPr>
      </w:pPr>
      <w:r>
        <w:rPr>
          <w:rStyle w:val="CharSectno"/>
        </w:rPr>
        <w:t>3</w:t>
      </w:r>
      <w:r>
        <w:rPr>
          <w:snapToGrid w:val="0"/>
        </w:rPr>
        <w:t>.</w:t>
      </w:r>
      <w:r>
        <w:rPr>
          <w:snapToGrid w:val="0"/>
        </w:rPr>
        <w:tab/>
        <w:t>The Act amended</w:t>
      </w:r>
    </w:p>
    <w:p>
      <w:pPr>
        <w:pStyle w:val="nzSubsection"/>
      </w:pPr>
      <w:r>
        <w:tab/>
      </w:r>
      <w:r>
        <w:tab/>
        <w:t xml:space="preserve">The amendments in this Part are to the </w:t>
      </w:r>
      <w:r>
        <w:rPr>
          <w:i/>
        </w:rPr>
        <w:t>Liquor Licensing Act 1988</w:t>
      </w:r>
      <w:r>
        <w:t>.</w:t>
      </w:r>
    </w:p>
    <w:p>
      <w:pPr>
        <w:pStyle w:val="nzHeading5"/>
        <w:outlineLvl w:val="0"/>
      </w:pPr>
      <w:r>
        <w:rPr>
          <w:rStyle w:val="CharSectno"/>
        </w:rPr>
        <w:t>4</w:t>
      </w:r>
      <w:r>
        <w:t>.</w:t>
      </w:r>
      <w:r>
        <w:tab/>
        <w:t>Long title amended</w:t>
      </w:r>
    </w:p>
    <w:p>
      <w:pPr>
        <w:pStyle w:val="nzSubsection"/>
      </w:pPr>
      <w:r>
        <w:tab/>
      </w:r>
      <w:r>
        <w:tab/>
        <w:t xml:space="preserve">The long title is amended after “use of liquor,” by inserting — </w:t>
      </w:r>
    </w:p>
    <w:p>
      <w:pPr>
        <w:pStyle w:val="MiscOpen"/>
      </w:pPr>
      <w:r>
        <w:t xml:space="preserve">“    </w:t>
      </w:r>
    </w:p>
    <w:p>
      <w:pPr>
        <w:pStyle w:val="nzLongTitle"/>
      </w:pPr>
      <w:r>
        <w:t>to provide for orders that may prohibit persons from being employed at, or from entering, licensed premises,</w:t>
      </w:r>
    </w:p>
    <w:p>
      <w:pPr>
        <w:pStyle w:val="MiscClose"/>
      </w:pPr>
      <w:r>
        <w:t xml:space="preserve">    ”.</w:t>
      </w:r>
    </w:p>
    <w:p>
      <w:pPr>
        <w:pStyle w:val="nzHeading5"/>
        <w:outlineLvl w:val="0"/>
      </w:pPr>
      <w:r>
        <w:rPr>
          <w:rStyle w:val="CharSectno"/>
        </w:rPr>
        <w:t>5</w:t>
      </w:r>
      <w:r>
        <w:t>.</w:t>
      </w:r>
      <w:r>
        <w:tab/>
        <w:t>Section 1 (short title) amended</w:t>
      </w:r>
    </w:p>
    <w:p>
      <w:pPr>
        <w:pStyle w:val="nzSubsection"/>
      </w:pPr>
      <w:r>
        <w:tab/>
      </w:r>
      <w:r>
        <w:tab/>
        <w:t>Section 1 is amended by deleting “</w:t>
      </w:r>
      <w:r>
        <w:rPr>
          <w:i/>
          <w:iCs/>
        </w:rPr>
        <w:t>Licensing</w:t>
      </w:r>
      <w:r>
        <w:t xml:space="preserve">” and inserting instead — </w:t>
      </w:r>
    </w:p>
    <w:p>
      <w:pPr>
        <w:pStyle w:val="nzSubsection"/>
      </w:pPr>
      <w:r>
        <w:tab/>
      </w:r>
      <w:r>
        <w:tab/>
        <w:t xml:space="preserve">“    </w:t>
      </w:r>
      <w:r>
        <w:rPr>
          <w:i/>
          <w:iCs/>
        </w:rPr>
        <w:t>Control</w:t>
      </w:r>
      <w:r>
        <w:t xml:space="preserve">   ”.</w:t>
      </w:r>
    </w:p>
    <w:p>
      <w:pPr>
        <w:pStyle w:val="nzHeading5"/>
        <w:outlineLvl w:val="0"/>
      </w:pPr>
      <w:r>
        <w:rPr>
          <w:rStyle w:val="CharSectno"/>
        </w:rPr>
        <w:t>6</w:t>
      </w:r>
      <w:r>
        <w:t>.</w:t>
      </w:r>
      <w:r>
        <w:tab/>
        <w:t>Section 3 amended</w:t>
      </w:r>
    </w:p>
    <w:p>
      <w:pPr>
        <w:pStyle w:val="nzSubsection"/>
        <w:outlineLvl w:val="0"/>
      </w:pPr>
      <w:r>
        <w:rPr>
          <w:bCs/>
        </w:rPr>
        <w:tab/>
        <w:t>(1)</w:t>
      </w:r>
      <w:r>
        <w:rPr>
          <w:bCs/>
        </w:rPr>
        <w:tab/>
        <w:t>Section 3(1) is amended as follows:</w:t>
      </w:r>
    </w:p>
    <w:p>
      <w:pPr>
        <w:pStyle w:val="nzIndenta"/>
      </w:pPr>
      <w:r>
        <w:tab/>
        <w:t>(a)</w:t>
      </w:r>
      <w:r>
        <w:tab/>
        <w:t>by deleting the definition of “affected area”;</w:t>
      </w:r>
    </w:p>
    <w:p>
      <w:pPr>
        <w:pStyle w:val="nzIndenta"/>
      </w:pPr>
      <w:r>
        <w:tab/>
        <w:t>(c)</w:t>
      </w:r>
      <w:r>
        <w:tab/>
        <w:t>by deleting the definitions of “Category A licence” and “Category B licence”;</w:t>
      </w:r>
    </w:p>
    <w:p>
      <w:pPr>
        <w:pStyle w:val="nzIndenta"/>
      </w:pPr>
      <w:r>
        <w:tab/>
        <w:t>(d)</w:t>
      </w:r>
      <w:r>
        <w:tab/>
        <w:t xml:space="preserve">before the definition of “closing time” by inserting — </w:t>
      </w:r>
    </w:p>
    <w:p>
      <w:pPr>
        <w:pStyle w:val="MiscOpen"/>
        <w:ind w:left="880"/>
      </w:pPr>
      <w:r>
        <w:t xml:space="preserve">“    </w:t>
      </w:r>
    </w:p>
    <w:p>
      <w:pPr>
        <w:pStyle w:val="nzDefstart"/>
      </w:pPr>
      <w:r>
        <w:rPr>
          <w:b/>
        </w:rPr>
        <w:tab/>
        <w:t>“</w:t>
      </w:r>
      <w:r>
        <w:rPr>
          <w:rStyle w:val="CharDefText"/>
        </w:rPr>
        <w:t>chairperson</w:t>
      </w:r>
      <w:r>
        <w:rPr>
          <w:b/>
        </w:rPr>
        <w:t>”</w:t>
      </w:r>
      <w:r>
        <w:t xml:space="preserve"> means the chairperson of the Commission;</w:t>
      </w:r>
    </w:p>
    <w:p>
      <w:pPr>
        <w:pStyle w:val="MiscClose"/>
      </w:pPr>
      <w:r>
        <w:t xml:space="preserve">    ”;</w:t>
      </w:r>
    </w:p>
    <w:p>
      <w:pPr>
        <w:pStyle w:val="nzIndenta"/>
      </w:pPr>
      <w:r>
        <w:tab/>
        <w:t>(e)</w:t>
      </w:r>
      <w:r>
        <w:tab/>
        <w:t xml:space="preserve">in the definition of “club licence” after “section 48” by inserting — </w:t>
      </w:r>
    </w:p>
    <w:p>
      <w:pPr>
        <w:pStyle w:val="MiscOpen"/>
        <w:ind w:left="880"/>
      </w:pPr>
      <w:r>
        <w:t xml:space="preserve">“    </w:t>
      </w:r>
    </w:p>
    <w:p>
      <w:pPr>
        <w:pStyle w:val="nzDefstart"/>
      </w:pPr>
      <w:r>
        <w:tab/>
      </w:r>
      <w:r>
        <w:tab/>
        <w:t>, which may be granted without restriction or as a club restricted licence</w:t>
      </w:r>
    </w:p>
    <w:p>
      <w:pPr>
        <w:pStyle w:val="MiscClose"/>
      </w:pPr>
      <w:r>
        <w:t xml:space="preserve">    ”;</w:t>
      </w:r>
    </w:p>
    <w:p>
      <w:pPr>
        <w:pStyle w:val="nzIndenta"/>
      </w:pPr>
      <w:r>
        <w:tab/>
        <w:t>(f)</w:t>
      </w:r>
      <w:r>
        <w:tab/>
        <w:t xml:space="preserve">after the definition of “club restricted licence” by inserting — </w:t>
      </w:r>
    </w:p>
    <w:p>
      <w:pPr>
        <w:pStyle w:val="MiscOpen"/>
        <w:ind w:left="880"/>
      </w:pPr>
      <w:r>
        <w:t xml:space="preserve">“    </w:t>
      </w:r>
    </w:p>
    <w:p>
      <w:pPr>
        <w:pStyle w:val="nzDefstart"/>
      </w:pPr>
      <w:r>
        <w:rPr>
          <w:b/>
        </w:rPr>
        <w:tab/>
        <w:t>“</w:t>
      </w:r>
      <w:r>
        <w:rPr>
          <w:rStyle w:val="CharDefText"/>
        </w:rPr>
        <w:t>Commission</w:t>
      </w:r>
      <w:r>
        <w:rPr>
          <w:b/>
        </w:rPr>
        <w:t>”</w:t>
      </w:r>
      <w:r>
        <w:t xml:space="preserve"> means the Liquor Commission established under section 8;</w:t>
      </w:r>
    </w:p>
    <w:p>
      <w:pPr>
        <w:pStyle w:val="MiscClose"/>
      </w:pPr>
      <w:r>
        <w:t xml:space="preserve">    ”;</w:t>
      </w:r>
    </w:p>
    <w:p>
      <w:pPr>
        <w:pStyle w:val="nzIndenta"/>
      </w:pPr>
      <w:r>
        <w:tab/>
        <w:t>(g)</w:t>
      </w:r>
      <w:r>
        <w:tab/>
        <w:t xml:space="preserve">after the definition of “condition” by inserting — </w:t>
      </w:r>
    </w:p>
    <w:p>
      <w:pPr>
        <w:pStyle w:val="MiscOpen"/>
        <w:ind w:left="880"/>
      </w:pPr>
      <w:r>
        <w:t xml:space="preserve">“    </w:t>
      </w:r>
    </w:p>
    <w:p>
      <w:pPr>
        <w:pStyle w:val="nz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nzDefstart"/>
      </w:pPr>
      <w:r>
        <w:rPr>
          <w:b/>
        </w:rPr>
        <w:tab/>
        <w:t>“</w:t>
      </w:r>
      <w:r>
        <w:rPr>
          <w:rStyle w:val="CharDefText"/>
        </w:rPr>
        <w:t>consume</w:t>
      </w:r>
      <w:r>
        <w:rPr>
          <w:b/>
        </w:rPr>
        <w:t>”</w:t>
      </w:r>
      <w:r>
        <w:t>, in relation to liquor, includes inhale and absorb;</w:t>
      </w:r>
    </w:p>
    <w:p>
      <w:pPr>
        <w:pStyle w:val="MiscClose"/>
      </w:pPr>
      <w:r>
        <w:t xml:space="preserve">    ”;</w:t>
      </w:r>
    </w:p>
    <w:p>
      <w:pPr>
        <w:pStyle w:val="nzIndenta"/>
      </w:pPr>
      <w:r>
        <w:tab/>
        <w:t>(h)</w:t>
      </w:r>
      <w:r>
        <w:tab/>
        <w:t xml:space="preserve">by deleting the definition of “Court” and inserting — </w:t>
      </w:r>
    </w:p>
    <w:p>
      <w:pPr>
        <w:pStyle w:val="MiscOpen"/>
        <w:ind w:left="880"/>
      </w:pPr>
      <w:r>
        <w:t xml:space="preserve">“    </w:t>
      </w:r>
    </w:p>
    <w:p>
      <w:pPr>
        <w:pStyle w:val="nz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nzDefstart"/>
        <w:rPr>
          <w:iCs/>
        </w:rPr>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rPr>
          <w:iCs/>
        </w:rPr>
        <w:t xml:space="preserve"> section 37;</w:t>
      </w:r>
    </w:p>
    <w:p>
      <w:pPr>
        <w:pStyle w:val="MiscClose"/>
      </w:pPr>
      <w:r>
        <w:t xml:space="preserve">    ”;</w:t>
      </w:r>
    </w:p>
    <w:p>
      <w:pPr>
        <w:pStyle w:val="nzIndenta"/>
      </w:pPr>
      <w:r>
        <w:tab/>
        <w:t>(i)</w:t>
      </w:r>
      <w:r>
        <w:tab/>
        <w:t xml:space="preserve">by deleting the definition of “the Director” and inserting instead — </w:t>
      </w:r>
    </w:p>
    <w:p>
      <w:pPr>
        <w:pStyle w:val="MiscOpen"/>
        <w:spacing w:before="80"/>
        <w:ind w:left="879"/>
      </w:pPr>
      <w:r>
        <w:t xml:space="preserve">“    </w:t>
      </w:r>
    </w:p>
    <w:p>
      <w:pPr>
        <w:pStyle w:val="nz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MiscClose"/>
      </w:pPr>
      <w:r>
        <w:t xml:space="preserve">    ”;</w:t>
      </w:r>
    </w:p>
    <w:p>
      <w:pPr>
        <w:pStyle w:val="nzIndenta"/>
      </w:pPr>
      <w:r>
        <w:tab/>
        <w:t>(j)</w:t>
      </w:r>
      <w:r>
        <w:tab/>
        <w:t xml:space="preserve">after the definition of “disqualified” by inserting — </w:t>
      </w:r>
    </w:p>
    <w:p>
      <w:pPr>
        <w:pStyle w:val="MiscOpen"/>
        <w:spacing w:before="80"/>
        <w:ind w:left="879"/>
      </w:pPr>
      <w:r>
        <w:t xml:space="preserve">“    </w:t>
      </w:r>
    </w:p>
    <w:p>
      <w:pPr>
        <w:pStyle w:val="nzDefstart"/>
      </w:pPr>
      <w:r>
        <w:rPr>
          <w:b/>
        </w:rPr>
        <w:tab/>
        <w:t>“</w:t>
      </w:r>
      <w:r>
        <w:rPr>
          <w:rStyle w:val="CharDefText"/>
        </w:rPr>
        <w:t>drunk</w:t>
      </w:r>
      <w:r>
        <w:rPr>
          <w:b/>
        </w:rPr>
        <w:t>”</w:t>
      </w:r>
      <w:r>
        <w:t xml:space="preserve"> has the meaning given by section 3A(1);</w:t>
      </w:r>
    </w:p>
    <w:p>
      <w:pPr>
        <w:pStyle w:val="MiscClose"/>
      </w:pPr>
      <w:r>
        <w:t xml:space="preserve">    ”;</w:t>
      </w:r>
    </w:p>
    <w:p>
      <w:pPr>
        <w:pStyle w:val="nzIndenta"/>
      </w:pPr>
      <w:r>
        <w:tab/>
        <w:t>(k)</w:t>
      </w:r>
      <w:r>
        <w:tab/>
        <w:t xml:space="preserve">in the definition of “hotel licence” by deleting “and includes a hotel restricted licence and a tavern licence;” and inserting instead — </w:t>
      </w:r>
    </w:p>
    <w:p>
      <w:pPr>
        <w:pStyle w:val="MiscOpen"/>
        <w:ind w:left="880"/>
      </w:pPr>
      <w:r>
        <w:t xml:space="preserve">“    </w:t>
      </w:r>
    </w:p>
    <w:p>
      <w:pPr>
        <w:pStyle w:val="nzDefstart"/>
      </w:pPr>
      <w:r>
        <w:tab/>
      </w:r>
      <w:r>
        <w:tab/>
        <w:t>, which may be granted without restriction, as a hotel restricted licence, as a tavern licence or as a small bar licence;</w:t>
      </w:r>
    </w:p>
    <w:p>
      <w:pPr>
        <w:pStyle w:val="MiscClose"/>
      </w:pPr>
      <w:r>
        <w:t xml:space="preserve">    ”;</w:t>
      </w:r>
    </w:p>
    <w:p>
      <w:pPr>
        <w:pStyle w:val="nzIndenta"/>
      </w:pPr>
      <w:r>
        <w:tab/>
        <w:t>(l)</w:t>
      </w:r>
      <w:r>
        <w:tab/>
        <w:t>by deleting the definition of “the judge”;</w:t>
      </w:r>
    </w:p>
    <w:p>
      <w:pPr>
        <w:pStyle w:val="nzIndenta"/>
      </w:pPr>
      <w:r>
        <w:tab/>
        <w:t>(m)</w:t>
      </w:r>
      <w:r>
        <w:tab/>
        <w:t xml:space="preserve">after the definition of “lease” by inserting — </w:t>
      </w:r>
    </w:p>
    <w:p>
      <w:pPr>
        <w:pStyle w:val="MiscOpen"/>
        <w:spacing w:before="80"/>
        <w:ind w:left="879"/>
      </w:pPr>
      <w:r>
        <w:t xml:space="preserve">“    </w:t>
      </w:r>
    </w:p>
    <w:p>
      <w:pPr>
        <w:pStyle w:val="nzDefstart"/>
      </w:pPr>
      <w:r>
        <w:rPr>
          <w:b/>
        </w:rPr>
        <w:tab/>
        <w:t>“</w:t>
      </w:r>
      <w:r>
        <w:rPr>
          <w:rStyle w:val="CharDefText"/>
        </w:rPr>
        <w:t>legal practitioner</w:t>
      </w:r>
      <w:r>
        <w:rPr>
          <w:b/>
        </w:rPr>
        <w:t>”</w:t>
      </w:r>
      <w:r>
        <w:t xml:space="preserve"> means a person who — </w:t>
      </w:r>
    </w:p>
    <w:p>
      <w:pPr>
        <w:pStyle w:val="nzDefpara"/>
      </w:pPr>
      <w:r>
        <w:tab/>
        <w:t>(a)</w:t>
      </w:r>
      <w:r>
        <w:tab/>
        <w:t xml:space="preserve">is a legal practitioner, as defined in the </w:t>
      </w:r>
      <w:r>
        <w:rPr>
          <w:i/>
          <w:iCs/>
        </w:rPr>
        <w:t>Legal Practice Act 2003</w:t>
      </w:r>
      <w:r>
        <w:t>; or</w:t>
      </w:r>
    </w:p>
    <w:p>
      <w:pPr>
        <w:pStyle w:val="nzDefpara"/>
      </w:pPr>
      <w:r>
        <w:tab/>
        <w:t>(b)</w:t>
      </w:r>
      <w:r>
        <w:tab/>
        <w:t>has been admitted to legal practice in another State or a Territory;</w:t>
      </w:r>
    </w:p>
    <w:p>
      <w:pPr>
        <w:pStyle w:val="MiscClose"/>
      </w:pPr>
      <w:r>
        <w:t xml:space="preserve">    ”;</w:t>
      </w:r>
    </w:p>
    <w:p>
      <w:pPr>
        <w:pStyle w:val="nzIndenta"/>
      </w:pPr>
      <w:r>
        <w:tab/>
        <w:t>(n)</w:t>
      </w:r>
      <w:r>
        <w:tab/>
        <w:t xml:space="preserve">by deleting the definition of “licence” and inserting instead — </w:t>
      </w:r>
    </w:p>
    <w:p>
      <w:pPr>
        <w:pStyle w:val="MiscOpen"/>
        <w:spacing w:before="80"/>
        <w:ind w:left="879"/>
      </w:pPr>
      <w:r>
        <w:t xml:space="preserve">“    </w:t>
      </w:r>
    </w:p>
    <w:p>
      <w:pPr>
        <w:pStyle w:val="nzDefstart"/>
      </w:pPr>
      <w:r>
        <w:rPr>
          <w:b/>
        </w:rPr>
        <w:tab/>
        <w:t>“</w:t>
      </w:r>
      <w:r>
        <w:rPr>
          <w:rStyle w:val="CharDefText"/>
        </w:rPr>
        <w:t>licence</w:t>
      </w:r>
      <w:r>
        <w:rPr>
          <w:b/>
        </w:rPr>
        <w:t>”</w:t>
      </w:r>
      <w:r>
        <w:t xml:space="preserve"> means a licence granted under this Act;</w:t>
      </w:r>
    </w:p>
    <w:p>
      <w:pPr>
        <w:pStyle w:val="MiscClose"/>
      </w:pPr>
      <w:r>
        <w:t xml:space="preserve">    ”;</w:t>
      </w:r>
    </w:p>
    <w:p>
      <w:pPr>
        <w:pStyle w:val="nzIndenta"/>
      </w:pPr>
      <w:r>
        <w:tab/>
        <w:t>(o)</w:t>
      </w:r>
      <w:r>
        <w:tab/>
        <w:t xml:space="preserve">in the definition of “licence fee” after “period” by inserting — </w:t>
      </w:r>
    </w:p>
    <w:p>
      <w:pPr>
        <w:pStyle w:val="nzIndenta"/>
      </w:pPr>
      <w:r>
        <w:tab/>
      </w:r>
      <w:r>
        <w:tab/>
        <w:t>“    or the fee payable in respect of a permit    ”;</w:t>
      </w:r>
    </w:p>
    <w:p>
      <w:pPr>
        <w:pStyle w:val="nzIndenta"/>
      </w:pPr>
      <w:r>
        <w:tab/>
        <w:t>(p)</w:t>
      </w:r>
      <w:r>
        <w:tab/>
        <w:t xml:space="preserve">in the definition of “liquor” — </w:t>
      </w:r>
    </w:p>
    <w:p>
      <w:pPr>
        <w:pStyle w:val="nzIndenti"/>
      </w:pPr>
      <w:r>
        <w:tab/>
        <w:t>(i)</w:t>
      </w:r>
      <w:r>
        <w:tab/>
        <w:t xml:space="preserve">in paragraph (a), by deleting “beverage” and inserting instead — </w:t>
      </w:r>
    </w:p>
    <w:p>
      <w:pPr>
        <w:pStyle w:val="MiscOpen"/>
        <w:ind w:left="1880"/>
      </w:pPr>
      <w:r>
        <w:t xml:space="preserve">“    </w:t>
      </w:r>
    </w:p>
    <w:p>
      <w:pPr>
        <w:pStyle w:val="nzDefpara"/>
      </w:pPr>
      <w:r>
        <w:tab/>
      </w:r>
      <w:r>
        <w:tab/>
        <w:t>substance intended for human consumption</w:t>
      </w:r>
    </w:p>
    <w:p>
      <w:pPr>
        <w:pStyle w:val="MiscClose"/>
      </w:pPr>
      <w:r>
        <w:t xml:space="preserve">    ”;</w:t>
      </w:r>
    </w:p>
    <w:p>
      <w:pPr>
        <w:pStyle w:val="nzIndenti"/>
      </w:pPr>
      <w:r>
        <w:tab/>
      </w:r>
      <w:r>
        <w:tab/>
        <w:t>and</w:t>
      </w:r>
    </w:p>
    <w:p>
      <w:pPr>
        <w:pStyle w:val="nzIndenti"/>
      </w:pPr>
      <w:r>
        <w:tab/>
        <w:t>(ii)</w:t>
      </w:r>
      <w:r>
        <w:tab/>
        <w:t>in paragraph (c), by deleting “beverage or”;</w:t>
      </w:r>
    </w:p>
    <w:p>
      <w:pPr>
        <w:pStyle w:val="nzIndenta"/>
      </w:pPr>
      <w:r>
        <w:tab/>
        <w:t>(q)</w:t>
      </w:r>
      <w:r>
        <w:tab/>
        <w:t>in the definition of “lodger” by deleting “, other than in section 105(2),”;</w:t>
      </w:r>
    </w:p>
    <w:p>
      <w:pPr>
        <w:pStyle w:val="nzIndenta"/>
      </w:pPr>
      <w:r>
        <w:tab/>
        <w:t>(r)</w:t>
      </w:r>
      <w:r>
        <w:tab/>
        <w:t xml:space="preserve">by deleting the definition of “meal” and inserting instead — </w:t>
      </w:r>
    </w:p>
    <w:p>
      <w:pPr>
        <w:pStyle w:val="MiscOpen"/>
        <w:ind w:left="880"/>
      </w:pPr>
      <w:r>
        <w:t xml:space="preserve">“    </w:t>
      </w:r>
    </w:p>
    <w:p>
      <w:pPr>
        <w:pStyle w:val="nzDefstart"/>
      </w:pPr>
      <w:r>
        <w:rPr>
          <w:b/>
        </w:rPr>
        <w:tab/>
        <w:t>“</w:t>
      </w:r>
      <w:r>
        <w:rPr>
          <w:rStyle w:val="CharDefText"/>
        </w:rPr>
        <w:t>meal</w:t>
      </w:r>
      <w:r>
        <w:rPr>
          <w:b/>
        </w:rPr>
        <w:t>”</w:t>
      </w:r>
      <w:r>
        <w:t xml:space="preserve"> means food — </w:t>
      </w:r>
    </w:p>
    <w:p>
      <w:pPr>
        <w:pStyle w:val="nzDefpara"/>
      </w:pPr>
      <w:r>
        <w:tab/>
        <w:t>(a)</w:t>
      </w:r>
      <w:r>
        <w:tab/>
        <w:t>that is eaten by a person sitting at a table, or a fixed structure used as a table, with cutlery provided for the purpose of eating the food; and</w:t>
      </w:r>
    </w:p>
    <w:p>
      <w:pPr>
        <w:pStyle w:val="nzDefpara"/>
      </w:pPr>
      <w:r>
        <w:tab/>
        <w:t>(b)</w:t>
      </w:r>
      <w:r>
        <w:tab/>
        <w:t>that is of sufficient substance as to be ordinarily accepted as a meal; and</w:t>
      </w:r>
    </w:p>
    <w:p>
      <w:pPr>
        <w:pStyle w:val="nzDefpara"/>
      </w:pPr>
      <w:r>
        <w:tab/>
        <w:t>(c)</w:t>
      </w:r>
      <w:r>
        <w:tab/>
        <w:t>that may consist of one or more courses,</w:t>
      </w:r>
    </w:p>
    <w:p>
      <w:pPr>
        <w:pStyle w:val="nzDefstart"/>
      </w:pPr>
      <w:r>
        <w:tab/>
      </w:r>
      <w:r>
        <w:tab/>
        <w:t>but does not include any food prescribed by the regulations not to be a meal;</w:t>
      </w:r>
    </w:p>
    <w:p>
      <w:pPr>
        <w:pStyle w:val="MiscClose"/>
      </w:pPr>
      <w:r>
        <w:t xml:space="preserve">    ”;</w:t>
      </w:r>
    </w:p>
    <w:p>
      <w:pPr>
        <w:pStyle w:val="nzIndenta"/>
      </w:pPr>
      <w:r>
        <w:tab/>
        <w:t>(s)</w:t>
      </w:r>
      <w:r>
        <w:tab/>
        <w:t xml:space="preserve">in the definition of “member” after “accordance with” by inserting — </w:t>
      </w:r>
    </w:p>
    <w:p>
      <w:pPr>
        <w:pStyle w:val="MiscOpen"/>
        <w:ind w:left="1276"/>
      </w:pPr>
      <w:r>
        <w:t xml:space="preserve">“    </w:t>
      </w:r>
    </w:p>
    <w:p>
      <w:pPr>
        <w:pStyle w:val="nzDefstart"/>
      </w:pPr>
      <w:r>
        <w:tab/>
      </w:r>
      <w:r>
        <w:tab/>
        <w:t>regulations referred to in section 49(3)(c)(iv) and</w:t>
      </w:r>
    </w:p>
    <w:p>
      <w:pPr>
        <w:pStyle w:val="MiscClose"/>
      </w:pPr>
      <w:r>
        <w:t xml:space="preserve">    ”;</w:t>
      </w:r>
    </w:p>
    <w:p>
      <w:pPr>
        <w:pStyle w:val="nzIndenta"/>
      </w:pPr>
      <w:r>
        <w:tab/>
        <w:t>(t)</w:t>
      </w:r>
      <w:r>
        <w:tab/>
        <w:t xml:space="preserve">after the definition of “member” by inserting — </w:t>
      </w:r>
    </w:p>
    <w:p>
      <w:pPr>
        <w:pStyle w:val="MiscOpen"/>
        <w:spacing w:before="80"/>
        <w:ind w:left="879"/>
      </w:pPr>
      <w:r>
        <w:t xml:space="preserve">“    </w:t>
      </w:r>
    </w:p>
    <w:p>
      <w:pPr>
        <w:pStyle w:val="nzDefstart"/>
      </w:pPr>
      <w:r>
        <w:rPr>
          <w:b/>
        </w:rPr>
        <w:tab/>
        <w:t>“</w:t>
      </w:r>
      <w:r>
        <w:rPr>
          <w:rStyle w:val="CharDefText"/>
        </w:rPr>
        <w:t>member</w:t>
      </w:r>
      <w:r>
        <w:rPr>
          <w:b/>
        </w:rPr>
        <w:t>”</w:t>
      </w:r>
      <w:r>
        <w:t>, in relation to the Commission, means a member of the Commission and includes the chairperson;</w:t>
      </w:r>
    </w:p>
    <w:p>
      <w:pPr>
        <w:pStyle w:val="MiscClose"/>
      </w:pPr>
      <w:r>
        <w:t xml:space="preserve">    ”;</w:t>
      </w:r>
    </w:p>
    <w:p>
      <w:pPr>
        <w:pStyle w:val="nzIndenta"/>
      </w:pPr>
      <w:r>
        <w:tab/>
        <w:t>(v)</w:t>
      </w:r>
      <w:r>
        <w:tab/>
        <w:t xml:space="preserve">in the definition of “owner” after “licensed premises” by inserting — </w:t>
      </w:r>
    </w:p>
    <w:p>
      <w:pPr>
        <w:pStyle w:val="nzIndenta"/>
      </w:pPr>
      <w:r>
        <w:tab/>
      </w:r>
      <w:r>
        <w:tab/>
        <w:t>“    or regulated premises    ”;</w:t>
      </w:r>
    </w:p>
    <w:p>
      <w:pPr>
        <w:pStyle w:val="nzIndenta"/>
      </w:pPr>
      <w:r>
        <w:tab/>
        <w:t>(w)</w:t>
      </w:r>
      <w:r>
        <w:tab/>
        <w:t xml:space="preserve">in the definition of “permitted hours” by deleting “section 97” and inserting instead — </w:t>
      </w:r>
    </w:p>
    <w:p>
      <w:pPr>
        <w:pStyle w:val="nzIndenta"/>
      </w:pPr>
      <w:r>
        <w:tab/>
      </w:r>
      <w:r>
        <w:tab/>
        <w:t>“    Part 4 Division 1    ”;</w:t>
      </w:r>
    </w:p>
    <w:p>
      <w:pPr>
        <w:pStyle w:val="nzIndenta"/>
      </w:pPr>
      <w:r>
        <w:tab/>
        <w:t>(x)</w:t>
      </w:r>
      <w:r>
        <w:tab/>
        <w:t xml:space="preserve">after the definition of “restaurant licence” by inserting — </w:t>
      </w:r>
    </w:p>
    <w:p>
      <w:pPr>
        <w:pStyle w:val="MiscOpen"/>
        <w:ind w:left="880"/>
      </w:pPr>
      <w:r>
        <w:t xml:space="preserve">“    </w:t>
      </w:r>
    </w:p>
    <w:p>
      <w:pPr>
        <w:pStyle w:val="nzDefstart"/>
      </w:pPr>
      <w:r>
        <w:rPr>
          <w:b/>
        </w:rPr>
        <w:tab/>
        <w:t>“</w:t>
      </w:r>
      <w:r>
        <w:rPr>
          <w:rStyle w:val="CharDefText"/>
        </w:rPr>
        <w:t>sample</w:t>
      </w:r>
      <w:r>
        <w:rPr>
          <w:b/>
        </w:rPr>
        <w:t>”</w:t>
      </w:r>
      <w:r>
        <w:t>, in relation to a type of liquor, means the prescribed quantity of that type of liquor;</w:t>
      </w:r>
    </w:p>
    <w:p>
      <w:pPr>
        <w:pStyle w:val="MiscClose"/>
      </w:pPr>
      <w:r>
        <w:t xml:space="preserve">    ”;</w:t>
      </w:r>
    </w:p>
    <w:p>
      <w:pPr>
        <w:pStyle w:val="nzIndenta"/>
      </w:pPr>
      <w:r>
        <w:tab/>
        <w:t>(y)</w:t>
      </w:r>
      <w:r>
        <w:tab/>
        <w:t xml:space="preserve">after the definition of “ship” by inserting — </w:t>
      </w:r>
    </w:p>
    <w:p>
      <w:pPr>
        <w:pStyle w:val="MiscOpen"/>
        <w:spacing w:before="80"/>
        <w:ind w:left="879"/>
      </w:pPr>
      <w:r>
        <w:t xml:space="preserve">“    </w:t>
      </w:r>
    </w:p>
    <w:p>
      <w:pPr>
        <w:pStyle w:val="nzDefstart"/>
      </w:pPr>
      <w:r>
        <w:rPr>
          <w:b/>
        </w:rPr>
        <w:tab/>
        <w:t>“</w:t>
      </w:r>
      <w:r>
        <w:rPr>
          <w:rStyle w:val="CharDefText"/>
        </w:rPr>
        <w:t>small bar licence</w:t>
      </w:r>
      <w:r>
        <w:rPr>
          <w:b/>
        </w:rPr>
        <w:t>”</w:t>
      </w:r>
      <w:r>
        <w:t xml:space="preserve"> means a hotel licence of the kind referred to in section 41(1)(aa);</w:t>
      </w:r>
    </w:p>
    <w:p>
      <w:pPr>
        <w:pStyle w:val="MiscClose"/>
      </w:pPr>
      <w:r>
        <w:t xml:space="preserve">    ”;</w:t>
      </w:r>
    </w:p>
    <w:p>
      <w:pPr>
        <w:pStyle w:val="nzIndenta"/>
      </w:pPr>
      <w:r>
        <w:tab/>
        <w:t>(z)</w:t>
      </w:r>
      <w:r>
        <w:tab/>
        <w:t xml:space="preserve">after the definition of “subsidy” by inserting — </w:t>
      </w:r>
    </w:p>
    <w:p>
      <w:pPr>
        <w:pStyle w:val="MiscOpen"/>
        <w:spacing w:before="80"/>
        <w:ind w:left="879"/>
      </w:pPr>
      <w:r>
        <w:t xml:space="preserve">“    </w:t>
      </w:r>
    </w:p>
    <w:p>
      <w:pPr>
        <w:pStyle w:val="nzDefstart"/>
      </w:pPr>
      <w:r>
        <w:rPr>
          <w:b/>
        </w:rPr>
        <w:tab/>
        <w:t>“</w:t>
      </w:r>
      <w:r>
        <w:rPr>
          <w:rStyle w:val="CharDefText"/>
        </w:rPr>
        <w:t>substance</w:t>
      </w:r>
      <w:r>
        <w:rPr>
          <w:b/>
        </w:rPr>
        <w:t>”</w:t>
      </w:r>
      <w:r>
        <w:t>, in the definition of “liquor”, includes a vapour;</w:t>
      </w:r>
    </w:p>
    <w:p>
      <w:pPr>
        <w:pStyle w:val="MiscClose"/>
      </w:pPr>
      <w:r>
        <w:t xml:space="preserve">    ”.</w:t>
      </w:r>
    </w:p>
    <w:p>
      <w:pPr>
        <w:pStyle w:val="nzSubsection"/>
        <w:outlineLvl w:val="0"/>
      </w:pPr>
      <w:r>
        <w:tab/>
        <w:t>(2)</w:t>
      </w:r>
      <w:r>
        <w:tab/>
        <w:t xml:space="preserve">Section 3(2)(b) is amended after “containers” by inserting — </w:t>
      </w:r>
    </w:p>
    <w:p>
      <w:pPr>
        <w:pStyle w:val="nzSubsection"/>
      </w:pPr>
      <w:r>
        <w:tab/>
      </w:r>
      <w:r>
        <w:tab/>
        <w:t>“    or any device    ”.</w:t>
      </w:r>
    </w:p>
    <w:p>
      <w:pPr>
        <w:pStyle w:val="nzSubsection"/>
        <w:outlineLvl w:val="0"/>
      </w:pPr>
      <w:r>
        <w:tab/>
        <w:t>(3)</w:t>
      </w:r>
      <w:r>
        <w:tab/>
        <w:t>Section 3(4) is amended as follows:</w:t>
      </w:r>
    </w:p>
    <w:p>
      <w:pPr>
        <w:pStyle w:val="nzIndenta"/>
      </w:pPr>
      <w:r>
        <w:tab/>
        <w:t>(a)</w:t>
      </w:r>
      <w:r>
        <w:tab/>
        <w:t xml:space="preserve">after paragraph (a) by inserting — </w:t>
      </w:r>
    </w:p>
    <w:p>
      <w:pPr>
        <w:pStyle w:val="nzIndenta"/>
      </w:pPr>
      <w:r>
        <w:tab/>
      </w:r>
      <w:r>
        <w:tab/>
        <w:t>“    or    ”;</w:t>
      </w:r>
    </w:p>
    <w:p>
      <w:pPr>
        <w:pStyle w:val="nzIndenta"/>
      </w:pPr>
      <w:r>
        <w:tab/>
        <w:t>(b)</w:t>
      </w:r>
      <w:r>
        <w:tab/>
        <w:t xml:space="preserve">at the end of paragraph (c) by deleting the comma and inserting — </w:t>
      </w:r>
    </w:p>
    <w:p>
      <w:pPr>
        <w:pStyle w:val="MiscOpen"/>
        <w:ind w:left="1620"/>
      </w:pPr>
      <w:r>
        <w:t xml:space="preserve">“    </w:t>
      </w:r>
    </w:p>
    <w:p>
      <w:pPr>
        <w:pStyle w:val="nzIndenta"/>
      </w:pPr>
      <w:r>
        <w:tab/>
      </w:r>
      <w:r>
        <w:tab/>
        <w:t>; or</w:t>
      </w:r>
    </w:p>
    <w:p>
      <w:pPr>
        <w:pStyle w:val="nzIndenta"/>
      </w:pPr>
      <w:r>
        <w:tab/>
        <w:t>(d)</w:t>
      </w:r>
      <w:r>
        <w:tab/>
        <w:t>occupies a position, in relation to the body corporate, prescribed by the regulations to be a position of authority,</w:t>
      </w:r>
    </w:p>
    <w:p>
      <w:pPr>
        <w:pStyle w:val="MiscClose"/>
      </w:pPr>
      <w:r>
        <w:t xml:space="preserve">    ”.</w:t>
      </w:r>
    </w:p>
    <w:p>
      <w:pPr>
        <w:pStyle w:val="nzSubsection"/>
        <w:outlineLvl w:val="0"/>
      </w:pPr>
      <w:r>
        <w:tab/>
        <w:t>(4)</w:t>
      </w:r>
      <w:r>
        <w:tab/>
        <w:t xml:space="preserve">After section 3(6) the following subsection is inserted — </w:t>
      </w:r>
    </w:p>
    <w:p>
      <w:pPr>
        <w:pStyle w:val="MiscOpen"/>
        <w:ind w:left="600"/>
      </w:pPr>
      <w:r>
        <w:t xml:space="preserve">“    </w:t>
      </w:r>
    </w:p>
    <w:p>
      <w:pPr>
        <w:pStyle w:val="nzSubsection"/>
      </w:pPr>
      <w:r>
        <w:tab/>
        <w:t>(7)</w:t>
      </w:r>
      <w:r>
        <w:tab/>
        <w:t xml:space="preserve">In the definition of “authorised person” in subsection (1) — </w:t>
      </w:r>
    </w:p>
    <w:p>
      <w:pPr>
        <w:pStyle w:val="nzDefstart"/>
      </w:pPr>
      <w:r>
        <w:rPr>
          <w:b/>
        </w:rPr>
        <w:tab/>
        <w:t>“</w:t>
      </w:r>
      <w:r>
        <w:rPr>
          <w:rStyle w:val="CharDefText"/>
        </w:rPr>
        <w:t>employee</w:t>
      </w:r>
      <w:r>
        <w:rPr>
          <w:b/>
        </w:rPr>
        <w:t>”</w:t>
      </w:r>
      <w:r>
        <w:t xml:space="preserve"> includes — </w:t>
      </w:r>
    </w:p>
    <w:p>
      <w:pPr>
        <w:pStyle w:val="nzDefpara"/>
      </w:pPr>
      <w:r>
        <w:tab/>
        <w:t>(a)</w:t>
      </w:r>
      <w:r>
        <w:tab/>
        <w:t>a person engaged under a contract for services by the licensee, occupier or manager of licensed or regulated premises; and</w:t>
      </w:r>
    </w:p>
    <w:p>
      <w:pPr>
        <w:pStyle w:val="nz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MiscClose"/>
      </w:pPr>
      <w:r>
        <w:t xml:space="preserve">    ”.</w:t>
      </w:r>
    </w:p>
    <w:p>
      <w:pPr>
        <w:pStyle w:val="nzHeading5"/>
        <w:outlineLvl w:val="0"/>
      </w:pPr>
      <w:r>
        <w:rPr>
          <w:rStyle w:val="CharSectno"/>
        </w:rPr>
        <w:t>7</w:t>
      </w:r>
      <w:r>
        <w:t>.</w:t>
      </w:r>
      <w:r>
        <w:tab/>
        <w:t>Section 3A inserted</w:t>
      </w:r>
    </w:p>
    <w:p>
      <w:pPr>
        <w:pStyle w:val="nzSubsection"/>
      </w:pPr>
      <w:r>
        <w:tab/>
      </w:r>
      <w:r>
        <w:tab/>
        <w:t xml:space="preserve">After section 3 the following section is inserted — </w:t>
      </w:r>
    </w:p>
    <w:p>
      <w:pPr>
        <w:pStyle w:val="MiscOpen"/>
        <w:spacing w:before="60"/>
      </w:pPr>
      <w:r>
        <w:t xml:space="preserve">“    </w:t>
      </w:r>
    </w:p>
    <w:p>
      <w:pPr>
        <w:pStyle w:val="nzHeading5"/>
      </w:pPr>
      <w:r>
        <w:t>3A.</w:t>
      </w:r>
      <w:r>
        <w:tab/>
        <w:t>Meaning of “drunk”</w:t>
      </w:r>
    </w:p>
    <w:p>
      <w:pPr>
        <w:pStyle w:val="nzSubsection"/>
      </w:pPr>
      <w:r>
        <w:tab/>
        <w:t>(1)</w:t>
      </w:r>
      <w:r>
        <w:tab/>
        <w:t xml:space="preserve">A person is </w:t>
      </w:r>
      <w:r>
        <w:rPr>
          <w:b/>
        </w:rPr>
        <w:t>“</w:t>
      </w:r>
      <w:r>
        <w:rPr>
          <w:rStyle w:val="CharDefText"/>
        </w:rPr>
        <w:t>drunk</w:t>
      </w:r>
      <w:r>
        <w:rPr>
          <w:b/>
        </w:rPr>
        <w:t>”</w:t>
      </w:r>
      <w:r>
        <w:t xml:space="preserve"> for the purposes of this Act if — </w:t>
      </w:r>
    </w:p>
    <w:p>
      <w:pPr>
        <w:pStyle w:val="nzIndenta"/>
      </w:pPr>
      <w:r>
        <w:tab/>
        <w:t>(a)</w:t>
      </w:r>
      <w:r>
        <w:tab/>
        <w:t>the person is on licensed premises or regulated premises; and</w:t>
      </w:r>
    </w:p>
    <w:p>
      <w:pPr>
        <w:pStyle w:val="nzIndenta"/>
      </w:pPr>
      <w:r>
        <w:tab/>
        <w:t>(b)</w:t>
      </w:r>
      <w:r>
        <w:tab/>
        <w:t>the person’s speech, balance, co</w:t>
      </w:r>
      <w:r>
        <w:noBreakHyphen/>
        <w:t>ordination or behaviour appears to be noticeably impaired; and</w:t>
      </w:r>
    </w:p>
    <w:p>
      <w:pPr>
        <w:pStyle w:val="nzIndenta"/>
      </w:pPr>
      <w:r>
        <w:tab/>
        <w:t>(c)</w:t>
      </w:r>
      <w:r>
        <w:tab/>
        <w:t>it is reasonable in the circumstances to believe that that impairment results from the consumption of liquor.</w:t>
      </w:r>
    </w:p>
    <w:p>
      <w:pPr>
        <w:pStyle w:val="nz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MiscClose"/>
      </w:pPr>
      <w:r>
        <w:t xml:space="preserve">   ”.</w:t>
      </w:r>
    </w:p>
    <w:p>
      <w:pPr>
        <w:pStyle w:val="nzHeading5"/>
        <w:outlineLvl w:val="0"/>
      </w:pPr>
      <w:r>
        <w:rPr>
          <w:rStyle w:val="CharSectno"/>
        </w:rPr>
        <w:t>8</w:t>
      </w:r>
      <w:r>
        <w:t>.</w:t>
      </w:r>
      <w:r>
        <w:tab/>
        <w:t>Section 4 amended</w:t>
      </w:r>
    </w:p>
    <w:p>
      <w:pPr>
        <w:pStyle w:val="nzSubsection"/>
      </w:pPr>
      <w:r>
        <w:tab/>
      </w:r>
      <w:r>
        <w:tab/>
        <w:t>Section 4(8) is repealed.</w:t>
      </w:r>
    </w:p>
    <w:p>
      <w:pPr>
        <w:pStyle w:val="nzHeading5"/>
        <w:outlineLvl w:val="0"/>
      </w:pPr>
      <w:r>
        <w:rPr>
          <w:rStyle w:val="CharSectno"/>
        </w:rPr>
        <w:t>9</w:t>
      </w:r>
      <w:r>
        <w:t>.</w:t>
      </w:r>
      <w:r>
        <w:tab/>
        <w:t>Section 5 amended</w:t>
      </w:r>
    </w:p>
    <w:p>
      <w:pPr>
        <w:pStyle w:val="nzSubsection"/>
      </w:pPr>
      <w:r>
        <w:tab/>
        <w:t>(1)</w:t>
      </w:r>
      <w:r>
        <w:tab/>
        <w:t xml:space="preserve">Section 5(1) is amended at the end of paragraph (b) by deleting the full stop and inserting — </w:t>
      </w:r>
    </w:p>
    <w:p>
      <w:pPr>
        <w:pStyle w:val="MiscOpen"/>
        <w:spacing w:before="60"/>
        <w:ind w:left="1338"/>
      </w:pPr>
      <w:r>
        <w:t xml:space="preserve">“    </w:t>
      </w:r>
    </w:p>
    <w:p>
      <w:pPr>
        <w:pStyle w:val="nzIndenta"/>
      </w:pPr>
      <w:r>
        <w:tab/>
      </w:r>
      <w:r>
        <w:tab/>
        <w:t>; and</w:t>
      </w:r>
    </w:p>
    <w:p>
      <w:pPr>
        <w:pStyle w:val="nzIndenta"/>
      </w:pPr>
      <w:r>
        <w:tab/>
        <w:t>(c)</w:t>
      </w:r>
      <w:r>
        <w:tab/>
        <w:t>to cater for the requirements of consumers for liquor and related services, with regard to the proper development of the liquor industry, the tourism industry and other hospitality industries in the State.</w:t>
      </w:r>
    </w:p>
    <w:p>
      <w:pPr>
        <w:pStyle w:val="MiscClose"/>
      </w:pPr>
      <w:r>
        <w:t xml:space="preserve">    ”.</w:t>
      </w:r>
    </w:p>
    <w:p>
      <w:pPr>
        <w:pStyle w:val="nzSubsection"/>
      </w:pPr>
      <w:r>
        <w:tab/>
        <w:t>(2)</w:t>
      </w:r>
      <w:r>
        <w:tab/>
        <w:t>Section 5(2) is amended as follows:</w:t>
      </w:r>
    </w:p>
    <w:p>
      <w:pPr>
        <w:pStyle w:val="nzIndenta"/>
      </w:pPr>
      <w:r>
        <w:tab/>
        <w:t>(a)</w:t>
      </w:r>
      <w:r>
        <w:tab/>
        <w:t xml:space="preserve">after “the following” by inserting — </w:t>
      </w:r>
    </w:p>
    <w:p>
      <w:pPr>
        <w:pStyle w:val="nzIndenta"/>
      </w:pPr>
      <w:r>
        <w:tab/>
      </w:r>
      <w:r>
        <w:tab/>
        <w:t>“    secondary    ”;</w:t>
      </w:r>
    </w:p>
    <w:p>
      <w:pPr>
        <w:pStyle w:val="nzIndenta"/>
      </w:pPr>
      <w:r>
        <w:tab/>
        <w:t>(b)</w:t>
      </w:r>
      <w:r>
        <w:tab/>
        <w:t xml:space="preserve">by deleting paragraphs (a), (b) and (c) and inserting instead — </w:t>
      </w:r>
    </w:p>
    <w:p>
      <w:pPr>
        <w:pStyle w:val="MiscOpen"/>
        <w:ind w:left="1340"/>
      </w:pPr>
      <w:r>
        <w:t xml:space="preserve">“    </w:t>
      </w:r>
    </w:p>
    <w:p>
      <w:pPr>
        <w:pStyle w:val="nz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MiscClose"/>
      </w:pPr>
      <w:r>
        <w:t xml:space="preserve">    ”.</w:t>
      </w:r>
    </w:p>
    <w:p>
      <w:pPr>
        <w:pStyle w:val="nzSubsection"/>
      </w:pPr>
      <w:r>
        <w:tab/>
        <w:t>(3)</w:t>
      </w:r>
      <w:r>
        <w:tab/>
        <w:t xml:space="preserve">After section 5(2) the following subsection is inserted — </w:t>
      </w:r>
    </w:p>
    <w:p>
      <w:pPr>
        <w:pStyle w:val="MiscOpen"/>
        <w:ind w:left="600"/>
      </w:pPr>
      <w:r>
        <w:t xml:space="preserve">“    </w:t>
      </w:r>
    </w:p>
    <w:p>
      <w:pPr>
        <w:pStyle w:val="nzSubsection"/>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MiscClose"/>
      </w:pPr>
      <w:r>
        <w:t xml:space="preserve">    ”.</w:t>
      </w:r>
    </w:p>
    <w:p>
      <w:pPr>
        <w:pStyle w:val="nzHeading5"/>
        <w:outlineLvl w:val="0"/>
      </w:pPr>
      <w:r>
        <w:rPr>
          <w:rStyle w:val="CharSectno"/>
        </w:rPr>
        <w:t>10</w:t>
      </w:r>
      <w:r>
        <w:t>.</w:t>
      </w:r>
      <w:r>
        <w:tab/>
        <w:t>Section 7 amended</w:t>
      </w:r>
    </w:p>
    <w:p>
      <w:pPr>
        <w:pStyle w:val="nzSubsection"/>
        <w:outlineLvl w:val="0"/>
      </w:pPr>
      <w:r>
        <w:tab/>
        <w:t>(1)</w:t>
      </w:r>
      <w:r>
        <w:tab/>
        <w:t xml:space="preserve">Section 7(1)(a) is amended by deleting “Licensing Court;” and inserting instead — </w:t>
      </w:r>
    </w:p>
    <w:p>
      <w:pPr>
        <w:pStyle w:val="nzSubsection"/>
      </w:pPr>
      <w:r>
        <w:tab/>
      </w:r>
      <w:r>
        <w:tab/>
        <w:t>“    Commission;    ”.</w:t>
      </w:r>
    </w:p>
    <w:p>
      <w:pPr>
        <w:pStyle w:val="nzSubsection"/>
        <w:outlineLvl w:val="0"/>
      </w:pPr>
      <w:r>
        <w:tab/>
        <w:t>(2)</w:t>
      </w:r>
      <w:r>
        <w:tab/>
        <w:t xml:space="preserve">Section 7(3) and (4) are repealed and the following subsection is inserted instead — </w:t>
      </w:r>
    </w:p>
    <w:p>
      <w:pPr>
        <w:pStyle w:val="MiscOpen"/>
        <w:ind w:left="600"/>
      </w:pPr>
      <w:r>
        <w:t xml:space="preserve">“    </w:t>
      </w:r>
    </w:p>
    <w:p>
      <w:pPr>
        <w:pStyle w:val="nzSubsection"/>
        <w:outlineLvl w:val="0"/>
      </w:pPr>
      <w:r>
        <w:tab/>
        <w:t>(3)</w:t>
      </w:r>
      <w:r>
        <w:tab/>
        <w:t xml:space="preserve">Subject to this Act, the Director — </w:t>
      </w:r>
    </w:p>
    <w:p>
      <w:pPr>
        <w:pStyle w:val="nzIndenta"/>
      </w:pPr>
      <w:r>
        <w:tab/>
        <w:t>(a)</w:t>
      </w:r>
      <w:r>
        <w:tab/>
        <w:t>is not to exercise jurisdiction in respect of a matter before the Commission or within the jurisdiction of the Commission; and</w:t>
      </w:r>
    </w:p>
    <w:p>
      <w:pPr>
        <w:pStyle w:val="nzIndenta"/>
      </w:pPr>
      <w:r>
        <w:tab/>
        <w:t>(b)</w:t>
      </w:r>
      <w:r>
        <w:tab/>
        <w:t>is not subject to direction by the Commission, except as a party to proceedings or as may be specifically provided by this Act.</w:t>
      </w:r>
    </w:p>
    <w:p>
      <w:pPr>
        <w:pStyle w:val="MiscClose"/>
      </w:pPr>
      <w:r>
        <w:t xml:space="preserve">    ”.</w:t>
      </w:r>
    </w:p>
    <w:p>
      <w:pPr>
        <w:pStyle w:val="nzHeading5"/>
        <w:outlineLvl w:val="0"/>
      </w:pPr>
      <w:r>
        <w:rPr>
          <w:rStyle w:val="CharSectno"/>
        </w:rPr>
        <w:t>11</w:t>
      </w:r>
      <w:r>
        <w:t>.</w:t>
      </w:r>
      <w:r>
        <w:tab/>
        <w:t>Part 2 Division 2 replaced</w:t>
      </w:r>
    </w:p>
    <w:p>
      <w:pPr>
        <w:pStyle w:val="nzSubsection"/>
      </w:pPr>
      <w:r>
        <w:tab/>
      </w:r>
      <w:r>
        <w:tab/>
        <w:t xml:space="preserve">Part 2 Division 2 is repealed and the following Divisions are inserted instead — </w:t>
      </w:r>
    </w:p>
    <w:p>
      <w:pPr>
        <w:pStyle w:val="MiscOpen"/>
      </w:pPr>
      <w:r>
        <w:t xml:space="preserve">“    </w:t>
      </w:r>
    </w:p>
    <w:p>
      <w:pPr>
        <w:pStyle w:val="nzHeading3"/>
        <w:outlineLvl w:val="0"/>
      </w:pPr>
      <w:r>
        <w:t>Division 2 — The Liquor Commission</w:t>
      </w:r>
    </w:p>
    <w:p>
      <w:pPr>
        <w:pStyle w:val="nzHeading5"/>
        <w:outlineLvl w:val="0"/>
      </w:pPr>
      <w:r>
        <w:t>8.</w:t>
      </w:r>
      <w:r>
        <w:tab/>
        <w:t>Commission established</w:t>
      </w:r>
    </w:p>
    <w:p>
      <w:pPr>
        <w:pStyle w:val="nzSubsection"/>
      </w:pPr>
      <w:r>
        <w:tab/>
      </w:r>
      <w:r>
        <w:tab/>
        <w:t>A commission called the Liquor Commission is established.</w:t>
      </w:r>
    </w:p>
    <w:p>
      <w:pPr>
        <w:pStyle w:val="nzHeading5"/>
        <w:outlineLvl w:val="0"/>
      </w:pPr>
      <w:r>
        <w:t>9.</w:t>
      </w:r>
      <w:r>
        <w:tab/>
        <w:t>The Commission’s jurisdiction</w:t>
      </w:r>
    </w:p>
    <w:p>
      <w:pPr>
        <w:pStyle w:val="nzSubsection"/>
      </w:pPr>
      <w:r>
        <w:tab/>
        <w:t>(1)</w:t>
      </w:r>
      <w:r>
        <w:tab/>
        <w:t>The Commission has the jurisdiction conferred on it by this Act and any other written law.</w:t>
      </w:r>
    </w:p>
    <w:p>
      <w:pPr>
        <w:pStyle w:val="nz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nzHeading5"/>
      </w:pPr>
      <w:r>
        <w:t>9A.</w:t>
      </w:r>
      <w:r>
        <w:tab/>
        <w:t>Constitution of Commission</w:t>
      </w:r>
    </w:p>
    <w:p>
      <w:pPr>
        <w:pStyle w:val="nzSubsection"/>
      </w:pPr>
      <w:r>
        <w:tab/>
        <w:t>(1)</w:t>
      </w:r>
      <w:r>
        <w:tab/>
        <w:t>Except as otherwise stated in this Act or determined by the chairperson under subsection (2), the Commission is to be constituted by one member.</w:t>
      </w:r>
    </w:p>
    <w:p>
      <w:pPr>
        <w:pStyle w:val="nzSubsection"/>
      </w:pPr>
      <w:r>
        <w:tab/>
        <w:t>(2)</w:t>
      </w:r>
      <w:r>
        <w:tab/>
        <w:t>The chairperson may determine that, in respect of any particular matter or any matter of a particular kind, the Commission is to be constituted by 3 members.</w:t>
      </w:r>
    </w:p>
    <w:p>
      <w:pPr>
        <w:pStyle w:val="nzSubsection"/>
      </w:pPr>
      <w:r>
        <w:tab/>
        <w:t>(3)</w:t>
      </w:r>
      <w:r>
        <w:tab/>
        <w:t>If the Commission is constituted by 3 members and they are divided on a question they are required to decide, the question is decided according to the opinion of the majority of them.</w:t>
      </w:r>
    </w:p>
    <w:p>
      <w:pPr>
        <w:pStyle w:val="nzHeading3"/>
        <w:outlineLvl w:val="0"/>
      </w:pPr>
      <w:r>
        <w:t>Division 2A — Members of the Commission</w:t>
      </w:r>
    </w:p>
    <w:p>
      <w:pPr>
        <w:pStyle w:val="nzHeading5"/>
      </w:pPr>
      <w:r>
        <w:t>9B.</w:t>
      </w:r>
      <w:r>
        <w:tab/>
        <w:t>Commission members</w:t>
      </w:r>
    </w:p>
    <w:p>
      <w:pPr>
        <w:pStyle w:val="nzSubsection"/>
      </w:pPr>
      <w:r>
        <w:tab/>
        <w:t>(1)</w:t>
      </w:r>
      <w:r>
        <w:tab/>
        <w:t xml:space="preserve">The Commission is to have — </w:t>
      </w:r>
    </w:p>
    <w:p>
      <w:pPr>
        <w:pStyle w:val="nzIndenta"/>
      </w:pPr>
      <w:r>
        <w:tab/>
        <w:t>(a)</w:t>
      </w:r>
      <w:r>
        <w:tab/>
        <w:t>a chairperson; and</w:t>
      </w:r>
    </w:p>
    <w:p>
      <w:pPr>
        <w:pStyle w:val="nzIndenta"/>
      </w:pPr>
      <w:r>
        <w:tab/>
        <w:t>(b)</w:t>
      </w:r>
      <w:r>
        <w:tab/>
        <w:t>other members as determined by the Minister.</w:t>
      </w:r>
    </w:p>
    <w:p>
      <w:pPr>
        <w:pStyle w:val="nzSubsection"/>
      </w:pPr>
      <w:r>
        <w:tab/>
        <w:t>(2)</w:t>
      </w:r>
      <w:r>
        <w:tab/>
        <w:t>The chairperson and other members are to be appointed in writing by the Minister.</w:t>
      </w:r>
    </w:p>
    <w:p>
      <w:pPr>
        <w:pStyle w:val="nzSubsection"/>
      </w:pPr>
      <w:r>
        <w:tab/>
        <w:t>(3)</w:t>
      </w:r>
      <w:r>
        <w:tab/>
        <w:t>A person may be appointed as a member if, in the opinion of the Minister, the person has knowledge or experience relevant to the functions of the Commission.</w:t>
      </w:r>
    </w:p>
    <w:p>
      <w:pPr>
        <w:pStyle w:val="nzSubsection"/>
      </w:pPr>
      <w:r>
        <w:tab/>
        <w:t>(4)</w:t>
      </w:r>
      <w:r>
        <w:tab/>
        <w:t>The Minister is to ensure that at least one member is a legal practitioner.</w:t>
      </w:r>
    </w:p>
    <w:p>
      <w:pPr>
        <w:pStyle w:val="nzHeading5"/>
      </w:pPr>
      <w:r>
        <w:t>9C.</w:t>
      </w:r>
      <w:r>
        <w:tab/>
        <w:t>Tenure of office</w:t>
      </w:r>
    </w:p>
    <w:p>
      <w:pPr>
        <w:pStyle w:val="nzSubsection"/>
      </w:pPr>
      <w:r>
        <w:tab/>
        <w:t>(1)</w:t>
      </w:r>
      <w:r>
        <w:tab/>
        <w:t>A member is to be appointed to hold office on a full</w:t>
      </w:r>
      <w:r>
        <w:noBreakHyphen/>
        <w:t>time basis, part</w:t>
      </w:r>
      <w:r>
        <w:noBreakHyphen/>
        <w:t>time basis or sessional basis.</w:t>
      </w:r>
    </w:p>
    <w:p>
      <w:pPr>
        <w:pStyle w:val="nzSubsection"/>
      </w:pPr>
      <w:r>
        <w:tab/>
        <w:t>(2)</w:t>
      </w:r>
      <w:r>
        <w:tab/>
        <w:t>The term for which a person is appointed as a member is to be fixed in the instrument of appointment and is to be not longer than 5 years.</w:t>
      </w:r>
    </w:p>
    <w:p>
      <w:pPr>
        <w:pStyle w:val="nzSubsection"/>
      </w:pPr>
      <w:r>
        <w:tab/>
        <w:t>(3)</w:t>
      </w:r>
      <w:r>
        <w:tab/>
        <w:t>A person’s eligibility for reappointment or the term for which a person may be reappointed is not affected by an earlier appointment.</w:t>
      </w:r>
    </w:p>
    <w:p>
      <w:pPr>
        <w:pStyle w:val="nzHeading5"/>
      </w:pPr>
      <w:r>
        <w:t>9D.</w:t>
      </w:r>
      <w:r>
        <w:tab/>
        <w:t>Deputy chairperson</w:t>
      </w:r>
    </w:p>
    <w:p>
      <w:pPr>
        <w:pStyle w:val="nzSubsection"/>
      </w:pPr>
      <w:r>
        <w:tab/>
        <w:t>(1)</w:t>
      </w:r>
      <w:r>
        <w:tab/>
        <w:t>The Minister is to appoint a member as the deputy chairperson of the Commission.</w:t>
      </w:r>
    </w:p>
    <w:p>
      <w:pPr>
        <w:pStyle w:val="nzSubsection"/>
      </w:pPr>
      <w:r>
        <w:tab/>
        <w:t>(2)</w:t>
      </w:r>
      <w:r>
        <w:tab/>
        <w:t xml:space="preserve">The deputy chairperson may act as chairperson — </w:t>
      </w:r>
    </w:p>
    <w:p>
      <w:pPr>
        <w:pStyle w:val="nzIndenta"/>
      </w:pPr>
      <w:r>
        <w:tab/>
        <w:t>(a)</w:t>
      </w:r>
      <w:r>
        <w:tab/>
        <w:t>in the absence of the chairperson; or</w:t>
      </w:r>
    </w:p>
    <w:p>
      <w:pPr>
        <w:pStyle w:val="nzIndenta"/>
      </w:pPr>
      <w:r>
        <w:tab/>
        <w:t>(b)</w:t>
      </w:r>
      <w:r>
        <w:tab/>
        <w:t>if so requested by the chairperson; or</w:t>
      </w:r>
    </w:p>
    <w:p>
      <w:pPr>
        <w:pStyle w:val="nzIndenta"/>
      </w:pPr>
      <w:r>
        <w:tab/>
        <w:t>(c)</w:t>
      </w:r>
      <w:r>
        <w:tab/>
        <w:t>during a vacancy in the office of chairperson.</w:t>
      </w:r>
    </w:p>
    <w:p>
      <w:pPr>
        <w:pStyle w:val="nzSubsection"/>
      </w:pPr>
      <w:r>
        <w:tab/>
        <w:t>(3)</w:t>
      </w:r>
      <w:r>
        <w:tab/>
        <w:t>While acting as chairperson the deputy chairperson has, and may perform, the functions of chairperson.</w:t>
      </w:r>
    </w:p>
    <w:p>
      <w:pPr>
        <w:pStyle w:val="nzSubsection"/>
      </w:pPr>
      <w:r>
        <w:tab/>
        <w:t>(4)</w:t>
      </w:r>
      <w:r>
        <w:tab/>
        <w:t>No act or omission of a person acting in the place of the chairperson under this section is to be questioned on the ground that the occasion for acting had not arisen or had ceased.</w:t>
      </w:r>
    </w:p>
    <w:p>
      <w:pPr>
        <w:pStyle w:val="nzHeading5"/>
      </w:pPr>
      <w:r>
        <w:t>9E.</w:t>
      </w:r>
      <w:r>
        <w:tab/>
        <w:t xml:space="preserve">Removal or resignation </w:t>
      </w:r>
    </w:p>
    <w:p>
      <w:pPr>
        <w:pStyle w:val="nzSubsection"/>
      </w:pPr>
      <w:r>
        <w:tab/>
        <w:t>(1)</w:t>
      </w:r>
      <w:r>
        <w:tab/>
        <w:t xml:space="preserve">The Minister may terminate the term of office of a member if — </w:t>
      </w:r>
    </w:p>
    <w:p>
      <w:pPr>
        <w:pStyle w:val="nzIndenta"/>
      </w:pPr>
      <w:r>
        <w:tab/>
        <w:t>(a)</w:t>
      </w:r>
      <w:r>
        <w:tab/>
        <w:t>the member has been convicted of an indictable offence or an offence that, if committed in Western Australia, would be an indictable offence; or</w:t>
      </w:r>
    </w:p>
    <w:p>
      <w:pPr>
        <w:pStyle w:val="nzIndenta"/>
      </w:pPr>
      <w:r>
        <w:tab/>
        <w:t>(b)</w:t>
      </w:r>
      <w:r>
        <w:tab/>
        <w:t xml:space="preserve">the member is an insolvent under administration according to the meaning of that term in the Commonwealth </w:t>
      </w:r>
      <w:r>
        <w:rPr>
          <w:i/>
          <w:iCs/>
        </w:rPr>
        <w:t>Corporations Act 2001</w:t>
      </w:r>
      <w:r>
        <w:t>; or</w:t>
      </w:r>
    </w:p>
    <w:p>
      <w:pPr>
        <w:pStyle w:val="nzIndenta"/>
      </w:pPr>
      <w:r>
        <w:tab/>
        <w:t>(c)</w:t>
      </w:r>
      <w:r>
        <w:tab/>
        <w:t>the Minister is satisfied that the member has become incapable of performing, or has neglected to perform, the duties of office; or</w:t>
      </w:r>
    </w:p>
    <w:p>
      <w:pPr>
        <w:pStyle w:val="nzIndenta"/>
      </w:pPr>
      <w:r>
        <w:tab/>
        <w:t>(d)</w:t>
      </w:r>
      <w:r>
        <w:tab/>
        <w:t>the Minister is satisfied that the member is unfit to hold office because of misconduct.</w:t>
      </w:r>
    </w:p>
    <w:p>
      <w:pPr>
        <w:pStyle w:val="nzSubsection"/>
      </w:pPr>
      <w:r>
        <w:tab/>
        <w:t>(2)</w:t>
      </w:r>
      <w:r>
        <w:tab/>
        <w:t>A member may resign office by giving the Minister a signed letter of resignation.</w:t>
      </w:r>
    </w:p>
    <w:p>
      <w:pPr>
        <w:pStyle w:val="nzHeading5"/>
      </w:pPr>
      <w:r>
        <w:t>9F.</w:t>
      </w:r>
      <w:r>
        <w:tab/>
        <w:t>Leave of absence</w:t>
      </w:r>
    </w:p>
    <w:p>
      <w:pPr>
        <w:pStyle w:val="nzSubsection"/>
      </w:pPr>
      <w:r>
        <w:tab/>
      </w:r>
      <w:r>
        <w:tab/>
        <w:t>The Minister may grant leave of absence to a member on the terms and conditions that the Minister thinks fit.</w:t>
      </w:r>
    </w:p>
    <w:p>
      <w:pPr>
        <w:pStyle w:val="nzHeading5"/>
      </w:pPr>
      <w:r>
        <w:t>9G.</w:t>
      </w:r>
      <w:r>
        <w:tab/>
        <w:t>Termination of term of office may be deferred</w:t>
      </w:r>
    </w:p>
    <w:p>
      <w:pPr>
        <w:pStyle w:val="nzSubsection"/>
      </w:pPr>
      <w:r>
        <w:tab/>
      </w:r>
      <w:r>
        <w:tab/>
        <w:t xml:space="preserve">Despite the term of office of a member having expired by the passage of time, the member may continue in office — </w:t>
      </w:r>
    </w:p>
    <w:p>
      <w:pPr>
        <w:pStyle w:val="nzIndenta"/>
      </w:pPr>
      <w:r>
        <w:tab/>
        <w:t>(a)</w:t>
      </w:r>
      <w:r>
        <w:tab/>
        <w:t>until the member is reappointed, or a successor is appointed; and</w:t>
      </w:r>
    </w:p>
    <w:p>
      <w:pPr>
        <w:pStyle w:val="nzIndenta"/>
      </w:pPr>
      <w:r>
        <w:tab/>
        <w:t>(b)</w:t>
      </w:r>
      <w:r>
        <w:tab/>
        <w:t>in any event for the purpose of completing any part</w:t>
      </w:r>
      <w:r>
        <w:noBreakHyphen/>
        <w:t>heard proceedings,</w:t>
      </w:r>
    </w:p>
    <w:p>
      <w:pPr>
        <w:pStyle w:val="nzSubsection"/>
      </w:pPr>
      <w:r>
        <w:tab/>
      </w:r>
      <w:r>
        <w:tab/>
        <w:t>unless the Minister otherwise directs.</w:t>
      </w:r>
    </w:p>
    <w:p>
      <w:pPr>
        <w:pStyle w:val="nzHeading5"/>
        <w:outlineLvl w:val="0"/>
      </w:pPr>
      <w:r>
        <w:t>9H.</w:t>
      </w:r>
      <w:r>
        <w:tab/>
        <w:t>Remuneration and conditions of members</w:t>
      </w:r>
    </w:p>
    <w:p>
      <w:pPr>
        <w:pStyle w:val="nzSubsection"/>
      </w:pPr>
      <w:r>
        <w:tab/>
        <w:t>(1)</w:t>
      </w:r>
      <w:r>
        <w:tab/>
        <w:t>The remuneration and allowances and other conditions of office of a member are to be determined by the Minister after consultation with the Minister for Public Sector Management.</w:t>
      </w:r>
    </w:p>
    <w:p>
      <w:pPr>
        <w:pStyle w:val="nzSubsection"/>
      </w:pPr>
      <w:r>
        <w:tab/>
        <w:t>(2)</w:t>
      </w:r>
      <w:r>
        <w:tab/>
        <w:t xml:space="preserve">Subsection (1) has effect subject to the </w:t>
      </w:r>
      <w:r>
        <w:rPr>
          <w:i/>
          <w:iCs/>
        </w:rPr>
        <w:t>Salaries and Allowances Act 1975</w:t>
      </w:r>
      <w:r>
        <w:t xml:space="preserve"> if that Act applies to the member.</w:t>
      </w:r>
    </w:p>
    <w:p>
      <w:pPr>
        <w:pStyle w:val="nzSubsection"/>
      </w:pPr>
      <w:r>
        <w:tab/>
        <w:t>(3)</w:t>
      </w:r>
      <w:r>
        <w:tab/>
        <w:t>The remuneration and allowances and conditions of office of a member are not to be varied while the member is in office so as to become less favourable to the member.</w:t>
      </w:r>
    </w:p>
    <w:p>
      <w:pPr>
        <w:pStyle w:val="nzHeading3"/>
        <w:outlineLvl w:val="0"/>
      </w:pPr>
      <w:r>
        <w:t>Division 2B — Other matters</w:t>
      </w:r>
    </w:p>
    <w:p>
      <w:pPr>
        <w:pStyle w:val="nzHeading5"/>
      </w:pPr>
      <w:r>
        <w:t>9I.</w:t>
      </w:r>
      <w:r>
        <w:tab/>
        <w:t>Decisions of the Commission</w:t>
      </w:r>
    </w:p>
    <w:p>
      <w:pPr>
        <w:pStyle w:val="nzSubsection"/>
      </w:pPr>
      <w:r>
        <w:tab/>
        <w:t>(1)</w:t>
      </w:r>
      <w:r>
        <w:tab/>
        <w:t>A decision of the Commission is to be given in writing and authenticated in accordance with rules of the Commission.</w:t>
      </w:r>
    </w:p>
    <w:p>
      <w:pPr>
        <w:pStyle w:val="nzSubsection"/>
      </w:pPr>
      <w:r>
        <w:tab/>
        <w:t>(2)</w:t>
      </w:r>
      <w:r>
        <w:tab/>
        <w:t>The Commission is to give a copy of a decision to each party to the proceedings.</w:t>
      </w:r>
    </w:p>
    <w:p>
      <w:pPr>
        <w:pStyle w:val="nzSubsection"/>
      </w:pPr>
      <w:r>
        <w:tab/>
        <w:t>(3)</w:t>
      </w:r>
      <w:r>
        <w:tab/>
        <w:t>A failure of the Commission to comply with subsection (1) or (2) does not affect the validity of a decision.</w:t>
      </w:r>
    </w:p>
    <w:p>
      <w:pPr>
        <w:pStyle w:val="nzHeading5"/>
      </w:pPr>
      <w:r>
        <w:t>9J.</w:t>
      </w:r>
      <w:r>
        <w:tab/>
        <w:t>Official seal</w:t>
      </w:r>
    </w:p>
    <w:p>
      <w:pPr>
        <w:pStyle w:val="nzSubsection"/>
      </w:pPr>
      <w:r>
        <w:tab/>
        <w:t>(1)</w:t>
      </w:r>
      <w:r>
        <w:tab/>
        <w:t>The Commission is to have a seal.</w:t>
      </w:r>
    </w:p>
    <w:p>
      <w:pPr>
        <w:pStyle w:val="nzSubsection"/>
      </w:pPr>
      <w:r>
        <w:tab/>
        <w:t>(2)</w:t>
      </w:r>
      <w:r>
        <w:tab/>
        <w:t>All courts and persons acting judicially are required to take judicial notice of the official seal of the Commission affixed to a document.</w:t>
      </w:r>
    </w:p>
    <w:p>
      <w:pPr>
        <w:pStyle w:val="nzSubsection"/>
      </w:pPr>
      <w:r>
        <w:tab/>
        <w:t>(3)</w:t>
      </w:r>
      <w:r>
        <w:tab/>
        <w:t>If the official seal of the Commission is affixed to a document, a court or person acting judicially is to presume that it was properly affixed unless the contrary is proved.</w:t>
      </w:r>
    </w:p>
    <w:p>
      <w:pPr>
        <w:pStyle w:val="nzHeading5"/>
      </w:pPr>
      <w:r>
        <w:t>9K.</w:t>
      </w:r>
      <w:r>
        <w:tab/>
        <w:t>Annual reports</w:t>
      </w:r>
    </w:p>
    <w:p>
      <w:pPr>
        <w:pStyle w:val="nzSubsection"/>
      </w:pPr>
      <w:r>
        <w:tab/>
        <w:t>(1)</w:t>
      </w:r>
      <w:r>
        <w:tab/>
        <w:t>The chairperson is required, on or before 30 September in each year, to submit to the Minister an annual report on the activities of the Commission during the year ending on the preceding 30 June.</w:t>
      </w:r>
    </w:p>
    <w:p>
      <w:pPr>
        <w:pStyle w:val="nzSubsection"/>
      </w:pPr>
      <w:r>
        <w:tab/>
        <w:t>(2)</w:t>
      </w:r>
      <w:r>
        <w:tab/>
        <w:t xml:space="preserve">The annual report is to include details of — </w:t>
      </w:r>
    </w:p>
    <w:p>
      <w:pPr>
        <w:pStyle w:val="nzIndenta"/>
      </w:pPr>
      <w:r>
        <w:tab/>
        <w:t>(a)</w:t>
      </w:r>
      <w:r>
        <w:tab/>
        <w:t>the number, nature and outcome of matters that have come before the Commission; and</w:t>
      </w:r>
    </w:p>
    <w:p>
      <w:pPr>
        <w:pStyle w:val="nzIndenta"/>
      </w:pPr>
      <w:r>
        <w:tab/>
        <w:t>(b)</w:t>
      </w:r>
      <w:r>
        <w:tab/>
        <w:t>the number and nature of matters that are outstanding; and</w:t>
      </w:r>
    </w:p>
    <w:p>
      <w:pPr>
        <w:pStyle w:val="nzIndenta"/>
      </w:pPr>
      <w:r>
        <w:tab/>
        <w:t>(c)</w:t>
      </w:r>
      <w:r>
        <w:tab/>
        <w:t>any trends or special problems that may have emerged; and</w:t>
      </w:r>
    </w:p>
    <w:p>
      <w:pPr>
        <w:pStyle w:val="nzIndenta"/>
      </w:pPr>
      <w:r>
        <w:tab/>
        <w:t>(d)</w:t>
      </w:r>
      <w:r>
        <w:tab/>
        <w:t>forecasts of the workload of the Commission in the year after the year to which the report relates; and</w:t>
      </w:r>
    </w:p>
    <w:p>
      <w:pPr>
        <w:pStyle w:val="nzIndenta"/>
      </w:pPr>
      <w:r>
        <w:tab/>
        <w:t>(e)</w:t>
      </w:r>
      <w:r>
        <w:tab/>
        <w:t>any proposals for improving the operation of the Commission.</w:t>
      </w:r>
    </w:p>
    <w:p>
      <w:pPr>
        <w:pStyle w:val="nzSubsection"/>
      </w:pPr>
      <w:r>
        <w:tab/>
        <w:t>(3)</w:t>
      </w:r>
      <w:r>
        <w:tab/>
        <w:t>The Minister is to cause a copy of each report submitted under subsection (1) to be laid before each House of Parliament within 28 days after submission of the report.</w:t>
      </w:r>
    </w:p>
    <w:p>
      <w:pPr>
        <w:pStyle w:val="nz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nzSubsection"/>
      </w:pPr>
      <w:r>
        <w:tab/>
        <w:t>(5)</w:t>
      </w:r>
      <w:r>
        <w:tab/>
        <w:t>The chairperson may, from time to time, report to the Minister about anything referred to in subsection (4) whether or not the chairperson has been requested to do so.</w:t>
      </w:r>
    </w:p>
    <w:p>
      <w:pPr>
        <w:pStyle w:val="nzHeading5"/>
      </w:pPr>
      <w:r>
        <w:t>9L.</w:t>
      </w:r>
      <w:r>
        <w:tab/>
        <w:t>Laying annual report before House of Parliament not sitting</w:t>
      </w:r>
    </w:p>
    <w:p>
      <w:pPr>
        <w:pStyle w:val="nzSubsection"/>
      </w:pPr>
      <w:r>
        <w:tab/>
        <w:t>(1)</w:t>
      </w:r>
      <w:r>
        <w:tab/>
        <w:t xml:space="preserve">If — </w:t>
      </w:r>
    </w:p>
    <w:p>
      <w:pPr>
        <w:pStyle w:val="nzIndenta"/>
      </w:pPr>
      <w:r>
        <w:tab/>
        <w:t>(a)</w:t>
      </w:r>
      <w:r>
        <w:tab/>
        <w:t>at the commencement of the period within which section 9K(3) requires a copy of a report to be laid before a House of Parliament, the House is not sitting; and</w:t>
      </w:r>
    </w:p>
    <w:p>
      <w:pPr>
        <w:pStyle w:val="nzIndenta"/>
      </w:pPr>
      <w:r>
        <w:tab/>
        <w:t>(b)</w:t>
      </w:r>
      <w:r>
        <w:tab/>
        <w:t>the Minister is of the opinion that the House will not sit during that period,</w:t>
      </w:r>
    </w:p>
    <w:p>
      <w:pPr>
        <w:pStyle w:val="nzSubsection"/>
      </w:pPr>
      <w:r>
        <w:tab/>
      </w:r>
      <w:r>
        <w:tab/>
        <w:t>the Minister is to transmit a copy of the report to the Clerk of the House.</w:t>
      </w:r>
    </w:p>
    <w:p>
      <w:pPr>
        <w:pStyle w:val="nzSubsection"/>
      </w:pPr>
      <w:r>
        <w:tab/>
        <w:t>(2)</w:t>
      </w:r>
      <w:r>
        <w:tab/>
        <w:t>A copy of a report transmitted to the Clerk of a House is to be regarded as having been laid before that House.</w:t>
      </w:r>
    </w:p>
    <w:p>
      <w:pPr>
        <w:pStyle w:val="nz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nzHeading5"/>
      </w:pPr>
      <w:r>
        <w:t>9M.</w:t>
      </w:r>
      <w:r>
        <w:tab/>
        <w:t>Immunity</w:t>
      </w:r>
    </w:p>
    <w:p>
      <w:pPr>
        <w:pStyle w:val="nzSubsection"/>
      </w:pPr>
      <w:r>
        <w:tab/>
        <w:t>(1)</w:t>
      </w:r>
      <w:r>
        <w:tab/>
        <w:t>A member has, in the performance of his or her functions as member, the same protection and immunity as a judge of the Supreme Court has in the performance of his or her duties as a judge.</w:t>
      </w:r>
    </w:p>
    <w:p>
      <w:pPr>
        <w:pStyle w:val="nzSubsection"/>
      </w:pPr>
      <w:r>
        <w:tab/>
        <w:t>(2)</w:t>
      </w:r>
      <w:r>
        <w:tab/>
        <w:t>A person representing a party in proceedings in the Commission has the same protection and immunity as a legal practitioner has in representing a party in proceedings in the Supreme Court.</w:t>
      </w:r>
    </w:p>
    <w:p>
      <w:pPr>
        <w:pStyle w:val="nzSubsection"/>
      </w:pPr>
      <w:r>
        <w:tab/>
        <w:t>(3)</w:t>
      </w:r>
      <w:r>
        <w:tab/>
        <w:t>A party to proceedings in the Commission has the same protection and immunity as a party to proceedings in the Supreme Court.</w:t>
      </w:r>
    </w:p>
    <w:p>
      <w:pPr>
        <w:pStyle w:val="nzSubsection"/>
      </w:pPr>
      <w:r>
        <w:tab/>
        <w:t>(4)</w:t>
      </w:r>
      <w:r>
        <w:tab/>
        <w:t>A person appearing as a witness before the Commission has the same protection and immunity as a witness has in proceedings in the Supreme Court.</w:t>
      </w:r>
    </w:p>
    <w:p>
      <w:pPr>
        <w:pStyle w:val="MiscClose"/>
      </w:pPr>
      <w:r>
        <w:t xml:space="preserve">    ”.</w:t>
      </w:r>
    </w:p>
    <w:p>
      <w:pPr>
        <w:pStyle w:val="nzHeading5"/>
        <w:outlineLvl w:val="0"/>
      </w:pPr>
      <w:r>
        <w:rPr>
          <w:rStyle w:val="CharSectno"/>
        </w:rPr>
        <w:t>12</w:t>
      </w:r>
      <w:r>
        <w:t>.</w:t>
      </w:r>
      <w:r>
        <w:tab/>
        <w:t>Section 13 amended</w:t>
      </w:r>
    </w:p>
    <w:p>
      <w:pPr>
        <w:pStyle w:val="nzSubsection"/>
      </w:pPr>
      <w:r>
        <w:tab/>
        <w:t>(1)</w:t>
      </w:r>
      <w:r>
        <w:tab/>
        <w:t>Section 13(1) is repealed.</w:t>
      </w:r>
    </w:p>
    <w:p>
      <w:pPr>
        <w:pStyle w:val="nzSubsection"/>
      </w:pPr>
      <w:r>
        <w:tab/>
        <w:t>(2)</w:t>
      </w:r>
      <w:r>
        <w:tab/>
        <w:t xml:space="preserve">Section 13(2) is amended by deleting “Court, to the chief executive officer of the relevant department of the Public Service.” and inserting instead — </w:t>
      </w:r>
    </w:p>
    <w:p>
      <w:pPr>
        <w:pStyle w:val="nzSubsection"/>
      </w:pPr>
      <w:r>
        <w:tab/>
      </w:r>
      <w:r>
        <w:tab/>
        <w:t>“    Commission.    ”.</w:t>
      </w:r>
    </w:p>
    <w:p>
      <w:pPr>
        <w:pStyle w:val="nzSubsection"/>
      </w:pPr>
      <w:r>
        <w:tab/>
        <w:t>(3)</w:t>
      </w:r>
      <w:r>
        <w:tab/>
        <w:t xml:space="preserve">Section 13(3)(b) is amended by deleting “the judge of the Liquor Licensing Court.” and inserting instead — </w:t>
      </w:r>
    </w:p>
    <w:p>
      <w:pPr>
        <w:pStyle w:val="nzSubsection"/>
      </w:pPr>
      <w:r>
        <w:tab/>
      </w:r>
      <w:r>
        <w:tab/>
        <w:t>“    a member of the Commission.    ”.</w:t>
      </w:r>
    </w:p>
    <w:p>
      <w:pPr>
        <w:pStyle w:val="nzSubsection"/>
      </w:pPr>
      <w:r>
        <w:tab/>
        <w:t>(4)</w:t>
      </w:r>
      <w:r>
        <w:tab/>
        <w:t xml:space="preserve">After section 13(3) the following subsection is inserted — </w:t>
      </w:r>
    </w:p>
    <w:p>
      <w:pPr>
        <w:pStyle w:val="MiscOpen"/>
        <w:ind w:left="600"/>
      </w:pPr>
      <w:r>
        <w:t xml:space="preserve">“    </w:t>
      </w:r>
    </w:p>
    <w:p>
      <w:pPr>
        <w:pStyle w:val="nzSubsection"/>
      </w:pPr>
      <w:r>
        <w:tab/>
        <w:t>(3a)</w:t>
      </w:r>
      <w:r>
        <w:tab/>
        <w:t xml:space="preserve">Subsection (3) does not limit the functions of the Director as a chief executive officer under the </w:t>
      </w:r>
      <w:r>
        <w:rPr>
          <w:i/>
        </w:rPr>
        <w:t>Public Sector Management Act 1994</w:t>
      </w:r>
      <w:r>
        <w:t>.</w:t>
      </w:r>
    </w:p>
    <w:p>
      <w:pPr>
        <w:pStyle w:val="MiscClose"/>
      </w:pPr>
      <w:r>
        <w:t xml:space="preserve">    ”.</w:t>
      </w:r>
    </w:p>
    <w:p>
      <w:pPr>
        <w:pStyle w:val="nzSubsection"/>
      </w:pPr>
      <w:r>
        <w:tab/>
        <w:t>(5)</w:t>
      </w:r>
      <w:r>
        <w:tab/>
        <w:t xml:space="preserve">Section 13(4) is repealed and the following subsection is inserted instead — </w:t>
      </w:r>
    </w:p>
    <w:p>
      <w:pPr>
        <w:pStyle w:val="MiscOpen"/>
        <w:ind w:left="600"/>
      </w:pPr>
      <w:r>
        <w:t xml:space="preserve">“    </w:t>
      </w:r>
    </w:p>
    <w:p>
      <w:pPr>
        <w:pStyle w:val="nz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MiscClose"/>
      </w:pPr>
      <w:r>
        <w:t xml:space="preserve">    ”.</w:t>
      </w:r>
    </w:p>
    <w:p>
      <w:pPr>
        <w:pStyle w:val="nzHeading5"/>
        <w:outlineLvl w:val="0"/>
      </w:pPr>
      <w:r>
        <w:rPr>
          <w:rStyle w:val="CharSectno"/>
        </w:rPr>
        <w:t>13</w:t>
      </w:r>
      <w:r>
        <w:t>.</w:t>
      </w:r>
      <w:r>
        <w:tab/>
        <w:t>Section 16 amended</w:t>
      </w:r>
    </w:p>
    <w:p>
      <w:pPr>
        <w:pStyle w:val="nzSubsection"/>
      </w:pPr>
      <w:r>
        <w:tab/>
        <w:t>(1)</w:t>
      </w:r>
      <w:r>
        <w:tab/>
        <w:t>Section 16(1)(b) is amended by deleting “notwithstanding subsection (7), is not bound by legal rules relating to evidence or procedure but”.</w:t>
      </w:r>
    </w:p>
    <w:p>
      <w:pPr>
        <w:pStyle w:val="nzSubsection"/>
      </w:pPr>
      <w:r>
        <w:tab/>
        <w:t>(2)</w:t>
      </w:r>
      <w:r>
        <w:tab/>
        <w:t xml:space="preserve">Section 16(7) and (8) are repealed and the following subsections are inserted instead — </w:t>
      </w:r>
    </w:p>
    <w:p>
      <w:pPr>
        <w:pStyle w:val="MiscOpen"/>
        <w:ind w:left="600"/>
      </w:pPr>
      <w:r>
        <w:t xml:space="preserve">“    </w:t>
      </w:r>
    </w:p>
    <w:p>
      <w:pPr>
        <w:pStyle w:val="nzSubsection"/>
      </w:pPr>
      <w:r>
        <w:tab/>
        <w:t>(7)</w:t>
      </w:r>
      <w:r>
        <w:tab/>
        <w:t xml:space="preserve">The </w:t>
      </w:r>
      <w:r>
        <w:rPr>
          <w:i/>
          <w:iCs/>
        </w:rPr>
        <w:t xml:space="preserve">Evidence Act 1906 </w:t>
      </w:r>
      <w:r>
        <w:t xml:space="preserve">does not apply to the proceedings of the licensing authority, however constituted, and the licensing authority — </w:t>
      </w:r>
    </w:p>
    <w:p>
      <w:pPr>
        <w:pStyle w:val="nz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nzIndenta"/>
      </w:pPr>
      <w:r>
        <w:tab/>
        <w:t>(b)</w:t>
      </w:r>
      <w:r>
        <w:tab/>
        <w:t>is to act according to equity, good conscience and the substantial merits of the case without regard to technicalities and legal forms; and</w:t>
      </w:r>
    </w:p>
    <w:p>
      <w:pPr>
        <w:pStyle w:val="nzIndenta"/>
      </w:pPr>
      <w:r>
        <w:tab/>
        <w:t>(c)</w:t>
      </w:r>
      <w:r>
        <w:tab/>
        <w:t>is to act as speedily and with as little formality and technicality as is practicable.</w:t>
      </w:r>
    </w:p>
    <w:p>
      <w:pPr>
        <w:pStyle w:val="nzSubsection"/>
      </w:pPr>
      <w:r>
        <w:tab/>
        <w:t>(8)</w:t>
      </w:r>
      <w:r>
        <w:tab/>
        <w:t>The hearing of a proceeding before the Commission is to be in private unless the Commission considers that, in the circumstances of the case, the hearing should be in public.</w:t>
      </w:r>
    </w:p>
    <w:p>
      <w:pPr>
        <w:pStyle w:val="MiscClose"/>
      </w:pPr>
      <w:r>
        <w:t xml:space="preserve">    ”.</w:t>
      </w:r>
    </w:p>
    <w:p>
      <w:pPr>
        <w:pStyle w:val="nzSubsection"/>
      </w:pPr>
      <w:r>
        <w:tab/>
        <w:t>(3)</w:t>
      </w:r>
      <w:r>
        <w:tab/>
        <w:t>Section 16(9) is amended as follows:</w:t>
      </w:r>
    </w:p>
    <w:p>
      <w:pPr>
        <w:pStyle w:val="nzIndenta"/>
      </w:pPr>
      <w:r>
        <w:tab/>
        <w:t>(a)</w:t>
      </w:r>
      <w:r>
        <w:tab/>
        <w:t xml:space="preserve">by deleting the portion of the subsection before paragraph (b) and inserting instead — </w:t>
      </w:r>
    </w:p>
    <w:p>
      <w:pPr>
        <w:pStyle w:val="MiscOpen"/>
        <w:ind w:left="880"/>
      </w:pPr>
      <w:r>
        <w:t xml:space="preserve">“    </w:t>
      </w:r>
    </w:p>
    <w:p>
      <w:pPr>
        <w:pStyle w:val="nzSubsection"/>
      </w:pPr>
      <w:r>
        <w:tab/>
      </w:r>
      <w:r>
        <w:tab/>
        <w:t xml:space="preserve">When the hearing of a proceeding before the Commission is in private, the Commission, of its own motion or on the application of a party to the proceeding, may — </w:t>
      </w:r>
    </w:p>
    <w:p>
      <w:pPr>
        <w:pStyle w:val="nzIndenta"/>
        <w:outlineLvl w:val="0"/>
      </w:pPr>
      <w:r>
        <w:tab/>
        <w:t>(a)</w:t>
      </w:r>
      <w:r>
        <w:tab/>
        <w:t>subject to section 17, give directions as to the persons who may be present; and</w:t>
      </w:r>
    </w:p>
    <w:p>
      <w:pPr>
        <w:pStyle w:val="MiscClose"/>
      </w:pPr>
      <w:r>
        <w:t xml:space="preserve">    ”;</w:t>
      </w:r>
    </w:p>
    <w:p>
      <w:pPr>
        <w:pStyle w:val="nzIndenta"/>
        <w:outlineLvl w:val="0"/>
      </w:pPr>
      <w:r>
        <w:tab/>
        <w:t>(b)</w:t>
      </w:r>
      <w:r>
        <w:tab/>
        <w:t>in paragraph (b), by deleting “, whether in public or in private,”.</w:t>
      </w:r>
    </w:p>
    <w:p>
      <w:pPr>
        <w:pStyle w:val="nzSubsection"/>
      </w:pPr>
      <w:r>
        <w:tab/>
        <w:t>(4)</w:t>
      </w:r>
      <w:r>
        <w:tab/>
        <w:t>Section 16(10) is amended as follows:</w:t>
      </w:r>
    </w:p>
    <w:p>
      <w:pPr>
        <w:pStyle w:val="nzIndenta"/>
      </w:pPr>
      <w:r>
        <w:tab/>
        <w:t>(a)</w:t>
      </w:r>
      <w:r>
        <w:tab/>
        <w:t>by deleting paragraph (a) and “or” after it;</w:t>
      </w:r>
    </w:p>
    <w:p>
      <w:pPr>
        <w:pStyle w:val="nzIndenta"/>
      </w:pPr>
      <w:r>
        <w:tab/>
        <w:t>(b)</w:t>
      </w:r>
      <w:r>
        <w:tab/>
        <w:t>by deleting “proceedings should be public and that”;</w:t>
      </w:r>
    </w:p>
    <w:p>
      <w:pPr>
        <w:pStyle w:val="nzIndenta"/>
      </w:pPr>
      <w:r>
        <w:tab/>
        <w:t>(c)</w:t>
      </w:r>
      <w:r>
        <w:tab/>
        <w:t>by deleting “to the public and”;</w:t>
      </w:r>
    </w:p>
    <w:p>
      <w:pPr>
        <w:pStyle w:val="nzIndenta"/>
      </w:pPr>
      <w:r>
        <w:tab/>
        <w:t>(d)</w:t>
      </w:r>
      <w:r>
        <w:tab/>
        <w:t>by deleting “hearing should be held in private or why”.</w:t>
      </w:r>
    </w:p>
    <w:p>
      <w:pPr>
        <w:pStyle w:val="nzSubsection"/>
      </w:pPr>
      <w:r>
        <w:tab/>
        <w:t>(5)</w:t>
      </w:r>
      <w:r>
        <w:tab/>
        <w:t xml:space="preserve">Section 16(11) is amended after “and (9)” by inserting — </w:t>
      </w:r>
    </w:p>
    <w:p>
      <w:pPr>
        <w:pStyle w:val="nzSubsection"/>
      </w:pPr>
      <w:r>
        <w:tab/>
      </w:r>
      <w:r>
        <w:tab/>
        <w:t>“    and section 30    ”.</w:t>
      </w:r>
    </w:p>
    <w:p>
      <w:pPr>
        <w:pStyle w:val="nzSubsection"/>
      </w:pPr>
      <w:r>
        <w:tab/>
        <w:t>(6)</w:t>
      </w:r>
      <w:r>
        <w:tab/>
        <w:t xml:space="preserve">Section 16(14) is amended by deleting “licensee or manager” and inserting instead — </w:t>
      </w:r>
    </w:p>
    <w:p>
      <w:pPr>
        <w:pStyle w:val="nzSubsection"/>
      </w:pPr>
      <w:r>
        <w:tab/>
      </w:r>
      <w:r>
        <w:tab/>
        <w:t>“    person    ”.</w:t>
      </w:r>
    </w:p>
    <w:p>
      <w:pPr>
        <w:pStyle w:val="nzHeading5"/>
        <w:outlineLvl w:val="0"/>
      </w:pPr>
      <w:r>
        <w:rPr>
          <w:rStyle w:val="CharSectno"/>
        </w:rPr>
        <w:t>14</w:t>
      </w:r>
      <w:r>
        <w:t>.</w:t>
      </w:r>
      <w:r>
        <w:tab/>
        <w:t>Section 18 amended</w:t>
      </w:r>
    </w:p>
    <w:p>
      <w:pPr>
        <w:pStyle w:val="nzSubsection"/>
      </w:pPr>
      <w:r>
        <w:tab/>
        <w:t>(1)</w:t>
      </w:r>
      <w:r>
        <w:tab/>
        <w:t xml:space="preserve">Section 18(2)(a) is amended by deleting “the judge;” and inserting instead — </w:t>
      </w:r>
    </w:p>
    <w:p>
      <w:pPr>
        <w:pStyle w:val="nzSubsection"/>
      </w:pPr>
      <w:r>
        <w:tab/>
      </w:r>
      <w:r>
        <w:tab/>
        <w:t>“    a member;    ”.</w:t>
      </w:r>
    </w:p>
    <w:p>
      <w:pPr>
        <w:pStyle w:val="nzSubsection"/>
      </w:pPr>
      <w:r>
        <w:tab/>
        <w:t>(2)</w:t>
      </w:r>
      <w:r>
        <w:tab/>
        <w:t xml:space="preserve">Section 18(3)(a) is amended by deleting “judge” and inserting instead — </w:t>
      </w:r>
    </w:p>
    <w:p>
      <w:pPr>
        <w:pStyle w:val="nzSubsection"/>
      </w:pPr>
      <w:r>
        <w:tab/>
      </w:r>
      <w:r>
        <w:tab/>
        <w:t>“    chairperson    ”.</w:t>
      </w:r>
    </w:p>
    <w:p>
      <w:pPr>
        <w:pStyle w:val="nzSubsection"/>
      </w:pPr>
      <w:r>
        <w:tab/>
        <w:t>(3)</w:t>
      </w:r>
      <w:r>
        <w:tab/>
        <w:t xml:space="preserve">Section 18(3)(c) is amended by deleting “Rules of Court” and inserting instead — </w:t>
      </w:r>
    </w:p>
    <w:p>
      <w:pPr>
        <w:pStyle w:val="nzSubsection"/>
      </w:pPr>
      <w:r>
        <w:tab/>
      </w:r>
      <w:r>
        <w:tab/>
        <w:t>“    rules of the Commission    ”.</w:t>
      </w:r>
    </w:p>
    <w:p>
      <w:pPr>
        <w:pStyle w:val="nzHeading5"/>
        <w:outlineLvl w:val="0"/>
      </w:pPr>
      <w:r>
        <w:rPr>
          <w:rStyle w:val="CharSectno"/>
        </w:rPr>
        <w:t>15</w:t>
      </w:r>
      <w:r>
        <w:t>.</w:t>
      </w:r>
      <w:r>
        <w:tab/>
        <w:t>Section 18A inserted</w:t>
      </w:r>
    </w:p>
    <w:p>
      <w:pPr>
        <w:pStyle w:val="nzSubsection"/>
      </w:pPr>
      <w:r>
        <w:tab/>
        <w:t>(1)</w:t>
      </w:r>
      <w:r>
        <w:tab/>
        <w:t xml:space="preserve">After section 18 the following section is inserted — </w:t>
      </w:r>
    </w:p>
    <w:p>
      <w:pPr>
        <w:pStyle w:val="MiscOpen"/>
        <w:keepLines w:val="0"/>
      </w:pPr>
      <w:r>
        <w:t xml:space="preserve">“    </w:t>
      </w:r>
    </w:p>
    <w:p>
      <w:pPr>
        <w:pStyle w:val="nzHeading5"/>
      </w:pPr>
      <w:r>
        <w:t>18A.</w:t>
      </w:r>
      <w:r>
        <w:tab/>
        <w:t>Enforcement of decisions</w:t>
      </w:r>
    </w:p>
    <w:p>
      <w:pPr>
        <w:pStyle w:val="nzSubsection"/>
      </w:pPr>
      <w:r>
        <w:tab/>
        <w:t>(1)</w:t>
      </w:r>
      <w:r>
        <w:tab/>
        <w:t>Subject to sections 19 and 143, a decision of the licensing authority, however constituted, may be enforced under this section.</w:t>
      </w:r>
    </w:p>
    <w:p>
      <w:pPr>
        <w:pStyle w:val="nzSubsection"/>
      </w:pPr>
      <w:r>
        <w:tab/>
        <w:t>(2)</w:t>
      </w:r>
      <w:r>
        <w:tab/>
        <w:t xml:space="preserve">A person seeking to enforce a decision under this section may file in the Supreme Court — </w:t>
      </w:r>
    </w:p>
    <w:p>
      <w:pPr>
        <w:pStyle w:val="nzIndenta"/>
      </w:pPr>
      <w:r>
        <w:tab/>
        <w:t>(a)</w:t>
      </w:r>
      <w:r>
        <w:tab/>
        <w:t>a copy of the decision that the licensing authority has certified to be a true copy; and</w:t>
      </w:r>
    </w:p>
    <w:p>
      <w:pPr>
        <w:pStyle w:val="nzIndenta"/>
      </w:pPr>
      <w:r>
        <w:tab/>
        <w:t>(b)</w:t>
      </w:r>
      <w:r>
        <w:tab/>
        <w:t>the person’s affidavit stating to what extent the decision has not been complied with; and</w:t>
      </w:r>
    </w:p>
    <w:p>
      <w:pPr>
        <w:pStyle w:val="nzIndenta"/>
      </w:pPr>
      <w:r>
        <w:tab/>
        <w:t>(c)</w:t>
      </w:r>
      <w:r>
        <w:tab/>
        <w:t>a certificate from the licensing authority stating that the decision is appropriate for filing in the Supreme Court.</w:t>
      </w:r>
    </w:p>
    <w:p>
      <w:pPr>
        <w:pStyle w:val="nzSubsection"/>
      </w:pPr>
      <w:r>
        <w:tab/>
        <w:t>(3)</w:t>
      </w:r>
      <w:r>
        <w:tab/>
        <w:t>No charge is to be made for filing a copy of a decision, an affidavit or a certificate under this section.</w:t>
      </w:r>
    </w:p>
    <w:p>
      <w:pPr>
        <w:pStyle w:val="nzSubsection"/>
      </w:pPr>
      <w:r>
        <w:tab/>
        <w:t>(4)</w:t>
      </w:r>
      <w:r>
        <w:tab/>
        <w:t>On filing, the decision is to be taken to be a decision of the Supreme Court and may be enforced accordingly.</w:t>
      </w:r>
    </w:p>
    <w:p>
      <w:pPr>
        <w:pStyle w:val="MiscClose"/>
      </w:pPr>
      <w:r>
        <w:t xml:space="preserve">    ”.</w:t>
      </w:r>
    </w:p>
    <w:p>
      <w:pPr>
        <w:pStyle w:val="nzHeading5"/>
        <w:outlineLvl w:val="0"/>
      </w:pPr>
      <w:r>
        <w:rPr>
          <w:rStyle w:val="CharSectno"/>
        </w:rPr>
        <w:t>16</w:t>
      </w:r>
      <w:r>
        <w:t>.</w:t>
      </w:r>
      <w:r>
        <w:tab/>
        <w:t>Section 19 amended</w:t>
      </w:r>
    </w:p>
    <w:p>
      <w:pPr>
        <w:pStyle w:val="nzSubsection"/>
      </w:pPr>
      <w:r>
        <w:tab/>
        <w:t>(1)</w:t>
      </w:r>
      <w:r>
        <w:tab/>
        <w:t>Section 19(1) is repealed.</w:t>
      </w:r>
    </w:p>
    <w:p>
      <w:pPr>
        <w:pStyle w:val="nzSubsection"/>
      </w:pPr>
      <w:r>
        <w:tab/>
        <w:t>(2)</w:t>
      </w:r>
      <w:r>
        <w:tab/>
        <w:t>Section 19(2) is amended as follows:</w:t>
      </w:r>
    </w:p>
    <w:p>
      <w:pPr>
        <w:pStyle w:val="nzIndenta"/>
      </w:pPr>
      <w:r>
        <w:tab/>
        <w:t>(a)</w:t>
      </w:r>
      <w:r>
        <w:tab/>
        <w:t xml:space="preserve">by deleting “or the Court makes an order for the payment of costs” and inserting instead — </w:t>
      </w:r>
    </w:p>
    <w:p>
      <w:pPr>
        <w:pStyle w:val="nzIndenta"/>
      </w:pPr>
      <w:r>
        <w:tab/>
      </w:r>
      <w:r>
        <w:tab/>
        <w:t>“    by the licensing authority, however constituted,    ”;</w:t>
      </w:r>
    </w:p>
    <w:p>
      <w:pPr>
        <w:pStyle w:val="nzIndenta"/>
      </w:pPr>
      <w:r>
        <w:tab/>
        <w:t>(b)</w:t>
      </w:r>
      <w:r>
        <w:tab/>
        <w:t>by deleting “or the costs”.</w:t>
      </w:r>
    </w:p>
    <w:p>
      <w:pPr>
        <w:pStyle w:val="nzHeading5"/>
        <w:outlineLvl w:val="0"/>
      </w:pPr>
      <w:r>
        <w:rPr>
          <w:rStyle w:val="CharSectno"/>
        </w:rPr>
        <w:t>17</w:t>
      </w:r>
      <w:r>
        <w:t>.</w:t>
      </w:r>
      <w:r>
        <w:tab/>
        <w:t>Section 20 amended</w:t>
      </w:r>
    </w:p>
    <w:p>
      <w:pPr>
        <w:pStyle w:val="nzSubsection"/>
        <w:outlineLvl w:val="0"/>
      </w:pPr>
      <w:r>
        <w:tab/>
        <w:t>(1)</w:t>
      </w:r>
      <w:r>
        <w:tab/>
        <w:t>Section 20(1) is amended as follows:</w:t>
      </w:r>
    </w:p>
    <w:p>
      <w:pPr>
        <w:pStyle w:val="nzIndenta"/>
      </w:pPr>
      <w:r>
        <w:tab/>
        <w:t>(a)</w:t>
      </w:r>
      <w:r>
        <w:tab/>
        <w:t xml:space="preserve">in paragraph (a)(i), by deleting “the Liquor Licensing Court judge,” and inserting instead — </w:t>
      </w:r>
    </w:p>
    <w:p>
      <w:pPr>
        <w:pStyle w:val="nzIndenta"/>
      </w:pPr>
      <w:r>
        <w:tab/>
      </w:r>
      <w:r>
        <w:tab/>
        <w:t>“    a member,    ”;</w:t>
      </w:r>
    </w:p>
    <w:p>
      <w:pPr>
        <w:pStyle w:val="nzIndenta"/>
      </w:pPr>
      <w:r>
        <w:tab/>
        <w:t>(b)</w:t>
      </w:r>
      <w:r>
        <w:tab/>
        <w:t xml:space="preserve">by deleting the passage from and including “Liquor Licensing Court judge may” to the end of the subsection and inserting instead — </w:t>
      </w:r>
    </w:p>
    <w:p>
      <w:pPr>
        <w:pStyle w:val="MiscOpen"/>
        <w:ind w:left="880"/>
      </w:pPr>
      <w:r>
        <w:t xml:space="preserve">“    </w:t>
      </w:r>
    </w:p>
    <w:p>
      <w:pPr>
        <w:pStyle w:val="nzSubsection"/>
      </w:pPr>
      <w:r>
        <w:tab/>
      </w:r>
      <w:r>
        <w:tab/>
        <w:t>chairperson may report the matter to the District Court, and the District Court has jurisdiction to deal with the matter as if it were a contempt of the District Court.</w:t>
      </w:r>
    </w:p>
    <w:p>
      <w:pPr>
        <w:pStyle w:val="MiscClose"/>
      </w:pPr>
      <w:r>
        <w:t xml:space="preserve">    ”.</w:t>
      </w:r>
    </w:p>
    <w:p>
      <w:pPr>
        <w:pStyle w:val="nzSubsection"/>
        <w:outlineLvl w:val="0"/>
      </w:pPr>
      <w:r>
        <w:tab/>
        <w:t>(2)</w:t>
      </w:r>
      <w:r>
        <w:tab/>
        <w:t xml:space="preserve">After section 20(1) the following subsection is inserted — </w:t>
      </w:r>
    </w:p>
    <w:p>
      <w:pPr>
        <w:pStyle w:val="MiscOpen"/>
        <w:ind w:left="600"/>
      </w:pPr>
      <w:r>
        <w:t xml:space="preserve">“    </w:t>
      </w:r>
    </w:p>
    <w:p>
      <w:pPr>
        <w:pStyle w:val="nzSubsection"/>
      </w:pPr>
      <w:r>
        <w:tab/>
        <w:t>(1a)</w:t>
      </w:r>
      <w:r>
        <w:tab/>
        <w:t>If subsection (1) applies to an act or omission by a person and that act or omission is also an offence under this Act, the person is not liable to be punished twice.</w:t>
      </w:r>
    </w:p>
    <w:p>
      <w:pPr>
        <w:pStyle w:val="MiscClose"/>
      </w:pPr>
      <w:r>
        <w:t xml:space="preserve">    ”.</w:t>
      </w:r>
    </w:p>
    <w:p>
      <w:pPr>
        <w:pStyle w:val="nzSubsection"/>
        <w:outlineLvl w:val="0"/>
      </w:pPr>
      <w:r>
        <w:tab/>
        <w:t>(3)</w:t>
      </w:r>
      <w:r>
        <w:tab/>
        <w:t xml:space="preserve">Section 20(3)(c) is amended by deleting “the judge,” and inserting instead — </w:t>
      </w:r>
    </w:p>
    <w:p>
      <w:pPr>
        <w:pStyle w:val="nzSubsection"/>
      </w:pPr>
      <w:r>
        <w:tab/>
      </w:r>
      <w:r>
        <w:tab/>
        <w:t>“    a member,    ”.</w:t>
      </w:r>
    </w:p>
    <w:p>
      <w:pPr>
        <w:pStyle w:val="nzHeading5"/>
        <w:outlineLvl w:val="0"/>
      </w:pPr>
      <w:r>
        <w:rPr>
          <w:rStyle w:val="CharSectno"/>
        </w:rPr>
        <w:t>18</w:t>
      </w:r>
      <w:r>
        <w:t>.</w:t>
      </w:r>
      <w:r>
        <w:tab/>
        <w:t>Section 21 amended</w:t>
      </w:r>
    </w:p>
    <w:p>
      <w:pPr>
        <w:pStyle w:val="nzSubsection"/>
      </w:pPr>
      <w:r>
        <w:tab/>
      </w:r>
      <w:r>
        <w:tab/>
        <w:t>Section 21(3) is repealed.</w:t>
      </w:r>
    </w:p>
    <w:p>
      <w:pPr>
        <w:pStyle w:val="nzHeading5"/>
        <w:outlineLvl w:val="0"/>
      </w:pPr>
      <w:r>
        <w:rPr>
          <w:rStyle w:val="CharSectno"/>
        </w:rPr>
        <w:t>19</w:t>
      </w:r>
      <w:r>
        <w:t>.</w:t>
      </w:r>
      <w:r>
        <w:tab/>
        <w:t>Section 22 amended</w:t>
      </w:r>
    </w:p>
    <w:p>
      <w:pPr>
        <w:pStyle w:val="nzSubsection"/>
      </w:pPr>
      <w:r>
        <w:tab/>
      </w:r>
      <w:r>
        <w:tab/>
        <w:t>Section 22 is amended as follows:</w:t>
      </w:r>
    </w:p>
    <w:p>
      <w:pPr>
        <w:pStyle w:val="nzIndenta"/>
      </w:pPr>
      <w:r>
        <w:tab/>
        <w:t>(a)</w:t>
      </w:r>
      <w:r>
        <w:tab/>
        <w:t xml:space="preserve">by deleting “of Court” and inserting instead — </w:t>
      </w:r>
    </w:p>
    <w:p>
      <w:pPr>
        <w:pStyle w:val="nzIndenta"/>
      </w:pPr>
      <w:r>
        <w:tab/>
      </w:r>
      <w:r>
        <w:tab/>
        <w:t>“    of the Commission    ”;</w:t>
      </w:r>
    </w:p>
    <w:p>
      <w:pPr>
        <w:pStyle w:val="nzIndenta"/>
      </w:pPr>
      <w:r>
        <w:tab/>
        <w:t>(b)</w:t>
      </w:r>
      <w:r>
        <w:tab/>
        <w:t xml:space="preserve">by deleting “Liquor Licensing Court judge,” and inserting instead — </w:t>
      </w:r>
    </w:p>
    <w:p>
      <w:pPr>
        <w:pStyle w:val="nzIndenta"/>
      </w:pPr>
      <w:r>
        <w:tab/>
      </w:r>
      <w:r>
        <w:tab/>
        <w:t>“    Commission,    ”.</w:t>
      </w:r>
    </w:p>
    <w:p>
      <w:pPr>
        <w:pStyle w:val="nzHeading5"/>
        <w:outlineLvl w:val="0"/>
      </w:pPr>
      <w:r>
        <w:rPr>
          <w:rStyle w:val="CharSectno"/>
        </w:rPr>
        <w:t>20</w:t>
      </w:r>
      <w:r>
        <w:t>.</w:t>
      </w:r>
      <w:r>
        <w:tab/>
        <w:t>Part 2 Division 6 heading amended</w:t>
      </w:r>
    </w:p>
    <w:p>
      <w:pPr>
        <w:pStyle w:val="nzSubsection"/>
      </w:pPr>
      <w:r>
        <w:tab/>
      </w:r>
      <w:r>
        <w:tab/>
        <w:t xml:space="preserve">The heading to Part 2 Division 6 is amended by deleting “Court,” and inserting instead — </w:t>
      </w:r>
    </w:p>
    <w:p>
      <w:pPr>
        <w:pStyle w:val="nzSubsection"/>
      </w:pPr>
      <w:r>
        <w:tab/>
      </w:r>
      <w:r>
        <w:tab/>
        <w:t xml:space="preserve">“    </w:t>
      </w:r>
      <w:r>
        <w:rPr>
          <w:b/>
          <w:bCs/>
          <w:sz w:val="26"/>
        </w:rPr>
        <w:t>Commission,</w:t>
      </w:r>
      <w:r>
        <w:t xml:space="preserve">    ”.</w:t>
      </w:r>
    </w:p>
    <w:p>
      <w:pPr>
        <w:pStyle w:val="nzHeading5"/>
        <w:outlineLvl w:val="0"/>
      </w:pPr>
      <w:r>
        <w:rPr>
          <w:rStyle w:val="CharSectno"/>
        </w:rPr>
        <w:t>21</w:t>
      </w:r>
      <w:r>
        <w:t>.</w:t>
      </w:r>
      <w:r>
        <w:tab/>
        <w:t>Section 24 amended</w:t>
      </w:r>
    </w:p>
    <w:p>
      <w:pPr>
        <w:pStyle w:val="nzSubsection"/>
      </w:pPr>
      <w:r>
        <w:tab/>
        <w:t>(1)</w:t>
      </w:r>
      <w:r>
        <w:tab/>
        <w:t>Section 24 is amended before “The” by inserting the subsection designation “(1)”.</w:t>
      </w:r>
    </w:p>
    <w:p>
      <w:pPr>
        <w:pStyle w:val="nzSubsection"/>
      </w:pPr>
      <w:r>
        <w:tab/>
        <w:t>(2)</w:t>
      </w:r>
      <w:r>
        <w:tab/>
        <w:t xml:space="preserve">At the end of section 24 the following subsection is inserted — </w:t>
      </w:r>
    </w:p>
    <w:p>
      <w:pPr>
        <w:pStyle w:val="MiscOpen"/>
        <w:ind w:left="600"/>
      </w:pPr>
      <w:r>
        <w:t xml:space="preserve">“    </w:t>
      </w:r>
    </w:p>
    <w:p>
      <w:pPr>
        <w:pStyle w:val="nzSubsection"/>
      </w:pPr>
      <w:r>
        <w:tab/>
        <w:t>(2)</w:t>
      </w:r>
      <w:r>
        <w:tab/>
        <w:t xml:space="preserve">When hearing and determining a matter or part of a matter referred under subsection (1), the Commission is to be constituted by 3 members if — </w:t>
      </w:r>
    </w:p>
    <w:p>
      <w:pPr>
        <w:pStyle w:val="nzIndenta"/>
      </w:pPr>
      <w:r>
        <w:tab/>
        <w:t>(a)</w:t>
      </w:r>
      <w:r>
        <w:tab/>
        <w:t>the matter or part of a matter relates to an application for the grant or removal of a licence; or</w:t>
      </w:r>
    </w:p>
    <w:p>
      <w:pPr>
        <w:pStyle w:val="nzIndenta"/>
      </w:pPr>
      <w:r>
        <w:tab/>
        <w:t>(b)</w:t>
      </w:r>
      <w:r>
        <w:tab/>
        <w:t>the matter or part of a matter relates to the making, variation or revocation of a prohibition order under Part 5A; or</w:t>
      </w:r>
    </w:p>
    <w:p>
      <w:pPr>
        <w:pStyle w:val="nzIndenta"/>
      </w:pPr>
      <w:r>
        <w:tab/>
        <w:t>(c)</w:t>
      </w:r>
      <w:r>
        <w:tab/>
        <w:t>the chairperson so determines under section 9A(2).</w:t>
      </w:r>
    </w:p>
    <w:p>
      <w:pPr>
        <w:pStyle w:val="MiscClose"/>
      </w:pPr>
      <w:r>
        <w:t xml:space="preserve">    ”.</w:t>
      </w:r>
    </w:p>
    <w:p>
      <w:pPr>
        <w:pStyle w:val="nzHeading5"/>
        <w:outlineLvl w:val="0"/>
      </w:pPr>
      <w:r>
        <w:rPr>
          <w:rStyle w:val="CharSectno"/>
        </w:rPr>
        <w:t>22</w:t>
      </w:r>
      <w:r>
        <w:t>.</w:t>
      </w:r>
      <w:r>
        <w:tab/>
        <w:t>Section 25 amended</w:t>
      </w:r>
    </w:p>
    <w:p>
      <w:pPr>
        <w:pStyle w:val="nzSubsection"/>
        <w:outlineLvl w:val="0"/>
      </w:pPr>
      <w:r>
        <w:tab/>
        <w:t>(1)</w:t>
      </w:r>
      <w:r>
        <w:tab/>
        <w:t xml:space="preserve">After section 25(2) the following subsections are inserted — </w:t>
      </w:r>
    </w:p>
    <w:p>
      <w:pPr>
        <w:pStyle w:val="MiscOpen"/>
        <w:ind w:left="600"/>
      </w:pPr>
      <w:r>
        <w:t xml:space="preserve">“    </w:t>
      </w:r>
    </w:p>
    <w:p>
      <w:pPr>
        <w:pStyle w:val="nzSubsection"/>
      </w:pPr>
      <w:r>
        <w:tab/>
        <w:t>(2a)</w:t>
      </w:r>
      <w:r>
        <w:tab/>
        <w:t>An application for a review of a decision made by the Director under section 93 to cancel a licence can be made only on a question of law.</w:t>
      </w:r>
    </w:p>
    <w:p>
      <w:pPr>
        <w:pStyle w:val="nzSubsection"/>
      </w:pPr>
      <w:r>
        <w:tab/>
        <w:t>(2b)</w:t>
      </w:r>
      <w:r>
        <w:tab/>
        <w:t xml:space="preserve">When carrying out a review of a decision made by the Director, the Commission is to be constituted by 3 members if — </w:t>
      </w:r>
    </w:p>
    <w:p>
      <w:pPr>
        <w:pStyle w:val="nzIndenta"/>
      </w:pPr>
      <w:r>
        <w:tab/>
        <w:t>(a)</w:t>
      </w:r>
      <w:r>
        <w:tab/>
        <w:t>the decision relates to an application for the grant or removal of a licence; or</w:t>
      </w:r>
    </w:p>
    <w:p>
      <w:pPr>
        <w:pStyle w:val="nzIndenta"/>
      </w:pPr>
      <w:r>
        <w:tab/>
        <w:t>(b)</w:t>
      </w:r>
      <w:r>
        <w:tab/>
        <w:t>the decision is to make, vary or revoke a prohibition order under Part 5A; or</w:t>
      </w:r>
    </w:p>
    <w:p>
      <w:pPr>
        <w:pStyle w:val="nzIndenta"/>
      </w:pPr>
      <w:r>
        <w:tab/>
        <w:t>(c)</w:t>
      </w:r>
      <w:r>
        <w:tab/>
        <w:t>the chairperson so determines under section 9A(2).</w:t>
      </w:r>
    </w:p>
    <w:p>
      <w:pPr>
        <w:pStyle w:val="nzSubsection"/>
      </w:pPr>
      <w:r>
        <w:tab/>
        <w:t>(2c)</w:t>
      </w:r>
      <w:r>
        <w:tab/>
        <w:t>When conducting a review of a decision made by the Director, the Commission may have regard only to the material that was before the Director when making the decision.</w:t>
      </w:r>
    </w:p>
    <w:p>
      <w:pPr>
        <w:pStyle w:val="nzSubsection"/>
      </w:pPr>
      <w:r>
        <w:tab/>
        <w:t>(2d)</w:t>
      </w:r>
      <w:r>
        <w:tab/>
        <w:t>When conducting a review of a decision involving a question of law or giving directions under subsection (4)(c)(i), the Commission is to be constituted by, or is to include, a member who is a legal practitioner.</w:t>
      </w:r>
    </w:p>
    <w:p>
      <w:pPr>
        <w:pStyle w:val="MiscClose"/>
      </w:pPr>
      <w:r>
        <w:t xml:space="preserve">    ”.</w:t>
      </w:r>
    </w:p>
    <w:p>
      <w:pPr>
        <w:pStyle w:val="nzSubsection"/>
        <w:outlineLvl w:val="0"/>
      </w:pPr>
      <w:r>
        <w:tab/>
        <w:t>(2)</w:t>
      </w:r>
      <w:r>
        <w:tab/>
        <w:t>Section 25(5)(a) is amended as follows:</w:t>
      </w:r>
    </w:p>
    <w:p>
      <w:pPr>
        <w:pStyle w:val="nzIndenta"/>
      </w:pPr>
      <w:r>
        <w:tab/>
        <w:t>(a)</w:t>
      </w:r>
      <w:r>
        <w:tab/>
        <w:t xml:space="preserve">after subparagraph (i) by inserting — </w:t>
      </w:r>
    </w:p>
    <w:p>
      <w:pPr>
        <w:pStyle w:val="nzIndenta"/>
      </w:pPr>
      <w:r>
        <w:tab/>
      </w:r>
      <w:r>
        <w:tab/>
        <w:t>“    or    ”;</w:t>
      </w:r>
    </w:p>
    <w:p>
      <w:pPr>
        <w:pStyle w:val="nzIndenta"/>
      </w:pPr>
      <w:r>
        <w:tab/>
        <w:t>(b)</w:t>
      </w:r>
      <w:r>
        <w:tab/>
        <w:t>by deleting subparagraph (ii) and “or” after it and inserting —  </w:t>
      </w:r>
    </w:p>
    <w:p>
      <w:pPr>
        <w:pStyle w:val="MiscOpen"/>
        <w:ind w:left="2040"/>
      </w:pPr>
      <w:r>
        <w:t xml:space="preserve">“    </w:t>
      </w:r>
    </w:p>
    <w:p>
      <w:pPr>
        <w:pStyle w:val="nzIndenti"/>
      </w:pPr>
      <w:r>
        <w:tab/>
        <w:t>(ii)</w:t>
      </w:r>
      <w:r>
        <w:tab/>
        <w:t>the imposition, variation or cancellation of a term or condition of an extended trading permit or an occasional licence; or</w:t>
      </w:r>
    </w:p>
    <w:p>
      <w:pPr>
        <w:pStyle w:val="nzIndenti"/>
      </w:pPr>
      <w:r>
        <w:tab/>
        <w:t>(iia)</w:t>
      </w:r>
      <w:r>
        <w:tab/>
        <w:t>the cancellation of, or suspension of the operation of, an extended trading permit or an occasional licence; or</w:t>
      </w:r>
    </w:p>
    <w:p>
      <w:pPr>
        <w:pStyle w:val="MiscClose"/>
      </w:pPr>
      <w:r>
        <w:t xml:space="preserve">    ”.</w:t>
      </w:r>
    </w:p>
    <w:p>
      <w:pPr>
        <w:pStyle w:val="nzSubsection"/>
        <w:outlineLvl w:val="0"/>
      </w:pPr>
      <w:r>
        <w:tab/>
        <w:t>(3)</w:t>
      </w:r>
      <w:r>
        <w:tab/>
        <w:t xml:space="preserve">After section 25(5) the following subsection is inserted — </w:t>
      </w:r>
    </w:p>
    <w:p>
      <w:pPr>
        <w:pStyle w:val="MiscOpen"/>
        <w:ind w:left="600"/>
      </w:pPr>
      <w:r>
        <w:t xml:space="preserve">“    </w:t>
      </w:r>
    </w:p>
    <w:p>
      <w:pPr>
        <w:pStyle w:val="nzSubsection"/>
      </w:pPr>
      <w:r>
        <w:tab/>
        <w:t>(5a)</w:t>
      </w:r>
      <w:r>
        <w:tab/>
        <w:t>Despite subsection (5)(a)(i), this section does apply to a decision in respect of or incidental to an application for an extended trading permit of a kind prescribed.</w:t>
      </w:r>
    </w:p>
    <w:p>
      <w:pPr>
        <w:pStyle w:val="MiscClose"/>
      </w:pPr>
      <w:r>
        <w:t xml:space="preserve">    ”.</w:t>
      </w:r>
    </w:p>
    <w:p>
      <w:pPr>
        <w:pStyle w:val="nzHeading5"/>
        <w:outlineLvl w:val="0"/>
      </w:pPr>
      <w:r>
        <w:rPr>
          <w:rStyle w:val="CharSectno"/>
        </w:rPr>
        <w:t>23</w:t>
      </w:r>
      <w:r>
        <w:t>.</w:t>
      </w:r>
      <w:r>
        <w:tab/>
        <w:t>Section 26 replaced</w:t>
      </w:r>
    </w:p>
    <w:p>
      <w:pPr>
        <w:pStyle w:val="nzSubsection"/>
      </w:pPr>
      <w:r>
        <w:tab/>
      </w:r>
      <w:r>
        <w:tab/>
        <w:t xml:space="preserve">Section 26 is repealed and the following section is inserted instead — </w:t>
      </w:r>
    </w:p>
    <w:p>
      <w:pPr>
        <w:pStyle w:val="MiscOpen"/>
      </w:pPr>
      <w:r>
        <w:t xml:space="preserve">“    </w:t>
      </w:r>
    </w:p>
    <w:p>
      <w:pPr>
        <w:pStyle w:val="nzHeading5"/>
      </w:pPr>
      <w:r>
        <w:t>26.</w:t>
      </w:r>
      <w:r>
        <w:tab/>
        <w:t>Certain decisions of Director to be given effect unless otherwise directed</w:t>
      </w:r>
    </w:p>
    <w:p>
      <w:pPr>
        <w:pStyle w:val="nzSubsection"/>
      </w:pPr>
      <w:r>
        <w:tab/>
      </w:r>
      <w:r>
        <w:tab/>
        <w:t xml:space="preserve">Where — </w:t>
      </w:r>
    </w:p>
    <w:p>
      <w:pPr>
        <w:pStyle w:val="nzIndenta"/>
      </w:pPr>
      <w:r>
        <w:tab/>
        <w:t>(a)</w:t>
      </w:r>
      <w:r>
        <w:tab/>
        <w:t>the holder of a licence applies to the Commission for a review of a decision made by the Director in respect of that licence; or</w:t>
      </w:r>
    </w:p>
    <w:p>
      <w:pPr>
        <w:pStyle w:val="nzIndenta"/>
      </w:pPr>
      <w:r>
        <w:tab/>
        <w:t>(b)</w:t>
      </w:r>
      <w:r>
        <w:tab/>
        <w:t>the person subject to a prohibition order under Part 5A applies to the Commission for a review of a decision made by the Director in respect of that order,</w:t>
      </w:r>
    </w:p>
    <w:p>
      <w:pPr>
        <w:pStyle w:val="nzSubsection"/>
      </w:pPr>
      <w:r>
        <w:tab/>
      </w:r>
      <w:r>
        <w:tab/>
        <w:t>effect is to be given to the decision made by the Director unless the Commission, by way of interim order, otherwise directs.</w:t>
      </w:r>
    </w:p>
    <w:p>
      <w:pPr>
        <w:pStyle w:val="MiscClose"/>
      </w:pPr>
      <w:r>
        <w:t xml:space="preserve">    ”.</w:t>
      </w:r>
    </w:p>
    <w:p>
      <w:pPr>
        <w:pStyle w:val="nzHeading5"/>
        <w:outlineLvl w:val="0"/>
      </w:pPr>
      <w:r>
        <w:rPr>
          <w:rStyle w:val="CharSectno"/>
        </w:rPr>
        <w:t>24</w:t>
      </w:r>
      <w:r>
        <w:t>.</w:t>
      </w:r>
      <w:r>
        <w:tab/>
        <w:t>Section 27 amended</w:t>
      </w:r>
    </w:p>
    <w:p>
      <w:pPr>
        <w:pStyle w:val="nzSubsection"/>
      </w:pPr>
      <w:r>
        <w:tab/>
      </w:r>
      <w:r>
        <w:tab/>
        <w:t xml:space="preserve">Section 27(2) is amended by deleting “the Court of Appeal.” and inserting instead — </w:t>
      </w:r>
    </w:p>
    <w:p>
      <w:pPr>
        <w:pStyle w:val="nzSubsection"/>
      </w:pPr>
      <w:r>
        <w:tab/>
      </w:r>
      <w:r>
        <w:tab/>
        <w:t>“    a single judge of the Supreme Court.    ”.</w:t>
      </w:r>
    </w:p>
    <w:p>
      <w:pPr>
        <w:pStyle w:val="nzHeading5"/>
        <w:outlineLvl w:val="0"/>
      </w:pPr>
      <w:r>
        <w:rPr>
          <w:rStyle w:val="CharSectno"/>
        </w:rPr>
        <w:t>25</w:t>
      </w:r>
      <w:r>
        <w:t>.</w:t>
      </w:r>
      <w:r>
        <w:tab/>
        <w:t>Section 28 amended</w:t>
      </w:r>
    </w:p>
    <w:p>
      <w:pPr>
        <w:pStyle w:val="nzSubsection"/>
      </w:pPr>
      <w:r>
        <w:tab/>
        <w:t>(1)</w:t>
      </w:r>
      <w:r>
        <w:tab/>
        <w:t xml:space="preserve">Section 28(1), (2) and (3) are repealed and the following subsections are inserted instead — </w:t>
      </w:r>
    </w:p>
    <w:p>
      <w:pPr>
        <w:pStyle w:val="MiscOpen"/>
        <w:ind w:left="600"/>
      </w:pPr>
      <w:r>
        <w:t xml:space="preserve">“    </w:t>
      </w:r>
    </w:p>
    <w:p>
      <w:pPr>
        <w:pStyle w:val="nzSubsection"/>
      </w:pPr>
      <w:r>
        <w:tab/>
        <w:t>(1)</w:t>
      </w:r>
      <w:r>
        <w:tab/>
        <w:t xml:space="preserve">Subject to this section, a person who — </w:t>
      </w:r>
    </w:p>
    <w:p>
      <w:pPr>
        <w:pStyle w:val="nzIndenta"/>
      </w:pPr>
      <w:r>
        <w:tab/>
        <w:t>(a)</w:t>
      </w:r>
      <w:r>
        <w:tab/>
        <w:t>is a party to proceedings before the Commission (including the Director intervening in proceedings before the Commission under section 69(11)); and</w:t>
      </w:r>
    </w:p>
    <w:p>
      <w:pPr>
        <w:pStyle w:val="nzIndenta"/>
      </w:pPr>
      <w:r>
        <w:tab/>
        <w:t>(b)</w:t>
      </w:r>
      <w:r>
        <w:tab/>
        <w:t>is dissatisfied with a decision of the Commission,</w:t>
      </w:r>
    </w:p>
    <w:p>
      <w:pPr>
        <w:pStyle w:val="nzSubsection"/>
      </w:pPr>
      <w:r>
        <w:tab/>
      </w:r>
      <w:r>
        <w:tab/>
        <w:t>may appeal under this section.</w:t>
      </w:r>
    </w:p>
    <w:p>
      <w:pPr>
        <w:pStyle w:val="nz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nzSubsection"/>
      </w:pPr>
      <w:r>
        <w:tab/>
        <w:t>(2a)</w:t>
      </w:r>
      <w:r>
        <w:tab/>
        <w:t>No appeal lies against a decision of the Commission constituted by 3 members if the decision was made solely or partly on the basis of confidential police information.</w:t>
      </w:r>
    </w:p>
    <w:p>
      <w:pPr>
        <w:pStyle w:val="nzSubsection"/>
      </w:pPr>
      <w:r>
        <w:tab/>
        <w:t>(2b)</w:t>
      </w:r>
      <w:r>
        <w:tab/>
        <w:t>No appeal lies against a decision of the Commission constituted by one member except to the Commission constituted in accordance with subsection (4a)(a).</w:t>
      </w:r>
    </w:p>
    <w:p>
      <w:pPr>
        <w:pStyle w:val="nzSubsection"/>
      </w:pPr>
      <w:r>
        <w:tab/>
        <w:t>(2c)</w:t>
      </w:r>
      <w:r>
        <w:tab/>
        <w:t>No appeal lies against a decision of the Commission constituted by one member if the decision was made on a review under section 25 of a decision of the Director.</w:t>
      </w:r>
    </w:p>
    <w:p>
      <w:pPr>
        <w:pStyle w:val="nzSubsection"/>
      </w:pPr>
      <w:r>
        <w:tab/>
        <w:t>(3)</w:t>
      </w:r>
      <w:r>
        <w:tab/>
        <w:t>No further appeal lies against a decision of the Commission under this section on an appeal against a decision of the Commission constituted by one member.</w:t>
      </w:r>
    </w:p>
    <w:p>
      <w:pPr>
        <w:pStyle w:val="MiscClose"/>
      </w:pPr>
      <w:r>
        <w:t xml:space="preserve">    ”.</w:t>
      </w:r>
    </w:p>
    <w:p>
      <w:pPr>
        <w:pStyle w:val="nzSubsection"/>
      </w:pPr>
      <w:r>
        <w:tab/>
        <w:t>(2)</w:t>
      </w:r>
      <w:r>
        <w:tab/>
        <w:t>Section 28(4) is amended as follows:</w:t>
      </w:r>
    </w:p>
    <w:p>
      <w:pPr>
        <w:pStyle w:val="nzIndenta"/>
        <w:outlineLvl w:val="0"/>
      </w:pPr>
      <w:r>
        <w:tab/>
        <w:t>(a)</w:t>
      </w:r>
      <w:r>
        <w:tab/>
        <w:t xml:space="preserve">after “this section” by inserting — </w:t>
      </w:r>
    </w:p>
    <w:p>
      <w:pPr>
        <w:pStyle w:val="MiscOpen"/>
        <w:ind w:left="880"/>
      </w:pPr>
      <w:r>
        <w:t xml:space="preserve">“    </w:t>
      </w:r>
    </w:p>
    <w:p>
      <w:pPr>
        <w:pStyle w:val="nzSubsection"/>
      </w:pPr>
      <w:r>
        <w:tab/>
      </w:r>
      <w:r>
        <w:tab/>
        <w:t>against a decision of the Commission constituted by 3 members</w:t>
      </w:r>
    </w:p>
    <w:p>
      <w:pPr>
        <w:pStyle w:val="MiscClose"/>
      </w:pPr>
      <w:r>
        <w:t xml:space="preserve">    ”;</w:t>
      </w:r>
    </w:p>
    <w:p>
      <w:pPr>
        <w:pStyle w:val="nzIndenta"/>
        <w:outlineLvl w:val="0"/>
      </w:pPr>
      <w:r>
        <w:tab/>
        <w:t>(b)</w:t>
      </w:r>
      <w:r>
        <w:tab/>
        <w:t xml:space="preserve">in paragraph (a), by deleting “the Court of Appeal;” and inserting instead — </w:t>
      </w:r>
    </w:p>
    <w:p>
      <w:pPr>
        <w:pStyle w:val="nzIndenta"/>
      </w:pPr>
      <w:r>
        <w:tab/>
      </w:r>
      <w:r>
        <w:tab/>
        <w:t>“    a single judge of the Supreme Court;    ”.</w:t>
      </w:r>
    </w:p>
    <w:p>
      <w:pPr>
        <w:pStyle w:val="nzSubsection"/>
      </w:pPr>
      <w:r>
        <w:tab/>
        <w:t>(3)</w:t>
      </w:r>
      <w:r>
        <w:tab/>
        <w:t xml:space="preserve">After section 28(4) the following subsection is inserted — </w:t>
      </w:r>
    </w:p>
    <w:p>
      <w:pPr>
        <w:pStyle w:val="MiscOpen"/>
        <w:ind w:left="600"/>
      </w:pPr>
      <w:r>
        <w:t xml:space="preserve">“    </w:t>
      </w:r>
    </w:p>
    <w:p>
      <w:pPr>
        <w:pStyle w:val="nzSubsection"/>
      </w:pPr>
      <w:r>
        <w:tab/>
        <w:t>(4a)</w:t>
      </w:r>
      <w:r>
        <w:tab/>
        <w:t xml:space="preserve">An appeal under this section against a decision of the Commission constituted by one member — </w:t>
      </w:r>
    </w:p>
    <w:p>
      <w:pPr>
        <w:pStyle w:val="nzIndenta"/>
      </w:pPr>
      <w:r>
        <w:tab/>
        <w:t>(a)</w:t>
      </w:r>
      <w:r>
        <w:tab/>
        <w:t>is to be heard and determined by the Commission constituted by 3 other members, including a member who is a legal practitioner; and</w:t>
      </w:r>
    </w:p>
    <w:p>
      <w:pPr>
        <w:pStyle w:val="nzIndenta"/>
      </w:pPr>
      <w:r>
        <w:tab/>
        <w:t>(b)</w:t>
      </w:r>
      <w:r>
        <w:tab/>
        <w:t>must be instituted and conducted in accordance with rules of the Commission.</w:t>
      </w:r>
    </w:p>
    <w:p>
      <w:pPr>
        <w:pStyle w:val="MiscClose"/>
      </w:pPr>
      <w:r>
        <w:t xml:space="preserve">    ”.</w:t>
      </w:r>
    </w:p>
    <w:p>
      <w:pPr>
        <w:pStyle w:val="nzSubsection"/>
      </w:pPr>
      <w:r>
        <w:tab/>
        <w:t>(4)</w:t>
      </w:r>
      <w:r>
        <w:tab/>
        <w:t xml:space="preserve">Section 28(5) is repealed and the following subsections are inserted instead — </w:t>
      </w:r>
    </w:p>
    <w:p>
      <w:pPr>
        <w:pStyle w:val="MiscOpen"/>
        <w:spacing w:before="60"/>
        <w:ind w:left="601"/>
      </w:pPr>
      <w:r>
        <w:t xml:space="preserve">“    </w:t>
      </w:r>
    </w:p>
    <w:p>
      <w:pPr>
        <w:pStyle w:val="nzSubsection"/>
      </w:pPr>
      <w:r>
        <w:tab/>
        <w:t>(5)</w:t>
      </w:r>
      <w:r>
        <w:tab/>
        <w:t xml:space="preserve">On an appeal under this section to the Supreme Court, the Supreme Court may — </w:t>
      </w:r>
    </w:p>
    <w:p>
      <w:pPr>
        <w:pStyle w:val="nzIndenta"/>
      </w:pPr>
      <w:r>
        <w:tab/>
        <w:t>(a)</w:t>
      </w:r>
      <w:r>
        <w:tab/>
        <w:t>affirm, vary or quash the decision appealed against; or</w:t>
      </w:r>
    </w:p>
    <w:p>
      <w:pPr>
        <w:pStyle w:val="nzIndenta"/>
      </w:pPr>
      <w:r>
        <w:tab/>
        <w:t>(b)</w:t>
      </w:r>
      <w:r>
        <w:tab/>
        <w:t>make any decision that the Commission could have made instead of the decision appealed against; or</w:t>
      </w:r>
    </w:p>
    <w:p>
      <w:pPr>
        <w:pStyle w:val="nzIndenta"/>
      </w:pPr>
      <w:r>
        <w:tab/>
        <w:t>(c)</w:t>
      </w:r>
      <w:r>
        <w:tab/>
        <w:t>send the decision back to the Commission for reconsideration in accordance with any directions or recommendations that the Court considers appropriate,</w:t>
      </w:r>
    </w:p>
    <w:p>
      <w:pPr>
        <w:pStyle w:val="nzSubsection"/>
      </w:pPr>
      <w:r>
        <w:tab/>
      </w:r>
      <w:r>
        <w:tab/>
        <w:t>and, in any case, may make any ancillary or incidental order the Supreme Court considers appropriate.</w:t>
      </w:r>
    </w:p>
    <w:p>
      <w:pPr>
        <w:pStyle w:val="nzSubsection"/>
      </w:pPr>
      <w:r>
        <w:tab/>
        <w:t>(6)</w:t>
      </w:r>
      <w:r>
        <w:tab/>
        <w:t xml:space="preserve">On an appeal under this section to the Commission constituted in accordance with subsection (4a)(a), the Commission may — </w:t>
      </w:r>
    </w:p>
    <w:p>
      <w:pPr>
        <w:pStyle w:val="nzIndenta"/>
      </w:pPr>
      <w:r>
        <w:tab/>
        <w:t>(a)</w:t>
      </w:r>
      <w:r>
        <w:tab/>
        <w:t>affirm, vary or quash the decision appealed against; or</w:t>
      </w:r>
    </w:p>
    <w:p>
      <w:pPr>
        <w:pStyle w:val="nzIndenta"/>
      </w:pPr>
      <w:r>
        <w:tab/>
        <w:t>(b)</w:t>
      </w:r>
      <w:r>
        <w:tab/>
        <w:t>make any decision that the Commission could have made instead of the decision appealed against,</w:t>
      </w:r>
    </w:p>
    <w:p>
      <w:pPr>
        <w:pStyle w:val="nzSubsection"/>
      </w:pPr>
      <w:r>
        <w:tab/>
      </w:r>
      <w:r>
        <w:tab/>
        <w:t>and, in any case, may make any ancillary or incidental order the Commission considers appropriate.</w:t>
      </w:r>
    </w:p>
    <w:p>
      <w:pPr>
        <w:pStyle w:val="MiscClose"/>
      </w:pPr>
      <w:r>
        <w:t xml:space="preserve">    ”.</w:t>
      </w:r>
    </w:p>
    <w:p>
      <w:pPr>
        <w:pStyle w:val="nzHeading5"/>
        <w:outlineLvl w:val="0"/>
      </w:pPr>
      <w:r>
        <w:rPr>
          <w:rStyle w:val="CharSectno"/>
        </w:rPr>
        <w:t>26</w:t>
      </w:r>
      <w:r>
        <w:t>.</w:t>
      </w:r>
      <w:r>
        <w:tab/>
        <w:t>Section 29 amended</w:t>
      </w:r>
    </w:p>
    <w:p>
      <w:pPr>
        <w:pStyle w:val="nzSubsection"/>
      </w:pPr>
      <w:r>
        <w:tab/>
      </w:r>
      <w:r>
        <w:tab/>
        <w:t xml:space="preserve">Section 29 is amended after “Supreme Court” by inserting — </w:t>
      </w:r>
    </w:p>
    <w:p>
      <w:pPr>
        <w:pStyle w:val="MiscOpen"/>
        <w:spacing w:before="60"/>
        <w:ind w:left="879"/>
      </w:pPr>
      <w:r>
        <w:t xml:space="preserve">“    </w:t>
      </w:r>
    </w:p>
    <w:p>
      <w:pPr>
        <w:pStyle w:val="nzSubsection"/>
      </w:pPr>
      <w:r>
        <w:tab/>
      </w:r>
      <w:r>
        <w:tab/>
        <w:t>or the Commission as constituted under section 28(4a)(a), as the case requires</w:t>
      </w:r>
    </w:p>
    <w:p>
      <w:pPr>
        <w:pStyle w:val="MiscClose"/>
      </w:pPr>
      <w:r>
        <w:t xml:space="preserve">    ”.</w:t>
      </w:r>
    </w:p>
    <w:p>
      <w:pPr>
        <w:pStyle w:val="nzHeading5"/>
        <w:outlineLvl w:val="0"/>
      </w:pPr>
      <w:r>
        <w:rPr>
          <w:rStyle w:val="CharSectno"/>
        </w:rPr>
        <w:t>27</w:t>
      </w:r>
      <w:r>
        <w:t>.</w:t>
      </w:r>
      <w:r>
        <w:tab/>
        <w:t>Part 2 Division 7 replaced</w:t>
      </w:r>
    </w:p>
    <w:p>
      <w:pPr>
        <w:pStyle w:val="nzSubsection"/>
      </w:pPr>
      <w:r>
        <w:tab/>
      </w:r>
      <w:r>
        <w:tab/>
        <w:t xml:space="preserve">Part 2 Division 7 is repealed and the following Division is inserted instead — </w:t>
      </w:r>
    </w:p>
    <w:p>
      <w:pPr>
        <w:pStyle w:val="MiscOpen"/>
        <w:spacing w:before="60"/>
      </w:pPr>
      <w:r>
        <w:t xml:space="preserve">“    </w:t>
      </w:r>
    </w:p>
    <w:p>
      <w:pPr>
        <w:pStyle w:val="nzHeading3"/>
        <w:outlineLvl w:val="0"/>
      </w:pPr>
      <w:r>
        <w:t>Division 7 — Confidential police information</w:t>
      </w:r>
    </w:p>
    <w:p>
      <w:pPr>
        <w:pStyle w:val="nzHeading5"/>
      </w:pPr>
      <w:r>
        <w:t>30.</w:t>
      </w:r>
      <w:r>
        <w:tab/>
        <w:t>Confidential police information</w:t>
      </w:r>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outlineLvl w:val="0"/>
      </w:pPr>
      <w:r>
        <w:rPr>
          <w:rStyle w:val="CharSectno"/>
        </w:rPr>
        <w:t>28</w:t>
      </w:r>
      <w:r>
        <w:t>.</w:t>
      </w:r>
      <w:r>
        <w:tab/>
        <w:t>Section 33 amended</w:t>
      </w:r>
    </w:p>
    <w:p>
      <w:pPr>
        <w:pStyle w:val="nzSubsection"/>
      </w:pPr>
      <w:r>
        <w:tab/>
        <w:t>(1)</w:t>
      </w:r>
      <w:r>
        <w:tab/>
        <w:t xml:space="preserve">Section 33(6a) is repealed and the following subsections are inserted instead — </w:t>
      </w:r>
    </w:p>
    <w:p>
      <w:pPr>
        <w:pStyle w:val="MiscOpen"/>
        <w:ind w:left="601"/>
      </w:pPr>
      <w:r>
        <w:t xml:space="preserve">“    </w:t>
      </w:r>
    </w:p>
    <w:p>
      <w:pPr>
        <w:pStyle w:val="nz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nzSubsection"/>
      </w:pPr>
      <w:r>
        <w:tab/>
        <w:t>(6b)</w:t>
      </w:r>
      <w:r>
        <w:tab/>
        <w:t xml:space="preserve">Unless the Director otherwise approves, a determination cannot be made under subsection (6) that a person — </w:t>
      </w:r>
    </w:p>
    <w:p>
      <w:pPr>
        <w:pStyle w:val="nzIndenta"/>
      </w:pPr>
      <w:r>
        <w:tab/>
        <w:t>(a)</w:t>
      </w:r>
      <w:r>
        <w:tab/>
        <w:t>is a fit and proper person to hold a licence; or</w:t>
      </w:r>
    </w:p>
    <w:p>
      <w:pPr>
        <w:pStyle w:val="nzIndenta"/>
      </w:pPr>
      <w:r>
        <w:tab/>
        <w:t>(b)</w:t>
      </w:r>
      <w:r>
        <w:tab/>
        <w:t>is approved to occupy a position of authority in a body corporate,</w:t>
      </w:r>
    </w:p>
    <w:p>
      <w:pPr>
        <w:pStyle w:val="nzSubsection"/>
      </w:pPr>
      <w:r>
        <w:tab/>
      </w:r>
      <w:r>
        <w:tab/>
        <w:t xml:space="preserve">unless the person has successfully completed — </w:t>
      </w:r>
    </w:p>
    <w:p>
      <w:pPr>
        <w:pStyle w:val="nzIndenta"/>
      </w:pPr>
      <w:r>
        <w:tab/>
        <w:t>(c)</w:t>
      </w:r>
      <w:r>
        <w:tab/>
        <w:t>a course of training or an assessment, approved by the Director, in the management of licensed premises; and</w:t>
      </w:r>
    </w:p>
    <w:p>
      <w:pPr>
        <w:pStyle w:val="nzIndenta"/>
      </w:pPr>
      <w:r>
        <w:tab/>
        <w:t>(d)</w:t>
      </w:r>
      <w:r>
        <w:tab/>
        <w:t>a course of training or an assessment, approved by the Director, in responsible practices in the sale, supply and service of liquor.</w:t>
      </w:r>
    </w:p>
    <w:p>
      <w:pPr>
        <w:pStyle w:val="nzSubsection"/>
      </w:pPr>
      <w:r>
        <w:tab/>
        <w:t>(6c)</w:t>
      </w:r>
      <w:r>
        <w:tab/>
        <w:t>The regulations may modify the operation of subsection (6b) for the purposes of applications for or in respect of an occasional licence.</w:t>
      </w:r>
    </w:p>
    <w:p>
      <w:pPr>
        <w:pStyle w:val="MiscClose"/>
      </w:pPr>
      <w:r>
        <w:t xml:space="preserve">    ”.</w:t>
      </w:r>
    </w:p>
    <w:p>
      <w:pPr>
        <w:pStyle w:val="nzHeading5"/>
        <w:outlineLvl w:val="0"/>
      </w:pPr>
      <w:r>
        <w:rPr>
          <w:rStyle w:val="CharSectno"/>
        </w:rPr>
        <w:t>29</w:t>
      </w:r>
      <w:r>
        <w:t>.</w:t>
      </w:r>
      <w:r>
        <w:tab/>
        <w:t>Section 35B amended</w:t>
      </w:r>
    </w:p>
    <w:p>
      <w:pPr>
        <w:pStyle w:val="nzSubsection"/>
        <w:outlineLvl w:val="0"/>
      </w:pPr>
      <w:r>
        <w:tab/>
        <w:t>(1)</w:t>
      </w:r>
      <w:r>
        <w:tab/>
        <w:t xml:space="preserve">Section 35B(3) is amended at the end of paragraph (b) by deleting the full stop and inserting — </w:t>
      </w:r>
    </w:p>
    <w:p>
      <w:pPr>
        <w:pStyle w:val="MiscOpen"/>
        <w:ind w:left="1620"/>
      </w:pPr>
      <w:r>
        <w:t xml:space="preserve">“    </w:t>
      </w:r>
    </w:p>
    <w:p>
      <w:pPr>
        <w:pStyle w:val="nzIndenta"/>
      </w:pPr>
      <w:r>
        <w:tab/>
      </w:r>
      <w:r>
        <w:tab/>
        <w:t>; or</w:t>
      </w:r>
    </w:p>
    <w:p>
      <w:pPr>
        <w:pStyle w:val="nzIndenta"/>
      </w:pPr>
      <w:r>
        <w:tab/>
        <w:t>(c)</w:t>
      </w:r>
      <w:r>
        <w:tab/>
        <w:t xml:space="preserve">that the manager has not, within the period specified by the Director after being approved, successfully completed — </w:t>
      </w:r>
    </w:p>
    <w:p>
      <w:pPr>
        <w:pStyle w:val="nzIndenti"/>
      </w:pPr>
      <w:r>
        <w:tab/>
        <w:t>(i)</w:t>
      </w:r>
      <w:r>
        <w:tab/>
        <w:t>a course of training or an assessment, approved by the Director, in the management of licensed premises; and</w:t>
      </w:r>
    </w:p>
    <w:p>
      <w:pPr>
        <w:pStyle w:val="nzIndenti"/>
      </w:pPr>
      <w:r>
        <w:tab/>
        <w:t>(ii)</w:t>
      </w:r>
      <w:r>
        <w:tab/>
        <w:t>a course of training or an assessment, approved by the Director, in responsible practices in the sale, supply and service of liquor.</w:t>
      </w:r>
    </w:p>
    <w:p>
      <w:pPr>
        <w:pStyle w:val="MiscClose"/>
      </w:pPr>
      <w:r>
        <w:t xml:space="preserve">    ”.</w:t>
      </w:r>
    </w:p>
    <w:p>
      <w:pPr>
        <w:pStyle w:val="nzSubsection"/>
        <w:outlineLvl w:val="0"/>
      </w:pPr>
      <w:r>
        <w:tab/>
        <w:t>(2)</w:t>
      </w:r>
      <w:r>
        <w:tab/>
        <w:t xml:space="preserve">Section 35B(4) is amended after “been given” by inserting — </w:t>
      </w:r>
    </w:p>
    <w:p>
      <w:pPr>
        <w:pStyle w:val="nzSubsection"/>
      </w:pPr>
      <w:r>
        <w:tab/>
      </w:r>
      <w:r>
        <w:tab/>
        <w:t>“    , subject to section 30,    ”.</w:t>
      </w:r>
    </w:p>
    <w:p>
      <w:pPr>
        <w:pStyle w:val="nzSubsection"/>
        <w:outlineLvl w:val="0"/>
      </w:pPr>
      <w:r>
        <w:tab/>
        <w:t>(3)</w:t>
      </w:r>
      <w:r>
        <w:tab/>
        <w:t xml:space="preserve">After section 35B(6) the following subsection is inserted — </w:t>
      </w:r>
    </w:p>
    <w:p>
      <w:pPr>
        <w:pStyle w:val="MiscOpen"/>
        <w:ind w:left="600"/>
      </w:pPr>
      <w:r>
        <w:t xml:space="preserve">“    </w:t>
      </w:r>
    </w:p>
    <w:p>
      <w:pPr>
        <w:pStyle w:val="nzSubsection"/>
      </w:pPr>
      <w:r>
        <w:tab/>
        <w:t>(7)</w:t>
      </w:r>
      <w:r>
        <w:tab/>
        <w:t>The regulations may modify the operation of this section for the purposes of the approval of a person as a manager in respect of an occasional licence.</w:t>
      </w:r>
    </w:p>
    <w:p>
      <w:pPr>
        <w:pStyle w:val="MiscClose"/>
      </w:pPr>
      <w:r>
        <w:t xml:space="preserve">    ”.</w:t>
      </w:r>
    </w:p>
    <w:p>
      <w:pPr>
        <w:pStyle w:val="nzHeading5"/>
        <w:outlineLvl w:val="0"/>
      </w:pPr>
      <w:r>
        <w:rPr>
          <w:rStyle w:val="CharSectno"/>
        </w:rPr>
        <w:t>30</w:t>
      </w:r>
      <w:r>
        <w:t>.</w:t>
      </w:r>
      <w:r>
        <w:tab/>
        <w:t>Section 37 amended</w:t>
      </w:r>
    </w:p>
    <w:p>
      <w:pPr>
        <w:pStyle w:val="nzSubsection"/>
        <w:outlineLvl w:val="0"/>
      </w:pPr>
      <w:r>
        <w:tab/>
        <w:t>(1)</w:t>
      </w:r>
      <w:r>
        <w:tab/>
        <w:t xml:space="preserve">Section 37(4) is amended after “so to act” by inserting — </w:t>
      </w:r>
    </w:p>
    <w:p>
      <w:pPr>
        <w:pStyle w:val="MiscOpen"/>
        <w:ind w:left="880"/>
      </w:pPr>
      <w:r>
        <w:t xml:space="preserve">“    </w:t>
      </w:r>
    </w:p>
    <w:p>
      <w:pPr>
        <w:pStyle w:val="nzSubsection"/>
      </w:pPr>
      <w:r>
        <w:tab/>
      </w:r>
      <w:r>
        <w:tab/>
        <w:t>, and there is then no person approved under section 35B as a manager of the premises or appointed under section 100(3) to manage the premises</w:t>
      </w:r>
    </w:p>
    <w:p>
      <w:pPr>
        <w:pStyle w:val="MiscClose"/>
      </w:pPr>
      <w:r>
        <w:t xml:space="preserve">    ”.</w:t>
      </w:r>
    </w:p>
    <w:p>
      <w:pPr>
        <w:pStyle w:val="nzSubsection"/>
        <w:outlineLvl w:val="0"/>
      </w:pPr>
      <w:r>
        <w:tab/>
        <w:t>(2)</w:t>
      </w:r>
      <w:r>
        <w:tab/>
        <w:t xml:space="preserve">After section 37(5) the following subsection is inserted — </w:t>
      </w:r>
    </w:p>
    <w:p>
      <w:pPr>
        <w:pStyle w:val="MiscOpen"/>
        <w:ind w:left="600"/>
      </w:pPr>
      <w:r>
        <w:t xml:space="preserve">“    </w:t>
      </w:r>
    </w:p>
    <w:p>
      <w:pPr>
        <w:pStyle w:val="nzSubsection"/>
      </w:pPr>
      <w:r>
        <w:tab/>
        <w:t>(6)</w:t>
      </w:r>
      <w:r>
        <w:tab/>
        <w:t>The condition referred to in subsection (5) continues to apply to a licence during any period that the operation of the licence is suspended.</w:t>
      </w:r>
    </w:p>
    <w:p>
      <w:pPr>
        <w:pStyle w:val="MiscClose"/>
      </w:pPr>
      <w:r>
        <w:t xml:space="preserve">    ”.</w:t>
      </w:r>
    </w:p>
    <w:p>
      <w:pPr>
        <w:pStyle w:val="nzHeading5"/>
        <w:outlineLvl w:val="0"/>
      </w:pPr>
      <w:r>
        <w:rPr>
          <w:rStyle w:val="CharSectno"/>
        </w:rPr>
        <w:t>31</w:t>
      </w:r>
      <w:r>
        <w:t>.</w:t>
      </w:r>
      <w:r>
        <w:tab/>
        <w:t>Section 37B inserted</w:t>
      </w:r>
    </w:p>
    <w:p>
      <w:pPr>
        <w:pStyle w:val="nzSubsection"/>
      </w:pPr>
      <w:r>
        <w:tab/>
      </w:r>
      <w:r>
        <w:tab/>
        <w:t xml:space="preserve">After section 37A the following section is inserted in Part 3 Division 1 — </w:t>
      </w:r>
    </w:p>
    <w:p>
      <w:pPr>
        <w:pStyle w:val="MiscOpen"/>
        <w:spacing w:before="60"/>
      </w:pPr>
      <w:r>
        <w:t xml:space="preserve">“    </w:t>
      </w:r>
    </w:p>
    <w:p>
      <w:pPr>
        <w:pStyle w:val="nzHeading5"/>
      </w:pPr>
      <w:r>
        <w:t>37B.</w:t>
      </w:r>
      <w:r>
        <w:tab/>
        <w:t>Taking of fingerprints and palm prints</w:t>
      </w:r>
    </w:p>
    <w:p>
      <w:pPr>
        <w:pStyle w:val="nzSubsection"/>
      </w:pPr>
      <w:r>
        <w:tab/>
        <w:t>(1)</w:t>
      </w:r>
      <w:r>
        <w:tab/>
        <w:t xml:space="preserve">The licensing authority may by notice in writing (an </w:t>
      </w:r>
      <w:r>
        <w:rPr>
          <w:b/>
        </w:rPr>
        <w:t>“</w:t>
      </w:r>
      <w:r>
        <w:rPr>
          <w:rStyle w:val="CharDefText"/>
        </w:rPr>
        <w:t>identification notice</w:t>
      </w:r>
      <w:r>
        <w:rPr>
          <w:b/>
        </w:rPr>
        <w:t>”</w:t>
      </w:r>
      <w:r>
        <w:rPr>
          <w:bCs/>
        </w:rPr>
        <w:t xml:space="preserve">) </w:t>
      </w:r>
      <w:r>
        <w:t>require a person to whom subsection (2) or (3) applies to attend at a specified place and there have his or her fingerprints and palm prints taken by a member of the Police Force.</w:t>
      </w:r>
    </w:p>
    <w:p>
      <w:pPr>
        <w:pStyle w:val="nzSubsection"/>
      </w:pPr>
      <w:r>
        <w:tab/>
        <w:t>(2)</w:t>
      </w:r>
      <w:r>
        <w:tab/>
        <w:t xml:space="preserve">This subsection applies to a person who makes an application to the licensing authority — </w:t>
      </w:r>
    </w:p>
    <w:p>
      <w:pPr>
        <w:pStyle w:val="nzIndenta"/>
      </w:pPr>
      <w:r>
        <w:tab/>
        <w:t>(a)</w:t>
      </w:r>
      <w:r>
        <w:tab/>
        <w:t>for a licence; or</w:t>
      </w:r>
    </w:p>
    <w:p>
      <w:pPr>
        <w:pStyle w:val="nzIndenta"/>
      </w:pPr>
      <w:r>
        <w:tab/>
        <w:t>(b)</w:t>
      </w:r>
      <w:r>
        <w:tab/>
        <w:t>for approval to occupy a position of authority in a body corporate that is a licensee; or</w:t>
      </w:r>
    </w:p>
    <w:p>
      <w:pPr>
        <w:pStyle w:val="nzIndenta"/>
      </w:pPr>
      <w:r>
        <w:tab/>
        <w:t>(c)</w:t>
      </w:r>
      <w:r>
        <w:tab/>
        <w:t>for approval as a manager under section 35B.</w:t>
      </w:r>
    </w:p>
    <w:p>
      <w:pPr>
        <w:pStyle w:val="nzSubsection"/>
      </w:pPr>
      <w:r>
        <w:tab/>
        <w:t>(3)</w:t>
      </w:r>
      <w:r>
        <w:tab/>
        <w:t xml:space="preserve">This subsection applies to — </w:t>
      </w:r>
    </w:p>
    <w:p>
      <w:pPr>
        <w:pStyle w:val="nzIndenta"/>
      </w:pPr>
      <w:r>
        <w:tab/>
        <w:t>(a)</w:t>
      </w:r>
      <w:r>
        <w:tab/>
        <w:t>a licensee; or</w:t>
      </w:r>
    </w:p>
    <w:p>
      <w:pPr>
        <w:pStyle w:val="nzIndenta"/>
      </w:pPr>
      <w:r>
        <w:tab/>
        <w:t>(b)</w:t>
      </w:r>
      <w:r>
        <w:tab/>
        <w:t>a person who occupies a position of authority in a body corporate that is a licensee; or</w:t>
      </w:r>
    </w:p>
    <w:p>
      <w:pPr>
        <w:pStyle w:val="nzIndenta"/>
      </w:pPr>
      <w:r>
        <w:tab/>
        <w:t>(c)</w:t>
      </w:r>
      <w:r>
        <w:tab/>
        <w:t>a person approved as a manager under section 35B,</w:t>
      </w:r>
    </w:p>
    <w:p>
      <w:pPr>
        <w:pStyle w:val="nzSubsection"/>
      </w:pPr>
      <w:r>
        <w:tab/>
      </w:r>
      <w:r>
        <w:tab/>
        <w:t>whose fingerprints and palm prints have not been taken in accordance with an identification notice given for the purposes of an application referred to in subsection (2).</w:t>
      </w:r>
    </w:p>
    <w:p>
      <w:pPr>
        <w:pStyle w:val="nzSubsection"/>
      </w:pPr>
      <w:r>
        <w:tab/>
        <w:t>(4)</w:t>
      </w:r>
      <w:r>
        <w:tab/>
        <w:t>If a person to whom subsection (2) applies refuses to comply with an identification notice, the licensing authority may refuse the relevant application.</w:t>
      </w:r>
    </w:p>
    <w:p>
      <w:pPr>
        <w:pStyle w:val="nzSubsection"/>
      </w:pPr>
      <w:r>
        <w:tab/>
        <w:t>(5)</w:t>
      </w:r>
      <w:r>
        <w:tab/>
        <w:t>If a person to whom subsection (3) applies refuses to comply with an identification notice, a proper cause for disciplinary action under section 96 is to be taken to have been made out in respect of the person.</w:t>
      </w:r>
    </w:p>
    <w:p>
      <w:pPr>
        <w:pStyle w:val="nzSubsection"/>
      </w:pPr>
      <w:r>
        <w:tab/>
        <w:t>(6)</w:t>
      </w:r>
      <w:r>
        <w:tab/>
        <w:t xml:space="preserve">The Commissioner of Police is to cause fingerprints and palm prints taken under this section and any copy of them to be destroyed — </w:t>
      </w:r>
    </w:p>
    <w:p>
      <w:pPr>
        <w:pStyle w:val="nzIndenta"/>
      </w:pPr>
      <w:r>
        <w:tab/>
        <w:t>(a)</w:t>
      </w:r>
      <w:r>
        <w:tab/>
        <w:t xml:space="preserve">in the case of fingerprints or palm prints taken from a person to whom subsection (2) applies — </w:t>
      </w:r>
    </w:p>
    <w:p>
      <w:pPr>
        <w:pStyle w:val="nzIndenti"/>
      </w:pPr>
      <w:r>
        <w:tab/>
        <w:t>(i)</w:t>
      </w:r>
      <w:r>
        <w:tab/>
        <w:t>if the relevant application is not granted; or</w:t>
      </w:r>
    </w:p>
    <w:p>
      <w:pPr>
        <w:pStyle w:val="nzIndenti"/>
      </w:pPr>
      <w:r>
        <w:tab/>
        <w:t>(ii)</w:t>
      </w:r>
      <w:r>
        <w:tab/>
        <w:t>if, after the relevant application is granted, the person ceases to be a licensee, to occupy a position of authority in a body corporate that is a licensee, or to be a manager;</w:t>
      </w:r>
    </w:p>
    <w:p>
      <w:pPr>
        <w:pStyle w:val="nzIndenta"/>
      </w:pPr>
      <w:r>
        <w:tab/>
      </w:r>
      <w:r>
        <w:tab/>
        <w:t>or</w:t>
      </w:r>
    </w:p>
    <w:p>
      <w:pPr>
        <w:pStyle w:val="nz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nzSubsection"/>
      </w:pPr>
      <w:r>
        <w:tab/>
        <w:t>(7)</w:t>
      </w:r>
      <w:r>
        <w:tab/>
        <w:t>The licensing authority is to provide the Commissioner of Police with any information that the Commissioner of Police requires to comply with subsection (6).</w:t>
      </w:r>
    </w:p>
    <w:p>
      <w:pPr>
        <w:pStyle w:val="MiscClose"/>
      </w:pPr>
      <w:r>
        <w:t xml:space="preserve">    ”.</w:t>
      </w:r>
    </w:p>
    <w:p>
      <w:pPr>
        <w:pStyle w:val="nzHeading5"/>
        <w:outlineLvl w:val="0"/>
      </w:pPr>
      <w:r>
        <w:rPr>
          <w:rStyle w:val="CharSectno"/>
        </w:rPr>
        <w:t>32</w:t>
      </w:r>
      <w:r>
        <w:t>.</w:t>
      </w:r>
      <w:r>
        <w:tab/>
        <w:t>Part 3 Division 2 heading replaced</w:t>
      </w:r>
    </w:p>
    <w:p>
      <w:pPr>
        <w:pStyle w:val="nzSubsection"/>
      </w:pPr>
      <w:r>
        <w:tab/>
      </w:r>
      <w:r>
        <w:tab/>
        <w:t xml:space="preserve">The heading to Part 3 Division 2 is deleted and the following heading is inserted instead — </w:t>
      </w:r>
    </w:p>
    <w:p>
      <w:pPr>
        <w:pStyle w:val="MiscOpen"/>
        <w:spacing w:before="60"/>
      </w:pPr>
      <w:r>
        <w:t xml:space="preserve">“    </w:t>
      </w:r>
    </w:p>
    <w:p>
      <w:pPr>
        <w:pStyle w:val="nzHeading3"/>
        <w:outlineLvl w:val="0"/>
      </w:pPr>
      <w:r>
        <w:t>Division 2 — Licences</w:t>
      </w:r>
    </w:p>
    <w:p>
      <w:pPr>
        <w:pStyle w:val="MiscClose"/>
      </w:pPr>
      <w:r>
        <w:t xml:space="preserve">    ”.</w:t>
      </w:r>
    </w:p>
    <w:p>
      <w:pPr>
        <w:pStyle w:val="nzHeading5"/>
        <w:outlineLvl w:val="0"/>
      </w:pPr>
      <w:r>
        <w:rPr>
          <w:rStyle w:val="CharSectno"/>
        </w:rPr>
        <w:t>33</w:t>
      </w:r>
      <w:r>
        <w:t>.</w:t>
      </w:r>
      <w:r>
        <w:tab/>
        <w:t>Section 38 replaced</w:t>
      </w:r>
    </w:p>
    <w:p>
      <w:pPr>
        <w:pStyle w:val="nzSubsection"/>
      </w:pPr>
      <w:r>
        <w:tab/>
      </w:r>
      <w:r>
        <w:tab/>
        <w:t xml:space="preserve">Section 38 is repealed and the following section is inserted instead — </w:t>
      </w:r>
    </w:p>
    <w:p>
      <w:pPr>
        <w:pStyle w:val="MiscOpen"/>
        <w:spacing w:before="60"/>
      </w:pPr>
      <w:r>
        <w:t xml:space="preserve">“    </w:t>
      </w:r>
    </w:p>
    <w:p>
      <w:pPr>
        <w:pStyle w:val="nzHeading5"/>
      </w:pPr>
      <w:r>
        <w:t>38.</w:t>
      </w:r>
      <w:r>
        <w:tab/>
        <w:t>Licensing authority to be satisfied that certain applications are in the public interest</w:t>
      </w:r>
    </w:p>
    <w:p>
      <w:pPr>
        <w:pStyle w:val="nzSubsection"/>
      </w:pPr>
      <w:r>
        <w:tab/>
        <w:t>(1)</w:t>
      </w:r>
      <w:r>
        <w:tab/>
        <w:t xml:space="preserve">Subsection (2) applies to — </w:t>
      </w:r>
    </w:p>
    <w:p>
      <w:pPr>
        <w:pStyle w:val="nzIndenta"/>
      </w:pPr>
      <w:r>
        <w:tab/>
        <w:t>(a)</w:t>
      </w:r>
      <w:r>
        <w:tab/>
        <w:t>an application for the grant or removal of a licence; or</w:t>
      </w:r>
    </w:p>
    <w:p>
      <w:pPr>
        <w:pStyle w:val="nzIndenta"/>
      </w:pPr>
      <w:r>
        <w:tab/>
        <w:t>(b)</w:t>
      </w:r>
      <w:r>
        <w:tab/>
        <w:t>an application for a permit of a kind prescribed; or</w:t>
      </w:r>
    </w:p>
    <w:p>
      <w:pPr>
        <w:pStyle w:val="nzIndenta"/>
      </w:pPr>
      <w:r>
        <w:tab/>
        <w:t>(c)</w:t>
      </w:r>
      <w:r>
        <w:tab/>
        <w:t>any other application to which the Director decides it is appropriate for subsection (2) to apply.</w:t>
      </w:r>
    </w:p>
    <w:p>
      <w:pPr>
        <w:pStyle w:val="nzSubsection"/>
      </w:pPr>
      <w:r>
        <w:tab/>
        <w:t>(2)</w:t>
      </w:r>
      <w:r>
        <w:tab/>
        <w:t>An applicant who makes an application to which this subsection applies must satisfy the licensing authority that granting the application is in the public interest.</w:t>
      </w:r>
    </w:p>
    <w:p>
      <w:pPr>
        <w:pStyle w:val="nzSubsection"/>
      </w:pPr>
      <w:r>
        <w:tab/>
        <w:t>(3)</w:t>
      </w:r>
      <w:r>
        <w:tab/>
        <w:t xml:space="preserve">For the purpose of subsection (2), the applicant must provide to the licensing authority — </w:t>
      </w:r>
    </w:p>
    <w:p>
      <w:pPr>
        <w:pStyle w:val="nzIndenta"/>
      </w:pPr>
      <w:r>
        <w:tab/>
        <w:t>(a)</w:t>
      </w:r>
      <w:r>
        <w:tab/>
        <w:t>any prescribed document or information; and</w:t>
      </w:r>
    </w:p>
    <w:p>
      <w:pPr>
        <w:pStyle w:val="nzIndenta"/>
      </w:pPr>
      <w:r>
        <w:tab/>
        <w:t>(b)</w:t>
      </w:r>
      <w:r>
        <w:tab/>
        <w:t>any other document or information reasonably required by the licensing authority for those purposes.</w:t>
      </w:r>
    </w:p>
    <w:p>
      <w:pPr>
        <w:pStyle w:val="nzSubsection"/>
      </w:pPr>
      <w:r>
        <w:tab/>
        <w:t>(4)</w:t>
      </w:r>
      <w:r>
        <w:tab/>
        <w:t xml:space="preserve">Without limiting subsection (2), the matters the licensing authority may have regard to in determining whether granting an application is in the public interest include — </w:t>
      </w:r>
    </w:p>
    <w:p>
      <w:pPr>
        <w:pStyle w:val="nzIndenta"/>
      </w:pPr>
      <w:r>
        <w:tab/>
        <w:t>(a)</w:t>
      </w:r>
      <w:r>
        <w:tab/>
        <w:t>the harm or ill</w:t>
      </w:r>
      <w:r>
        <w:noBreakHyphen/>
        <w:t>health that might be caused to people, or any group of people, due to the use of liquor; and</w:t>
      </w:r>
    </w:p>
    <w:p>
      <w:pPr>
        <w:pStyle w:val="nzIndenta"/>
      </w:pPr>
      <w:r>
        <w:tab/>
        <w:t>(b)</w:t>
      </w:r>
      <w:r>
        <w:tab/>
        <w:t>the impact on the amenity of the locality in which the licensed premises, or proposed licensed premises are, or are to be, situated; and</w:t>
      </w:r>
    </w:p>
    <w:p>
      <w:pPr>
        <w:pStyle w:val="nzIndenta"/>
      </w:pPr>
      <w:r>
        <w:tab/>
        <w:t>(c)</w:t>
      </w:r>
      <w:r>
        <w:tab/>
        <w:t>whether offence, annoyance, disturbance or inconvenience might be caused to people who reside or work in the vicinity of the licensed premises or proposed licensed premises; and</w:t>
      </w:r>
    </w:p>
    <w:p>
      <w:pPr>
        <w:pStyle w:val="nzIndenta"/>
      </w:pPr>
      <w:r>
        <w:tab/>
        <w:t>(d)</w:t>
      </w:r>
      <w:r>
        <w:tab/>
        <w:t>any other prescribed matter.</w:t>
      </w:r>
    </w:p>
    <w:p>
      <w:pPr>
        <w:pStyle w:val="nz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nzSubsection"/>
      </w:pPr>
      <w:r>
        <w:tab/>
        <w:t>(6)</w:t>
      </w:r>
      <w:r>
        <w:tab/>
        <w:t>A decision by the Director under subsection (1)(c) or (5) in relation to an application is not subject to review under section 25.</w:t>
      </w:r>
    </w:p>
    <w:p>
      <w:pPr>
        <w:pStyle w:val="MiscClose"/>
        <w:keepNext/>
      </w:pPr>
      <w:r>
        <w:t xml:space="preserve">    ”.</w:t>
      </w:r>
    </w:p>
    <w:p>
      <w:pPr>
        <w:pStyle w:val="nzHeading5"/>
        <w:outlineLvl w:val="0"/>
      </w:pPr>
      <w:r>
        <w:rPr>
          <w:rStyle w:val="CharSectno"/>
        </w:rPr>
        <w:t>34</w:t>
      </w:r>
      <w:r>
        <w:t>.</w:t>
      </w:r>
      <w:r>
        <w:tab/>
        <w:t>Section 41 amended</w:t>
      </w:r>
    </w:p>
    <w:p>
      <w:pPr>
        <w:pStyle w:val="nzSubsection"/>
        <w:outlineLvl w:val="0"/>
      </w:pPr>
      <w:r>
        <w:tab/>
        <w:t>(1)</w:t>
      </w:r>
      <w:r>
        <w:tab/>
        <w:t xml:space="preserve">Before section 41(1) the following subsection is inserted — </w:t>
      </w:r>
    </w:p>
    <w:p>
      <w:pPr>
        <w:pStyle w:val="MiscOpen"/>
        <w:ind w:left="600"/>
      </w:pPr>
      <w:r>
        <w:t xml:space="preserve">“    </w:t>
      </w:r>
    </w:p>
    <w:p>
      <w:pPr>
        <w:pStyle w:val="nzSubsection"/>
      </w:pPr>
      <w:r>
        <w:tab/>
        <w:t>(1aa)</w:t>
      </w:r>
      <w:r>
        <w:tab/>
        <w:t xml:space="preserve">For the purposes of this Act, where a hotel licence is not subject to any condition referred to in subsection (4) and is subject to — </w:t>
      </w:r>
    </w:p>
    <w:p>
      <w:pPr>
        <w:pStyle w:val="nzIndenta"/>
      </w:pPr>
      <w:r>
        <w:tab/>
        <w:t>(a)</w:t>
      </w:r>
      <w:r>
        <w:tab/>
        <w:t>a condition prohibiting the sale of packaged liquor; and</w:t>
      </w:r>
    </w:p>
    <w:p>
      <w:pPr>
        <w:pStyle w:val="nzIndenta"/>
      </w:pPr>
      <w:r>
        <w:tab/>
        <w:t>(b)</w:t>
      </w:r>
      <w:r>
        <w:tab/>
        <w:t>a condition limiting the number of persons who may be on the licensed premises to a maximum of 120,</w:t>
      </w:r>
    </w:p>
    <w:p>
      <w:pPr>
        <w:pStyle w:val="nzSubsection"/>
      </w:pPr>
      <w:r>
        <w:tab/>
      </w:r>
      <w:r>
        <w:tab/>
        <w:t>it is to be referred to as a small bar licence, and an application may be made for a small bar licence if the applicant does not seek another kind of hotel licence.</w:t>
      </w:r>
    </w:p>
    <w:p>
      <w:pPr>
        <w:pStyle w:val="MiscClose"/>
      </w:pPr>
      <w:r>
        <w:t xml:space="preserve">    ”.</w:t>
      </w:r>
    </w:p>
    <w:p>
      <w:pPr>
        <w:pStyle w:val="nzSubsection"/>
        <w:outlineLvl w:val="0"/>
      </w:pPr>
      <w:r>
        <w:tab/>
        <w:t>(2)</w:t>
      </w:r>
      <w:r>
        <w:tab/>
        <w:t xml:space="preserve">Section 41(1)(a) is amended by deleting “the condition referred to in subsection (4)” and inserting instead — </w:t>
      </w:r>
    </w:p>
    <w:p>
      <w:pPr>
        <w:pStyle w:val="MiscOpen"/>
        <w:ind w:left="1620"/>
      </w:pPr>
      <w:r>
        <w:t xml:space="preserve">“    </w:t>
      </w:r>
    </w:p>
    <w:p>
      <w:pPr>
        <w:pStyle w:val="nzIndenta"/>
      </w:pPr>
      <w:r>
        <w:tab/>
      </w:r>
      <w:r>
        <w:tab/>
        <w:t>any condition referred to in subsection (4) and is not a small bar licence</w:t>
      </w:r>
    </w:p>
    <w:p>
      <w:pPr>
        <w:pStyle w:val="MiscClose"/>
      </w:pPr>
      <w:r>
        <w:t xml:space="preserve">    ”.</w:t>
      </w:r>
    </w:p>
    <w:p>
      <w:pPr>
        <w:pStyle w:val="nzSubsection"/>
        <w:outlineLvl w:val="0"/>
      </w:pPr>
      <w:r>
        <w:tab/>
        <w:t>(3)</w:t>
      </w:r>
      <w:r>
        <w:tab/>
        <w:t>Section 41(2) is amended as follows:</w:t>
      </w:r>
    </w:p>
    <w:p>
      <w:pPr>
        <w:pStyle w:val="nzIndenta"/>
      </w:pPr>
      <w:r>
        <w:tab/>
        <w:t>(a)</w:t>
      </w:r>
      <w:r>
        <w:tab/>
        <w:t xml:space="preserve">in paragraph (a), by deleting “is required to” and inserting instead — </w:t>
      </w:r>
    </w:p>
    <w:p>
      <w:pPr>
        <w:pStyle w:val="nzIndenta"/>
      </w:pPr>
      <w:r>
        <w:tab/>
      </w:r>
      <w:r>
        <w:tab/>
        <w:t>“    may    ”;</w:t>
      </w:r>
    </w:p>
    <w:p>
      <w:pPr>
        <w:pStyle w:val="nzIndenta"/>
      </w:pPr>
      <w:r>
        <w:tab/>
        <w:t>(b)</w:t>
      </w:r>
      <w:r>
        <w:tab/>
        <w:t xml:space="preserve">by deleting paragraph (b) and inserting the following paragraph instead — </w:t>
      </w:r>
    </w:p>
    <w:p>
      <w:pPr>
        <w:pStyle w:val="MiscOpen"/>
        <w:spacing w:before="60"/>
        <w:ind w:left="1338"/>
      </w:pPr>
      <w:r>
        <w:t xml:space="preserve">“    </w:t>
      </w:r>
    </w:p>
    <w:p>
      <w:pPr>
        <w:pStyle w:val="nzIndenta"/>
      </w:pPr>
      <w:r>
        <w:tab/>
        <w:t>(b)</w:t>
      </w:r>
      <w:r>
        <w:tab/>
        <w:t>may, unless the licence is a small bar licence or a hotel restricted licence, sell packaged liquor on and from the premises to any person.</w:t>
      </w:r>
    </w:p>
    <w:p>
      <w:pPr>
        <w:pStyle w:val="MiscClose"/>
      </w:pPr>
      <w:r>
        <w:t xml:space="preserve">    ”.</w:t>
      </w:r>
    </w:p>
    <w:p>
      <w:pPr>
        <w:pStyle w:val="nzSubsection"/>
        <w:outlineLvl w:val="0"/>
      </w:pPr>
      <w:r>
        <w:tab/>
        <w:t>(4)</w:t>
      </w:r>
      <w:r>
        <w:tab/>
        <w:t xml:space="preserve">Section 41(4) is repealed and the following subsection is inserted instead — </w:t>
      </w:r>
    </w:p>
    <w:p>
      <w:pPr>
        <w:pStyle w:val="MiscOpen"/>
        <w:spacing w:before="60"/>
        <w:ind w:left="601"/>
      </w:pPr>
      <w:r>
        <w:t xml:space="preserve">“    </w:t>
      </w:r>
    </w:p>
    <w:p>
      <w:pPr>
        <w:pStyle w:val="nzSubsection"/>
        <w:outlineLvl w:val="0"/>
      </w:pPr>
      <w:r>
        <w:tab/>
        <w:t>(4)</w:t>
      </w:r>
      <w:r>
        <w:tab/>
        <w:t xml:space="preserve">Unless it is a small bar licence or a tavern licence, a hotel licence — </w:t>
      </w:r>
    </w:p>
    <w:p>
      <w:pPr>
        <w:pStyle w:val="nzIndenta"/>
      </w:pPr>
      <w:r>
        <w:tab/>
        <w:t>(a)</w:t>
      </w:r>
      <w:r>
        <w:tab/>
        <w:t>subject to subsection (5) and to any variation under subsection (6), is subject to the condition that the licensee provides guest accommodation for any person; and</w:t>
      </w:r>
    </w:p>
    <w:p>
      <w:pPr>
        <w:pStyle w:val="nzIndenta"/>
      </w:pPr>
      <w:r>
        <w:tab/>
        <w:t>(b)</w:t>
      </w:r>
      <w:r>
        <w:tab/>
        <w:t>subject to subsection (5) and without limiting section 64, is subject to any condition imposed by the licensing authority requiring meals to be provided to lodgers.</w:t>
      </w:r>
    </w:p>
    <w:p>
      <w:pPr>
        <w:pStyle w:val="MiscClose"/>
      </w:pPr>
      <w:r>
        <w:t xml:space="preserve">    ”.</w:t>
      </w:r>
    </w:p>
    <w:p>
      <w:pPr>
        <w:pStyle w:val="nzSubsection"/>
        <w:outlineLvl w:val="0"/>
      </w:pPr>
      <w:r>
        <w:tab/>
        <w:t>(5)</w:t>
      </w:r>
      <w:r>
        <w:tab/>
        <w:t xml:space="preserve">Section 41(5)(a) is deleted and the following is inserted instead — </w:t>
      </w:r>
    </w:p>
    <w:p>
      <w:pPr>
        <w:pStyle w:val="MiscOpen"/>
        <w:spacing w:before="60"/>
        <w:ind w:left="1338"/>
      </w:pPr>
      <w:r>
        <w:t xml:space="preserve">“    </w:t>
      </w:r>
    </w:p>
    <w:p>
      <w:pPr>
        <w:pStyle w:val="nzIndenta"/>
      </w:pPr>
      <w:r>
        <w:tab/>
        <w:t>(a)</w:t>
      </w:r>
      <w:r>
        <w:tab/>
        <w:t>the person seeking the guest accommodation or, if applicable, the meal, is a person who may be refused entry to the licensed premises by the licensee under section 115(4); or</w:t>
      </w:r>
    </w:p>
    <w:p>
      <w:pPr>
        <w:pStyle w:val="MiscClose"/>
      </w:pPr>
      <w:r>
        <w:t xml:space="preserve">    ”.</w:t>
      </w:r>
    </w:p>
    <w:p>
      <w:pPr>
        <w:pStyle w:val="nzHeading5"/>
        <w:outlineLvl w:val="0"/>
      </w:pPr>
      <w:r>
        <w:rPr>
          <w:rStyle w:val="CharSectno"/>
        </w:rPr>
        <w:t>35</w:t>
      </w:r>
      <w:r>
        <w:t>.</w:t>
      </w:r>
      <w:r>
        <w:tab/>
        <w:t>Section 46 amended</w:t>
      </w:r>
    </w:p>
    <w:p>
      <w:pPr>
        <w:pStyle w:val="nzSubsection"/>
      </w:pPr>
      <w:r>
        <w:tab/>
      </w:r>
      <w:r>
        <w:tab/>
        <w:t xml:space="preserve">After section 46(1) the following subsection is inserted — </w:t>
      </w:r>
    </w:p>
    <w:p>
      <w:pPr>
        <w:pStyle w:val="MiscOpen"/>
        <w:spacing w:before="60"/>
        <w:ind w:left="601"/>
      </w:pPr>
      <w:r>
        <w:t xml:space="preserve">“    </w:t>
      </w:r>
    </w:p>
    <w:p>
      <w:pPr>
        <w:pStyle w:val="nzSubsection"/>
      </w:pPr>
      <w:r>
        <w:tab/>
        <w:t>(1a)</w:t>
      </w:r>
      <w:r>
        <w:tab/>
        <w:t xml:space="preserve">The licensing authority is not to grant a special facility licence only because — </w:t>
      </w:r>
    </w:p>
    <w:p>
      <w:pPr>
        <w:pStyle w:val="nzIndenta"/>
      </w:pPr>
      <w:r>
        <w:tab/>
        <w:t>(a)</w:t>
      </w:r>
      <w:r>
        <w:tab/>
        <w:t>the grant or variation of a licence of another class; or</w:t>
      </w:r>
    </w:p>
    <w:p>
      <w:pPr>
        <w:pStyle w:val="nzIndenta"/>
      </w:pPr>
      <w:r>
        <w:tab/>
        <w:t>(b)</w:t>
      </w:r>
      <w:r>
        <w:tab/>
        <w:t>the imposition, variation or cancellation of a condition on a licence of another class; or</w:t>
      </w:r>
    </w:p>
    <w:p>
      <w:pPr>
        <w:pStyle w:val="nzIndenta"/>
      </w:pPr>
      <w:r>
        <w:tab/>
        <w:t>(c)</w:t>
      </w:r>
      <w:r>
        <w:tab/>
        <w:t>the issue of an extended trading permit in respect of a licence of another class,</w:t>
      </w:r>
    </w:p>
    <w:p>
      <w:pPr>
        <w:pStyle w:val="nzSubsection"/>
      </w:pPr>
      <w:r>
        <w:tab/>
      </w:r>
      <w:r>
        <w:tab/>
        <w:t>is not possible because an approval, consent or exemption required under another written law cannot be obtained.</w:t>
      </w:r>
    </w:p>
    <w:p>
      <w:pPr>
        <w:pStyle w:val="MiscClose"/>
      </w:pPr>
      <w:r>
        <w:t xml:space="preserve">    ”.</w:t>
      </w:r>
    </w:p>
    <w:p>
      <w:pPr>
        <w:pStyle w:val="nzHeading5"/>
        <w:outlineLvl w:val="0"/>
      </w:pPr>
      <w:r>
        <w:rPr>
          <w:rStyle w:val="CharSectno"/>
        </w:rPr>
        <w:t>36</w:t>
      </w:r>
      <w:r>
        <w:t>.</w:t>
      </w:r>
      <w:r>
        <w:tab/>
        <w:t>Sections 46A and 46B inserted</w:t>
      </w:r>
    </w:p>
    <w:p>
      <w:pPr>
        <w:pStyle w:val="nzSubsection"/>
      </w:pPr>
      <w:r>
        <w:tab/>
      </w:r>
      <w:r>
        <w:tab/>
        <w:t xml:space="preserve">After section 46 the following sections are inserted — </w:t>
      </w:r>
    </w:p>
    <w:p>
      <w:pPr>
        <w:pStyle w:val="MiscOpen"/>
        <w:spacing w:before="60"/>
      </w:pPr>
      <w:r>
        <w:t xml:space="preserve">“    </w:t>
      </w:r>
    </w:p>
    <w:p>
      <w:pPr>
        <w:pStyle w:val="nzHeading5"/>
      </w:pPr>
      <w:r>
        <w:t>46A.</w:t>
      </w:r>
      <w:r>
        <w:tab/>
        <w:t>Variation of special facility licences</w:t>
      </w:r>
    </w:p>
    <w:p>
      <w:pPr>
        <w:pStyle w:val="nzSubsection"/>
      </w:pPr>
      <w:r>
        <w:tab/>
        <w:t>(1)</w:t>
      </w:r>
      <w:r>
        <w:tab/>
        <w:t xml:space="preserve">The licensing authority is not to vary a special facility licence, or impose, vary or cancel a condition on a special facility licence, if — </w:t>
      </w:r>
    </w:p>
    <w:p>
      <w:pPr>
        <w:pStyle w:val="nzIndenta"/>
      </w:pPr>
      <w:r>
        <w:tab/>
        <w:t>(a)</w:t>
      </w:r>
      <w:r>
        <w:tab/>
        <w:t>granting or varying a licence of another class; or</w:t>
      </w:r>
    </w:p>
    <w:p>
      <w:pPr>
        <w:pStyle w:val="nzIndenta"/>
      </w:pPr>
      <w:r>
        <w:tab/>
        <w:t>(b)</w:t>
      </w:r>
      <w:r>
        <w:tab/>
        <w:t>imposing, varying or cancelling a condition on a licence of another class; or</w:t>
      </w:r>
    </w:p>
    <w:p>
      <w:pPr>
        <w:pStyle w:val="nzIndenta"/>
      </w:pPr>
      <w:r>
        <w:tab/>
        <w:t>(c)</w:t>
      </w:r>
      <w:r>
        <w:tab/>
        <w:t>issuing an extended trading permit in respect of a licence of another class,</w:t>
      </w:r>
    </w:p>
    <w:p>
      <w:pPr>
        <w:pStyle w:val="nzSubsection"/>
      </w:pPr>
      <w:r>
        <w:tab/>
      </w:r>
      <w:r>
        <w:tab/>
        <w:t xml:space="preserve">would achieve the purposes for which — </w:t>
      </w:r>
    </w:p>
    <w:p>
      <w:pPr>
        <w:pStyle w:val="nzIndenta"/>
      </w:pPr>
      <w:r>
        <w:tab/>
        <w:t>(d)</w:t>
      </w:r>
      <w:r>
        <w:tab/>
        <w:t>the variation of the special facility licence is sought; or</w:t>
      </w:r>
    </w:p>
    <w:p>
      <w:pPr>
        <w:pStyle w:val="nzIndenta"/>
      </w:pPr>
      <w:r>
        <w:tab/>
        <w:t>(e)</w:t>
      </w:r>
      <w:r>
        <w:tab/>
        <w:t>the imposition, variation or cancellation of a condition on the special facility licence is sought.</w:t>
      </w:r>
    </w:p>
    <w:p>
      <w:pPr>
        <w:pStyle w:val="nzSubsection"/>
      </w:pPr>
      <w:r>
        <w:tab/>
        <w:t>(2)</w:t>
      </w:r>
      <w:r>
        <w:tab/>
        <w:t xml:space="preserve">Subsection (1) applies — </w:t>
      </w:r>
    </w:p>
    <w:p>
      <w:pPr>
        <w:pStyle w:val="nzIndenta"/>
      </w:pPr>
      <w:r>
        <w:tab/>
        <w:t>(a)</w:t>
      </w:r>
      <w:r>
        <w:tab/>
        <w:t>whether or not an application has been made for a grant, variation, imposition, cancellation or issue referred to in paragraph (a), (b) or (c) of that subsection; and</w:t>
      </w:r>
    </w:p>
    <w:p>
      <w:pPr>
        <w:pStyle w:val="nzIndenta"/>
      </w:pPr>
      <w:r>
        <w:tab/>
        <w:t>(b)</w:t>
      </w:r>
      <w:r>
        <w:tab/>
        <w:t>even if such an application has been made and has been refused.</w:t>
      </w:r>
    </w:p>
    <w:p>
      <w:pPr>
        <w:pStyle w:val="nzHeading5"/>
      </w:pPr>
      <w:r>
        <w:t>46B.</w:t>
      </w:r>
      <w:r>
        <w:tab/>
        <w:t>Alternatives to, and replacements of, special facility licences</w:t>
      </w:r>
    </w:p>
    <w:p>
      <w:pPr>
        <w:pStyle w:val="nz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nzIndenta"/>
      </w:pPr>
      <w:r>
        <w:tab/>
        <w:t>(a)</w:t>
      </w:r>
      <w:r>
        <w:tab/>
        <w:t>the grant or variation of a licence of another class; or</w:t>
      </w:r>
    </w:p>
    <w:p>
      <w:pPr>
        <w:pStyle w:val="nzIndenta"/>
      </w:pPr>
      <w:r>
        <w:tab/>
        <w:t>(b)</w:t>
      </w:r>
      <w:r>
        <w:tab/>
        <w:t>the imposition, variation or cancellation of a condition on a licence of another class; or</w:t>
      </w:r>
    </w:p>
    <w:p>
      <w:pPr>
        <w:pStyle w:val="nzIndenta"/>
      </w:pPr>
      <w:r>
        <w:tab/>
        <w:t>(c)</w:t>
      </w:r>
      <w:r>
        <w:tab/>
        <w:t>the issue of an extended trading permit in respect of a licence of another class.</w:t>
      </w:r>
    </w:p>
    <w:p>
      <w:pPr>
        <w:pStyle w:val="nzSubsection"/>
      </w:pPr>
      <w:r>
        <w:tab/>
        <w:t>(2)</w:t>
      </w:r>
      <w:r>
        <w:tab/>
        <w:t xml:space="preserve">The licensing authority may of its own motion or on the application of the licensee — </w:t>
      </w:r>
    </w:p>
    <w:p>
      <w:pPr>
        <w:pStyle w:val="nzIndenta"/>
      </w:pPr>
      <w:r>
        <w:tab/>
        <w:t>(a)</w:t>
      </w:r>
      <w:r>
        <w:tab/>
        <w:t>cancel a special facility licence; and</w:t>
      </w:r>
    </w:p>
    <w:p>
      <w:pPr>
        <w:pStyle w:val="nzIndenta"/>
      </w:pPr>
      <w:r>
        <w:tab/>
        <w:t>(b)</w:t>
      </w:r>
      <w:r>
        <w:tab/>
        <w:t xml:space="preserve">in respect of the premises to which the special facility licence related — </w:t>
      </w:r>
    </w:p>
    <w:p>
      <w:pPr>
        <w:pStyle w:val="nzIndenti"/>
      </w:pPr>
      <w:r>
        <w:tab/>
        <w:t>(i)</w:t>
      </w:r>
      <w:r>
        <w:tab/>
        <w:t xml:space="preserve">grant to the person who was the licensee a licence of another class; and </w:t>
      </w:r>
    </w:p>
    <w:p>
      <w:pPr>
        <w:pStyle w:val="nzIndenti"/>
      </w:pPr>
      <w:r>
        <w:tab/>
        <w:t>(ii)</w:t>
      </w:r>
      <w:r>
        <w:tab/>
        <w:t>if considered appropriate by the licensing authority, issue to that person an extended trading permit.</w:t>
      </w:r>
    </w:p>
    <w:p>
      <w:pPr>
        <w:pStyle w:val="nzSubsection"/>
      </w:pPr>
      <w:r>
        <w:tab/>
        <w:t>(3)</w:t>
      </w:r>
      <w:r>
        <w:tab/>
        <w:t xml:space="preserve">If the licensing authority of its own motion proposes to cancel a special facility licence and grant a licence of another class under subsection (2), the licensing authority — </w:t>
      </w:r>
    </w:p>
    <w:p>
      <w:pPr>
        <w:pStyle w:val="nzIndenta"/>
      </w:pPr>
      <w:r>
        <w:tab/>
        <w:t>(a)</w:t>
      </w:r>
      <w:r>
        <w:tab/>
        <w:t>is to give the licensee a notice that sets out the proposal and the reasons for it; and</w:t>
      </w:r>
    </w:p>
    <w:p>
      <w:pPr>
        <w:pStyle w:val="nzIndenta"/>
      </w:pPr>
      <w:r>
        <w:tab/>
        <w:t>(b)</w:t>
      </w:r>
      <w:r>
        <w:tab/>
        <w:t>is to give the licensee a reasonable opportunity to make submissions or to be heard in relation to the proposal.</w:t>
      </w:r>
    </w:p>
    <w:p>
      <w:pPr>
        <w:pStyle w:val="MiscClose"/>
      </w:pPr>
      <w:r>
        <w:t xml:space="preserve">    ”.</w:t>
      </w:r>
    </w:p>
    <w:p>
      <w:pPr>
        <w:pStyle w:val="nzHeading5"/>
        <w:outlineLvl w:val="0"/>
      </w:pPr>
      <w:r>
        <w:rPr>
          <w:rStyle w:val="CharSectno"/>
        </w:rPr>
        <w:t>37</w:t>
      </w:r>
      <w:r>
        <w:t>.</w:t>
      </w:r>
      <w:r>
        <w:tab/>
        <w:t>Part 3 Division 3 heading deleted</w:t>
      </w:r>
    </w:p>
    <w:p>
      <w:pPr>
        <w:pStyle w:val="nzSubsection"/>
      </w:pPr>
      <w:r>
        <w:tab/>
      </w:r>
      <w:r>
        <w:tab/>
        <w:t>The heading to Part 3 Division 3 is deleted.</w:t>
      </w:r>
    </w:p>
    <w:p>
      <w:pPr>
        <w:pStyle w:val="nzHeading5"/>
        <w:outlineLvl w:val="0"/>
      </w:pPr>
      <w:r>
        <w:rPr>
          <w:rStyle w:val="CharSectno"/>
        </w:rPr>
        <w:t>38</w:t>
      </w:r>
      <w:r>
        <w:t>.</w:t>
      </w:r>
      <w:r>
        <w:tab/>
        <w:t>Section 48 amended</w:t>
      </w:r>
    </w:p>
    <w:p>
      <w:pPr>
        <w:pStyle w:val="nzSubsection"/>
      </w:pPr>
      <w:r>
        <w:tab/>
        <w:t>(1)</w:t>
      </w:r>
      <w:r>
        <w:tab/>
        <w:t xml:space="preserve">Section 48(1)(b) is deleted and the following paragraph is inserted instead — </w:t>
      </w:r>
    </w:p>
    <w:p>
      <w:pPr>
        <w:pStyle w:val="MiscOpen"/>
        <w:ind w:left="1340"/>
      </w:pPr>
      <w:r>
        <w:t xml:space="preserve">“    </w:t>
      </w:r>
    </w:p>
    <w:p>
      <w:pPr>
        <w:pStyle w:val="nzIndenta"/>
      </w:pPr>
      <w:r>
        <w:tab/>
        <w:t>(b)</w:t>
      </w:r>
      <w:r>
        <w:tab/>
        <w:t>which is subject to conditions prohibiting the sale of liquor for consumption off the premises, or the removal of liquor from the premises, unless subsection (9) applies,</w:t>
      </w:r>
    </w:p>
    <w:p>
      <w:pPr>
        <w:pStyle w:val="MiscClose"/>
      </w:pPr>
      <w:r>
        <w:t xml:space="preserve">    ”.</w:t>
      </w:r>
    </w:p>
    <w:p>
      <w:pPr>
        <w:pStyle w:val="nzSubsection"/>
      </w:pPr>
      <w:r>
        <w:tab/>
        <w:t>(2)</w:t>
      </w:r>
      <w:r>
        <w:tab/>
        <w:t xml:space="preserve">Section 48(2)(c) is amended by deleting “subsection (3) and subsection (4)(c),” and inserting instead — </w:t>
      </w:r>
    </w:p>
    <w:p>
      <w:pPr>
        <w:pStyle w:val="nzSubsection"/>
      </w:pPr>
      <w:r>
        <w:tab/>
      </w:r>
      <w:r>
        <w:tab/>
        <w:t>“    subsections (3) and (4)(c),    ”.</w:t>
      </w:r>
    </w:p>
    <w:p>
      <w:pPr>
        <w:pStyle w:val="nzSubsection"/>
      </w:pPr>
      <w:r>
        <w:tab/>
        <w:t>(3)</w:t>
      </w:r>
      <w:r>
        <w:tab/>
        <w:t xml:space="preserve">Section 48(5) is repealed and the following subsection is inserted instead — </w:t>
      </w:r>
    </w:p>
    <w:p>
      <w:pPr>
        <w:pStyle w:val="MiscOpen"/>
        <w:ind w:left="600"/>
      </w:pPr>
      <w:r>
        <w:t xml:space="preserve">“    </w:t>
      </w:r>
    </w:p>
    <w:p>
      <w:pPr>
        <w:pStyle w:val="nz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nzIndenta"/>
      </w:pPr>
      <w:r>
        <w:tab/>
        <w:t>(a)</w:t>
      </w:r>
      <w:r>
        <w:tab/>
        <w:t>that is to engage in a pre</w:t>
      </w:r>
      <w:r>
        <w:noBreakHyphen/>
        <w:t>arranged event with the host club conducted for the purposes of one of the host club’s principal objects; or</w:t>
      </w:r>
    </w:p>
    <w:p>
      <w:pPr>
        <w:pStyle w:val="nzIndenta"/>
      </w:pPr>
      <w:r>
        <w:tab/>
        <w:t>(b)</w:t>
      </w:r>
      <w:r>
        <w:tab/>
        <w:t>that is to hold a pre</w:t>
      </w:r>
      <w:r>
        <w:noBreakHyphen/>
        <w:t>arranged function at the host club involving the use of the host club’s sporting facilities,</w:t>
      </w:r>
    </w:p>
    <w:p>
      <w:pPr>
        <w:pStyle w:val="nzSubsection"/>
      </w:pPr>
      <w:r>
        <w:tab/>
      </w:r>
      <w:r>
        <w:tab/>
        <w:t>may, for the purposes of this Act, be taken to be a person who is accorded temporary membership of the host club on that day in accordance with rules approved by the Director.</w:t>
      </w:r>
    </w:p>
    <w:p>
      <w:pPr>
        <w:pStyle w:val="MiscClose"/>
      </w:pPr>
      <w:r>
        <w:t xml:space="preserve">    ”.</w:t>
      </w:r>
    </w:p>
    <w:p>
      <w:pPr>
        <w:pStyle w:val="nzSubsection"/>
      </w:pPr>
      <w:r>
        <w:tab/>
        <w:t>(4)</w:t>
      </w:r>
      <w:r>
        <w:tab/>
        <w:t>Section 48(8) is repealed.</w:t>
      </w:r>
    </w:p>
    <w:p>
      <w:pPr>
        <w:pStyle w:val="nzHeading5"/>
        <w:outlineLvl w:val="0"/>
      </w:pPr>
      <w:r>
        <w:rPr>
          <w:rStyle w:val="CharSectno"/>
        </w:rPr>
        <w:t>39</w:t>
      </w:r>
      <w:r>
        <w:t>.</w:t>
      </w:r>
      <w:r>
        <w:tab/>
        <w:t>Section 49 amended</w:t>
      </w:r>
    </w:p>
    <w:p>
      <w:pPr>
        <w:pStyle w:val="nzSubsection"/>
      </w:pPr>
      <w:r>
        <w:tab/>
        <w:t>(1)</w:t>
      </w:r>
      <w:r>
        <w:tab/>
        <w:t>Section 49(3) is amended as follows:</w:t>
      </w:r>
    </w:p>
    <w:p>
      <w:pPr>
        <w:pStyle w:val="nzIndenta"/>
      </w:pPr>
      <w:r>
        <w:tab/>
        <w:t>(a)</w:t>
      </w:r>
      <w:r>
        <w:tab/>
        <w:t xml:space="preserve">in paragraph (c)(iii), by deleting “classes of persons entitled to such membership are not unduly large, having regard to the nature of the club;” and inserting instead — </w:t>
      </w:r>
    </w:p>
    <w:p>
      <w:pPr>
        <w:pStyle w:val="MiscOpen"/>
        <w:ind w:left="2320"/>
      </w:pPr>
      <w:r>
        <w:t xml:space="preserve">“    </w:t>
      </w:r>
    </w:p>
    <w:p>
      <w:pPr>
        <w:pStyle w:val="nzIndenti"/>
      </w:pPr>
      <w:r>
        <w:tab/>
      </w:r>
      <w:r>
        <w:tab/>
        <w:t>number of persons who may be admitted to such membership does not exceed any limit that the licensing authority, having regard to the nature of the club, may impose;</w:t>
      </w:r>
    </w:p>
    <w:p>
      <w:pPr>
        <w:pStyle w:val="MiscClose"/>
      </w:pPr>
      <w:r>
        <w:t xml:space="preserve">    ”;</w:t>
      </w:r>
    </w:p>
    <w:p>
      <w:pPr>
        <w:pStyle w:val="nzIndenta"/>
      </w:pPr>
      <w:r>
        <w:tab/>
        <w:t>(b)</w:t>
      </w:r>
      <w:r>
        <w:tab/>
        <w:t xml:space="preserve">after paragraph (c)(iii), by inserting — </w:t>
      </w:r>
    </w:p>
    <w:p>
      <w:pPr>
        <w:pStyle w:val="MiscOpen"/>
        <w:ind w:left="2320"/>
      </w:pPr>
      <w:r>
        <w:t xml:space="preserve">“    </w:t>
      </w:r>
    </w:p>
    <w:p>
      <w:pPr>
        <w:pStyle w:val="nzIndenti"/>
      </w:pPr>
      <w:r>
        <w:tab/>
      </w:r>
      <w:r>
        <w:tab/>
        <w:t>and</w:t>
      </w:r>
    </w:p>
    <w:p>
      <w:pPr>
        <w:pStyle w:val="nzIndenti"/>
      </w:pPr>
      <w:r>
        <w:tab/>
        <w:t>(iv)</w:t>
      </w:r>
      <w:r>
        <w:tab/>
        <w:t>without limiting subparagraph (iii), that any provision for membership of the club by reason of reciprocal arrangements with another club is made in accordance with the regulations;</w:t>
      </w:r>
    </w:p>
    <w:p>
      <w:pPr>
        <w:pStyle w:val="MiscClose"/>
      </w:pPr>
      <w:r>
        <w:t xml:space="preserve">    ”;</w:t>
      </w:r>
    </w:p>
    <w:p>
      <w:pPr>
        <w:pStyle w:val="nzIndenta"/>
      </w:pPr>
      <w:r>
        <w:tab/>
        <w:t>(c)</w:t>
      </w:r>
      <w:r>
        <w:tab/>
        <w:t xml:space="preserve">in paragraph (d), by deleting “or quarterly” and inserting instead — </w:t>
      </w:r>
    </w:p>
    <w:p>
      <w:pPr>
        <w:pStyle w:val="nzIndenta"/>
      </w:pPr>
      <w:r>
        <w:tab/>
      </w:r>
      <w:r>
        <w:tab/>
        <w:t>“    , quarterly or monthly    ”;</w:t>
      </w:r>
    </w:p>
    <w:p>
      <w:pPr>
        <w:pStyle w:val="nzIndenta"/>
      </w:pPr>
      <w:r>
        <w:tab/>
        <w:t>(d)</w:t>
      </w:r>
      <w:r>
        <w:tab/>
        <w:t xml:space="preserve">after each of paragraphs (a), (b) and (c) and after each of paragraphs (c)(i) and (e)(i), by inserting — </w:t>
      </w:r>
    </w:p>
    <w:p>
      <w:pPr>
        <w:pStyle w:val="nzIndenta"/>
      </w:pPr>
      <w:r>
        <w:tab/>
      </w:r>
      <w:r>
        <w:tab/>
        <w:t>“    and    ”.</w:t>
      </w:r>
    </w:p>
    <w:p>
      <w:pPr>
        <w:pStyle w:val="nzHeading5"/>
        <w:outlineLvl w:val="0"/>
      </w:pPr>
      <w:r>
        <w:rPr>
          <w:rStyle w:val="CharSectno"/>
        </w:rPr>
        <w:t>40</w:t>
      </w:r>
      <w:r>
        <w:t>.</w:t>
      </w:r>
      <w:r>
        <w:tab/>
        <w:t>Section 50 amended</w:t>
      </w:r>
    </w:p>
    <w:p>
      <w:pPr>
        <w:pStyle w:val="nzSubsection"/>
        <w:outlineLvl w:val="0"/>
      </w:pPr>
      <w:r>
        <w:tab/>
        <w:t>(1)</w:t>
      </w:r>
      <w:r>
        <w:tab/>
        <w:t>Section 50(1a) is amended as follows:</w:t>
      </w:r>
    </w:p>
    <w:p>
      <w:pPr>
        <w:pStyle w:val="nzIndenta"/>
        <w:outlineLvl w:val="0"/>
      </w:pPr>
      <w:r>
        <w:tab/>
        <w:t>(a)</w:t>
      </w:r>
      <w:r>
        <w:tab/>
        <w:t xml:space="preserve">in paragraph (a) by deleting “at a dining table;” and inserting instead — </w:t>
      </w:r>
    </w:p>
    <w:p>
      <w:pPr>
        <w:pStyle w:val="MiscOpen"/>
        <w:spacing w:before="80"/>
        <w:ind w:left="1622"/>
      </w:pPr>
      <w:r>
        <w:t xml:space="preserve">“    </w:t>
      </w:r>
    </w:p>
    <w:p>
      <w:pPr>
        <w:pStyle w:val="nzIndenta"/>
      </w:pPr>
      <w:r>
        <w:tab/>
      </w:r>
      <w:r>
        <w:tab/>
        <w:t>on the licensed premises by a person while sitting at a table, or at a fixed structure used as a table;</w:t>
      </w:r>
    </w:p>
    <w:p>
      <w:pPr>
        <w:pStyle w:val="MiscClose"/>
      </w:pPr>
      <w:r>
        <w:t xml:space="preserve">    ”;</w:t>
      </w:r>
    </w:p>
    <w:p>
      <w:pPr>
        <w:pStyle w:val="nzIndenta"/>
        <w:outlineLvl w:val="0"/>
      </w:pPr>
      <w:r>
        <w:tab/>
        <w:t>(b)</w:t>
      </w:r>
      <w:r>
        <w:tab/>
        <w:t xml:space="preserve">by deleting paragraph (b) and inserting instead — </w:t>
      </w:r>
    </w:p>
    <w:p>
      <w:pPr>
        <w:pStyle w:val="MiscOpen"/>
        <w:spacing w:before="100"/>
        <w:ind w:left="1338"/>
      </w:pPr>
      <w:r>
        <w:t xml:space="preserve">“    </w:t>
      </w:r>
    </w:p>
    <w:p>
      <w:pPr>
        <w:pStyle w:val="nzIndenta"/>
        <w:outlineLvl w:val="0"/>
      </w:pPr>
      <w:r>
        <w:tab/>
        <w:t>(b)</w:t>
      </w:r>
      <w:r>
        <w:tab/>
        <w:t xml:space="preserve">the sale and consumption of the liquor are in accordance with any conditions — </w:t>
      </w:r>
    </w:p>
    <w:p>
      <w:pPr>
        <w:pStyle w:val="nzIndenti"/>
      </w:pPr>
      <w:r>
        <w:tab/>
        <w:t>(i)</w:t>
      </w:r>
      <w:r>
        <w:tab/>
        <w:t>imposed on the permit by the licensing authority; or</w:t>
      </w:r>
    </w:p>
    <w:p>
      <w:pPr>
        <w:pStyle w:val="nzIndenti"/>
      </w:pPr>
      <w:r>
        <w:tab/>
        <w:t>(ii)</w:t>
      </w:r>
      <w:r>
        <w:tab/>
        <w:t>prescribed for the purposes of this paragraph.</w:t>
      </w:r>
    </w:p>
    <w:p>
      <w:pPr>
        <w:pStyle w:val="MiscClose"/>
      </w:pPr>
      <w:r>
        <w:t xml:space="preserve">    ”.</w:t>
      </w:r>
    </w:p>
    <w:p>
      <w:pPr>
        <w:pStyle w:val="nzSubsection"/>
        <w:outlineLvl w:val="0"/>
      </w:pPr>
      <w:r>
        <w:tab/>
        <w:t>(2)</w:t>
      </w:r>
      <w:r>
        <w:tab/>
        <w:t>Section 50(3) is amended as follows:</w:t>
      </w:r>
    </w:p>
    <w:p>
      <w:pPr>
        <w:pStyle w:val="nzIndenta"/>
      </w:pPr>
      <w:r>
        <w:tab/>
        <w:t>(a)</w:t>
      </w:r>
      <w:r>
        <w:tab/>
        <w:t xml:space="preserve">in paragraph (b) before “liquor”, by inserting — </w:t>
      </w:r>
    </w:p>
    <w:p>
      <w:pPr>
        <w:pStyle w:val="nzIndenta"/>
      </w:pPr>
      <w:r>
        <w:tab/>
      </w:r>
      <w:r>
        <w:tab/>
        <w:t>“    subject to subsection (1a),    ”;</w:t>
      </w:r>
    </w:p>
    <w:p>
      <w:pPr>
        <w:pStyle w:val="nzIndenta"/>
      </w:pPr>
      <w:r>
        <w:tab/>
        <w:t>(b)</w:t>
      </w:r>
      <w:r>
        <w:tab/>
        <w:t xml:space="preserve">at the end of paragraph (b), by deleting the full stop and inserting — </w:t>
      </w:r>
    </w:p>
    <w:p>
      <w:pPr>
        <w:pStyle w:val="MiscOpen"/>
        <w:spacing w:before="100"/>
        <w:ind w:left="1622"/>
      </w:pPr>
      <w:r>
        <w:t xml:space="preserve">“    </w:t>
      </w:r>
    </w:p>
    <w:p>
      <w:pPr>
        <w:pStyle w:val="nzIndenta"/>
      </w:pPr>
      <w:r>
        <w:tab/>
      </w:r>
      <w:r>
        <w:tab/>
        <w:t>; and</w:t>
      </w:r>
    </w:p>
    <w:p>
      <w:pPr>
        <w:pStyle w:val="nzIndenta"/>
      </w:pPr>
      <w:r>
        <w:tab/>
        <w:t>(c)</w:t>
      </w:r>
      <w:r>
        <w:tab/>
        <w:t>the licensed premises must contain kitchen facilities that are suitable for the preparation of the meals to be supplied by the licensee.</w:t>
      </w:r>
    </w:p>
    <w:p>
      <w:pPr>
        <w:pStyle w:val="MiscClose"/>
      </w:pPr>
      <w:r>
        <w:t xml:space="preserve">    ”.</w:t>
      </w:r>
    </w:p>
    <w:p>
      <w:pPr>
        <w:pStyle w:val="nzHeading5"/>
        <w:outlineLvl w:val="0"/>
      </w:pPr>
      <w:r>
        <w:rPr>
          <w:rStyle w:val="CharSectno"/>
        </w:rPr>
        <w:t>41</w:t>
      </w:r>
      <w:r>
        <w:t>.</w:t>
      </w:r>
      <w:r>
        <w:tab/>
        <w:t>Section 55 amended</w:t>
      </w:r>
    </w:p>
    <w:p>
      <w:pPr>
        <w:pStyle w:val="nzSubsection"/>
      </w:pPr>
      <w:r>
        <w:tab/>
        <w:t>(1)</w:t>
      </w:r>
      <w:r>
        <w:tab/>
        <w:t>Section 55(1)(a)(iii) is amended by deleting “in an aggregate quantity per person of not less than 9 litres”.</w:t>
      </w:r>
    </w:p>
    <w:p>
      <w:pPr>
        <w:pStyle w:val="nzSubsection"/>
      </w:pPr>
      <w:r>
        <w:tab/>
        <w:t>(2)</w:t>
      </w:r>
      <w:r>
        <w:tab/>
        <w:t xml:space="preserve">After section 55(1) the following subsection is inserted — </w:t>
      </w:r>
    </w:p>
    <w:p>
      <w:pPr>
        <w:pStyle w:val="MiscOpen"/>
        <w:ind w:left="600"/>
      </w:pPr>
      <w:r>
        <w:t xml:space="preserve">“    </w:t>
      </w:r>
    </w:p>
    <w:p>
      <w:pPr>
        <w:pStyle w:val="nz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nzIndenta"/>
      </w:pPr>
      <w:r>
        <w:tab/>
        <w:t>(a)</w:t>
      </w:r>
      <w:r>
        <w:tab/>
        <w:t>the other licensee; or</w:t>
      </w:r>
    </w:p>
    <w:p>
      <w:pPr>
        <w:pStyle w:val="nzIndenta"/>
      </w:pPr>
      <w:r>
        <w:tab/>
        <w:t>(b)</w:t>
      </w:r>
      <w:r>
        <w:tab/>
        <w:t>a manager of the other licensee’s licensed premises; or</w:t>
      </w:r>
    </w:p>
    <w:p>
      <w:pPr>
        <w:pStyle w:val="nzIndenta"/>
      </w:pPr>
      <w:r>
        <w:tab/>
        <w:t>(c)</w:t>
      </w:r>
      <w:r>
        <w:tab/>
        <w:t>an employee or agent of the other licensee.</w:t>
      </w:r>
    </w:p>
    <w:p>
      <w:pPr>
        <w:pStyle w:val="MiscClose"/>
      </w:pPr>
      <w:r>
        <w:t xml:space="preserve">    ”.</w:t>
      </w:r>
    </w:p>
    <w:p>
      <w:pPr>
        <w:pStyle w:val="nzHeading5"/>
        <w:outlineLvl w:val="0"/>
      </w:pPr>
      <w:r>
        <w:rPr>
          <w:rStyle w:val="CharSectno"/>
        </w:rPr>
        <w:t>42</w:t>
      </w:r>
      <w:r>
        <w:t>.</w:t>
      </w:r>
      <w:r>
        <w:tab/>
        <w:t>Section 58 amended</w:t>
      </w:r>
    </w:p>
    <w:p>
      <w:pPr>
        <w:pStyle w:val="nzSubsection"/>
        <w:outlineLvl w:val="0"/>
      </w:pPr>
      <w:r>
        <w:tab/>
        <w:t>(1)</w:t>
      </w:r>
      <w:r>
        <w:tab/>
        <w:t xml:space="preserve">After section 58(2) the following subsection is inserted — </w:t>
      </w:r>
    </w:p>
    <w:p>
      <w:pPr>
        <w:pStyle w:val="MiscOpen"/>
        <w:ind w:left="600"/>
      </w:pPr>
      <w:r>
        <w:t xml:space="preserve">“    </w:t>
      </w:r>
    </w:p>
    <w:p>
      <w:pPr>
        <w:pStyle w:val="nz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nzIndenta"/>
      </w:pPr>
      <w:r>
        <w:tab/>
        <w:t>(a)</w:t>
      </w:r>
      <w:r>
        <w:tab/>
        <w:t>the other licensee; or</w:t>
      </w:r>
    </w:p>
    <w:p>
      <w:pPr>
        <w:pStyle w:val="nzIndenta"/>
      </w:pPr>
      <w:r>
        <w:tab/>
        <w:t>(b)</w:t>
      </w:r>
      <w:r>
        <w:tab/>
        <w:t>a manager of the other licensee’s licensed premises; or</w:t>
      </w:r>
    </w:p>
    <w:p>
      <w:pPr>
        <w:pStyle w:val="nzIndenta"/>
      </w:pPr>
      <w:r>
        <w:tab/>
        <w:t>(c)</w:t>
      </w:r>
      <w:r>
        <w:tab/>
        <w:t>an employee or agent of the other licensee.</w:t>
      </w:r>
    </w:p>
    <w:p>
      <w:pPr>
        <w:pStyle w:val="MiscClose"/>
      </w:pPr>
      <w:r>
        <w:t xml:space="preserve">    ”.</w:t>
      </w:r>
    </w:p>
    <w:p>
      <w:pPr>
        <w:pStyle w:val="nzSubsection"/>
        <w:outlineLvl w:val="0"/>
      </w:pPr>
      <w:r>
        <w:tab/>
        <w:t>(2)</w:t>
      </w:r>
      <w:r>
        <w:tab/>
        <w:t xml:space="preserve">Section 58(3)(b) is amended after “consist,” by inserting — </w:t>
      </w:r>
    </w:p>
    <w:p>
      <w:pPr>
        <w:pStyle w:val="nzSubsection"/>
      </w:pPr>
      <w:r>
        <w:tab/>
      </w:r>
      <w:r>
        <w:tab/>
        <w:t>“    primarily and predominantly and    ”.</w:t>
      </w:r>
    </w:p>
    <w:p>
      <w:pPr>
        <w:pStyle w:val="nzHeading5"/>
        <w:outlineLvl w:val="0"/>
      </w:pPr>
      <w:r>
        <w:rPr>
          <w:rStyle w:val="CharSectno"/>
        </w:rPr>
        <w:t>43</w:t>
      </w:r>
      <w:r>
        <w:t>.</w:t>
      </w:r>
      <w:r>
        <w:tab/>
        <w:t>Section 60 amended</w:t>
      </w:r>
    </w:p>
    <w:p>
      <w:pPr>
        <w:pStyle w:val="nzSubsection"/>
      </w:pPr>
      <w:r>
        <w:tab/>
        <w:t>(1)</w:t>
      </w:r>
      <w:r>
        <w:tab/>
        <w:t xml:space="preserve">Section 60(1) is amended after “as are specified” by inserting — </w:t>
      </w:r>
    </w:p>
    <w:p>
      <w:pPr>
        <w:pStyle w:val="nzSubsection"/>
      </w:pPr>
      <w:r>
        <w:tab/>
      </w:r>
      <w:r>
        <w:tab/>
        <w:t>“    at the discretion of the Director    ”.</w:t>
      </w:r>
    </w:p>
    <w:p>
      <w:pPr>
        <w:pStyle w:val="nzSubsection"/>
      </w:pPr>
      <w:r>
        <w:tab/>
        <w:t>(2)</w:t>
      </w:r>
      <w:r>
        <w:tab/>
        <w:t xml:space="preserve">After section 60(3) the following subsection is inserted — </w:t>
      </w:r>
    </w:p>
    <w:p>
      <w:pPr>
        <w:pStyle w:val="MiscOpen"/>
        <w:ind w:left="600"/>
      </w:pPr>
      <w:r>
        <w:t xml:space="preserve">“    </w:t>
      </w:r>
    </w:p>
    <w:p>
      <w:pPr>
        <w:pStyle w:val="nz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MiscClose"/>
      </w:pPr>
      <w:r>
        <w:t xml:space="preserve">    ”.</w:t>
      </w:r>
    </w:p>
    <w:p>
      <w:pPr>
        <w:pStyle w:val="nzSubsection"/>
      </w:pPr>
      <w:r>
        <w:tab/>
        <w:t>(3)</w:t>
      </w:r>
      <w:r>
        <w:tab/>
        <w:t>Section 60(4) is amended as follows:</w:t>
      </w:r>
    </w:p>
    <w:p>
      <w:pPr>
        <w:pStyle w:val="nzIndenta"/>
        <w:outlineLvl w:val="0"/>
      </w:pPr>
      <w:r>
        <w:tab/>
        <w:t>(a)</w:t>
      </w:r>
      <w:r>
        <w:tab/>
        <w:t xml:space="preserve">by deleting “include — ” and inserting instead — </w:t>
      </w:r>
    </w:p>
    <w:p>
      <w:pPr>
        <w:pStyle w:val="nzIndenta"/>
      </w:pPr>
      <w:r>
        <w:tab/>
      </w:r>
      <w:r>
        <w:tab/>
        <w:t>“    are —     ”;</w:t>
      </w:r>
    </w:p>
    <w:p>
      <w:pPr>
        <w:pStyle w:val="nzIndenta"/>
        <w:outlineLvl w:val="0"/>
      </w:pPr>
      <w:r>
        <w:tab/>
        <w:t>(b)</w:t>
      </w:r>
      <w:r>
        <w:tab/>
        <w:t xml:space="preserve">by deleting paragraph (cb) and inserting instead — </w:t>
      </w:r>
    </w:p>
    <w:p>
      <w:pPr>
        <w:pStyle w:val="MiscOpen"/>
        <w:ind w:left="1340"/>
      </w:pPr>
      <w:r>
        <w:t xml:space="preserve">“    </w:t>
      </w:r>
    </w:p>
    <w:p>
      <w:pPr>
        <w:pStyle w:val="nzIndenta"/>
      </w:pPr>
      <w:r>
        <w:tab/>
        <w:t>(cb)</w:t>
      </w:r>
      <w:r>
        <w:tab/>
        <w:t xml:space="preserve">authorising the licensee of a club licence to sell liquor, despite section 48(2), to persons other than members, or guests of members, of the club — </w:t>
      </w:r>
    </w:p>
    <w:p>
      <w:pPr>
        <w:pStyle w:val="nzIndenti"/>
      </w:pPr>
      <w:r>
        <w:tab/>
        <w:t>(i)</w:t>
      </w:r>
      <w:r>
        <w:tab/>
        <w:t>on a specified special occasion or specified special occasions; or</w:t>
      </w:r>
    </w:p>
    <w:p>
      <w:pPr>
        <w:pStyle w:val="nzIndenti"/>
      </w:pPr>
      <w:r>
        <w:tab/>
        <w:t>(ii)</w:t>
      </w:r>
      <w:r>
        <w:tab/>
        <w:t>on a day on which a specified function is, or on days on which specified functions are, held on, or on a specified part of, the licensed premises;</w:t>
      </w:r>
    </w:p>
    <w:p>
      <w:pPr>
        <w:pStyle w:val="nzIndenta"/>
      </w:pPr>
      <w:r>
        <w:tab/>
      </w:r>
      <w:r>
        <w:tab/>
        <w:t>or</w:t>
      </w:r>
    </w:p>
    <w:p>
      <w:pPr>
        <w:pStyle w:val="MiscClose"/>
      </w:pPr>
      <w:r>
        <w:t xml:space="preserve">    ”;</w:t>
      </w:r>
    </w:p>
    <w:p>
      <w:pPr>
        <w:pStyle w:val="nzIndenta"/>
        <w:outlineLvl w:val="0"/>
      </w:pPr>
      <w:r>
        <w:tab/>
        <w:t>(c)</w:t>
      </w:r>
      <w:r>
        <w:tab/>
        <w:t xml:space="preserve">in paragraph (e) after “such hours”, by inserting — </w:t>
      </w:r>
    </w:p>
    <w:p>
      <w:pPr>
        <w:pStyle w:val="nzIndenta"/>
      </w:pPr>
      <w:r>
        <w:tab/>
      </w:r>
      <w:r>
        <w:tab/>
        <w:t>“    or in such circumstances    ”;</w:t>
      </w:r>
    </w:p>
    <w:p>
      <w:pPr>
        <w:pStyle w:val="nzIndenta"/>
        <w:outlineLvl w:val="0"/>
      </w:pPr>
      <w:r>
        <w:tab/>
        <w:t>(d)</w:t>
      </w:r>
      <w:r>
        <w:tab/>
        <w:t xml:space="preserve">in paragraph (e)(i), by deleting “2 persons” and inserting instead — </w:t>
      </w:r>
    </w:p>
    <w:p>
      <w:pPr>
        <w:pStyle w:val="nzIndenta"/>
      </w:pPr>
      <w:r>
        <w:tab/>
      </w:r>
      <w:r>
        <w:tab/>
        <w:t>“    5 persons    ”;</w:t>
      </w:r>
    </w:p>
    <w:p>
      <w:pPr>
        <w:pStyle w:val="nzIndenta"/>
        <w:outlineLvl w:val="0"/>
      </w:pPr>
      <w:r>
        <w:tab/>
        <w:t>(e)</w:t>
      </w:r>
      <w:r>
        <w:tab/>
        <w:t xml:space="preserve">in paragraph (g) after “may be specified,”, by inserting — </w:t>
      </w:r>
    </w:p>
    <w:p>
      <w:pPr>
        <w:pStyle w:val="MiscOpen"/>
        <w:ind w:left="1620"/>
      </w:pPr>
      <w:r>
        <w:t xml:space="preserve">“    </w:t>
      </w:r>
    </w:p>
    <w:p>
      <w:pPr>
        <w:pStyle w:val="nzIndenta"/>
      </w:pPr>
      <w:r>
        <w:tab/>
      </w:r>
      <w:r>
        <w:tab/>
        <w:t>or in relation to such occasion as may be specified,</w:t>
      </w:r>
    </w:p>
    <w:p>
      <w:pPr>
        <w:pStyle w:val="MiscClose"/>
      </w:pPr>
      <w:r>
        <w:t xml:space="preserve">    ”;</w:t>
      </w:r>
    </w:p>
    <w:p>
      <w:pPr>
        <w:pStyle w:val="nzIndenta"/>
        <w:outlineLvl w:val="0"/>
      </w:pPr>
      <w:r>
        <w:tab/>
        <w:t>(f)</w:t>
      </w:r>
      <w:r>
        <w:tab/>
        <w:t xml:space="preserve">in paragraph (g) after “period”, by inserting — </w:t>
      </w:r>
    </w:p>
    <w:p>
      <w:pPr>
        <w:pStyle w:val="nzIndenta"/>
      </w:pPr>
      <w:r>
        <w:tab/>
      </w:r>
      <w:r>
        <w:tab/>
        <w:t>“    , not exceeding 5 years,    ”;</w:t>
      </w:r>
    </w:p>
    <w:p>
      <w:pPr>
        <w:pStyle w:val="nzIndenta"/>
        <w:outlineLvl w:val="0"/>
      </w:pPr>
      <w:r>
        <w:tab/>
        <w:t>(g)</w:t>
      </w:r>
      <w:r>
        <w:tab/>
        <w:t xml:space="preserve">at the end of paragraph (h), by deleting the full stop and inserting — </w:t>
      </w:r>
    </w:p>
    <w:p>
      <w:pPr>
        <w:pStyle w:val="MiscOpen"/>
        <w:ind w:left="1620"/>
      </w:pPr>
      <w:r>
        <w:t xml:space="preserve">“    </w:t>
      </w:r>
    </w:p>
    <w:p>
      <w:pPr>
        <w:pStyle w:val="nzIndenta"/>
      </w:pPr>
      <w:r>
        <w:tab/>
      </w:r>
      <w:r>
        <w:tab/>
        <w:t>; or</w:t>
      </w:r>
    </w:p>
    <w:p>
      <w:pPr>
        <w:pStyle w:val="nzIndenta"/>
      </w:pPr>
      <w:r>
        <w:tab/>
        <w:t>(i)</w:t>
      </w:r>
      <w:r>
        <w:tab/>
        <w:t>any other prescribed purpose.</w:t>
      </w:r>
    </w:p>
    <w:p>
      <w:pPr>
        <w:pStyle w:val="MiscClose"/>
        <w:keepNext/>
      </w:pPr>
      <w:r>
        <w:t xml:space="preserve">    ”;</w:t>
      </w:r>
    </w:p>
    <w:p>
      <w:pPr>
        <w:pStyle w:val="nzIndenta"/>
        <w:outlineLvl w:val="0"/>
      </w:pPr>
      <w:r>
        <w:tab/>
        <w:t>(h)</w:t>
      </w:r>
      <w:r>
        <w:tab/>
        <w:t xml:space="preserve">after each of paragraphs (a) to (ca) and (d) to (f) by inserting — </w:t>
      </w:r>
    </w:p>
    <w:p>
      <w:pPr>
        <w:pStyle w:val="nzIndenta"/>
      </w:pPr>
      <w:r>
        <w:tab/>
      </w:r>
      <w:r>
        <w:tab/>
        <w:t>“    or    ”.</w:t>
      </w:r>
    </w:p>
    <w:p>
      <w:pPr>
        <w:pStyle w:val="nzSubsection"/>
      </w:pPr>
      <w:r>
        <w:tab/>
        <w:t>(4)</w:t>
      </w:r>
      <w:r>
        <w:tab/>
        <w:t>Section 60(5) is repealed.</w:t>
      </w:r>
    </w:p>
    <w:p>
      <w:pPr>
        <w:pStyle w:val="nzSubsection"/>
      </w:pPr>
      <w:r>
        <w:tab/>
        <w:t>(5)</w:t>
      </w:r>
      <w:r>
        <w:tab/>
        <w:t xml:space="preserve">Section 60(7) is amended by deleting “Where” and inserting instead — </w:t>
      </w:r>
    </w:p>
    <w:p>
      <w:pPr>
        <w:pStyle w:val="nzSubsection"/>
      </w:pPr>
      <w:r>
        <w:tab/>
      </w:r>
      <w:r>
        <w:tab/>
        <w:t>“    Without limiting subsection (8a), where    ”.</w:t>
      </w:r>
    </w:p>
    <w:p>
      <w:pPr>
        <w:pStyle w:val="nzSubsection"/>
      </w:pPr>
      <w:r>
        <w:tab/>
        <w:t>(6)</w:t>
      </w:r>
      <w:r>
        <w:tab/>
        <w:t xml:space="preserve">After section 60(8) the following subsection is inserted — </w:t>
      </w:r>
    </w:p>
    <w:p>
      <w:pPr>
        <w:pStyle w:val="MiscOpen"/>
        <w:ind w:left="600"/>
      </w:pPr>
      <w:r>
        <w:t xml:space="preserve">“    </w:t>
      </w:r>
    </w:p>
    <w:p>
      <w:pPr>
        <w:pStyle w:val="nzSubsection"/>
      </w:pPr>
      <w:r>
        <w:tab/>
        <w:t>(8a)</w:t>
      </w:r>
      <w:r>
        <w:tab/>
        <w:t>The licensing authority may cancel an extended trading permit at any time if satisfied that the permit is no longer appropriate.</w:t>
      </w:r>
    </w:p>
    <w:p>
      <w:pPr>
        <w:pStyle w:val="MiscClose"/>
      </w:pPr>
      <w:r>
        <w:t xml:space="preserve">    ”.</w:t>
      </w:r>
    </w:p>
    <w:p>
      <w:pPr>
        <w:pStyle w:val="nzHeading5"/>
        <w:outlineLvl w:val="0"/>
      </w:pPr>
      <w:r>
        <w:rPr>
          <w:rStyle w:val="CharSectno"/>
        </w:rPr>
        <w:t>44</w:t>
      </w:r>
      <w:r>
        <w:t>.</w:t>
      </w:r>
      <w:r>
        <w:tab/>
        <w:t>Section 61A inserted</w:t>
      </w:r>
    </w:p>
    <w:p>
      <w:pPr>
        <w:pStyle w:val="nzSubsection"/>
      </w:pPr>
      <w:r>
        <w:tab/>
      </w:r>
      <w:r>
        <w:tab/>
        <w:t xml:space="preserve">After section 61 the following section is inserted in Part 3 Division 4 — </w:t>
      </w:r>
    </w:p>
    <w:p>
      <w:pPr>
        <w:pStyle w:val="MiscOpen"/>
      </w:pPr>
      <w:r>
        <w:t xml:space="preserve">“    </w:t>
      </w:r>
    </w:p>
    <w:p>
      <w:pPr>
        <w:pStyle w:val="nzHeading5"/>
      </w:pPr>
      <w:r>
        <w:t>61A.</w:t>
      </w:r>
      <w:r>
        <w:tab/>
        <w:t>Limitations relating to permits for extended hours</w:t>
      </w:r>
    </w:p>
    <w:p>
      <w:pPr>
        <w:pStyle w:val="nzSubsection"/>
      </w:pPr>
      <w:r>
        <w:tab/>
      </w:r>
      <w:r>
        <w:tab/>
        <w:t>The regulations may limit the permitted hours that may be authorised by an extended trading permit issued for the purpose referred to in section 60(4)(g).</w:t>
      </w:r>
    </w:p>
    <w:p>
      <w:pPr>
        <w:pStyle w:val="MiscClose"/>
      </w:pPr>
      <w:r>
        <w:t xml:space="preserve">    ”.</w:t>
      </w:r>
    </w:p>
    <w:p>
      <w:pPr>
        <w:pStyle w:val="nzHeading5"/>
        <w:outlineLvl w:val="0"/>
      </w:pPr>
      <w:r>
        <w:rPr>
          <w:rStyle w:val="CharSectno"/>
        </w:rPr>
        <w:t>45</w:t>
      </w:r>
      <w:r>
        <w:t>.</w:t>
      </w:r>
      <w:r>
        <w:tab/>
        <w:t>Section 63 amended</w:t>
      </w:r>
    </w:p>
    <w:p>
      <w:pPr>
        <w:pStyle w:val="nzSubsection"/>
      </w:pPr>
      <w:r>
        <w:tab/>
      </w:r>
      <w:r>
        <w:tab/>
        <w:t>Section 63 is amended as follows:</w:t>
      </w:r>
    </w:p>
    <w:p>
      <w:pPr>
        <w:pStyle w:val="nzIndenta"/>
      </w:pPr>
      <w:r>
        <w:tab/>
        <w:t>(a)</w:t>
      </w:r>
      <w:r>
        <w:tab/>
        <w:t xml:space="preserve">in paragraph (a), by deleting “section 97” and inserting instead — </w:t>
      </w:r>
    </w:p>
    <w:p>
      <w:pPr>
        <w:pStyle w:val="nzIndenta"/>
      </w:pPr>
      <w:r>
        <w:tab/>
      </w:r>
      <w:r>
        <w:tab/>
        <w:t>“    Part 4 Division 1    ”;</w:t>
      </w:r>
    </w:p>
    <w:p>
      <w:pPr>
        <w:pStyle w:val="nzIndenta"/>
      </w:pPr>
      <w:r>
        <w:tab/>
        <w:t>(b)</w:t>
      </w:r>
      <w:r>
        <w:tab/>
        <w:t>by deleting paragraph (cb).</w:t>
      </w:r>
    </w:p>
    <w:p>
      <w:pPr>
        <w:pStyle w:val="nzHeading5"/>
        <w:outlineLvl w:val="0"/>
      </w:pPr>
      <w:r>
        <w:rPr>
          <w:rStyle w:val="CharSectno"/>
        </w:rPr>
        <w:t>46</w:t>
      </w:r>
      <w:r>
        <w:t>.</w:t>
      </w:r>
      <w:r>
        <w:tab/>
        <w:t>Section 64 amended</w:t>
      </w:r>
    </w:p>
    <w:p>
      <w:pPr>
        <w:pStyle w:val="nzSubsection"/>
      </w:pPr>
      <w:r>
        <w:tab/>
        <w:t>(1)</w:t>
      </w:r>
      <w:r>
        <w:tab/>
        <w:t xml:space="preserve">After section 64(1) the following subsections are inserted — </w:t>
      </w:r>
    </w:p>
    <w:p>
      <w:pPr>
        <w:pStyle w:val="MiscOpen"/>
        <w:ind w:left="600"/>
      </w:pPr>
      <w:r>
        <w:t xml:space="preserve">“    </w:t>
      </w:r>
    </w:p>
    <w:p>
      <w:pPr>
        <w:pStyle w:val="nzSubsection"/>
      </w:pPr>
      <w:r>
        <w:tab/>
        <w:t>(1a)</w:t>
      </w:r>
      <w:r>
        <w:tab/>
        <w:t xml:space="preserve">The licensing authority may impose, vary or cancel a condition under subsection (1) — </w:t>
      </w:r>
    </w:p>
    <w:p>
      <w:pPr>
        <w:pStyle w:val="nzIndenta"/>
      </w:pPr>
      <w:r>
        <w:tab/>
        <w:t>(a)</w:t>
      </w:r>
      <w:r>
        <w:tab/>
        <w:t>of its own motion; or</w:t>
      </w:r>
    </w:p>
    <w:p>
      <w:pPr>
        <w:pStyle w:val="nzIndenta"/>
      </w:pPr>
      <w:r>
        <w:tab/>
        <w:t>(b)</w:t>
      </w:r>
      <w:r>
        <w:tab/>
        <w:t>on the application of the licensee; or</w:t>
      </w:r>
    </w:p>
    <w:p>
      <w:pPr>
        <w:pStyle w:val="nzIndenta"/>
      </w:pPr>
      <w:r>
        <w:tab/>
        <w:t>(c)</w:t>
      </w:r>
      <w:r>
        <w:tab/>
        <w:t>at the written request of the parties to a liquor accord.</w:t>
      </w:r>
    </w:p>
    <w:p>
      <w:pPr>
        <w:pStyle w:val="nzSubsection"/>
      </w:pPr>
      <w:r>
        <w:tab/>
        <w:t>(1b)</w:t>
      </w:r>
      <w:r>
        <w:tab/>
        <w:t xml:space="preserve">In subsection (1a) — </w:t>
      </w:r>
    </w:p>
    <w:p>
      <w:pPr>
        <w:pStyle w:val="nzDefstart"/>
      </w:pPr>
      <w:r>
        <w:rPr>
          <w:b/>
        </w:rPr>
        <w:tab/>
        <w:t>“</w:t>
      </w:r>
      <w:r>
        <w:rPr>
          <w:rStyle w:val="CharDefText"/>
        </w:rPr>
        <w:t>liquor accord</w:t>
      </w:r>
      <w:r>
        <w:rPr>
          <w:b/>
        </w:rPr>
        <w:t>”</w:t>
      </w:r>
      <w:r>
        <w:t xml:space="preserve"> means a written agreement or other arrangement — </w:t>
      </w:r>
    </w:p>
    <w:p>
      <w:pPr>
        <w:pStyle w:val="nzDefpara"/>
      </w:pPr>
      <w:r>
        <w:tab/>
        <w:t>(a)</w:t>
      </w:r>
      <w:r>
        <w:tab/>
        <w:t>that is entered into by 2 or more licensees in a local community, and persons who represent the licensing authority, departments of the Public Service, State agencies or local government, and other persons; and</w:t>
      </w:r>
    </w:p>
    <w:p>
      <w:pPr>
        <w:pStyle w:val="nz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nzDefpara"/>
      </w:pPr>
      <w:r>
        <w:tab/>
        <w:t>(c)</w:t>
      </w:r>
      <w:r>
        <w:tab/>
        <w:t>that is approved by the Director.</w:t>
      </w:r>
    </w:p>
    <w:p>
      <w:pPr>
        <w:pStyle w:val="MiscClose"/>
      </w:pPr>
      <w:r>
        <w:t xml:space="preserve">    ”.</w:t>
      </w:r>
    </w:p>
    <w:p>
      <w:pPr>
        <w:pStyle w:val="nzSubsection"/>
      </w:pPr>
      <w:r>
        <w:tab/>
        <w:t>(2)</w:t>
      </w:r>
      <w:r>
        <w:tab/>
        <w:t xml:space="preserve">After section 64(2) the following subsections are inserted — </w:t>
      </w:r>
    </w:p>
    <w:p>
      <w:pPr>
        <w:pStyle w:val="MiscOpen"/>
        <w:ind w:left="600"/>
      </w:pPr>
      <w:r>
        <w:t xml:space="preserve">“    </w:t>
      </w:r>
    </w:p>
    <w:p>
      <w:pPr>
        <w:pStyle w:val="nz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nzSubsection"/>
      </w:pPr>
      <w:r>
        <w:tab/>
        <w:t>(2b)</w:t>
      </w:r>
      <w:r>
        <w:tab/>
        <w:t>Subsection (2a) does not apply in relation to a condition proposed to be imposed, varied or cancelled in accordance with an application under subsection (1a)(b).</w:t>
      </w:r>
    </w:p>
    <w:p>
      <w:pPr>
        <w:pStyle w:val="MiscClose"/>
      </w:pPr>
      <w:r>
        <w:t xml:space="preserve">    ”.</w:t>
      </w:r>
    </w:p>
    <w:p>
      <w:pPr>
        <w:pStyle w:val="nzSubsection"/>
      </w:pPr>
      <w:r>
        <w:tab/>
        <w:t>(3)</w:t>
      </w:r>
      <w:r>
        <w:tab/>
        <w:t>Section 64(3) is amended as follows:</w:t>
      </w:r>
    </w:p>
    <w:p>
      <w:pPr>
        <w:pStyle w:val="nzIndenta"/>
        <w:outlineLvl w:val="0"/>
      </w:pPr>
      <w:r>
        <w:tab/>
        <w:t>(a)</w:t>
      </w:r>
      <w:r>
        <w:tab/>
        <w:t>after paragraph (e) by inserting —</w:t>
      </w:r>
    </w:p>
    <w:p>
      <w:pPr>
        <w:pStyle w:val="MiscOpen"/>
        <w:ind w:left="1340"/>
      </w:pPr>
      <w:r>
        <w:t xml:space="preserve">“    </w:t>
      </w:r>
    </w:p>
    <w:p>
      <w:pPr>
        <w:pStyle w:val="nzIndenta"/>
      </w:pPr>
      <w:r>
        <w:tab/>
        <w:t>(ea)</w:t>
      </w:r>
      <w:r>
        <w:tab/>
        <w:t>without limiting paragraph (e)(iii), limit the times when packaged liquor may be sold on and from the licensed premises to those times when liquor may be purchased for consumption on those premises; or</w:t>
      </w:r>
    </w:p>
    <w:p>
      <w:pPr>
        <w:pStyle w:val="MiscClose"/>
      </w:pPr>
      <w:r>
        <w:t xml:space="preserve">    ”;</w:t>
      </w:r>
    </w:p>
    <w:p>
      <w:pPr>
        <w:pStyle w:val="nzIndenta"/>
        <w:outlineLvl w:val="0"/>
      </w:pPr>
      <w:r>
        <w:tab/>
        <w:t>(b)</w:t>
      </w:r>
      <w:r>
        <w:tab/>
        <w:t xml:space="preserve">after paragraph (f) by inserting — </w:t>
      </w:r>
    </w:p>
    <w:p>
      <w:pPr>
        <w:pStyle w:val="MiscOpen"/>
        <w:ind w:left="1340"/>
      </w:pPr>
      <w:r>
        <w:t xml:space="preserve">“    </w:t>
      </w:r>
    </w:p>
    <w:p>
      <w:pPr>
        <w:pStyle w:val="nzIndenta"/>
      </w:pPr>
      <w:r>
        <w:tab/>
        <w:t>(fa)</w:t>
      </w:r>
      <w:r>
        <w:tab/>
        <w:t>prohibit entry to the licensed premises after a specified time; or</w:t>
      </w:r>
    </w:p>
    <w:p>
      <w:pPr>
        <w:pStyle w:val="MiscClose"/>
      </w:pPr>
      <w:r>
        <w:t xml:space="preserve">    ”;</w:t>
      </w:r>
    </w:p>
    <w:p>
      <w:pPr>
        <w:pStyle w:val="nzIndenta"/>
        <w:outlineLvl w:val="0"/>
      </w:pPr>
      <w:r>
        <w:tab/>
        <w:t>(c)</w:t>
      </w:r>
      <w:r>
        <w:tab/>
        <w:t xml:space="preserve">after each of paragraphs (a) to (e), (f), (g) to (gb) and (j) by inserting — </w:t>
      </w:r>
    </w:p>
    <w:p>
      <w:pPr>
        <w:pStyle w:val="nzIndenta"/>
      </w:pPr>
      <w:r>
        <w:tab/>
      </w:r>
      <w:r>
        <w:tab/>
        <w:t>“    or    ”.</w:t>
      </w:r>
    </w:p>
    <w:p>
      <w:pPr>
        <w:pStyle w:val="nzSubsection"/>
      </w:pPr>
      <w:r>
        <w:tab/>
        <w:t>(4)</w:t>
      </w:r>
      <w:r>
        <w:tab/>
        <w:t>Section 64(5) is repealed.</w:t>
      </w:r>
    </w:p>
    <w:p>
      <w:pPr>
        <w:pStyle w:val="nzSubsection"/>
      </w:pPr>
      <w:r>
        <w:tab/>
        <w:t>(5)</w:t>
      </w:r>
      <w:r>
        <w:tab/>
        <w:t xml:space="preserve">After section 64(7) the following subsection is inserted — </w:t>
      </w:r>
    </w:p>
    <w:p>
      <w:pPr>
        <w:pStyle w:val="MiscOpen"/>
        <w:ind w:left="600"/>
      </w:pPr>
      <w:r>
        <w:t xml:space="preserve">“    </w:t>
      </w:r>
    </w:p>
    <w:p>
      <w:pPr>
        <w:pStyle w:val="nzSubsection"/>
      </w:pPr>
      <w:r>
        <w:tab/>
        <w:t>(8)</w:t>
      </w:r>
      <w:r>
        <w:tab/>
        <w:t>The imposition, variation or cancellation of a condition, or the imposition of a monetary penalty, under this section is not to be regarded as the taking of disciplinary action for the purposes of section 96.</w:t>
      </w:r>
    </w:p>
    <w:p>
      <w:pPr>
        <w:pStyle w:val="MiscClose"/>
      </w:pPr>
      <w:r>
        <w:t xml:space="preserve">    ”.</w:t>
      </w:r>
    </w:p>
    <w:p>
      <w:pPr>
        <w:pStyle w:val="nzHeading5"/>
        <w:outlineLvl w:val="0"/>
      </w:pPr>
      <w:r>
        <w:rPr>
          <w:rStyle w:val="CharSectno"/>
        </w:rPr>
        <w:t>47</w:t>
      </w:r>
      <w:r>
        <w:t>.</w:t>
      </w:r>
      <w:r>
        <w:tab/>
        <w:t>Section 65B inserted</w:t>
      </w:r>
    </w:p>
    <w:p>
      <w:pPr>
        <w:pStyle w:val="nzSubsection"/>
      </w:pPr>
      <w:r>
        <w:tab/>
      </w:r>
      <w:r>
        <w:tab/>
        <w:t xml:space="preserve">After section 65A the following section is inserted in Part 3 Division 6 — </w:t>
      </w:r>
    </w:p>
    <w:p>
      <w:pPr>
        <w:pStyle w:val="MiscOpen"/>
      </w:pPr>
      <w:r>
        <w:t xml:space="preserve">“    </w:t>
      </w:r>
    </w:p>
    <w:p>
      <w:pPr>
        <w:pStyle w:val="nzHeading5"/>
      </w:pPr>
      <w:r>
        <w:t>65B.</w:t>
      </w:r>
      <w:r>
        <w:tab/>
        <w:t>Prescribed conditions relating to the responsible promotion of liquor</w:t>
      </w:r>
    </w:p>
    <w:p>
      <w:pPr>
        <w:pStyle w:val="nzSubsection"/>
      </w:pPr>
      <w:r>
        <w:tab/>
        <w:t>(1)</w:t>
      </w:r>
      <w:r>
        <w:tab/>
        <w:t xml:space="preserve">The regulations may prescribe conditions that — </w:t>
      </w:r>
    </w:p>
    <w:p>
      <w:pPr>
        <w:pStyle w:val="nzIndenta"/>
      </w:pPr>
      <w:r>
        <w:tab/>
        <w:t>(a)</w:t>
      </w:r>
      <w:r>
        <w:tab/>
        <w:t>prohibit promotional activity in which liquor is offered free or at reduced prices; or</w:t>
      </w:r>
    </w:p>
    <w:p>
      <w:pPr>
        <w:pStyle w:val="nzIndenta"/>
      </w:pPr>
      <w:r>
        <w:tab/>
        <w:t>(b)</w:t>
      </w:r>
      <w:r>
        <w:tab/>
        <w:t>limit the circumstances in which promotional activity referred to in paragraph (a) may take place,</w:t>
      </w:r>
    </w:p>
    <w:p>
      <w:pPr>
        <w:pStyle w:val="nzSubsection"/>
      </w:pPr>
      <w:r>
        <w:tab/>
      </w:r>
      <w:r>
        <w:tab/>
        <w:t>and may provide that any licence, or any licence of a prescribed class, is subject to those conditions.</w:t>
      </w:r>
    </w:p>
    <w:p>
      <w:pPr>
        <w:pStyle w:val="nzSubsection"/>
      </w:pPr>
      <w:r>
        <w:tab/>
        <w:t>(2)</w:t>
      </w:r>
      <w:r>
        <w:tab/>
        <w:t>Regulations made for the purposes of subsection (1) do not limit the conditions that the licensing authority may impose under section 64(3)(ga) in relation to a particular licensee or particular licensed premises.</w:t>
      </w:r>
    </w:p>
    <w:p>
      <w:pPr>
        <w:pStyle w:val="MiscClose"/>
      </w:pPr>
      <w:r>
        <w:t xml:space="preserve">    ”.</w:t>
      </w:r>
    </w:p>
    <w:p>
      <w:pPr>
        <w:pStyle w:val="nzHeading5"/>
        <w:outlineLvl w:val="0"/>
      </w:pPr>
      <w:r>
        <w:rPr>
          <w:rStyle w:val="CharSectno"/>
        </w:rPr>
        <w:t>48</w:t>
      </w:r>
      <w:r>
        <w:t>.</w:t>
      </w:r>
      <w:r>
        <w:tab/>
        <w:t>Section 67 amended</w:t>
      </w:r>
    </w:p>
    <w:p>
      <w:pPr>
        <w:pStyle w:val="nzSubsection"/>
      </w:pPr>
      <w:r>
        <w:tab/>
      </w:r>
      <w:r>
        <w:tab/>
        <w:t xml:space="preserve">Section 67(1), (2), (3) and (4) are repealed and the following subsection is inserted instead — </w:t>
      </w:r>
    </w:p>
    <w:p>
      <w:pPr>
        <w:pStyle w:val="MiscOpen"/>
        <w:ind w:left="600"/>
      </w:pPr>
      <w:r>
        <w:t xml:space="preserve">“    </w:t>
      </w:r>
    </w:p>
    <w:p>
      <w:pPr>
        <w:pStyle w:val="nzSubsection"/>
      </w:pPr>
      <w:r>
        <w:tab/>
        <w:t>(1)</w:t>
      </w:r>
      <w:r>
        <w:tab/>
        <w:t>An application in respect of any matter must, if the Director so requires, be advertised in the manner specified by the Director.</w:t>
      </w:r>
    </w:p>
    <w:p>
      <w:pPr>
        <w:pStyle w:val="MiscClose"/>
      </w:pPr>
      <w:r>
        <w:t xml:space="preserve">    ”.</w:t>
      </w:r>
    </w:p>
    <w:p>
      <w:pPr>
        <w:pStyle w:val="nzHeading5"/>
        <w:outlineLvl w:val="0"/>
      </w:pPr>
      <w:r>
        <w:rPr>
          <w:rStyle w:val="CharSectno"/>
        </w:rPr>
        <w:t>49</w:t>
      </w:r>
      <w:r>
        <w:t>.</w:t>
      </w:r>
      <w:r>
        <w:tab/>
        <w:t>Section 68 amended</w:t>
      </w:r>
    </w:p>
    <w:p>
      <w:pPr>
        <w:pStyle w:val="nzSubsection"/>
      </w:pPr>
      <w:r>
        <w:tab/>
      </w:r>
      <w:r>
        <w:tab/>
        <w:t xml:space="preserve">After section 68(2) the following subsection is inserted — </w:t>
      </w:r>
    </w:p>
    <w:p>
      <w:pPr>
        <w:pStyle w:val="MiscOpen"/>
        <w:ind w:left="600"/>
      </w:pPr>
      <w:r>
        <w:t xml:space="preserve">“    </w:t>
      </w:r>
    </w:p>
    <w:p>
      <w:pPr>
        <w:pStyle w:val="nzSubsection"/>
      </w:pPr>
      <w:r>
        <w:tab/>
        <w:t>(2a)</w:t>
      </w:r>
      <w:r>
        <w:tab/>
        <w:t>An application for the grant of a licence may be made only by, or on behalf of, the person or persons wishing to carry on business under the licence after it is granted.</w:t>
      </w:r>
    </w:p>
    <w:p>
      <w:pPr>
        <w:pStyle w:val="MiscClose"/>
      </w:pPr>
      <w:r>
        <w:t xml:space="preserve">    ”.</w:t>
      </w:r>
    </w:p>
    <w:p>
      <w:pPr>
        <w:pStyle w:val="nzHeading5"/>
        <w:outlineLvl w:val="0"/>
      </w:pPr>
      <w:r>
        <w:rPr>
          <w:rStyle w:val="CharSectno"/>
        </w:rPr>
        <w:t>50</w:t>
      </w:r>
      <w:r>
        <w:t>.</w:t>
      </w:r>
      <w:r>
        <w:tab/>
        <w:t>Section 69 amended</w:t>
      </w:r>
    </w:p>
    <w:p>
      <w:pPr>
        <w:pStyle w:val="nzSubsection"/>
      </w:pPr>
      <w:r>
        <w:tab/>
        <w:t>(1)</w:t>
      </w:r>
      <w:r>
        <w:tab/>
        <w:t xml:space="preserve">Section 69(2)(b) is amended by deleting “the requirements of this Act and the licensing authority.” and inserting instead — </w:t>
      </w:r>
    </w:p>
    <w:p>
      <w:pPr>
        <w:pStyle w:val="nzSubsection"/>
      </w:pPr>
      <w:r>
        <w:tab/>
      </w:r>
      <w:r>
        <w:tab/>
        <w:t>“    any requirement under section 67(1).    ”.</w:t>
      </w:r>
    </w:p>
    <w:p>
      <w:pPr>
        <w:pStyle w:val="nzSubsection"/>
      </w:pPr>
      <w:r>
        <w:tab/>
        <w:t>(2)</w:t>
      </w:r>
      <w:r>
        <w:tab/>
        <w:t xml:space="preserve">Section 69(3) is amended by deleting “section 67(4)(a)” and inserting instead — </w:t>
      </w:r>
    </w:p>
    <w:p>
      <w:pPr>
        <w:pStyle w:val="nzSubsection"/>
      </w:pPr>
      <w:r>
        <w:tab/>
      </w:r>
      <w:r>
        <w:tab/>
        <w:t>“    section 67(1)    ”.</w:t>
      </w:r>
    </w:p>
    <w:p>
      <w:pPr>
        <w:pStyle w:val="nzSubsection"/>
      </w:pPr>
      <w:r>
        <w:tab/>
        <w:t>(3)</w:t>
      </w:r>
      <w:r>
        <w:tab/>
        <w:t xml:space="preserve">Section 69(4)(b) is amended by deleting “Category A” and inserting instead — </w:t>
      </w:r>
    </w:p>
    <w:p>
      <w:pPr>
        <w:pStyle w:val="MiscOpen"/>
        <w:ind w:left="1620"/>
      </w:pPr>
      <w:r>
        <w:t xml:space="preserve">“    </w:t>
      </w:r>
    </w:p>
    <w:p>
      <w:pPr>
        <w:pStyle w:val="nzIndenta"/>
      </w:pPr>
      <w:r>
        <w:tab/>
      </w:r>
      <w:r>
        <w:tab/>
        <w:t>hotel licence, nightclub licence, casino liquor licence, special facility licence or liquor store</w:t>
      </w:r>
    </w:p>
    <w:p>
      <w:pPr>
        <w:pStyle w:val="MiscClose"/>
      </w:pPr>
      <w:r>
        <w:t xml:space="preserve">    ”.</w:t>
      </w:r>
    </w:p>
    <w:p>
      <w:pPr>
        <w:pStyle w:val="nzSubsection"/>
      </w:pPr>
      <w:r>
        <w:tab/>
        <w:t>(4)</w:t>
      </w:r>
      <w:r>
        <w:tab/>
        <w:t>Section 69(6)(c) is amended as follows:</w:t>
      </w:r>
    </w:p>
    <w:p>
      <w:pPr>
        <w:pStyle w:val="nzIndenta"/>
      </w:pPr>
      <w:r>
        <w:tab/>
        <w:t>(a)</w:t>
      </w:r>
      <w:r>
        <w:tab/>
        <w:t xml:space="preserve">after subparagraph (i) by inserting — </w:t>
      </w:r>
    </w:p>
    <w:p>
      <w:pPr>
        <w:pStyle w:val="nzIndenta"/>
      </w:pPr>
      <w:r>
        <w:tab/>
      </w:r>
      <w:r>
        <w:tab/>
        <w:t>“    and    ”;</w:t>
      </w:r>
    </w:p>
    <w:p>
      <w:pPr>
        <w:pStyle w:val="nzIndenta"/>
      </w:pPr>
      <w:r>
        <w:tab/>
        <w:t>(b)</w:t>
      </w:r>
      <w:r>
        <w:tab/>
        <w:t xml:space="preserve">in subparagraph (ii) after “result” by inserting — </w:t>
      </w:r>
    </w:p>
    <w:p>
      <w:pPr>
        <w:pStyle w:val="MiscOpen"/>
        <w:ind w:left="2320"/>
      </w:pPr>
      <w:r>
        <w:t xml:space="preserve">“    </w:t>
      </w:r>
    </w:p>
    <w:p>
      <w:pPr>
        <w:pStyle w:val="nzIndenti"/>
      </w:pPr>
      <w:r>
        <w:tab/>
      </w:r>
      <w:r>
        <w:tab/>
        <w:t>, or as to any other matter relevant to the public interest</w:t>
      </w:r>
    </w:p>
    <w:p>
      <w:pPr>
        <w:pStyle w:val="MiscClose"/>
      </w:pPr>
      <w:r>
        <w:t xml:space="preserve">    ”.</w:t>
      </w:r>
    </w:p>
    <w:p>
      <w:pPr>
        <w:pStyle w:val="nzSubsection"/>
      </w:pPr>
      <w:r>
        <w:tab/>
        <w:t>(5)</w:t>
      </w:r>
      <w:r>
        <w:tab/>
        <w:t xml:space="preserve">Section 69(8a) is repealed and the following subsections are inserted instead — </w:t>
      </w:r>
    </w:p>
    <w:p>
      <w:pPr>
        <w:pStyle w:val="MiscOpen"/>
        <w:ind w:left="600"/>
      </w:pPr>
      <w:r>
        <w:t xml:space="preserve">“    </w:t>
      </w:r>
    </w:p>
    <w:p>
      <w:pPr>
        <w:pStyle w:val="nzSubsection"/>
      </w:pPr>
      <w:r>
        <w:tab/>
        <w:t>(8a)</w:t>
      </w:r>
      <w:r>
        <w:tab/>
        <w:t>The Executive Director</w:t>
      </w:r>
      <w:r>
        <w:rPr>
          <w:i/>
          <w:iCs/>
        </w:rPr>
        <w:t xml:space="preserve"> — </w:t>
      </w:r>
    </w:p>
    <w:p>
      <w:pPr>
        <w:pStyle w:val="nz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nzIndenta"/>
      </w:pPr>
      <w:r>
        <w:tab/>
        <w:t>(b)</w:t>
      </w:r>
      <w:r>
        <w:tab/>
        <w:t>may intervene in proceedings before the licensing authority for the purpose of introducing evidence or making representations in relation to the relevant matters.</w:t>
      </w:r>
    </w:p>
    <w:p>
      <w:pPr>
        <w:pStyle w:val="nzSubsection"/>
      </w:pPr>
      <w:r>
        <w:tab/>
        <w:t>(8b)</w:t>
      </w:r>
      <w:r>
        <w:tab/>
        <w:t xml:space="preserve">In subsection (8a) — </w:t>
      </w:r>
    </w:p>
    <w:p>
      <w:pPr>
        <w:pStyle w:val="nzDefstart"/>
      </w:pPr>
      <w:r>
        <w:rPr>
          <w:b/>
        </w:rPr>
        <w:tab/>
        <w:t>“</w:t>
      </w:r>
      <w:r>
        <w:rPr>
          <w:rStyle w:val="CharDefText"/>
        </w:rPr>
        <w:t>Executive Director</w:t>
      </w:r>
      <w:r>
        <w:rPr>
          <w:b/>
        </w:rPr>
        <w:t>”</w:t>
      </w:r>
      <w:r>
        <w:t xml:space="preserve"> means the Executive Director, Public Health as defined in the </w:t>
      </w:r>
      <w:r>
        <w:rPr>
          <w:i/>
          <w:iCs/>
        </w:rPr>
        <w:t>Health Act 1911</w:t>
      </w:r>
      <w:r>
        <w:t xml:space="preserve"> section 3(1) and, for the purposes of subsection (8a)(b), includes a person authorised in writing by the Executive Director;</w:t>
      </w:r>
    </w:p>
    <w:p>
      <w:pPr>
        <w:pStyle w:val="nz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MiscClose"/>
      </w:pPr>
      <w:r>
        <w:t xml:space="preserve">    ”.</w:t>
      </w:r>
    </w:p>
    <w:p>
      <w:pPr>
        <w:pStyle w:val="nzSubsection"/>
      </w:pPr>
      <w:r>
        <w:tab/>
        <w:t>(6)</w:t>
      </w:r>
      <w:r>
        <w:tab/>
        <w:t xml:space="preserve">Section 69(11) is amended by deleting “In proceedings before the Court, the Director may intervene” and inserting instead — </w:t>
      </w:r>
    </w:p>
    <w:p>
      <w:pPr>
        <w:pStyle w:val="MiscOpen"/>
        <w:spacing w:before="60"/>
        <w:ind w:left="879"/>
      </w:pPr>
      <w:r>
        <w:t xml:space="preserve">“    </w:t>
      </w:r>
    </w:p>
    <w:p>
      <w:pPr>
        <w:pStyle w:val="nzSubsection"/>
      </w:pPr>
      <w:r>
        <w:tab/>
      </w:r>
      <w:r>
        <w:tab/>
        <w:t>The Director may intervene in any proceedings before the Commission, including proceedings relating to a decision or determination made by the Director,</w:t>
      </w:r>
    </w:p>
    <w:p>
      <w:pPr>
        <w:pStyle w:val="MiscClose"/>
      </w:pPr>
      <w:r>
        <w:t xml:space="preserve">    ”.</w:t>
      </w:r>
    </w:p>
    <w:p>
      <w:pPr>
        <w:pStyle w:val="nzHeading5"/>
        <w:outlineLvl w:val="0"/>
      </w:pPr>
      <w:r>
        <w:rPr>
          <w:rStyle w:val="CharSectno"/>
        </w:rPr>
        <w:t>51</w:t>
      </w:r>
      <w:r>
        <w:t>.</w:t>
      </w:r>
      <w:r>
        <w:tab/>
        <w:t>Section 71 repealed</w:t>
      </w:r>
    </w:p>
    <w:p>
      <w:pPr>
        <w:pStyle w:val="nzSubsection"/>
      </w:pPr>
      <w:r>
        <w:tab/>
      </w:r>
      <w:r>
        <w:tab/>
        <w:t>Section 71 is repealed.</w:t>
      </w:r>
    </w:p>
    <w:p>
      <w:pPr>
        <w:pStyle w:val="nzHeading5"/>
        <w:outlineLvl w:val="0"/>
      </w:pPr>
      <w:r>
        <w:rPr>
          <w:rStyle w:val="CharSectno"/>
        </w:rPr>
        <w:t>52</w:t>
      </w:r>
      <w:r>
        <w:t>.</w:t>
      </w:r>
      <w:r>
        <w:tab/>
        <w:t>Section 72 amended</w:t>
      </w:r>
    </w:p>
    <w:p>
      <w:pPr>
        <w:pStyle w:val="nzSubsection"/>
        <w:outlineLvl w:val="0"/>
      </w:pPr>
      <w:r>
        <w:tab/>
        <w:t>(1)</w:t>
      </w:r>
      <w:r>
        <w:tab/>
        <w:t xml:space="preserve">Section 72(1) is repealed and the following subsection is inserted instead — </w:t>
      </w:r>
    </w:p>
    <w:p>
      <w:pPr>
        <w:pStyle w:val="MiscOpen"/>
        <w:spacing w:before="60"/>
        <w:ind w:left="601"/>
      </w:pPr>
      <w:r>
        <w:t xml:space="preserve">“    </w:t>
      </w:r>
    </w:p>
    <w:p>
      <w:pPr>
        <w:pStyle w:val="nz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nzIndenta"/>
      </w:pPr>
      <w:r>
        <w:tab/>
        <w:t>(a)</w:t>
      </w:r>
      <w:r>
        <w:tab/>
        <w:t>the owner; and</w:t>
      </w:r>
    </w:p>
    <w:p>
      <w:pPr>
        <w:pStyle w:val="nzIndenta"/>
      </w:pPr>
      <w:r>
        <w:tab/>
        <w:t>(b)</w:t>
      </w:r>
      <w:r>
        <w:tab/>
        <w:t>where the licensed premises are occupied under a lease, the lessor,</w:t>
      </w:r>
    </w:p>
    <w:p>
      <w:pPr>
        <w:pStyle w:val="nzSubsection"/>
      </w:pPr>
      <w:r>
        <w:tab/>
      </w:r>
      <w:r>
        <w:tab/>
        <w:t>have consented to the application.</w:t>
      </w:r>
    </w:p>
    <w:p>
      <w:pPr>
        <w:pStyle w:val="MiscClose"/>
      </w:pPr>
      <w:r>
        <w:t xml:space="preserve">    ”.</w:t>
      </w:r>
    </w:p>
    <w:p>
      <w:pPr>
        <w:pStyle w:val="nzSubsection"/>
      </w:pPr>
      <w:r>
        <w:tab/>
        <w:t>(2)</w:t>
      </w:r>
      <w:r>
        <w:tab/>
        <w:t>Section 72(6) is repealed.</w:t>
      </w:r>
    </w:p>
    <w:p>
      <w:pPr>
        <w:pStyle w:val="nzHeading5"/>
        <w:outlineLvl w:val="0"/>
      </w:pPr>
      <w:r>
        <w:rPr>
          <w:rStyle w:val="CharSectno"/>
        </w:rPr>
        <w:t>53</w:t>
      </w:r>
      <w:r>
        <w:t>.</w:t>
      </w:r>
      <w:r>
        <w:tab/>
        <w:t>Section 73 amended</w:t>
      </w:r>
    </w:p>
    <w:p>
      <w:pPr>
        <w:pStyle w:val="nzSubsection"/>
      </w:pPr>
      <w:r>
        <w:tab/>
        <w:t>(1)</w:t>
      </w:r>
      <w:r>
        <w:tab/>
        <w:t xml:space="preserve">Section 73(2) is repealed and the following subsection is inserted instead — </w:t>
      </w:r>
    </w:p>
    <w:p>
      <w:pPr>
        <w:pStyle w:val="MiscOpen"/>
        <w:spacing w:before="60"/>
        <w:ind w:left="601"/>
      </w:pPr>
      <w:r>
        <w:t xml:space="preserve">“    </w:t>
      </w:r>
    </w:p>
    <w:p>
      <w:pPr>
        <w:pStyle w:val="nzSubsection"/>
      </w:pPr>
      <w:r>
        <w:tab/>
        <w:t>(2)</w:t>
      </w:r>
      <w:r>
        <w:tab/>
        <w:t>Where an application is required to be advertised, a right to object to the application is conferred on any person on any ground permitted by section 74.</w:t>
      </w:r>
    </w:p>
    <w:p>
      <w:pPr>
        <w:pStyle w:val="MiscClose"/>
      </w:pPr>
      <w:r>
        <w:t xml:space="preserve">    ”.</w:t>
      </w:r>
    </w:p>
    <w:p>
      <w:pPr>
        <w:pStyle w:val="nzSubsection"/>
      </w:pPr>
      <w:r>
        <w:tab/>
        <w:t>(2)</w:t>
      </w:r>
      <w:r>
        <w:tab/>
        <w:t>Section 73(3) is repealed.</w:t>
      </w:r>
    </w:p>
    <w:p>
      <w:pPr>
        <w:pStyle w:val="nzSubsection"/>
      </w:pPr>
      <w:r>
        <w:tab/>
        <w:t>(3)</w:t>
      </w:r>
      <w:r>
        <w:tab/>
        <w:t xml:space="preserve">Section 73(4a) is amended after “approves” by inserting — </w:t>
      </w:r>
    </w:p>
    <w:p>
      <w:pPr>
        <w:pStyle w:val="nzSubsection"/>
      </w:pPr>
      <w:r>
        <w:tab/>
      </w:r>
      <w:r>
        <w:tab/>
        <w:t>“    or section 30(4) applies    ”.</w:t>
      </w:r>
    </w:p>
    <w:p>
      <w:pPr>
        <w:pStyle w:val="nzHeading5"/>
        <w:outlineLvl w:val="0"/>
      </w:pPr>
      <w:r>
        <w:rPr>
          <w:rStyle w:val="CharSectno"/>
        </w:rPr>
        <w:t>54</w:t>
      </w:r>
      <w:r>
        <w:t>.</w:t>
      </w:r>
      <w:r>
        <w:tab/>
        <w:t>Section 74 amended</w:t>
      </w:r>
    </w:p>
    <w:p>
      <w:pPr>
        <w:pStyle w:val="nzSubsection"/>
      </w:pPr>
      <w:r>
        <w:tab/>
        <w:t>(1)</w:t>
      </w:r>
      <w:r>
        <w:tab/>
        <w:t>Section 74(1) is amended as follows:</w:t>
      </w:r>
    </w:p>
    <w:p>
      <w:pPr>
        <w:pStyle w:val="nzIndenta"/>
      </w:pPr>
      <w:r>
        <w:tab/>
        <w:t>(a)</w:t>
      </w:r>
      <w:r>
        <w:tab/>
        <w:t xml:space="preserve">in paragraph (a), by deleting “be contrary to” and inserting instead — </w:t>
      </w:r>
    </w:p>
    <w:p>
      <w:pPr>
        <w:pStyle w:val="nzIndenta"/>
      </w:pPr>
      <w:r>
        <w:tab/>
      </w:r>
      <w:r>
        <w:tab/>
        <w:t>“    not be in    ”;</w:t>
      </w:r>
    </w:p>
    <w:p>
      <w:pPr>
        <w:pStyle w:val="nzIndenta"/>
      </w:pPr>
      <w:r>
        <w:tab/>
        <w:t>(b)</w:t>
      </w:r>
      <w:r>
        <w:tab/>
        <w:t>by deleting paragraph (d);</w:t>
      </w:r>
    </w:p>
    <w:p>
      <w:pPr>
        <w:pStyle w:val="nzIndenta"/>
      </w:pPr>
      <w:r>
        <w:tab/>
        <w:t>(c)</w:t>
      </w:r>
      <w:r>
        <w:tab/>
        <w:t>by deleting paragraph (h) and “or” after it;</w:t>
      </w:r>
    </w:p>
    <w:p>
      <w:pPr>
        <w:pStyle w:val="nzIndenta"/>
      </w:pPr>
      <w:r>
        <w:tab/>
        <w:t>(d)</w:t>
      </w:r>
      <w:r>
        <w:tab/>
        <w:t xml:space="preserve">after paragraphs (a), (b) and (g) by inserting — </w:t>
      </w:r>
    </w:p>
    <w:p>
      <w:pPr>
        <w:pStyle w:val="nzIndenta"/>
      </w:pPr>
      <w:r>
        <w:tab/>
      </w:r>
      <w:r>
        <w:tab/>
        <w:t>“    or    ”.</w:t>
      </w:r>
    </w:p>
    <w:p>
      <w:pPr>
        <w:pStyle w:val="nzSubsection"/>
      </w:pPr>
      <w:r>
        <w:tab/>
        <w:t>(2)</w:t>
      </w:r>
      <w:r>
        <w:tab/>
        <w:t xml:space="preserve">Section 74(3) is amended by deleting “be contrary to” and inserting instead — </w:t>
      </w:r>
    </w:p>
    <w:p>
      <w:pPr>
        <w:pStyle w:val="nzSubsection"/>
      </w:pPr>
      <w:r>
        <w:tab/>
      </w:r>
      <w:r>
        <w:tab/>
        <w:t>“    not be in    ”.</w:t>
      </w:r>
    </w:p>
    <w:p>
      <w:pPr>
        <w:pStyle w:val="nzHeading5"/>
        <w:outlineLvl w:val="0"/>
      </w:pPr>
      <w:r>
        <w:rPr>
          <w:rStyle w:val="CharSectno"/>
        </w:rPr>
        <w:t>55</w:t>
      </w:r>
      <w:r>
        <w:t>.</w:t>
      </w:r>
      <w:r>
        <w:tab/>
        <w:t>Section 75 amended</w:t>
      </w:r>
    </w:p>
    <w:p>
      <w:pPr>
        <w:pStyle w:val="nzSubsection"/>
        <w:outlineLvl w:val="0"/>
      </w:pPr>
      <w:r>
        <w:tab/>
        <w:t>(1)</w:t>
      </w:r>
      <w:r>
        <w:tab/>
        <w:t>Section 75(1) is amended as follows:</w:t>
      </w:r>
    </w:p>
    <w:p>
      <w:pPr>
        <w:pStyle w:val="nzIndenta"/>
      </w:pPr>
      <w:r>
        <w:tab/>
        <w:t>(a)</w:t>
      </w:r>
      <w:r>
        <w:tab/>
        <w:t>by deleting “, unless the Director otherwise approves,”;</w:t>
      </w:r>
    </w:p>
    <w:p>
      <w:pPr>
        <w:pStyle w:val="nzIndenta"/>
      </w:pPr>
      <w:r>
        <w:tab/>
        <w:t>(b)</w:t>
      </w:r>
      <w:r>
        <w:tab/>
        <w:t xml:space="preserve">by deleting “effect.” and inserting instead — </w:t>
      </w:r>
    </w:p>
    <w:p>
      <w:pPr>
        <w:pStyle w:val="MiscOpen"/>
        <w:ind w:left="880"/>
      </w:pPr>
      <w:r>
        <w:t xml:space="preserve">“    </w:t>
      </w:r>
    </w:p>
    <w:p>
      <w:pPr>
        <w:pStyle w:val="nzSubsection"/>
      </w:pPr>
      <w:r>
        <w:tab/>
      </w:r>
      <w:r>
        <w:tab/>
        <w:t xml:space="preserve">effect unless — </w:t>
      </w:r>
    </w:p>
    <w:p>
      <w:pPr>
        <w:pStyle w:val="nzIndenta"/>
      </w:pPr>
      <w:r>
        <w:tab/>
        <w:t>(a)</w:t>
      </w:r>
      <w:r>
        <w:tab/>
        <w:t>the Director otherwise approves; or</w:t>
      </w:r>
    </w:p>
    <w:p>
      <w:pPr>
        <w:pStyle w:val="nzIndenta"/>
      </w:pPr>
      <w:r>
        <w:tab/>
        <w:t>(b)</w:t>
      </w:r>
      <w:r>
        <w:tab/>
        <w:t>in relation to an application for the grant of an occasional licence of a kind prescribed, some other requirement for lodgement of the application is prescribed.</w:t>
      </w:r>
    </w:p>
    <w:p>
      <w:pPr>
        <w:pStyle w:val="MiscClose"/>
      </w:pPr>
      <w:r>
        <w:t xml:space="preserve">    ”.</w:t>
      </w:r>
    </w:p>
    <w:p>
      <w:pPr>
        <w:pStyle w:val="nzSubsection"/>
        <w:outlineLvl w:val="0"/>
      </w:pPr>
      <w:r>
        <w:tab/>
        <w:t>(2)</w:t>
      </w:r>
      <w:r>
        <w:tab/>
        <w:t>Section 75(2) is amended as follows:</w:t>
      </w:r>
    </w:p>
    <w:p>
      <w:pPr>
        <w:pStyle w:val="nzIndenta"/>
      </w:pPr>
      <w:r>
        <w:tab/>
        <w:t>(a)</w:t>
      </w:r>
      <w:r>
        <w:tab/>
        <w:t>by deleting paragraph (a);</w:t>
      </w:r>
    </w:p>
    <w:p>
      <w:pPr>
        <w:pStyle w:val="nzIndenta"/>
      </w:pPr>
      <w:r>
        <w:tab/>
        <w:t>(b)</w:t>
      </w:r>
      <w:r>
        <w:tab/>
        <w:t xml:space="preserve">after paragraph (b) by inserting — </w:t>
      </w:r>
    </w:p>
    <w:p>
      <w:pPr>
        <w:pStyle w:val="nzIndenta"/>
      </w:pPr>
      <w:r>
        <w:tab/>
      </w:r>
      <w:r>
        <w:tab/>
        <w:t>“    and    ”.</w:t>
      </w:r>
    </w:p>
    <w:p>
      <w:pPr>
        <w:pStyle w:val="nzHeading5"/>
        <w:outlineLvl w:val="0"/>
      </w:pPr>
      <w:r>
        <w:rPr>
          <w:rStyle w:val="CharSectno"/>
        </w:rPr>
        <w:t>56</w:t>
      </w:r>
      <w:r>
        <w:t>.</w:t>
      </w:r>
      <w:r>
        <w:tab/>
        <w:t>Section 76 amended</w:t>
      </w:r>
    </w:p>
    <w:p>
      <w:pPr>
        <w:pStyle w:val="nzSubsection"/>
      </w:pPr>
      <w:r>
        <w:tab/>
        <w:t>(1)</w:t>
      </w:r>
      <w:r>
        <w:tab/>
        <w:t xml:space="preserve">Section 76(1)(b) is amended by deleting “a permit of that kind” and inserting instead — </w:t>
      </w:r>
    </w:p>
    <w:p>
      <w:pPr>
        <w:pStyle w:val="nzSubsection"/>
      </w:pPr>
      <w:r>
        <w:tab/>
      </w:r>
      <w:r>
        <w:tab/>
        <w:t>“    the issue of a permit of a kind prescribed,    ”.</w:t>
      </w:r>
    </w:p>
    <w:p>
      <w:pPr>
        <w:pStyle w:val="nzSubsection"/>
      </w:pPr>
      <w:r>
        <w:tab/>
        <w:t>(2)</w:t>
      </w:r>
      <w:r>
        <w:tab/>
        <w:t>Section 76(2) is amended as follows:</w:t>
      </w:r>
    </w:p>
    <w:p>
      <w:pPr>
        <w:pStyle w:val="nzIndenta"/>
      </w:pPr>
      <w:r>
        <w:tab/>
        <w:t>(a)</w:t>
      </w:r>
      <w:r>
        <w:tab/>
        <w:t>by deleting paragraph (a);</w:t>
      </w:r>
    </w:p>
    <w:p>
      <w:pPr>
        <w:pStyle w:val="nzIndenta"/>
      </w:pPr>
      <w:r>
        <w:tab/>
        <w:t>(b)</w:t>
      </w:r>
      <w:r>
        <w:tab/>
        <w:t xml:space="preserve">after paragraph (b), by inserting — </w:t>
      </w:r>
    </w:p>
    <w:p>
      <w:pPr>
        <w:pStyle w:val="nzIndenta"/>
      </w:pPr>
      <w:r>
        <w:tab/>
      </w:r>
      <w:r>
        <w:tab/>
        <w:t>“    and    ”;</w:t>
      </w:r>
    </w:p>
    <w:p>
      <w:pPr>
        <w:pStyle w:val="nzIndenta"/>
      </w:pPr>
      <w:r>
        <w:tab/>
        <w:t>(c)</w:t>
      </w:r>
      <w:r>
        <w:tab/>
        <w:t xml:space="preserve">by deleting paragraph (d) and inserting instead — </w:t>
      </w:r>
    </w:p>
    <w:p>
      <w:pPr>
        <w:pStyle w:val="MiscOpen"/>
        <w:ind w:left="1340"/>
      </w:pPr>
      <w:r>
        <w:t xml:space="preserve">“    </w:t>
      </w:r>
    </w:p>
    <w:p>
      <w:pPr>
        <w:pStyle w:val="nzIndenta"/>
      </w:pPr>
      <w:r>
        <w:tab/>
        <w:t>(d)</w:t>
      </w:r>
      <w:r>
        <w:tab/>
        <w:t>unless the permit is of a kind prescribed for the purposes of section 25(5a), is not subject to appeal.</w:t>
      </w:r>
    </w:p>
    <w:p>
      <w:pPr>
        <w:pStyle w:val="MiscClose"/>
      </w:pPr>
      <w:r>
        <w:t xml:space="preserve">    ”.</w:t>
      </w:r>
    </w:p>
    <w:p>
      <w:pPr>
        <w:pStyle w:val="nzHeading5"/>
        <w:outlineLvl w:val="0"/>
      </w:pPr>
      <w:r>
        <w:rPr>
          <w:rStyle w:val="CharSectno"/>
        </w:rPr>
        <w:t>57</w:t>
      </w:r>
      <w:r>
        <w:t>.</w:t>
      </w:r>
      <w:r>
        <w:tab/>
        <w:t>Section 77 amended</w:t>
      </w:r>
    </w:p>
    <w:p>
      <w:pPr>
        <w:pStyle w:val="nzSubsection"/>
        <w:outlineLvl w:val="0"/>
      </w:pPr>
      <w:r>
        <w:tab/>
        <w:t>(1)</w:t>
      </w:r>
      <w:r>
        <w:tab/>
        <w:t>Section 77(3)(a) is amended as follows:</w:t>
      </w:r>
    </w:p>
    <w:p>
      <w:pPr>
        <w:pStyle w:val="nzIndenta"/>
      </w:pPr>
      <w:r>
        <w:tab/>
        <w:t>(a)</w:t>
      </w:r>
      <w:r>
        <w:tab/>
        <w:t>by deleting subparagraph (i);</w:t>
      </w:r>
    </w:p>
    <w:p>
      <w:pPr>
        <w:pStyle w:val="nzIndenta"/>
      </w:pPr>
      <w:r>
        <w:tab/>
        <w:t>(b)</w:t>
      </w:r>
      <w:r>
        <w:tab/>
        <w:t>in subparagraph (ii), by deleting “substantial”.</w:t>
      </w:r>
    </w:p>
    <w:p>
      <w:pPr>
        <w:pStyle w:val="nzSubsection"/>
        <w:outlineLvl w:val="0"/>
      </w:pPr>
      <w:r>
        <w:tab/>
        <w:t>(2)</w:t>
      </w:r>
      <w:r>
        <w:tab/>
        <w:t>Section 77(6) is repealed.</w:t>
      </w:r>
    </w:p>
    <w:p>
      <w:pPr>
        <w:pStyle w:val="nzHeading5"/>
        <w:outlineLvl w:val="0"/>
      </w:pPr>
      <w:r>
        <w:rPr>
          <w:rStyle w:val="CharSectno"/>
        </w:rPr>
        <w:t>58</w:t>
      </w:r>
      <w:r>
        <w:t>.</w:t>
      </w:r>
      <w:r>
        <w:tab/>
        <w:t>Section 80 amended</w:t>
      </w:r>
    </w:p>
    <w:p>
      <w:pPr>
        <w:pStyle w:val="nzSubsection"/>
      </w:pPr>
      <w:r>
        <w:tab/>
      </w:r>
      <w:r>
        <w:tab/>
        <w:t>Section 80(2)(c) is amended by deleting “that the application has not been advertised, and”.</w:t>
      </w:r>
    </w:p>
    <w:p>
      <w:pPr>
        <w:pStyle w:val="nzHeading5"/>
        <w:outlineLvl w:val="0"/>
      </w:pPr>
      <w:r>
        <w:rPr>
          <w:rStyle w:val="CharSectno"/>
        </w:rPr>
        <w:t>59</w:t>
      </w:r>
      <w:r>
        <w:t>.</w:t>
      </w:r>
      <w:r>
        <w:tab/>
        <w:t>Section 81 amended</w:t>
      </w:r>
    </w:p>
    <w:p>
      <w:pPr>
        <w:pStyle w:val="nzSubsection"/>
      </w:pPr>
      <w:r>
        <w:tab/>
        <w:t>(1)</w:t>
      </w:r>
      <w:r>
        <w:tab/>
        <w:t>Section 81(4) is repealed.</w:t>
      </w:r>
    </w:p>
    <w:p>
      <w:pPr>
        <w:pStyle w:val="nzSubsection"/>
      </w:pPr>
      <w:r>
        <w:tab/>
        <w:t>(2)</w:t>
      </w:r>
      <w:r>
        <w:tab/>
        <w:t xml:space="preserve">After section 81(6) the following subsection is inserted — </w:t>
      </w:r>
    </w:p>
    <w:p>
      <w:pPr>
        <w:pStyle w:val="MiscOpen"/>
        <w:ind w:left="600"/>
      </w:pPr>
      <w:r>
        <w:t xml:space="preserve">“    </w:t>
      </w:r>
    </w:p>
    <w:p>
      <w:pPr>
        <w:pStyle w:val="nzSubsection"/>
      </w:pPr>
      <w:r>
        <w:tab/>
        <w:t>(7)</w:t>
      </w:r>
      <w:r>
        <w:tab/>
        <w:t xml:space="preserve">An application for the removal of a licence cannot be made if — </w:t>
      </w:r>
    </w:p>
    <w:p>
      <w:pPr>
        <w:pStyle w:val="nzIndenta"/>
      </w:pPr>
      <w:r>
        <w:tab/>
        <w:t>(a)</w:t>
      </w:r>
      <w:r>
        <w:tab/>
        <w:t>the licence has been conditionally granted under section 62; and</w:t>
      </w:r>
    </w:p>
    <w:p>
      <w:pPr>
        <w:pStyle w:val="nzIndenta"/>
      </w:pPr>
      <w:r>
        <w:tab/>
        <w:t>(b)</w:t>
      </w:r>
      <w:r>
        <w:tab/>
        <w:t>the grant of the licence has not been confirmed under section 62(9).</w:t>
      </w:r>
    </w:p>
    <w:p>
      <w:pPr>
        <w:pStyle w:val="MiscClose"/>
      </w:pPr>
      <w:r>
        <w:t xml:space="preserve">    ”.</w:t>
      </w:r>
    </w:p>
    <w:p>
      <w:pPr>
        <w:pStyle w:val="nzHeading5"/>
        <w:outlineLvl w:val="0"/>
      </w:pPr>
      <w:r>
        <w:rPr>
          <w:rStyle w:val="CharSectno"/>
        </w:rPr>
        <w:t>60</w:t>
      </w:r>
      <w:r>
        <w:t>.</w:t>
      </w:r>
      <w:r>
        <w:tab/>
        <w:t>Section 84 amended</w:t>
      </w:r>
    </w:p>
    <w:p>
      <w:pPr>
        <w:pStyle w:val="nzSubsection"/>
      </w:pPr>
      <w:r>
        <w:tab/>
      </w:r>
      <w:r>
        <w:tab/>
        <w:t xml:space="preserve">Section 84(3)(a) is amended by deleting “last day on which objections should be lodged;” and inserting instead — </w:t>
      </w:r>
    </w:p>
    <w:p>
      <w:pPr>
        <w:pStyle w:val="nzSubsection"/>
      </w:pPr>
      <w:r>
        <w:tab/>
      </w:r>
      <w:r>
        <w:tab/>
        <w:t>“    day on which the application is to be determined;    ”.</w:t>
      </w:r>
    </w:p>
    <w:p>
      <w:pPr>
        <w:pStyle w:val="nzHeading5"/>
        <w:outlineLvl w:val="0"/>
      </w:pPr>
      <w:r>
        <w:rPr>
          <w:rStyle w:val="CharSectno"/>
        </w:rPr>
        <w:t>61</w:t>
      </w:r>
      <w:r>
        <w:t>.</w:t>
      </w:r>
      <w:r>
        <w:tab/>
        <w:t>Section 86 amended</w:t>
      </w:r>
    </w:p>
    <w:p>
      <w:pPr>
        <w:pStyle w:val="nzSubsection"/>
      </w:pPr>
      <w:r>
        <w:tab/>
      </w:r>
      <w:r>
        <w:tab/>
        <w:t>Section 86(8) is amended by deleting “advertisement or”.</w:t>
      </w:r>
    </w:p>
    <w:p>
      <w:pPr>
        <w:pStyle w:val="nzHeading5"/>
        <w:outlineLvl w:val="0"/>
      </w:pPr>
      <w:r>
        <w:rPr>
          <w:rStyle w:val="CharSectno"/>
        </w:rPr>
        <w:t>62</w:t>
      </w:r>
      <w:r>
        <w:t>.</w:t>
      </w:r>
      <w:r>
        <w:tab/>
        <w:t>Section 87 amended</w:t>
      </w:r>
    </w:p>
    <w:p>
      <w:pPr>
        <w:pStyle w:val="nzSubsection"/>
      </w:pPr>
      <w:r>
        <w:tab/>
      </w:r>
      <w:r>
        <w:tab/>
        <w:t>Section 87(1) is amended as follows:</w:t>
      </w:r>
    </w:p>
    <w:p>
      <w:pPr>
        <w:pStyle w:val="nzIndenta"/>
      </w:pPr>
      <w:r>
        <w:tab/>
        <w:t>(a)</w:t>
      </w:r>
      <w:r>
        <w:tab/>
        <w:t>in paragraph (a), by deleting “other than premises to which a liquor store licence applies”;</w:t>
      </w:r>
    </w:p>
    <w:p>
      <w:pPr>
        <w:pStyle w:val="nzIndenta"/>
      </w:pPr>
      <w:r>
        <w:tab/>
        <w:t>(b)</w:t>
      </w:r>
      <w:r>
        <w:tab/>
        <w:t>in paragraph (b), by deleting “, other than a liquor store licence,”;</w:t>
      </w:r>
    </w:p>
    <w:p>
      <w:pPr>
        <w:pStyle w:val="nzIndenta"/>
      </w:pPr>
      <w:r>
        <w:tab/>
        <w:t>(c)</w:t>
      </w:r>
      <w:r>
        <w:tab/>
        <w:t>by deleting “without advertisement unless the Director otherwise requires but”.</w:t>
      </w:r>
    </w:p>
    <w:p>
      <w:pPr>
        <w:pStyle w:val="nzHeading5"/>
        <w:outlineLvl w:val="0"/>
      </w:pPr>
      <w:r>
        <w:rPr>
          <w:rStyle w:val="CharSectno"/>
        </w:rPr>
        <w:t>63</w:t>
      </w:r>
      <w:r>
        <w:t>.</w:t>
      </w:r>
      <w:r>
        <w:tab/>
        <w:t>Section 90 repealed</w:t>
      </w:r>
    </w:p>
    <w:p>
      <w:pPr>
        <w:pStyle w:val="nzSubsection"/>
      </w:pPr>
      <w:r>
        <w:tab/>
      </w:r>
      <w:r>
        <w:tab/>
        <w:t>Section 90 is repealed.</w:t>
      </w:r>
    </w:p>
    <w:p>
      <w:pPr>
        <w:pStyle w:val="nzHeading5"/>
        <w:outlineLvl w:val="0"/>
      </w:pPr>
      <w:r>
        <w:rPr>
          <w:rStyle w:val="CharSectno"/>
        </w:rPr>
        <w:t>64</w:t>
      </w:r>
      <w:r>
        <w:t>.</w:t>
      </w:r>
      <w:r>
        <w:tab/>
        <w:t>Section 91 amended</w:t>
      </w:r>
    </w:p>
    <w:p>
      <w:pPr>
        <w:pStyle w:val="nzSubsection"/>
      </w:pPr>
      <w:r>
        <w:tab/>
        <w:t>(1)</w:t>
      </w:r>
      <w:r>
        <w:tab/>
        <w:t>Section 91 is amended as follows:</w:t>
      </w:r>
    </w:p>
    <w:p>
      <w:pPr>
        <w:pStyle w:val="nzIndenta"/>
      </w:pPr>
      <w:r>
        <w:tab/>
        <w:t>(a)</w:t>
      </w:r>
      <w:r>
        <w:tab/>
        <w:t>before “The Director” by inserting the subsection designation “(1)”;</w:t>
      </w:r>
    </w:p>
    <w:p>
      <w:pPr>
        <w:pStyle w:val="nzIndenta"/>
      </w:pPr>
      <w:r>
        <w:tab/>
        <w:t>(b)</w:t>
      </w:r>
      <w:r>
        <w:tab/>
        <w:t xml:space="preserve">by deleting “by reason of the requirements of public order or of safety.” and inserting instead — </w:t>
      </w:r>
    </w:p>
    <w:p>
      <w:pPr>
        <w:pStyle w:val="MiscOpen"/>
        <w:ind w:left="880"/>
      </w:pPr>
      <w:r>
        <w:t xml:space="preserve">“    </w:t>
      </w:r>
    </w:p>
    <w:p>
      <w:pPr>
        <w:pStyle w:val="nzSubsection"/>
      </w:pPr>
      <w:r>
        <w:tab/>
      </w:r>
      <w:r>
        <w:tab/>
        <w:t>if the Director considers it is in the public interest to do so.</w:t>
      </w:r>
    </w:p>
    <w:p>
      <w:pPr>
        <w:pStyle w:val="MiscClose"/>
      </w:pPr>
      <w:r>
        <w:t xml:space="preserve">    ”.</w:t>
      </w:r>
    </w:p>
    <w:p>
      <w:pPr>
        <w:pStyle w:val="nzSubsection"/>
      </w:pPr>
      <w:r>
        <w:tab/>
        <w:t>(2)</w:t>
      </w:r>
      <w:r>
        <w:tab/>
        <w:t xml:space="preserve">At the end of section 91 the following subsection is inserted — </w:t>
      </w:r>
    </w:p>
    <w:p>
      <w:pPr>
        <w:pStyle w:val="MiscOpen"/>
        <w:ind w:left="600"/>
      </w:pPr>
      <w:r>
        <w:t xml:space="preserve">“    </w:t>
      </w:r>
    </w:p>
    <w:p>
      <w:pPr>
        <w:pStyle w:val="nzSubsection"/>
      </w:pPr>
      <w:r>
        <w:tab/>
        <w:t>(2)</w:t>
      </w:r>
      <w:r>
        <w:tab/>
        <w:t xml:space="preserve">Without limiting subsection (1), the Director may, after giving the licensee a reasonable opportunity to make submissions or to be heard, suspend the operation of a licence if — </w:t>
      </w:r>
    </w:p>
    <w:p>
      <w:pPr>
        <w:pStyle w:val="nzIndenta"/>
      </w:pPr>
      <w:r>
        <w:tab/>
        <w:t>(a)</w:t>
      </w:r>
      <w:r>
        <w:tab/>
        <w:t>the licence is other than an occasional licence; and</w:t>
      </w:r>
    </w:p>
    <w:p>
      <w:pPr>
        <w:pStyle w:val="nzIndenta"/>
      </w:pPr>
      <w:r>
        <w:tab/>
        <w:t>(b)</w:t>
      </w:r>
      <w:r>
        <w:tab/>
        <w:t xml:space="preserve">it appears to the Director that — </w:t>
      </w:r>
    </w:p>
    <w:p>
      <w:pPr>
        <w:pStyle w:val="nzIndenti"/>
      </w:pPr>
      <w:r>
        <w:tab/>
        <w:t>(i)</w:t>
      </w:r>
      <w:r>
        <w:tab/>
        <w:t>contrary to the condition referred to in section 37(5), the licensee has ceased to occupy the licensed premises to the exclusion of others; or</w:t>
      </w:r>
    </w:p>
    <w:p>
      <w:pPr>
        <w:pStyle w:val="nz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MiscClose"/>
      </w:pPr>
      <w:r>
        <w:t xml:space="preserve">    ”.</w:t>
      </w:r>
    </w:p>
    <w:p>
      <w:pPr>
        <w:pStyle w:val="nzHeading5"/>
        <w:outlineLvl w:val="0"/>
      </w:pPr>
      <w:r>
        <w:rPr>
          <w:rStyle w:val="CharSectno"/>
        </w:rPr>
        <w:t>65</w:t>
      </w:r>
      <w:r>
        <w:t>.</w:t>
      </w:r>
      <w:r>
        <w:tab/>
        <w:t>Section 93 amended</w:t>
      </w:r>
    </w:p>
    <w:p>
      <w:pPr>
        <w:pStyle w:val="nzSubsection"/>
        <w:outlineLvl w:val="0"/>
      </w:pPr>
      <w:r>
        <w:tab/>
        <w:t>(1)</w:t>
      </w:r>
      <w:r>
        <w:tab/>
        <w:t>Section 93(1) is amended as follows:</w:t>
      </w:r>
    </w:p>
    <w:p>
      <w:pPr>
        <w:pStyle w:val="nzIndenta"/>
      </w:pPr>
      <w:r>
        <w:tab/>
        <w:t>(a)</w:t>
      </w:r>
      <w:r>
        <w:tab/>
        <w:t>in paragraph (a), by deleting “and that there are no longer any circumstances that justify the licence continuing”;</w:t>
      </w:r>
    </w:p>
    <w:p>
      <w:pPr>
        <w:pStyle w:val="nzIndenta"/>
      </w:pPr>
      <w:r>
        <w:tab/>
        <w:t>(b)</w:t>
      </w:r>
      <w:r>
        <w:tab/>
        <w:t xml:space="preserve">in paragraph (b), by deleting “28 days have” and inserting instead — </w:t>
      </w:r>
    </w:p>
    <w:p>
      <w:pPr>
        <w:pStyle w:val="nzIndenta"/>
      </w:pPr>
      <w:r>
        <w:tab/>
      </w:r>
      <w:r>
        <w:tab/>
        <w:t>“    the relevant period has    ”.</w:t>
      </w:r>
    </w:p>
    <w:p>
      <w:pPr>
        <w:pStyle w:val="nzSubsection"/>
        <w:outlineLvl w:val="0"/>
      </w:pPr>
      <w:r>
        <w:tab/>
        <w:t>(2)</w:t>
      </w:r>
      <w:r>
        <w:tab/>
        <w:t xml:space="preserve">After section 93(1) the following subsection is inserted — </w:t>
      </w:r>
    </w:p>
    <w:p>
      <w:pPr>
        <w:pStyle w:val="MiscOpen"/>
        <w:ind w:left="600"/>
      </w:pPr>
      <w:r>
        <w:t xml:space="preserve">“    </w:t>
      </w:r>
    </w:p>
    <w:p>
      <w:pPr>
        <w:pStyle w:val="nzSubsection"/>
      </w:pPr>
      <w:r>
        <w:tab/>
        <w:t>(1a)</w:t>
      </w:r>
      <w:r>
        <w:tab/>
        <w:t xml:space="preserve">In subsection (1)(b) — </w:t>
      </w:r>
    </w:p>
    <w:p>
      <w:pPr>
        <w:pStyle w:val="nzDefstart"/>
      </w:pPr>
      <w:r>
        <w:rPr>
          <w:b/>
        </w:rPr>
        <w:tab/>
        <w:t>“</w:t>
      </w:r>
      <w:r>
        <w:rPr>
          <w:rStyle w:val="CharDefText"/>
        </w:rPr>
        <w:t>relevant period</w:t>
      </w:r>
      <w:r>
        <w:rPr>
          <w:b/>
        </w:rPr>
        <w:t>”</w:t>
      </w:r>
      <w:r>
        <w:t xml:space="preserve"> means 28 days or any greater period prescribed.</w:t>
      </w:r>
    </w:p>
    <w:p>
      <w:pPr>
        <w:pStyle w:val="MiscClose"/>
      </w:pPr>
      <w:r>
        <w:t xml:space="preserve">    ”.</w:t>
      </w:r>
    </w:p>
    <w:p>
      <w:pPr>
        <w:pStyle w:val="nzSubsection"/>
        <w:outlineLvl w:val="0"/>
      </w:pPr>
      <w:r>
        <w:tab/>
        <w:t>(3)</w:t>
      </w:r>
      <w:r>
        <w:tab/>
        <w:t>Section 93(3) is repealed.</w:t>
      </w:r>
    </w:p>
    <w:p>
      <w:pPr>
        <w:pStyle w:val="nzHeading5"/>
        <w:outlineLvl w:val="0"/>
      </w:pPr>
      <w:r>
        <w:rPr>
          <w:rStyle w:val="CharSectno"/>
        </w:rPr>
        <w:t>66</w:t>
      </w:r>
      <w:r>
        <w:t>.</w:t>
      </w:r>
      <w:r>
        <w:tab/>
        <w:t>Section 95 amended</w:t>
      </w:r>
    </w:p>
    <w:p>
      <w:pPr>
        <w:pStyle w:val="nzSubsection"/>
      </w:pPr>
      <w:r>
        <w:tab/>
      </w:r>
      <w:r>
        <w:tab/>
        <w:t xml:space="preserve">After section 95(7) the following subsection is inserted — </w:t>
      </w:r>
    </w:p>
    <w:p>
      <w:pPr>
        <w:pStyle w:val="MiscOpen"/>
        <w:ind w:left="600"/>
      </w:pPr>
      <w:r>
        <w:t xml:space="preserve">“    </w:t>
      </w:r>
    </w:p>
    <w:p>
      <w:pPr>
        <w:pStyle w:val="nzSubsection"/>
      </w:pPr>
      <w:r>
        <w:tab/>
        <w:t>(7a)</w:t>
      </w:r>
      <w:r>
        <w:tab/>
        <w:t>When hearing a complaint under this section, the Commission is to be constituted by 3 members, including a member who is a legal practitioner.</w:t>
      </w:r>
    </w:p>
    <w:p>
      <w:pPr>
        <w:pStyle w:val="MiscClose"/>
      </w:pPr>
      <w:r>
        <w:t xml:space="preserve">    ”.</w:t>
      </w:r>
    </w:p>
    <w:p>
      <w:pPr>
        <w:pStyle w:val="nzHeading5"/>
      </w:pPr>
      <w:r>
        <w:rPr>
          <w:rStyle w:val="CharSectno"/>
        </w:rPr>
        <w:t>69</w:t>
      </w:r>
      <w:r>
        <w:t>.</w:t>
      </w:r>
      <w:r>
        <w:tab/>
        <w:t>Section 100 amended</w:t>
      </w:r>
    </w:p>
    <w:p>
      <w:pPr>
        <w:pStyle w:val="nzSubsection"/>
        <w:outlineLvl w:val="0"/>
      </w:pPr>
      <w:r>
        <w:tab/>
        <w:t>(1)</w:t>
      </w:r>
      <w:r>
        <w:tab/>
        <w:t xml:space="preserve">After section 100(2) the following subsections are inserted — </w:t>
      </w:r>
    </w:p>
    <w:p>
      <w:pPr>
        <w:pStyle w:val="MiscOpen"/>
        <w:ind w:left="600"/>
      </w:pPr>
      <w:r>
        <w:t xml:space="preserve">“    </w:t>
      </w:r>
    </w:p>
    <w:p>
      <w:pPr>
        <w:pStyle w:val="nz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nzPenstart"/>
      </w:pPr>
      <w:r>
        <w:tab/>
        <w:t>Penalty: $10 000.</w:t>
      </w:r>
    </w:p>
    <w:p>
      <w:pPr>
        <w:pStyle w:val="nzSubsection"/>
      </w:pPr>
      <w:r>
        <w:tab/>
        <w:t>(2b)</w:t>
      </w:r>
      <w:r>
        <w:tab/>
        <w:t xml:space="preserve">Subsection (2a) does not apply in relation to the conduct of business at licensed premises at a particular time if — </w:t>
      </w:r>
    </w:p>
    <w:p>
      <w:pPr>
        <w:pStyle w:val="nzIndenta"/>
      </w:pPr>
      <w:r>
        <w:tab/>
        <w:t>(a)</w:t>
      </w:r>
      <w:r>
        <w:tab/>
        <w:t>there is only one licensee and that licensee is a natural person; and</w:t>
      </w:r>
    </w:p>
    <w:p>
      <w:pPr>
        <w:pStyle w:val="nzIndenta"/>
      </w:pPr>
      <w:r>
        <w:tab/>
        <w:t>(b)</w:t>
      </w:r>
      <w:r>
        <w:tab/>
        <w:t>the licensee is present at those premises at that time.</w:t>
      </w:r>
    </w:p>
    <w:p>
      <w:pPr>
        <w:pStyle w:val="MiscClose"/>
        <w:keepNext/>
      </w:pPr>
      <w:r>
        <w:t xml:space="preserve">    ”.</w:t>
      </w:r>
    </w:p>
    <w:p>
      <w:pPr>
        <w:pStyle w:val="nzSubsection"/>
        <w:outlineLvl w:val="0"/>
      </w:pPr>
      <w:r>
        <w:tab/>
        <w:t>(2)</w:t>
      </w:r>
      <w:r>
        <w:tab/>
        <w:t xml:space="preserve">Section 100(3) is amended after “the manager” by inserting — </w:t>
      </w:r>
    </w:p>
    <w:p>
      <w:pPr>
        <w:pStyle w:val="nzSubsection"/>
      </w:pPr>
      <w:r>
        <w:tab/>
      </w:r>
      <w:r>
        <w:tab/>
        <w:t>“    , or if there is more than one manager, each manager,    ”.</w:t>
      </w:r>
    </w:p>
    <w:p>
      <w:pPr>
        <w:pStyle w:val="nzSubsection"/>
        <w:outlineLvl w:val="0"/>
      </w:pPr>
      <w:r>
        <w:tab/>
        <w:t>(3)</w:t>
      </w:r>
      <w:r>
        <w:tab/>
        <w:t xml:space="preserve">Section 100(4)(b) is amended before “the licensee of the premises” by inserting — </w:t>
      </w:r>
    </w:p>
    <w:p>
      <w:pPr>
        <w:pStyle w:val="MiscOpen"/>
        <w:spacing w:before="80"/>
        <w:ind w:left="1622"/>
      </w:pPr>
      <w:r>
        <w:t xml:space="preserve">“    </w:t>
      </w:r>
    </w:p>
    <w:p>
      <w:pPr>
        <w:pStyle w:val="nzIndenta"/>
      </w:pPr>
      <w:r>
        <w:tab/>
      </w:r>
      <w:r>
        <w:tab/>
        <w:t>if there is then no person approved as a manager of the premises under that section,</w:t>
      </w:r>
    </w:p>
    <w:p>
      <w:pPr>
        <w:pStyle w:val="MiscClose"/>
      </w:pPr>
      <w:r>
        <w:t xml:space="preserve">    ”.</w:t>
      </w:r>
    </w:p>
    <w:p>
      <w:pPr>
        <w:pStyle w:val="nzHeading5"/>
      </w:pPr>
      <w:r>
        <w:rPr>
          <w:rStyle w:val="CharSectno"/>
        </w:rPr>
        <w:t>70</w:t>
      </w:r>
      <w:r>
        <w:t>.</w:t>
      </w:r>
      <w:r>
        <w:tab/>
        <w:t>Section 102 amended</w:t>
      </w:r>
    </w:p>
    <w:p>
      <w:pPr>
        <w:pStyle w:val="nzSubsection"/>
      </w:pPr>
      <w:r>
        <w:tab/>
        <w:t>(1)</w:t>
      </w:r>
      <w:r>
        <w:tab/>
        <w:t xml:space="preserve">Section 102(1)(b) is amended before “being” by inserting — </w:t>
      </w:r>
    </w:p>
    <w:p>
      <w:pPr>
        <w:pStyle w:val="nzSubsection"/>
      </w:pPr>
      <w:r>
        <w:tab/>
      </w:r>
      <w:r>
        <w:tab/>
        <w:t>“    subject to subsection (3),     ”.</w:t>
      </w:r>
    </w:p>
    <w:p>
      <w:pPr>
        <w:pStyle w:val="nzSubsection"/>
      </w:pPr>
      <w:r>
        <w:tab/>
        <w:t>(2)</w:t>
      </w:r>
      <w:r>
        <w:tab/>
        <w:t xml:space="preserve">After section 102(2) the following subsections are inserted — </w:t>
      </w:r>
    </w:p>
    <w:p>
      <w:pPr>
        <w:pStyle w:val="MiscOpen"/>
        <w:spacing w:before="60"/>
        <w:ind w:left="601"/>
      </w:pPr>
      <w:r>
        <w:t xml:space="preserve">“    </w:t>
      </w:r>
    </w:p>
    <w:p>
      <w:pPr>
        <w:pStyle w:val="nzSubsection"/>
      </w:pPr>
      <w:r>
        <w:tab/>
        <w:t>(3)</w:t>
      </w:r>
      <w:r>
        <w:tab/>
        <w:t xml:space="preserve">Subsection (1)(b) does not apply to a person who is a shareholder in a proprietary company that holds a licence if — </w:t>
      </w:r>
    </w:p>
    <w:p>
      <w:pPr>
        <w:pStyle w:val="nz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nzIndenta"/>
      </w:pPr>
      <w:r>
        <w:tab/>
        <w:t>(b)</w:t>
      </w:r>
      <w:r>
        <w:tab/>
        <w:t>the person gives the licensing authority written notice of the change in the person’s shareholding within 14 days after the change occurs.</w:t>
      </w:r>
    </w:p>
    <w:p>
      <w:pPr>
        <w:pStyle w:val="nz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MiscClose"/>
      </w:pPr>
      <w:r>
        <w:t xml:space="preserve">    ”.</w:t>
      </w:r>
    </w:p>
    <w:p>
      <w:pPr>
        <w:pStyle w:val="nzHeading5"/>
        <w:outlineLvl w:val="0"/>
      </w:pPr>
      <w:r>
        <w:rPr>
          <w:rStyle w:val="CharSectno"/>
        </w:rPr>
        <w:t>71</w:t>
      </w:r>
      <w:r>
        <w:t>.</w:t>
      </w:r>
      <w:r>
        <w:tab/>
        <w:t>Part 4 Division 3A inserted</w:t>
      </w:r>
    </w:p>
    <w:p>
      <w:pPr>
        <w:pStyle w:val="nzSubsection"/>
      </w:pPr>
      <w:r>
        <w:tab/>
      </w:r>
      <w:r>
        <w:tab/>
        <w:t xml:space="preserve">After section 103 the following Division is inserted — </w:t>
      </w:r>
    </w:p>
    <w:p>
      <w:pPr>
        <w:pStyle w:val="MiscOpen"/>
      </w:pPr>
      <w:r>
        <w:t xml:space="preserve">“    </w:t>
      </w:r>
    </w:p>
    <w:p>
      <w:pPr>
        <w:pStyle w:val="nzHeading3"/>
      </w:pPr>
      <w:r>
        <w:t>Division 3A — Responsible practices in selling, supplying and serving liquor</w:t>
      </w:r>
    </w:p>
    <w:p>
      <w:pPr>
        <w:pStyle w:val="nzHeading5"/>
        <w:outlineLvl w:val="0"/>
      </w:pPr>
      <w:r>
        <w:t>103A.</w:t>
      </w:r>
      <w:r>
        <w:tab/>
        <w:t>Responsible practices in selling, supplying and serving liquor</w:t>
      </w:r>
    </w:p>
    <w:p>
      <w:pPr>
        <w:pStyle w:val="nzSubsection"/>
        <w:outlineLvl w:val="0"/>
      </w:pPr>
      <w:r>
        <w:tab/>
        <w:t>(1)</w:t>
      </w:r>
      <w:r>
        <w:tab/>
        <w:t xml:space="preserve">The regulations may — </w:t>
      </w:r>
    </w:p>
    <w:p>
      <w:pPr>
        <w:pStyle w:val="nzIndenta"/>
      </w:pPr>
      <w:r>
        <w:tab/>
        <w:t>(a)</w:t>
      </w:r>
      <w:r>
        <w:tab/>
        <w:t xml:space="preserve">require persons, or persons of a specified class, who are — </w:t>
      </w:r>
    </w:p>
    <w:p>
      <w:pPr>
        <w:pStyle w:val="nzIndenti"/>
      </w:pPr>
      <w:r>
        <w:tab/>
        <w:t>(i)</w:t>
      </w:r>
      <w:r>
        <w:tab/>
        <w:t>employed or engaged in the sale, supply or service of liquor on or from licensed premises; or</w:t>
      </w:r>
    </w:p>
    <w:p>
      <w:pPr>
        <w:pStyle w:val="nzIndenti"/>
      </w:pPr>
      <w:r>
        <w:tab/>
        <w:t>(ii)</w:t>
      </w:r>
      <w:r>
        <w:tab/>
        <w:t>employed or engaged in the performance of other prescribed functions at licensed premises,</w:t>
      </w:r>
    </w:p>
    <w:p>
      <w:pPr>
        <w:pStyle w:val="nzIndenta"/>
      </w:pPr>
      <w:r>
        <w:tab/>
      </w:r>
      <w:r>
        <w:tab/>
        <w:t>to complete successfully within a specified period a course of training or an assessment, approved by the Director, in responsible practices in the sale, supply and service of liquor; and</w:t>
      </w:r>
    </w:p>
    <w:p>
      <w:pPr>
        <w:pStyle w:val="nz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nzIndenta"/>
      </w:pPr>
      <w:r>
        <w:tab/>
        <w:t>(c)</w:t>
      </w:r>
      <w:r>
        <w:tab/>
        <w:t xml:space="preserve">provide for transitional arrangements for successfully completing that course of training or assessment that apply to persons who, immediately before the commencement of the </w:t>
      </w:r>
      <w:r>
        <w:rPr>
          <w:i/>
          <w:iCs/>
        </w:rPr>
        <w:t>Liquor and Gaming Legislation Amendment Act 2006</w:t>
      </w:r>
      <w:r>
        <w:t xml:space="preserve"> section 71, were employed or engaged as described in paragraph (a).</w:t>
      </w:r>
    </w:p>
    <w:p>
      <w:pPr>
        <w:pStyle w:val="nzSubsection"/>
        <w:outlineLvl w:val="0"/>
      </w:pPr>
      <w:r>
        <w:tab/>
        <w:t>(2)</w:t>
      </w:r>
      <w:r>
        <w:tab/>
        <w:t xml:space="preserve">Without limiting subsection (1), regulations made for the purposes of that subsection — </w:t>
      </w:r>
    </w:p>
    <w:p>
      <w:pPr>
        <w:pStyle w:val="nzIndenta"/>
      </w:pPr>
      <w:r>
        <w:tab/>
        <w:t>(a)</w:t>
      </w:r>
      <w:r>
        <w:tab/>
        <w:t>may operate by reference to persons employed or engaged for the purposes of a specified class of licence; and</w:t>
      </w:r>
    </w:p>
    <w:p>
      <w:pPr>
        <w:pStyle w:val="nzIndenta"/>
      </w:pPr>
      <w:r>
        <w:tab/>
        <w:t>(b)</w:t>
      </w:r>
      <w:r>
        <w:tab/>
        <w:t>may authorise the Director to approve exemptions from those regulations.</w:t>
      </w:r>
    </w:p>
    <w:p>
      <w:pPr>
        <w:pStyle w:val="nzSubsection"/>
        <w:outlineLvl w:val="0"/>
      </w:pPr>
      <w:r>
        <w:tab/>
        <w:t>(3)</w:t>
      </w:r>
      <w:r>
        <w:tab/>
        <w:t>Regulations made for the purposes of subsection (1)(a) do not apply to a person who is a licensee or an approved manager.</w:t>
      </w:r>
    </w:p>
    <w:p>
      <w:pPr>
        <w:pStyle w:val="MiscClose"/>
      </w:pPr>
      <w:r>
        <w:t xml:space="preserve">    ”.</w:t>
      </w:r>
    </w:p>
    <w:p>
      <w:pPr>
        <w:pStyle w:val="nzHeading5"/>
        <w:outlineLvl w:val="0"/>
      </w:pPr>
      <w:r>
        <w:rPr>
          <w:rStyle w:val="CharSectno"/>
        </w:rPr>
        <w:t>72</w:t>
      </w:r>
      <w:r>
        <w:t>.</w:t>
      </w:r>
      <w:r>
        <w:tab/>
        <w:t>Section 104 amended</w:t>
      </w:r>
    </w:p>
    <w:p>
      <w:pPr>
        <w:pStyle w:val="nzSubsection"/>
      </w:pPr>
      <w:r>
        <w:tab/>
      </w:r>
      <w:r>
        <w:tab/>
        <w:t xml:space="preserve">After section 104(3) the following subsection is inserted — </w:t>
      </w:r>
    </w:p>
    <w:p>
      <w:pPr>
        <w:pStyle w:val="MiscOpen"/>
        <w:ind w:left="600"/>
      </w:pPr>
      <w:r>
        <w:t xml:space="preserve">“    </w:t>
      </w:r>
    </w:p>
    <w:p>
      <w:pPr>
        <w:pStyle w:val="nzSubsection"/>
      </w:pPr>
      <w:r>
        <w:tab/>
        <w:t>(3a)</w:t>
      </w:r>
      <w:r>
        <w:tab/>
        <w:t xml:space="preserve">An agreement or arrangement approved under subsection (3) is of no effect to the extent that it purports — </w:t>
      </w:r>
    </w:p>
    <w:p>
      <w:pPr>
        <w:pStyle w:val="nzIndenta"/>
      </w:pPr>
      <w:r>
        <w:tab/>
        <w:t>(a)</w:t>
      </w:r>
      <w:r>
        <w:tab/>
        <w:t>to authorise a person other than the licensee to conduct the business carried on under the licence; or</w:t>
      </w:r>
    </w:p>
    <w:p>
      <w:pPr>
        <w:pStyle w:val="nzIndenta"/>
      </w:pPr>
      <w:r>
        <w:tab/>
        <w:t>(b)</w:t>
      </w:r>
      <w:r>
        <w:tab/>
        <w:t>to exclude, modify or restrict any requirement, responsibility or duty imposed on the licensee by or under this Act.</w:t>
      </w:r>
    </w:p>
    <w:p>
      <w:pPr>
        <w:pStyle w:val="MiscClose"/>
        <w:keepNext/>
      </w:pPr>
      <w:r>
        <w:t xml:space="preserve">    ”.</w:t>
      </w:r>
    </w:p>
    <w:p>
      <w:pPr>
        <w:pStyle w:val="nzHeading5"/>
        <w:outlineLvl w:val="0"/>
      </w:pPr>
      <w:r>
        <w:rPr>
          <w:rStyle w:val="CharSectno"/>
        </w:rPr>
        <w:t>73</w:t>
      </w:r>
      <w:r>
        <w:t>.</w:t>
      </w:r>
      <w:r>
        <w:tab/>
        <w:t>Section 105 amended</w:t>
      </w:r>
    </w:p>
    <w:p>
      <w:pPr>
        <w:pStyle w:val="nzSubsection"/>
      </w:pPr>
      <w:r>
        <w:tab/>
      </w:r>
      <w:r>
        <w:tab/>
        <w:t>Section 105(1), (2), (4), (5), (6), (7) and (8) are repealed.</w:t>
      </w:r>
    </w:p>
    <w:p>
      <w:pPr>
        <w:pStyle w:val="nzHeading5"/>
        <w:outlineLvl w:val="0"/>
      </w:pPr>
      <w:r>
        <w:rPr>
          <w:rStyle w:val="CharSectno"/>
        </w:rPr>
        <w:t>74</w:t>
      </w:r>
      <w:r>
        <w:t>.</w:t>
      </w:r>
      <w:r>
        <w:tab/>
        <w:t>Section 106 amended</w:t>
      </w:r>
    </w:p>
    <w:p>
      <w:pPr>
        <w:pStyle w:val="nzSubsection"/>
      </w:pPr>
      <w:r>
        <w:tab/>
      </w:r>
      <w:r>
        <w:tab/>
        <w:t xml:space="preserve">Section 106(1)(b) is amended by deleting “than 6” and inserting instead — </w:t>
      </w:r>
    </w:p>
    <w:p>
      <w:pPr>
        <w:pStyle w:val="nzSubsection"/>
      </w:pPr>
      <w:r>
        <w:tab/>
      </w:r>
      <w:r>
        <w:tab/>
        <w:t>“    than the number approved by the Director of    ”.</w:t>
      </w:r>
    </w:p>
    <w:p>
      <w:pPr>
        <w:pStyle w:val="nzHeading5"/>
        <w:outlineLvl w:val="0"/>
      </w:pPr>
      <w:r>
        <w:rPr>
          <w:rStyle w:val="CharSectno"/>
        </w:rPr>
        <w:t>75</w:t>
      </w:r>
      <w:r>
        <w:t>.</w:t>
      </w:r>
      <w:r>
        <w:tab/>
        <w:t>Section 108 replaced</w:t>
      </w:r>
    </w:p>
    <w:p>
      <w:pPr>
        <w:pStyle w:val="nzSubsection"/>
      </w:pPr>
      <w:r>
        <w:tab/>
      </w:r>
      <w:r>
        <w:tab/>
        <w:t xml:space="preserve">Section 108 is repealed and the following section is inserted instead — </w:t>
      </w:r>
    </w:p>
    <w:p>
      <w:pPr>
        <w:pStyle w:val="MiscOpen"/>
      </w:pPr>
      <w:r>
        <w:t xml:space="preserve">“    </w:t>
      </w:r>
    </w:p>
    <w:p>
      <w:pPr>
        <w:pStyle w:val="nzHeading5"/>
      </w:pPr>
      <w:r>
        <w:t>108.</w:t>
      </w:r>
      <w:r>
        <w:tab/>
        <w:t>Certain licensees to exhibit charges for meals and liquor</w:t>
      </w:r>
    </w:p>
    <w:p>
      <w:pPr>
        <w:pStyle w:val="nzSubsection"/>
      </w:pPr>
      <w:r>
        <w:tab/>
      </w:r>
      <w:r>
        <w:tab/>
        <w:t xml:space="preserve">At a time when — </w:t>
      </w:r>
    </w:p>
    <w:p>
      <w:pPr>
        <w:pStyle w:val="nzIndenta"/>
      </w:pPr>
      <w:r>
        <w:tab/>
        <w:t>(a)</w:t>
      </w:r>
      <w:r>
        <w:tab/>
        <w:t>a licensee is authorised to sell liquor only with or ancillary to a meal; or</w:t>
      </w:r>
    </w:p>
    <w:p>
      <w:pPr>
        <w:pStyle w:val="nzIndenta"/>
      </w:pPr>
      <w:r>
        <w:tab/>
        <w:t>(b)</w:t>
      </w:r>
      <w:r>
        <w:tab/>
        <w:t>a licensee of a restaurant licence is authorised to sell liquor whether or not ancillary to a meal,</w:t>
      </w:r>
    </w:p>
    <w:p>
      <w:pPr>
        <w:pStyle w:val="nz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nzPenstart"/>
      </w:pPr>
      <w:r>
        <w:tab/>
        <w:t>Penalty: $2 000.</w:t>
      </w:r>
    </w:p>
    <w:p>
      <w:pPr>
        <w:pStyle w:val="MiscClose"/>
      </w:pPr>
      <w:r>
        <w:t xml:space="preserve">    ”.</w:t>
      </w:r>
    </w:p>
    <w:p>
      <w:pPr>
        <w:pStyle w:val="nzHeading5"/>
        <w:outlineLvl w:val="0"/>
      </w:pPr>
      <w:r>
        <w:rPr>
          <w:rStyle w:val="CharSectno"/>
        </w:rPr>
        <w:t>76</w:t>
      </w:r>
      <w:r>
        <w:t>.</w:t>
      </w:r>
      <w:r>
        <w:tab/>
        <w:t>Section 109 amended</w:t>
      </w:r>
    </w:p>
    <w:p>
      <w:pPr>
        <w:pStyle w:val="nzSubsection"/>
      </w:pPr>
      <w:r>
        <w:tab/>
      </w:r>
      <w:r>
        <w:tab/>
        <w:t xml:space="preserve">Section 109(1) is amended in the penalty provision by deleting “$10 000.” and inserting instead — </w:t>
      </w:r>
    </w:p>
    <w:p>
      <w:pPr>
        <w:pStyle w:val="nzSubsection"/>
      </w:pPr>
      <w:r>
        <w:tab/>
      </w:r>
      <w:r>
        <w:tab/>
        <w:t>“    $20 000.    ”.</w:t>
      </w:r>
    </w:p>
    <w:p>
      <w:pPr>
        <w:pStyle w:val="nzHeading5"/>
        <w:outlineLvl w:val="0"/>
      </w:pPr>
      <w:r>
        <w:rPr>
          <w:rStyle w:val="CharSectno"/>
        </w:rPr>
        <w:t>77</w:t>
      </w:r>
      <w:r>
        <w:t>.</w:t>
      </w:r>
      <w:r>
        <w:tab/>
        <w:t>Section 110 amended</w:t>
      </w:r>
    </w:p>
    <w:p>
      <w:pPr>
        <w:pStyle w:val="nzSubsection"/>
      </w:pPr>
      <w:r>
        <w:tab/>
      </w:r>
      <w:r>
        <w:tab/>
        <w:t xml:space="preserve">After section 110(6) the following subsection is inserted — </w:t>
      </w:r>
    </w:p>
    <w:p>
      <w:pPr>
        <w:pStyle w:val="MiscOpen"/>
        <w:spacing w:before="60"/>
        <w:ind w:left="601"/>
      </w:pPr>
      <w:r>
        <w:t xml:space="preserve">“    </w:t>
      </w:r>
    </w:p>
    <w:p>
      <w:pPr>
        <w:pStyle w:val="nzSubsection"/>
      </w:pPr>
      <w:r>
        <w:tab/>
        <w:t>(6a)</w:t>
      </w:r>
      <w:r>
        <w:tab/>
        <w:t xml:space="preserve">Where — </w:t>
      </w:r>
    </w:p>
    <w:p>
      <w:pPr>
        <w:pStyle w:val="nzIndenta"/>
      </w:pPr>
      <w:r>
        <w:tab/>
        <w:t>(a)</w:t>
      </w:r>
      <w:r>
        <w:tab/>
        <w:t>a licence authorises the sale of liquor for consumption on the licensed premises ancillary to a meal provided by the licensee; and</w:t>
      </w:r>
    </w:p>
    <w:p>
      <w:pPr>
        <w:pStyle w:val="nzIndenta"/>
      </w:pPr>
      <w:r>
        <w:tab/>
        <w:t>(b)</w:t>
      </w:r>
      <w:r>
        <w:tab/>
        <w:t>liquor is sold for that purpose,</w:t>
      </w:r>
    </w:p>
    <w:p>
      <w:pPr>
        <w:pStyle w:val="nzSubsection"/>
      </w:pPr>
      <w:r>
        <w:tab/>
      </w:r>
      <w:r>
        <w:tab/>
        <w:t>then, despite any other provision of this Act, it is lawful for a person subsequently to take any unconsumed portion of the liquor from the licensed premises.</w:t>
      </w:r>
    </w:p>
    <w:p>
      <w:pPr>
        <w:pStyle w:val="MiscClose"/>
      </w:pPr>
      <w:r>
        <w:t xml:space="preserve">    ”.</w:t>
      </w:r>
    </w:p>
    <w:p>
      <w:pPr>
        <w:pStyle w:val="nzHeading5"/>
        <w:outlineLvl w:val="0"/>
      </w:pPr>
      <w:r>
        <w:rPr>
          <w:rStyle w:val="CharSectno"/>
        </w:rPr>
        <w:t>78</w:t>
      </w:r>
      <w:r>
        <w:t>.</w:t>
      </w:r>
      <w:r>
        <w:tab/>
        <w:t>Section 113A inserted</w:t>
      </w:r>
    </w:p>
    <w:p>
      <w:pPr>
        <w:pStyle w:val="nzSubsection"/>
      </w:pPr>
      <w:r>
        <w:tab/>
      </w:r>
      <w:r>
        <w:tab/>
        <w:t xml:space="preserve">After section 113 the following section is inserted — </w:t>
      </w:r>
    </w:p>
    <w:p>
      <w:pPr>
        <w:pStyle w:val="MiscOpen"/>
        <w:spacing w:before="60"/>
      </w:pPr>
      <w:r>
        <w:t xml:space="preserve">“    </w:t>
      </w:r>
    </w:p>
    <w:p>
      <w:pPr>
        <w:pStyle w:val="nzHeading5"/>
      </w:pPr>
      <w:r>
        <w:t>113A.</w:t>
      </w:r>
      <w:r>
        <w:tab/>
        <w:t>Licensees to include certain details on website</w:t>
      </w:r>
    </w:p>
    <w:p>
      <w:pPr>
        <w:pStyle w:val="nzSubsection"/>
      </w:pPr>
      <w:r>
        <w:tab/>
      </w:r>
      <w:r>
        <w:tab/>
        <w:t xml:space="preserve">Where — </w:t>
      </w:r>
    </w:p>
    <w:p>
      <w:pPr>
        <w:pStyle w:val="nzIndenta"/>
      </w:pPr>
      <w:r>
        <w:tab/>
        <w:t>(a)</w:t>
      </w:r>
      <w:r>
        <w:tab/>
        <w:t>an internet website is maintained by or on behalf of a licensee for the purpose of advertising, promoting or otherwise facilitating the business carried on under the licence; and</w:t>
      </w:r>
    </w:p>
    <w:p>
      <w:pPr>
        <w:pStyle w:val="nzIndenta"/>
      </w:pPr>
      <w:r>
        <w:tab/>
        <w:t>(b)</w:t>
      </w:r>
      <w:r>
        <w:tab/>
        <w:t>the licence is of a prescribed class,</w:t>
      </w:r>
    </w:p>
    <w:p>
      <w:pPr>
        <w:pStyle w:val="nzSubsection"/>
      </w:pPr>
      <w:r>
        <w:tab/>
      </w:r>
      <w:r>
        <w:tab/>
        <w:t>the licensee is to include on the website any information prescribed in respect of a licence of that class.</w:t>
      </w:r>
    </w:p>
    <w:p>
      <w:pPr>
        <w:pStyle w:val="nzPenstart"/>
      </w:pPr>
      <w:r>
        <w:tab/>
        <w:t>Penalty: $5 000.</w:t>
      </w:r>
    </w:p>
    <w:p>
      <w:pPr>
        <w:pStyle w:val="MiscClose"/>
      </w:pPr>
      <w:r>
        <w:t xml:space="preserve">    ”.</w:t>
      </w:r>
    </w:p>
    <w:p>
      <w:pPr>
        <w:pStyle w:val="nzHeading5"/>
        <w:outlineLvl w:val="0"/>
      </w:pPr>
      <w:r>
        <w:rPr>
          <w:rStyle w:val="CharSectno"/>
        </w:rPr>
        <w:t>79</w:t>
      </w:r>
      <w:r>
        <w:t>.</w:t>
      </w:r>
      <w:r>
        <w:tab/>
        <w:t>Section 114 amended</w:t>
      </w:r>
    </w:p>
    <w:p>
      <w:pPr>
        <w:pStyle w:val="nzSubsection"/>
      </w:pPr>
      <w:r>
        <w:tab/>
      </w:r>
      <w:r>
        <w:tab/>
        <w:t xml:space="preserve">Section 114(1) is amended by deleting “liquor on” and inserting instead — </w:t>
      </w:r>
    </w:p>
    <w:p>
      <w:pPr>
        <w:pStyle w:val="nzSubsection"/>
      </w:pPr>
      <w:r>
        <w:tab/>
      </w:r>
      <w:r>
        <w:tab/>
        <w:t>“    liquor (including the sale of packaged liquor) on or from    ”.</w:t>
      </w:r>
    </w:p>
    <w:p>
      <w:pPr>
        <w:pStyle w:val="nzHeading5"/>
        <w:outlineLvl w:val="0"/>
      </w:pPr>
      <w:r>
        <w:rPr>
          <w:rStyle w:val="CharSectno"/>
        </w:rPr>
        <w:t>80</w:t>
      </w:r>
      <w:r>
        <w:t>.</w:t>
      </w:r>
      <w:r>
        <w:tab/>
        <w:t>Section 115 amended</w:t>
      </w:r>
    </w:p>
    <w:p>
      <w:pPr>
        <w:pStyle w:val="nzSubsection"/>
      </w:pPr>
      <w:r>
        <w:tab/>
        <w:t>(1)</w:t>
      </w:r>
      <w:r>
        <w:tab/>
        <w:t>Section 115(1) is amended as follows:</w:t>
      </w:r>
    </w:p>
    <w:p>
      <w:pPr>
        <w:pStyle w:val="nzIndenta"/>
      </w:pPr>
      <w:r>
        <w:tab/>
        <w:t>(a)</w:t>
      </w:r>
      <w:r>
        <w:tab/>
        <w:t xml:space="preserve">in paragraph (a), by deleting “place;” and inserting instead — </w:t>
      </w:r>
    </w:p>
    <w:p>
      <w:pPr>
        <w:pStyle w:val="nzIndenta"/>
      </w:pPr>
      <w:r>
        <w:tab/>
      </w:r>
      <w:r>
        <w:tab/>
        <w:t>“    place on the licensed premises; or    ”;</w:t>
      </w:r>
    </w:p>
    <w:p>
      <w:pPr>
        <w:pStyle w:val="nzIndenta"/>
      </w:pPr>
      <w:r>
        <w:tab/>
        <w:t>(b)</w:t>
      </w:r>
      <w:r>
        <w:tab/>
        <w:t xml:space="preserve">in paragraph (b), by deleting “, other than for so long as is necessary to obtain reasonable refreshment;” and inserting instead — </w:t>
      </w:r>
    </w:p>
    <w:p>
      <w:pPr>
        <w:pStyle w:val="nzIndenta"/>
      </w:pPr>
      <w:r>
        <w:tab/>
      </w:r>
      <w:r>
        <w:tab/>
        <w:t>“    on the licensed premises;    ”;</w:t>
      </w:r>
    </w:p>
    <w:p>
      <w:pPr>
        <w:pStyle w:val="nzIndenta"/>
      </w:pPr>
      <w:r>
        <w:tab/>
        <w:t>(c)</w:t>
      </w:r>
      <w:r>
        <w:tab/>
        <w:t>in paragraph (c) after “</w:t>
      </w:r>
      <w:r>
        <w:rPr>
          <w:i/>
          <w:iCs/>
        </w:rPr>
        <w:t>1987</w:t>
      </w:r>
      <w:r>
        <w:t xml:space="preserve">”, by inserting — </w:t>
      </w:r>
    </w:p>
    <w:p>
      <w:pPr>
        <w:pStyle w:val="MiscOpen"/>
        <w:ind w:left="1620"/>
      </w:pPr>
      <w:r>
        <w:t xml:space="preserve">“    </w:t>
      </w:r>
    </w:p>
    <w:p>
      <w:pPr>
        <w:pStyle w:val="nzIndenta"/>
      </w:pPr>
      <w:r>
        <w:tab/>
      </w:r>
      <w:r>
        <w:tab/>
        <w:t>or any other activity which contravenes a provision of another written law</w:t>
      </w:r>
    </w:p>
    <w:p>
      <w:pPr>
        <w:pStyle w:val="MiscClose"/>
      </w:pPr>
      <w:r>
        <w:t xml:space="preserve">    ”;</w:t>
      </w:r>
    </w:p>
    <w:p>
      <w:pPr>
        <w:pStyle w:val="nzIndenta"/>
      </w:pPr>
      <w:r>
        <w:tab/>
        <w:t>(d)</w:t>
      </w:r>
      <w:r>
        <w:tab/>
        <w:t xml:space="preserve">by deleting “on the licensed premises that” and inserting instead — </w:t>
      </w:r>
    </w:p>
    <w:p>
      <w:pPr>
        <w:pStyle w:val="nzIndenta"/>
      </w:pPr>
      <w:r>
        <w:tab/>
      </w:r>
      <w:r>
        <w:tab/>
        <w:t>“    that    ”.</w:t>
      </w:r>
    </w:p>
    <w:p>
      <w:pPr>
        <w:pStyle w:val="nzSubsection"/>
      </w:pPr>
      <w:r>
        <w:tab/>
        <w:t>(2)</w:t>
      </w:r>
      <w:r>
        <w:tab/>
        <w:t>Section 115(2) is amended as follows:</w:t>
      </w:r>
    </w:p>
    <w:p>
      <w:pPr>
        <w:pStyle w:val="nzIndenta"/>
      </w:pPr>
      <w:r>
        <w:tab/>
        <w:t>(a)</w:t>
      </w:r>
      <w:r>
        <w:tab/>
        <w:t xml:space="preserve">after “licensed premises” by inserting — </w:t>
      </w:r>
    </w:p>
    <w:p>
      <w:pPr>
        <w:pStyle w:val="nzIndenta"/>
      </w:pPr>
      <w:r>
        <w:tab/>
      </w:r>
      <w:r>
        <w:tab/>
        <w:t>“    or regulated premises    ”;</w:t>
      </w:r>
    </w:p>
    <w:p>
      <w:pPr>
        <w:pStyle w:val="nzIndenta"/>
      </w:pPr>
      <w:r>
        <w:tab/>
        <w:t>(b)</w:t>
      </w:r>
      <w:r>
        <w:tab/>
        <w:t xml:space="preserve">by deleting “drunken” in each place where it occurs and inserting instead — </w:t>
      </w:r>
    </w:p>
    <w:p>
      <w:pPr>
        <w:pStyle w:val="nzIndenta"/>
      </w:pPr>
      <w:r>
        <w:tab/>
      </w:r>
      <w:r>
        <w:tab/>
        <w:t>“    drunk    ”;</w:t>
      </w:r>
    </w:p>
    <w:p>
      <w:pPr>
        <w:pStyle w:val="nzIndenta"/>
      </w:pPr>
      <w:r>
        <w:tab/>
        <w:t>(c)</w:t>
      </w:r>
      <w:r>
        <w:tab/>
        <w:t xml:space="preserve">after “Penalty” by inserting — </w:t>
      </w:r>
    </w:p>
    <w:p>
      <w:pPr>
        <w:pStyle w:val="nzIndenta"/>
      </w:pPr>
      <w:r>
        <w:tab/>
      </w:r>
      <w:r>
        <w:tab/>
        <w:t>“    for an offence on licensed premises    ”;</w:t>
      </w:r>
    </w:p>
    <w:p>
      <w:pPr>
        <w:pStyle w:val="nzIndenta"/>
      </w:pPr>
      <w:r>
        <w:tab/>
        <w:t>(d)</w:t>
      </w:r>
      <w:r>
        <w:tab/>
        <w:t xml:space="preserve">after the penalty provision by inserting — </w:t>
      </w:r>
    </w:p>
    <w:p>
      <w:pPr>
        <w:pStyle w:val="MiscOpen"/>
        <w:ind w:left="880"/>
      </w:pPr>
      <w:r>
        <w:t xml:space="preserve">“    </w:t>
      </w:r>
    </w:p>
    <w:p>
      <w:pPr>
        <w:pStyle w:val="nzPenstart"/>
      </w:pPr>
      <w:r>
        <w:tab/>
        <w:t>Penalty for an offence on regulated premises: In the case of the owner of the regulated premises $10 000, in any other case $2 000.</w:t>
      </w:r>
    </w:p>
    <w:p>
      <w:pPr>
        <w:pStyle w:val="MiscClose"/>
      </w:pPr>
      <w:r>
        <w:t xml:space="preserve">    ”.</w:t>
      </w:r>
    </w:p>
    <w:p>
      <w:pPr>
        <w:pStyle w:val="nzSubsection"/>
      </w:pPr>
      <w:r>
        <w:tab/>
        <w:t>(3)</w:t>
      </w:r>
      <w:r>
        <w:tab/>
        <w:t xml:space="preserve">Section 115(3), (3a) and (4) are repealed and the following subsections are inserted instead — </w:t>
      </w:r>
    </w:p>
    <w:p>
      <w:pPr>
        <w:pStyle w:val="MiscOpen"/>
        <w:ind w:left="600"/>
      </w:pPr>
      <w:r>
        <w:t xml:space="preserve">“    </w:t>
      </w:r>
    </w:p>
    <w:p>
      <w:pPr>
        <w:pStyle w:val="nz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nzSubsection"/>
      </w:pPr>
      <w:r>
        <w:tab/>
        <w:t>(4)</w:t>
      </w:r>
      <w:r>
        <w:tab/>
        <w:t>If subsection (4a) applies to a person —</w:t>
      </w:r>
    </w:p>
    <w:p>
      <w:pPr>
        <w:pStyle w:val="nzIndenta"/>
      </w:pPr>
      <w:r>
        <w:tab/>
        <w:t>(a)</w:t>
      </w:r>
      <w:r>
        <w:tab/>
        <w:t>an authorised person may refuse the person entry to the licensed premises or a part of the premises; or</w:t>
      </w:r>
    </w:p>
    <w:p>
      <w:pPr>
        <w:pStyle w:val="nzIndenta"/>
      </w:pPr>
      <w:r>
        <w:tab/>
        <w:t>(b)</w:t>
      </w:r>
      <w:r>
        <w:tab/>
        <w:t>an authorised person may require the person to leave the licensed premises or a part of the premises; or</w:t>
      </w:r>
    </w:p>
    <w:p>
      <w:pPr>
        <w:pStyle w:val="nz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nzIndenta"/>
      </w:pPr>
      <w:r>
        <w:tab/>
        <w:t>(d)</w:t>
      </w:r>
      <w:r>
        <w:tab/>
        <w:t>an authorised person may refuse to sell liquor to the person.</w:t>
      </w:r>
    </w:p>
    <w:p>
      <w:pPr>
        <w:pStyle w:val="nzSubsection"/>
      </w:pPr>
      <w:r>
        <w:tab/>
        <w:t>(4a)</w:t>
      </w:r>
      <w:r>
        <w:tab/>
        <w:t xml:space="preserve">This subsection applies to a person who — </w:t>
      </w:r>
    </w:p>
    <w:p>
      <w:pPr>
        <w:pStyle w:val="nzIndenta"/>
      </w:pPr>
      <w:r>
        <w:tab/>
        <w:t>(a)</w:t>
      </w:r>
      <w:r>
        <w:tab/>
        <w:t>is or appears to be drunk; or</w:t>
      </w:r>
    </w:p>
    <w:p>
      <w:pPr>
        <w:pStyle w:val="nzIndenta"/>
      </w:pPr>
      <w:r>
        <w:tab/>
        <w:t>(b)</w:t>
      </w:r>
      <w:r>
        <w:tab/>
        <w:t>is behaving in an offensive manner; or</w:t>
      </w:r>
    </w:p>
    <w:p>
      <w:pPr>
        <w:pStyle w:val="nzIndenta"/>
      </w:pPr>
      <w:r>
        <w:tab/>
        <w:t>(c)</w:t>
      </w:r>
      <w:r>
        <w:tab/>
        <w:t xml:space="preserve">is not dressed in conformity with the licensee’s requirements for a standard of dress, being requirements — </w:t>
      </w:r>
    </w:p>
    <w:p>
      <w:pPr>
        <w:pStyle w:val="nzIndenti"/>
      </w:pPr>
      <w:r>
        <w:tab/>
        <w:t>(i)</w:t>
      </w:r>
      <w:r>
        <w:tab/>
        <w:t>that were at the relevant time reasonable in the circumstances; and</w:t>
      </w:r>
    </w:p>
    <w:p>
      <w:pPr>
        <w:pStyle w:val="nzIndenti"/>
      </w:pPr>
      <w:r>
        <w:tab/>
        <w:t>(ii)</w:t>
      </w:r>
      <w:r>
        <w:tab/>
        <w:t>notice of which had been conspicuously displayed at each entrance to any part of the premises where the requirements were to be complied with;</w:t>
      </w:r>
    </w:p>
    <w:p>
      <w:pPr>
        <w:pStyle w:val="nzIndenta"/>
      </w:pPr>
      <w:r>
        <w:tab/>
      </w:r>
      <w:r>
        <w:tab/>
        <w:t>or</w:t>
      </w:r>
    </w:p>
    <w:p>
      <w:pPr>
        <w:pStyle w:val="nzIndenta"/>
      </w:pPr>
      <w:r>
        <w:tab/>
        <w:t>(d)</w:t>
      </w:r>
      <w:r>
        <w:tab/>
        <w:t xml:space="preserve">is a person who the authorised person has reasonable cause to believe — </w:t>
      </w:r>
    </w:p>
    <w:p>
      <w:pPr>
        <w:pStyle w:val="nzIndenti"/>
      </w:pPr>
      <w:r>
        <w:tab/>
        <w:t>(i)</w:t>
      </w:r>
      <w:r>
        <w:tab/>
        <w:t>cannot or will not pay; or</w:t>
      </w:r>
    </w:p>
    <w:p>
      <w:pPr>
        <w:pStyle w:val="nzIndenti"/>
      </w:pPr>
      <w:r>
        <w:tab/>
        <w:t>(ii)</w:t>
      </w:r>
      <w:r>
        <w:tab/>
        <w:t>is or is known to be quarrelsome or disorderly; or</w:t>
      </w:r>
    </w:p>
    <w:p>
      <w:pPr>
        <w:pStyle w:val="nzIndenti"/>
      </w:pPr>
      <w:r>
        <w:tab/>
        <w:t>(iii)</w:t>
      </w:r>
      <w:r>
        <w:tab/>
        <w:t>is seeking to obtain liquor by begging;</w:t>
      </w:r>
    </w:p>
    <w:p>
      <w:pPr>
        <w:pStyle w:val="nzIndenta"/>
      </w:pPr>
      <w:r>
        <w:tab/>
      </w:r>
      <w:r>
        <w:tab/>
        <w:t>or</w:t>
      </w:r>
    </w:p>
    <w:p>
      <w:pPr>
        <w:pStyle w:val="nz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nzIndenta"/>
      </w:pPr>
      <w:r>
        <w:tab/>
        <w:t>(f)</w:t>
      </w:r>
      <w:r>
        <w:tab/>
        <w:t>is or appears to be a person whose presence, or to whom the provision of service, on the licensed premises will occasion the licensee to commit an offence under this Act; or</w:t>
      </w:r>
    </w:p>
    <w:p>
      <w:pPr>
        <w:pStyle w:val="nzIndenta"/>
      </w:pPr>
      <w:r>
        <w:tab/>
        <w:t>(g)</w:t>
      </w:r>
      <w:r>
        <w:tab/>
        <w:t>seeks to enter or enters or remains on the licensed premises at a time when they are closed or are required under this Act to be closed; or</w:t>
      </w:r>
    </w:p>
    <w:p>
      <w:pPr>
        <w:pStyle w:val="nzIndenta"/>
      </w:pPr>
      <w:r>
        <w:tab/>
        <w:t>(h)</w:t>
      </w:r>
      <w:r>
        <w:tab/>
        <w:t xml:space="preserve">requests service on a part of the premises — </w:t>
      </w:r>
    </w:p>
    <w:p>
      <w:pPr>
        <w:pStyle w:val="nzIndenti"/>
      </w:pPr>
      <w:r>
        <w:tab/>
        <w:t>(i)</w:t>
      </w:r>
      <w:r>
        <w:tab/>
        <w:t>where the licensee is not authorised to provide the service requested; or</w:t>
      </w:r>
    </w:p>
    <w:p>
      <w:pPr>
        <w:pStyle w:val="nzIndenti"/>
      </w:pPr>
      <w:r>
        <w:tab/>
        <w:t>(ii)</w:t>
      </w:r>
      <w:r>
        <w:tab/>
        <w:t>set aside for the purposes of a private function.</w:t>
      </w:r>
    </w:p>
    <w:p>
      <w:pPr>
        <w:pStyle w:val="MiscClose"/>
      </w:pPr>
      <w:r>
        <w:t xml:space="preserve">    ”.</w:t>
      </w:r>
    </w:p>
    <w:p>
      <w:pPr>
        <w:pStyle w:val="nzSubsection"/>
        <w:outlineLvl w:val="0"/>
      </w:pPr>
      <w:r>
        <w:tab/>
        <w:t>(4)</w:t>
      </w:r>
      <w:r>
        <w:tab/>
        <w:t xml:space="preserve">Section 115(5)(b) is deleted and the following is inserted instead — </w:t>
      </w:r>
    </w:p>
    <w:p>
      <w:pPr>
        <w:pStyle w:val="MiscOpen"/>
        <w:ind w:left="1340"/>
      </w:pPr>
      <w:r>
        <w:t xml:space="preserve">“    </w:t>
      </w:r>
    </w:p>
    <w:p>
      <w:pPr>
        <w:pStyle w:val="nzIndenta"/>
      </w:pPr>
      <w:r>
        <w:tab/>
        <w:t>(b)</w:t>
      </w:r>
      <w:r>
        <w:tab/>
        <w:t>without lawful excuse, the burden of proof of which lies on that person, enters licensed premises at a time when they are closed or are required under this Act to be closed; or</w:t>
      </w:r>
    </w:p>
    <w:p>
      <w:pPr>
        <w:pStyle w:val="nzIndenta"/>
      </w:pPr>
      <w:r>
        <w:tab/>
        <w:t>(c)</w:t>
      </w:r>
      <w:r>
        <w:tab/>
        <w:t>having been required under subsection (4) to leave the licensed premises or a part of the premises, does not do so,</w:t>
      </w:r>
    </w:p>
    <w:p>
      <w:pPr>
        <w:pStyle w:val="MiscClose"/>
      </w:pPr>
      <w:r>
        <w:t xml:space="preserve">    ”.</w:t>
      </w:r>
    </w:p>
    <w:p>
      <w:pPr>
        <w:pStyle w:val="nzSubsection"/>
        <w:outlineLvl w:val="0"/>
      </w:pPr>
      <w:r>
        <w:tab/>
        <w:t>(5)</w:t>
      </w:r>
      <w:r>
        <w:tab/>
        <w:t xml:space="preserve">Section 115(6) is repealed and the following subsection is inserted instead — </w:t>
      </w:r>
    </w:p>
    <w:p>
      <w:pPr>
        <w:pStyle w:val="MiscOpen"/>
        <w:ind w:left="600"/>
      </w:pPr>
      <w:r>
        <w:t xml:space="preserve">“    </w:t>
      </w:r>
    </w:p>
    <w:p>
      <w:pPr>
        <w:pStyle w:val="nzSubsection"/>
        <w:outlineLvl w:val="0"/>
      </w:pPr>
      <w:r>
        <w:tab/>
        <w:t>(6)</w:t>
      </w:r>
      <w:r>
        <w:tab/>
        <w:t xml:space="preserve">A person who — </w:t>
      </w:r>
    </w:p>
    <w:p>
      <w:pPr>
        <w:pStyle w:val="nzIndenta"/>
      </w:pPr>
      <w:r>
        <w:tab/>
        <w:t>(a)</w:t>
      </w:r>
      <w:r>
        <w:tab/>
        <w:t xml:space="preserve">under this section — </w:t>
      </w:r>
    </w:p>
    <w:p>
      <w:pPr>
        <w:pStyle w:val="nzIndenti"/>
      </w:pPr>
      <w:r>
        <w:tab/>
        <w:t>(i)</w:t>
      </w:r>
      <w:r>
        <w:tab/>
        <w:t>has been refused entry to; or</w:t>
      </w:r>
    </w:p>
    <w:p>
      <w:pPr>
        <w:pStyle w:val="nzIndenti"/>
      </w:pPr>
      <w:r>
        <w:tab/>
        <w:t>(ii)</w:t>
      </w:r>
      <w:r>
        <w:tab/>
        <w:t>has been required to leave and has left, or been removed from,</w:t>
      </w:r>
    </w:p>
    <w:p>
      <w:pPr>
        <w:pStyle w:val="nzIndenta"/>
      </w:pPr>
      <w:r>
        <w:tab/>
      </w:r>
      <w:r>
        <w:tab/>
        <w:t>licensed premises; and</w:t>
      </w:r>
    </w:p>
    <w:p>
      <w:pPr>
        <w:pStyle w:val="nzIndenta"/>
      </w:pPr>
      <w:r>
        <w:tab/>
        <w:t>(b)</w:t>
      </w:r>
      <w:r>
        <w:tab/>
        <w:t xml:space="preserve">remains — </w:t>
      </w:r>
    </w:p>
    <w:p>
      <w:pPr>
        <w:pStyle w:val="nzIndenti"/>
      </w:pPr>
      <w:r>
        <w:tab/>
        <w:t>(i)</w:t>
      </w:r>
      <w:r>
        <w:tab/>
        <w:t>on any footpath; or</w:t>
      </w:r>
    </w:p>
    <w:p>
      <w:pPr>
        <w:pStyle w:val="nzIndenti"/>
      </w:pPr>
      <w:r>
        <w:tab/>
        <w:t>(ii)</w:t>
      </w:r>
      <w:r>
        <w:tab/>
        <w:t>in any area subject to the control or management of the licensee,</w:t>
      </w:r>
    </w:p>
    <w:p>
      <w:pPr>
        <w:pStyle w:val="nzIndenta"/>
      </w:pPr>
      <w:r>
        <w:tab/>
      </w:r>
      <w:r>
        <w:tab/>
        <w:t>that is adjacent to the licensed premises,</w:t>
      </w:r>
    </w:p>
    <w:p>
      <w:pPr>
        <w:pStyle w:val="nzSubsection"/>
      </w:pPr>
      <w:r>
        <w:tab/>
      </w:r>
      <w:r>
        <w:tab/>
        <w:t>commits an offence.</w:t>
      </w:r>
    </w:p>
    <w:p>
      <w:pPr>
        <w:pStyle w:val="nzPenstart"/>
      </w:pPr>
      <w:r>
        <w:tab/>
        <w:t>Penalty: $2 000.</w:t>
      </w:r>
    </w:p>
    <w:p>
      <w:pPr>
        <w:pStyle w:val="MiscClose"/>
      </w:pPr>
      <w:r>
        <w:t xml:space="preserve">    ”.</w:t>
      </w:r>
    </w:p>
    <w:p>
      <w:pPr>
        <w:pStyle w:val="nzSubsection"/>
      </w:pPr>
      <w:r>
        <w:tab/>
        <w:t>(6)</w:t>
      </w:r>
      <w:r>
        <w:tab/>
        <w:t xml:space="preserve">Section 115(7) is amended after “of being” by inserting — </w:t>
      </w:r>
    </w:p>
    <w:p>
      <w:pPr>
        <w:pStyle w:val="nzSubsection"/>
      </w:pPr>
      <w:r>
        <w:tab/>
      </w:r>
      <w:r>
        <w:tab/>
        <w:t>“    refused entry to,    ”.</w:t>
      </w:r>
    </w:p>
    <w:p>
      <w:pPr>
        <w:pStyle w:val="nzSubsection"/>
      </w:pPr>
      <w:r>
        <w:tab/>
        <w:t>(7)</w:t>
      </w:r>
      <w:r>
        <w:tab/>
        <w:t xml:space="preserve">Section 115(9) is repealed and the following subsection is inserted instead — </w:t>
      </w:r>
    </w:p>
    <w:p>
      <w:pPr>
        <w:pStyle w:val="MiscOpen"/>
        <w:ind w:left="600"/>
      </w:pPr>
      <w:r>
        <w:t xml:space="preserve">“    </w:t>
      </w:r>
    </w:p>
    <w:p>
      <w:pPr>
        <w:pStyle w:val="nzSubsection"/>
      </w:pPr>
      <w:r>
        <w:tab/>
        <w:t>(9)</w:t>
      </w:r>
      <w:r>
        <w:tab/>
        <w:t>This section does not limit any other right to refuse a person entry to premises or to remove a person from premises.</w:t>
      </w:r>
    </w:p>
    <w:p>
      <w:pPr>
        <w:pStyle w:val="MiscClose"/>
      </w:pPr>
      <w:r>
        <w:t xml:space="preserve">    ”.</w:t>
      </w:r>
    </w:p>
    <w:p>
      <w:pPr>
        <w:pStyle w:val="nzHeading5"/>
        <w:outlineLvl w:val="0"/>
      </w:pPr>
      <w:r>
        <w:rPr>
          <w:rStyle w:val="CharSectno"/>
        </w:rPr>
        <w:t>81</w:t>
      </w:r>
      <w:r>
        <w:t>.</w:t>
      </w:r>
      <w:r>
        <w:tab/>
        <w:t>Section 115A inserted</w:t>
      </w:r>
    </w:p>
    <w:p>
      <w:pPr>
        <w:pStyle w:val="nzSubsection"/>
      </w:pPr>
      <w:r>
        <w:tab/>
      </w:r>
      <w:r>
        <w:tab/>
        <w:t xml:space="preserve">After section 115 the following section is inserted — </w:t>
      </w:r>
    </w:p>
    <w:p>
      <w:pPr>
        <w:pStyle w:val="MiscOpen"/>
      </w:pPr>
      <w:r>
        <w:t xml:space="preserve">“    </w:t>
      </w:r>
    </w:p>
    <w:p>
      <w:pPr>
        <w:pStyle w:val="nzHeading5"/>
      </w:pPr>
      <w:r>
        <w:t>115A.</w:t>
      </w:r>
      <w:r>
        <w:tab/>
        <w:t>Free drinking water to be provided at certain licensed premises</w:t>
      </w:r>
    </w:p>
    <w:p>
      <w:pPr>
        <w:pStyle w:val="nzSubsection"/>
      </w:pPr>
      <w:r>
        <w:tab/>
        <w:t>(1)</w:t>
      </w:r>
      <w:r>
        <w:tab/>
        <w:t>Subsection (2) applies to licensed premises at which liquor is authorised to be sold under the licence for consumption on the premises.</w:t>
      </w:r>
    </w:p>
    <w:p>
      <w:pPr>
        <w:pStyle w:val="nzSubsection"/>
      </w:pPr>
      <w:r>
        <w:tab/>
        <w:t>(2)</w:t>
      </w:r>
      <w:r>
        <w:tab/>
        <w:t>The licensee of any licensed premises to which this subsection applies must ensure that water suitable for drinking is provided, free of charge, at all times when liquor is sold for consumption on the premises.</w:t>
      </w:r>
    </w:p>
    <w:p>
      <w:pPr>
        <w:pStyle w:val="nzPenstart"/>
      </w:pPr>
      <w:r>
        <w:tab/>
        <w:t>Penalty: In the case of a licensee, $10 000, in the case of a manager, $4 000.</w:t>
      </w:r>
    </w:p>
    <w:p>
      <w:pPr>
        <w:pStyle w:val="MiscClose"/>
      </w:pPr>
      <w:r>
        <w:t xml:space="preserve">    ”.</w:t>
      </w:r>
    </w:p>
    <w:p>
      <w:pPr>
        <w:pStyle w:val="nzHeading5"/>
        <w:outlineLvl w:val="0"/>
      </w:pPr>
      <w:r>
        <w:rPr>
          <w:rStyle w:val="CharSectno"/>
        </w:rPr>
        <w:t>82</w:t>
      </w:r>
      <w:r>
        <w:t>.</w:t>
      </w:r>
      <w:r>
        <w:tab/>
        <w:t>Section 116 amended</w:t>
      </w:r>
    </w:p>
    <w:p>
      <w:pPr>
        <w:pStyle w:val="nzSubsection"/>
      </w:pPr>
      <w:r>
        <w:tab/>
      </w:r>
      <w:r>
        <w:tab/>
        <w:t xml:space="preserve">Section 116(5)(d) is amended after “the manager,” by inserting — </w:t>
      </w:r>
    </w:p>
    <w:p>
      <w:pPr>
        <w:pStyle w:val="nzSubsection"/>
      </w:pPr>
      <w:r>
        <w:tab/>
      </w:r>
      <w:r>
        <w:tab/>
        <w:t>“    or the name of each manager if there is more than one,    ”.</w:t>
      </w:r>
    </w:p>
    <w:p>
      <w:pPr>
        <w:pStyle w:val="nzHeading5"/>
        <w:outlineLvl w:val="0"/>
      </w:pPr>
      <w:r>
        <w:rPr>
          <w:rStyle w:val="CharSectno"/>
        </w:rPr>
        <w:t>83</w:t>
      </w:r>
      <w:r>
        <w:t>.</w:t>
      </w:r>
      <w:r>
        <w:tab/>
        <w:t>Section 116A inserted</w:t>
      </w:r>
    </w:p>
    <w:p>
      <w:pPr>
        <w:pStyle w:val="nzSubsection"/>
      </w:pPr>
      <w:r>
        <w:tab/>
      </w:r>
      <w:r>
        <w:tab/>
        <w:t xml:space="preserve">After section 116 the following section is inserted in Part 4 Division 6 — </w:t>
      </w:r>
    </w:p>
    <w:p>
      <w:pPr>
        <w:pStyle w:val="MiscOpen"/>
      </w:pPr>
      <w:r>
        <w:t xml:space="preserve">“    </w:t>
      </w:r>
    </w:p>
    <w:p>
      <w:pPr>
        <w:pStyle w:val="nzHeading5"/>
      </w:pPr>
      <w:r>
        <w:t>116A.</w:t>
      </w:r>
      <w:r>
        <w:tab/>
        <w:t xml:space="preserve">Register of incidents at licensed premises to be maintained </w:t>
      </w:r>
    </w:p>
    <w:p>
      <w:pPr>
        <w:pStyle w:val="nzSubsection"/>
      </w:pPr>
      <w:r>
        <w:tab/>
        <w:t>(1)</w:t>
      </w:r>
      <w:r>
        <w:tab/>
        <w:t>A licensee must maintain a register of the incidents, of the prescribed kind, that take place at the licensed premises.</w:t>
      </w:r>
    </w:p>
    <w:p>
      <w:pPr>
        <w:pStyle w:val="nzPenstart"/>
      </w:pPr>
      <w:r>
        <w:tab/>
        <w:t>Penalty: $5 000.</w:t>
      </w:r>
    </w:p>
    <w:p>
      <w:pPr>
        <w:pStyle w:val="nzSubsection"/>
      </w:pPr>
      <w:r>
        <w:tab/>
        <w:t>(2)</w:t>
      </w:r>
      <w:r>
        <w:tab/>
        <w:t>The register is to be maintained in a form acceptable to the Director and is to contain the prescribed information.</w:t>
      </w:r>
    </w:p>
    <w:p>
      <w:pPr>
        <w:pStyle w:val="nzSubsection"/>
      </w:pPr>
      <w:r>
        <w:tab/>
        <w:t>(3)</w:t>
      </w:r>
      <w:r>
        <w:tab/>
        <w:t>A licensee, or the employee or agent of a licensee, must, at the request of an authorised officer, make the register available for inspection by the authorised officer.</w:t>
      </w:r>
    </w:p>
    <w:p>
      <w:pPr>
        <w:pStyle w:val="nzPenstart"/>
      </w:pPr>
      <w:r>
        <w:tab/>
        <w:t>Penalty: $5 000.</w:t>
      </w:r>
    </w:p>
    <w:p>
      <w:pPr>
        <w:pStyle w:val="MiscClose"/>
      </w:pPr>
      <w:r>
        <w:t xml:space="preserve">    ”.</w:t>
      </w:r>
    </w:p>
    <w:p>
      <w:pPr>
        <w:pStyle w:val="nzHeading5"/>
        <w:outlineLvl w:val="0"/>
      </w:pPr>
      <w:r>
        <w:rPr>
          <w:rStyle w:val="CharSectno"/>
        </w:rPr>
        <w:t>84</w:t>
      </w:r>
      <w:r>
        <w:t>.</w:t>
      </w:r>
      <w:r>
        <w:tab/>
        <w:t>Part 4 Division 7 heading replaced</w:t>
      </w:r>
    </w:p>
    <w:p>
      <w:pPr>
        <w:pStyle w:val="nzSubsection"/>
      </w:pPr>
      <w:r>
        <w:tab/>
      </w:r>
      <w:r>
        <w:tab/>
        <w:t xml:space="preserve">The heading to Part 4 Division 7 is deleted and the following heading is inserted instead — </w:t>
      </w:r>
    </w:p>
    <w:p>
      <w:pPr>
        <w:pStyle w:val="MiscOpen"/>
      </w:pPr>
      <w:r>
        <w:t xml:space="preserve">“    </w:t>
      </w:r>
    </w:p>
    <w:p>
      <w:pPr>
        <w:pStyle w:val="nzHeading3"/>
        <w:outlineLvl w:val="0"/>
      </w:pPr>
      <w:r>
        <w:t>Division 7 — Complaints to Director</w:t>
      </w:r>
    </w:p>
    <w:p>
      <w:pPr>
        <w:pStyle w:val="MiscClose"/>
      </w:pPr>
      <w:r>
        <w:t xml:space="preserve">    ”.</w:t>
      </w:r>
    </w:p>
    <w:p>
      <w:pPr>
        <w:pStyle w:val="nzHeading5"/>
        <w:outlineLvl w:val="0"/>
      </w:pPr>
      <w:r>
        <w:rPr>
          <w:rStyle w:val="CharSectno"/>
        </w:rPr>
        <w:t>85</w:t>
      </w:r>
      <w:r>
        <w:t>.</w:t>
      </w:r>
      <w:r>
        <w:tab/>
        <w:t>Section 117 amended</w:t>
      </w:r>
    </w:p>
    <w:p>
      <w:pPr>
        <w:pStyle w:val="nzSubsection"/>
      </w:pPr>
      <w:r>
        <w:tab/>
        <w:t>(1)</w:t>
      </w:r>
      <w:r>
        <w:tab/>
        <w:t>Section 117(1) is amended as follows:</w:t>
      </w:r>
    </w:p>
    <w:p>
      <w:pPr>
        <w:pStyle w:val="nzIndenta"/>
      </w:pPr>
      <w:r>
        <w:tab/>
        <w:t>(a)</w:t>
      </w:r>
      <w:r>
        <w:tab/>
        <w:t xml:space="preserve">by deleting “Where, with respect to licensed premises, a complaint under this section is” and inserting instead — </w:t>
      </w:r>
    </w:p>
    <w:p>
      <w:pPr>
        <w:pStyle w:val="nzIndenta"/>
      </w:pPr>
      <w:r>
        <w:tab/>
      </w:r>
      <w:r>
        <w:tab/>
        <w:t>“    A complaint in writing may be    ”;</w:t>
      </w:r>
    </w:p>
    <w:p>
      <w:pPr>
        <w:pStyle w:val="nzIndenta"/>
      </w:pPr>
      <w:r>
        <w:tab/>
        <w:t>(b)</w:t>
      </w:r>
      <w:r>
        <w:tab/>
        <w:t>by deleting the comma at the end of paragraph (b) and inserting a full stop instead;</w:t>
      </w:r>
    </w:p>
    <w:p>
      <w:pPr>
        <w:pStyle w:val="nzIndenta"/>
      </w:pPr>
      <w:r>
        <w:tab/>
        <w:t>(c)</w:t>
      </w:r>
      <w:r>
        <w:tab/>
        <w:t>by deleting “the Director may, by notice in writing, require the licensee to show cause why an order should not be made under this section.”.</w:t>
      </w:r>
    </w:p>
    <w:p>
      <w:pPr>
        <w:pStyle w:val="nzSubsection"/>
      </w:pPr>
      <w:r>
        <w:tab/>
        <w:t>(2)</w:t>
      </w:r>
      <w:r>
        <w:tab/>
        <w:t xml:space="preserve">After section 117(2) the following subsections are inserted — </w:t>
      </w:r>
    </w:p>
    <w:p>
      <w:pPr>
        <w:pStyle w:val="MiscOpen"/>
        <w:ind w:left="600"/>
      </w:pPr>
      <w:r>
        <w:t xml:space="preserve">“    </w:t>
      </w:r>
    </w:p>
    <w:p>
      <w:pPr>
        <w:pStyle w:val="nzSubsection"/>
      </w:pPr>
      <w:r>
        <w:tab/>
        <w:t>(2a)</w:t>
      </w:r>
      <w:r>
        <w:tab/>
        <w:t>If a complaint is lodged by a person referred to in subsection (2)(d), the complaint is to be signed, unless the Director otherwise approves, by 3 unrelated adults (including the complainant).</w:t>
      </w:r>
    </w:p>
    <w:p>
      <w:pPr>
        <w:pStyle w:val="nzSubsection"/>
      </w:pPr>
      <w:r>
        <w:tab/>
        <w:t>(2b)</w:t>
      </w:r>
      <w:r>
        <w:tab/>
        <w:t xml:space="preserve">In subsection (2a) — </w:t>
      </w:r>
    </w:p>
    <w:p>
      <w:pPr>
        <w:pStyle w:val="nzDefstart"/>
      </w:pPr>
      <w:r>
        <w:rPr>
          <w:b/>
        </w:rPr>
        <w:tab/>
        <w:t>“</w:t>
      </w:r>
      <w:r>
        <w:rPr>
          <w:rStyle w:val="CharDefText"/>
        </w:rPr>
        <w:t>3 unrelated adults</w:t>
      </w:r>
      <w:r>
        <w:rPr>
          <w:b/>
        </w:rPr>
        <w:t>”</w:t>
      </w:r>
      <w:r>
        <w:t xml:space="preserve"> means 3 adults each of whom — </w:t>
      </w:r>
    </w:p>
    <w:p>
      <w:pPr>
        <w:pStyle w:val="nzDefpara"/>
      </w:pPr>
      <w:r>
        <w:tab/>
        <w:t>(a)</w:t>
      </w:r>
      <w:r>
        <w:tab/>
        <w:t>resides at different residential premises; and</w:t>
      </w:r>
    </w:p>
    <w:p>
      <w:pPr>
        <w:pStyle w:val="nzDefpara"/>
      </w:pPr>
      <w:r>
        <w:tab/>
        <w:t>(b)</w:t>
      </w:r>
      <w:r>
        <w:tab/>
        <w:t xml:space="preserve">is not — </w:t>
      </w:r>
    </w:p>
    <w:p>
      <w:pPr>
        <w:pStyle w:val="nzDefsubpara"/>
      </w:pPr>
      <w:r>
        <w:tab/>
        <w:t>(i)</w:t>
      </w:r>
      <w:r>
        <w:tab/>
        <w:t>a child; or</w:t>
      </w:r>
    </w:p>
    <w:p>
      <w:pPr>
        <w:pStyle w:val="nzDefsubpara"/>
      </w:pPr>
      <w:r>
        <w:tab/>
        <w:t>(ii)</w:t>
      </w:r>
      <w:r>
        <w:tab/>
        <w:t>a parent; or</w:t>
      </w:r>
    </w:p>
    <w:p>
      <w:pPr>
        <w:pStyle w:val="nzDefsubpara"/>
      </w:pPr>
      <w:r>
        <w:tab/>
        <w:t>(iii)</w:t>
      </w:r>
      <w:r>
        <w:tab/>
        <w:t>a brother or sister; or</w:t>
      </w:r>
    </w:p>
    <w:p>
      <w:pPr>
        <w:pStyle w:val="nzDefsubpara"/>
      </w:pPr>
      <w:r>
        <w:tab/>
        <w:t>(iv)</w:t>
      </w:r>
      <w:r>
        <w:tab/>
        <w:t>an aunt or uncle; or</w:t>
      </w:r>
    </w:p>
    <w:p>
      <w:pPr>
        <w:pStyle w:val="nzDefsubpara"/>
      </w:pPr>
      <w:r>
        <w:tab/>
        <w:t>(v)</w:t>
      </w:r>
      <w:r>
        <w:tab/>
        <w:t>a spouse or former spouse; or</w:t>
      </w:r>
    </w:p>
    <w:p>
      <w:pPr>
        <w:pStyle w:val="nzDefsubpara"/>
      </w:pPr>
      <w:r>
        <w:tab/>
        <w:t>(vi)</w:t>
      </w:r>
      <w:r>
        <w:tab/>
        <w:t>a de facto partner or former de facto partner,</w:t>
      </w:r>
    </w:p>
    <w:p>
      <w:pPr>
        <w:pStyle w:val="nzDefpara"/>
      </w:pPr>
      <w:r>
        <w:tab/>
      </w:r>
      <w:r>
        <w:tab/>
        <w:t>of either of the other 2 adults.</w:t>
      </w:r>
    </w:p>
    <w:p>
      <w:pPr>
        <w:pStyle w:val="MiscClose"/>
      </w:pPr>
      <w:r>
        <w:t xml:space="preserve">    ”.</w:t>
      </w:r>
    </w:p>
    <w:p>
      <w:pPr>
        <w:pStyle w:val="nzSubsection"/>
      </w:pPr>
      <w:r>
        <w:tab/>
        <w:t>(3)</w:t>
      </w:r>
      <w:r>
        <w:tab/>
        <w:t xml:space="preserve">After section 117(3) the following subsections are inserted — </w:t>
      </w:r>
    </w:p>
    <w:p>
      <w:pPr>
        <w:pStyle w:val="MiscOpen"/>
        <w:ind w:left="600"/>
      </w:pPr>
      <w:r>
        <w:t xml:space="preserve">“    </w:t>
      </w:r>
    </w:p>
    <w:p>
      <w:pPr>
        <w:pStyle w:val="nzSubsection"/>
      </w:pPr>
      <w:r>
        <w:tab/>
        <w:t>(3a)</w:t>
      </w:r>
      <w:r>
        <w:tab/>
        <w:t>When a complaint is lodged with the Director under subsection (1), the Director is to attempt to settle the matter by conciliation or negotiation.</w:t>
      </w:r>
    </w:p>
    <w:p>
      <w:pPr>
        <w:pStyle w:val="nzSubsection"/>
      </w:pPr>
      <w:r>
        <w:tab/>
        <w:t>(3b)</w:t>
      </w:r>
      <w:r>
        <w:tab/>
        <w:t>If the Director determines at any stage of the proceedings under this section that the complaint is frivolous or vexatious, the Director is to dismiss the complaint.</w:t>
      </w:r>
    </w:p>
    <w:p>
      <w:pPr>
        <w:pStyle w:val="MiscClose"/>
      </w:pPr>
      <w:r>
        <w:t xml:space="preserve">    ”.</w:t>
      </w:r>
    </w:p>
    <w:p>
      <w:pPr>
        <w:pStyle w:val="nzSubsection"/>
      </w:pPr>
      <w:r>
        <w:tab/>
        <w:t>(4)</w:t>
      </w:r>
      <w:r>
        <w:tab/>
        <w:t xml:space="preserve">Section 117(4) is repealed and the following subsections are inserted instead — </w:t>
      </w:r>
    </w:p>
    <w:p>
      <w:pPr>
        <w:pStyle w:val="MiscOpen"/>
        <w:ind w:left="600"/>
      </w:pPr>
      <w:r>
        <w:t xml:space="preserve">“    </w:t>
      </w:r>
    </w:p>
    <w:p>
      <w:pPr>
        <w:pStyle w:val="nz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nzSubsection"/>
      </w:pPr>
      <w:r>
        <w:tab/>
        <w:t>(4a)</w:t>
      </w:r>
      <w:r>
        <w:tab/>
        <w:t xml:space="preserve">Having complied with subsection (4), the Director — </w:t>
      </w:r>
    </w:p>
    <w:p>
      <w:pPr>
        <w:pStyle w:val="nzIndenta"/>
      </w:pPr>
      <w:r>
        <w:tab/>
        <w:t>(a)</w:t>
      </w:r>
      <w:r>
        <w:tab/>
        <w:t>subject to subsection (4c), may determine the matter; and</w:t>
      </w:r>
    </w:p>
    <w:p>
      <w:pPr>
        <w:pStyle w:val="nz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nzSubsection"/>
      </w:pPr>
      <w:r>
        <w:tab/>
      </w:r>
      <w:r>
        <w:tab/>
        <w:t>but otherwise the Director is to dismiss the complaint.</w:t>
      </w:r>
    </w:p>
    <w:p>
      <w:pPr>
        <w:pStyle w:val="nzSubsection"/>
      </w:pPr>
      <w:r>
        <w:tab/>
        <w:t>(4b)</w:t>
      </w:r>
      <w:r>
        <w:tab/>
        <w:t xml:space="preserve">Without limiting the matters that the Director may have regard to when making a determination under subsection (4a), the Director may have regard to — </w:t>
      </w:r>
    </w:p>
    <w:p>
      <w:pPr>
        <w:pStyle w:val="nzIndenta"/>
      </w:pPr>
      <w:r>
        <w:tab/>
        <w:t>(a)</w:t>
      </w:r>
      <w:r>
        <w:tab/>
        <w:t xml:space="preserve">any alteration, including any structural change, made — </w:t>
      </w:r>
    </w:p>
    <w:p>
      <w:pPr>
        <w:pStyle w:val="nzIndenti"/>
      </w:pPr>
      <w:r>
        <w:tab/>
        <w:t>(i)</w:t>
      </w:r>
      <w:r>
        <w:tab/>
        <w:t>to the licensed premises; or</w:t>
      </w:r>
    </w:p>
    <w:p>
      <w:pPr>
        <w:pStyle w:val="nzIndenti"/>
      </w:pPr>
      <w:r>
        <w:tab/>
        <w:t>(ii)</w:t>
      </w:r>
      <w:r>
        <w:tab/>
        <w:t>if the complainant is a person referred to in subsection (2)(d) — to any relevant premises where the complainant (or, if subsection (2)(d)(ii) applies, the complainant’s child) resides, works, worships, attends or is a patient;</w:t>
      </w:r>
    </w:p>
    <w:p>
      <w:pPr>
        <w:pStyle w:val="nzIndenta"/>
      </w:pPr>
      <w:r>
        <w:tab/>
      </w:r>
      <w:r>
        <w:tab/>
        <w:t>and</w:t>
      </w:r>
    </w:p>
    <w:p>
      <w:pPr>
        <w:pStyle w:val="nzIndenta"/>
      </w:pPr>
      <w:r>
        <w:tab/>
        <w:t>(b)</w:t>
      </w:r>
      <w:r>
        <w:tab/>
        <w:t>any changes that have taken place over time to the activities that take place on the licensed premises; and</w:t>
      </w:r>
    </w:p>
    <w:p>
      <w:pPr>
        <w:pStyle w:val="nzIndenta"/>
      </w:pPr>
      <w:r>
        <w:tab/>
        <w:t>(c)</w:t>
      </w:r>
      <w:r>
        <w:tab/>
        <w:t>the kind of business conducted under the licence and how that business is managed; and</w:t>
      </w:r>
    </w:p>
    <w:p>
      <w:pPr>
        <w:pStyle w:val="nz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nzIndenta"/>
      </w:pPr>
      <w:r>
        <w:tab/>
        <w:t>(e)</w:t>
      </w:r>
      <w:r>
        <w:tab/>
        <w:t xml:space="preserve">any provision of the </w:t>
      </w:r>
      <w:r>
        <w:rPr>
          <w:i/>
        </w:rPr>
        <w:t>Environmental Protection Act 1986</w:t>
      </w:r>
      <w:r>
        <w:t>, or of any regulations made under that Act, that is relevant to the subject matter of the complaint.</w:t>
      </w:r>
    </w:p>
    <w:p>
      <w:pPr>
        <w:pStyle w:val="nzSubsection"/>
      </w:pPr>
      <w:r>
        <w:tab/>
        <w:t>(4c)</w:t>
      </w:r>
      <w:r>
        <w:tab/>
        <w:t xml:space="preserve">The Director — </w:t>
      </w:r>
    </w:p>
    <w:p>
      <w:pPr>
        <w:pStyle w:val="nzIndenta"/>
      </w:pPr>
      <w:r>
        <w:tab/>
        <w:t>(a)</w:t>
      </w:r>
      <w:r>
        <w:tab/>
        <w:t>may defer making a determination under subsection (4a) for any period the Director considers appropriate; and</w:t>
      </w:r>
    </w:p>
    <w:p>
      <w:pPr>
        <w:pStyle w:val="nzIndenta"/>
      </w:pPr>
      <w:r>
        <w:tab/>
        <w:t>(b)</w:t>
      </w:r>
      <w:r>
        <w:tab/>
        <w:t>may make an interim order that has effect for that period for any purpose for which an order may be made under subsection (5).</w:t>
      </w:r>
    </w:p>
    <w:p>
      <w:pPr>
        <w:pStyle w:val="MiscClose"/>
      </w:pPr>
      <w:r>
        <w:t xml:space="preserve">    ”.</w:t>
      </w:r>
    </w:p>
    <w:p>
      <w:pPr>
        <w:pStyle w:val="nzHeading5"/>
        <w:outlineLvl w:val="0"/>
      </w:pPr>
      <w:r>
        <w:rPr>
          <w:rStyle w:val="CharSectno"/>
        </w:rPr>
        <w:t>86</w:t>
      </w:r>
      <w:r>
        <w:t>.</w:t>
      </w:r>
      <w:r>
        <w:tab/>
        <w:t>Section 119 amended</w:t>
      </w:r>
    </w:p>
    <w:p>
      <w:pPr>
        <w:pStyle w:val="nzSubsection"/>
      </w:pPr>
      <w:r>
        <w:tab/>
      </w:r>
      <w:r>
        <w:tab/>
        <w:t>Section 119(4) is amended as follows:</w:t>
      </w:r>
    </w:p>
    <w:p>
      <w:pPr>
        <w:pStyle w:val="nzIndenta"/>
      </w:pPr>
      <w:r>
        <w:tab/>
        <w:t>(a)</w:t>
      </w:r>
      <w:r>
        <w:tab/>
        <w:t xml:space="preserve">in paragraph (a), by deleting “, within the boundaries of the metropolitan area or of a town or townsite;” and inserting — </w:t>
      </w:r>
    </w:p>
    <w:p>
      <w:pPr>
        <w:pStyle w:val="nzIndenta"/>
      </w:pPr>
      <w:r>
        <w:tab/>
      </w:r>
      <w:r>
        <w:tab/>
        <w:t>“    ; or    ”;</w:t>
      </w:r>
    </w:p>
    <w:p>
      <w:pPr>
        <w:pStyle w:val="nzIndenta"/>
      </w:pPr>
      <w:r>
        <w:tab/>
        <w:t>(b)</w:t>
      </w:r>
      <w:r>
        <w:tab/>
        <w:t xml:space="preserve">by deleting the penalty provision and inserting instead — </w:t>
      </w:r>
    </w:p>
    <w:p>
      <w:pPr>
        <w:pStyle w:val="nzIndenta"/>
      </w:pPr>
      <w:r>
        <w:tab/>
      </w:r>
      <w:r>
        <w:tab/>
        <w:t>“    Penalty: $2 000.    ”.</w:t>
      </w:r>
    </w:p>
    <w:p>
      <w:pPr>
        <w:pStyle w:val="nzHeading5"/>
        <w:outlineLvl w:val="0"/>
      </w:pPr>
      <w:r>
        <w:rPr>
          <w:rStyle w:val="CharSectno"/>
        </w:rPr>
        <w:t>87</w:t>
      </w:r>
      <w:r>
        <w:t>.</w:t>
      </w:r>
      <w:r>
        <w:tab/>
        <w:t>Part 4 Division 8A inserted</w:t>
      </w:r>
    </w:p>
    <w:p>
      <w:pPr>
        <w:pStyle w:val="nzSubsection"/>
      </w:pPr>
      <w:r>
        <w:tab/>
      </w:r>
      <w:r>
        <w:tab/>
        <w:t xml:space="preserve">After section 119 the following Division is inserted — </w:t>
      </w:r>
    </w:p>
    <w:p>
      <w:pPr>
        <w:pStyle w:val="MiscOpen"/>
      </w:pPr>
      <w:r>
        <w:t xml:space="preserve">“    </w:t>
      </w:r>
    </w:p>
    <w:p>
      <w:pPr>
        <w:pStyle w:val="nzHeading3"/>
      </w:pPr>
      <w:r>
        <w:t>Division 8A — Conduct of unapproved businesses on or from licensed premises</w:t>
      </w:r>
    </w:p>
    <w:p>
      <w:pPr>
        <w:pStyle w:val="nzHeading5"/>
      </w:pPr>
      <w:r>
        <w:t>119A.</w:t>
      </w:r>
      <w:r>
        <w:tab/>
        <w:t>Conduct of unapproved businesses on or from licensed premises</w:t>
      </w:r>
    </w:p>
    <w:p>
      <w:pPr>
        <w:pStyle w:val="nzSubsection"/>
      </w:pPr>
      <w:r>
        <w:tab/>
        <w:t>(1)</w:t>
      </w:r>
      <w:r>
        <w:tab/>
        <w:t>A person who, without the approval of the licensing authority, conducts on or from licensed premises a business other than the business conducted under the licence commits an offence.</w:t>
      </w:r>
    </w:p>
    <w:p>
      <w:pPr>
        <w:pStyle w:val="nzPenstart"/>
      </w:pPr>
      <w:r>
        <w:tab/>
        <w:t>Penalty: In the case of the licensee $10 000, in any other case $4 000.</w:t>
      </w:r>
    </w:p>
    <w:p>
      <w:pPr>
        <w:pStyle w:val="nz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nzPenstart"/>
      </w:pPr>
      <w:r>
        <w:tab/>
        <w:t>Penalty: $10 000.</w:t>
      </w:r>
    </w:p>
    <w:p>
      <w:pPr>
        <w:pStyle w:val="MiscClose"/>
      </w:pPr>
      <w:r>
        <w:t xml:space="preserve">    ”.</w:t>
      </w:r>
    </w:p>
    <w:p>
      <w:pPr>
        <w:pStyle w:val="nzHeading5"/>
        <w:outlineLvl w:val="0"/>
      </w:pPr>
      <w:r>
        <w:rPr>
          <w:rStyle w:val="CharSectno"/>
        </w:rPr>
        <w:t>88</w:t>
      </w:r>
      <w:r>
        <w:t>.</w:t>
      </w:r>
      <w:r>
        <w:tab/>
        <w:t>Section 121 amended</w:t>
      </w:r>
    </w:p>
    <w:p>
      <w:pPr>
        <w:pStyle w:val="nzSubsection"/>
      </w:pPr>
      <w:r>
        <w:tab/>
        <w:t>(1)</w:t>
      </w:r>
      <w:r>
        <w:tab/>
        <w:t>Section 121(4) is amended in the penalty provision by deleting “$5 000, in the case of another employee or agent $2 000,” and inserting instead —</w:t>
      </w:r>
    </w:p>
    <w:p>
      <w:pPr>
        <w:pStyle w:val="nzSubsection"/>
      </w:pPr>
      <w:r>
        <w:tab/>
      </w:r>
      <w:r>
        <w:tab/>
        <w:t>“   $10 000, in the case of another employee or agent $4 000,   ”.</w:t>
      </w:r>
    </w:p>
    <w:p>
      <w:pPr>
        <w:pStyle w:val="nzSubsection"/>
      </w:pPr>
      <w:r>
        <w:tab/>
        <w:t>(2)</w:t>
      </w:r>
      <w:r>
        <w:tab/>
        <w:t>Section 121(5)(b)(i) is amended as follows:</w:t>
      </w:r>
    </w:p>
    <w:p>
      <w:pPr>
        <w:pStyle w:val="nzIndenta"/>
      </w:pPr>
      <w:r>
        <w:tab/>
        <w:t>(a)</w:t>
      </w:r>
      <w:r>
        <w:tab/>
        <w:t xml:space="preserve">after “Director” by inserting — </w:t>
      </w:r>
    </w:p>
    <w:p>
      <w:pPr>
        <w:pStyle w:val="nzIndenta"/>
      </w:pPr>
      <w:r>
        <w:tab/>
      </w:r>
      <w:r>
        <w:tab/>
        <w:t>“    under section 126A    ”;</w:t>
      </w:r>
    </w:p>
    <w:p>
      <w:pPr>
        <w:pStyle w:val="nzIndenta"/>
      </w:pPr>
      <w:r>
        <w:tab/>
        <w:t>(b)</w:t>
      </w:r>
      <w:r>
        <w:tab/>
        <w:t xml:space="preserve">by deleting “mainly” and inserting instead — </w:t>
      </w:r>
    </w:p>
    <w:p>
      <w:pPr>
        <w:pStyle w:val="nzIndenta"/>
      </w:pPr>
      <w:r>
        <w:tab/>
      </w:r>
      <w:r>
        <w:tab/>
        <w:t>“    solely    ”.</w:t>
      </w:r>
    </w:p>
    <w:p>
      <w:pPr>
        <w:pStyle w:val="nzSubsection"/>
      </w:pPr>
      <w:r>
        <w:tab/>
        <w:t>(3)</w:t>
      </w:r>
      <w:r>
        <w:tab/>
        <w:t xml:space="preserve">After section 121(7) the following subsection is inserted — </w:t>
      </w:r>
    </w:p>
    <w:p>
      <w:pPr>
        <w:pStyle w:val="MiscOpen"/>
        <w:spacing w:before="60"/>
        <w:ind w:left="601"/>
      </w:pPr>
      <w:r>
        <w:t xml:space="preserve">“    </w:t>
      </w:r>
    </w:p>
    <w:p>
      <w:pPr>
        <w:pStyle w:val="nzSubsection"/>
      </w:pPr>
      <w:r>
        <w:tab/>
        <w:t>(7a)</w:t>
      </w:r>
      <w:r>
        <w:tab/>
        <w:t xml:space="preserve">A person who — </w:t>
      </w:r>
    </w:p>
    <w:p>
      <w:pPr>
        <w:pStyle w:val="nzIndenta"/>
      </w:pPr>
      <w:r>
        <w:tab/>
        <w:t>(a)</w:t>
      </w:r>
      <w:r>
        <w:tab/>
        <w:t>has been required to leave and has left, or been removed from, licensed premises under this section; and</w:t>
      </w:r>
    </w:p>
    <w:p>
      <w:pPr>
        <w:pStyle w:val="nzIndenta"/>
      </w:pPr>
      <w:r>
        <w:tab/>
        <w:t>(b)</w:t>
      </w:r>
      <w:r>
        <w:tab/>
        <w:t xml:space="preserve">remains — </w:t>
      </w:r>
    </w:p>
    <w:p>
      <w:pPr>
        <w:pStyle w:val="nzIndenti"/>
      </w:pPr>
      <w:r>
        <w:tab/>
        <w:t>(i)</w:t>
      </w:r>
      <w:r>
        <w:tab/>
        <w:t>on any footpath; or</w:t>
      </w:r>
    </w:p>
    <w:p>
      <w:pPr>
        <w:pStyle w:val="nzIndenti"/>
      </w:pPr>
      <w:r>
        <w:tab/>
        <w:t>(ii)</w:t>
      </w:r>
      <w:r>
        <w:tab/>
        <w:t>in any area subject to the control or management of the licensee,</w:t>
      </w:r>
    </w:p>
    <w:p>
      <w:pPr>
        <w:pStyle w:val="nzIndenta"/>
      </w:pPr>
      <w:r>
        <w:tab/>
      </w:r>
      <w:r>
        <w:tab/>
        <w:t>that is adjacent to the licensed premises,</w:t>
      </w:r>
    </w:p>
    <w:p>
      <w:pPr>
        <w:pStyle w:val="nzSubsection"/>
      </w:pPr>
      <w:r>
        <w:tab/>
      </w:r>
      <w:r>
        <w:tab/>
        <w:t>commits an offence.</w:t>
      </w:r>
    </w:p>
    <w:p>
      <w:pPr>
        <w:pStyle w:val="nzPenstart"/>
      </w:pPr>
      <w:r>
        <w:tab/>
        <w:t>Penalty: $2 000.</w:t>
      </w:r>
    </w:p>
    <w:p>
      <w:pPr>
        <w:pStyle w:val="MiscClose"/>
      </w:pPr>
      <w:r>
        <w:t xml:space="preserve">    ”.</w:t>
      </w:r>
    </w:p>
    <w:p>
      <w:pPr>
        <w:pStyle w:val="nzSubsection"/>
      </w:pPr>
      <w:r>
        <w:tab/>
        <w:t>(4)</w:t>
      </w:r>
      <w:r>
        <w:tab/>
        <w:t xml:space="preserve">After section 121(10) the following subsections are inserted — </w:t>
      </w:r>
    </w:p>
    <w:p>
      <w:pPr>
        <w:pStyle w:val="MiscOpen"/>
        <w:spacing w:before="60"/>
        <w:ind w:left="601"/>
      </w:pPr>
      <w:r>
        <w:t xml:space="preserve">“    </w:t>
      </w:r>
    </w:p>
    <w:p>
      <w:pPr>
        <w:pStyle w:val="nzSubsection"/>
      </w:pPr>
      <w:r>
        <w:tab/>
        <w:t>(11)</w:t>
      </w:r>
      <w:r>
        <w:tab/>
        <w:t xml:space="preserve">Subsection (10) does not apply in relation to the employment or engagement of a juvenile to serve liquor ancillary to a meal if — </w:t>
      </w:r>
    </w:p>
    <w:p>
      <w:pPr>
        <w:pStyle w:val="nzIndenta"/>
      </w:pPr>
      <w:r>
        <w:tab/>
        <w:t>(a)</w:t>
      </w:r>
      <w:r>
        <w:tab/>
        <w:t>the juvenile is of or above the age of 16 years; and</w:t>
      </w:r>
    </w:p>
    <w:p>
      <w:pPr>
        <w:pStyle w:val="nzIndenta"/>
      </w:pPr>
      <w:r>
        <w:tab/>
        <w:t>(b)</w:t>
      </w:r>
      <w:r>
        <w:tab/>
        <w:t>the juvenile’s employment or engagement is approved by the Director; and</w:t>
      </w:r>
    </w:p>
    <w:p>
      <w:pPr>
        <w:pStyle w:val="nzIndenta"/>
      </w:pPr>
      <w:r>
        <w:tab/>
        <w:t>(c)</w:t>
      </w:r>
      <w:r>
        <w:tab/>
        <w:t xml:space="preserve">the work carried out by the juvenile — </w:t>
      </w:r>
    </w:p>
    <w:p>
      <w:pPr>
        <w:pStyle w:val="nzIndenti"/>
      </w:pPr>
      <w:r>
        <w:tab/>
        <w:t>(i)</w:t>
      </w:r>
      <w:r>
        <w:tab/>
        <w:t>is supervised at all times; and</w:t>
      </w:r>
    </w:p>
    <w:p>
      <w:pPr>
        <w:pStyle w:val="nzIndenti"/>
      </w:pPr>
      <w:r>
        <w:tab/>
        <w:t>(ii)</w:t>
      </w:r>
      <w:r>
        <w:tab/>
        <w:t>will be assessed for the purposes of a prescribed training course in which the juvenile is engaged.</w:t>
      </w:r>
    </w:p>
    <w:p>
      <w:pPr>
        <w:pStyle w:val="nzSubsection"/>
      </w:pPr>
      <w:r>
        <w:tab/>
        <w:t>(12)</w:t>
      </w:r>
      <w:r>
        <w:tab/>
        <w:t>This section does not limit any other right to refuse a person entry to premises or to remove a person from premises.</w:t>
      </w:r>
    </w:p>
    <w:p>
      <w:pPr>
        <w:pStyle w:val="MiscClose"/>
      </w:pPr>
      <w:r>
        <w:t xml:space="preserve">    ”.</w:t>
      </w:r>
    </w:p>
    <w:p>
      <w:pPr>
        <w:pStyle w:val="nzHeading5"/>
        <w:outlineLvl w:val="0"/>
      </w:pPr>
      <w:r>
        <w:rPr>
          <w:rStyle w:val="CharSectno"/>
        </w:rPr>
        <w:t>89</w:t>
      </w:r>
      <w:r>
        <w:t>.</w:t>
      </w:r>
      <w:r>
        <w:tab/>
        <w:t>Section 122 amended</w:t>
      </w:r>
    </w:p>
    <w:p>
      <w:pPr>
        <w:pStyle w:val="nzSubsection"/>
      </w:pPr>
      <w:r>
        <w:tab/>
      </w:r>
      <w:r>
        <w:tab/>
        <w:t xml:space="preserve">Section 122(2) is repealed and the following subsection is inserted instead — </w:t>
      </w:r>
    </w:p>
    <w:p>
      <w:pPr>
        <w:pStyle w:val="MiscOpen"/>
        <w:ind w:left="600"/>
      </w:pPr>
      <w:r>
        <w:t xml:space="preserve">“    </w:t>
      </w:r>
    </w:p>
    <w:p>
      <w:pPr>
        <w:pStyle w:val="nzSubsection"/>
        <w:outlineLvl w:val="0"/>
      </w:pPr>
      <w:r>
        <w:tab/>
        <w:t>(2)</w:t>
      </w:r>
      <w:r>
        <w:tab/>
        <w:t xml:space="preserve">Subject to this Act, a person who — </w:t>
      </w:r>
    </w:p>
    <w:p>
      <w:pPr>
        <w:pStyle w:val="nzIndenta"/>
      </w:pPr>
      <w:r>
        <w:tab/>
        <w:t>(a)</w:t>
      </w:r>
      <w:r>
        <w:tab/>
        <w:t>sells or supplies, or permits the sale or supply of, liquor to; or</w:t>
      </w:r>
    </w:p>
    <w:p>
      <w:pPr>
        <w:pStyle w:val="nzIndenta"/>
      </w:pPr>
      <w:r>
        <w:tab/>
        <w:t>(b)</w:t>
      </w:r>
      <w:r>
        <w:tab/>
        <w:t>permits the consumption or possession of liquor by,</w:t>
      </w:r>
    </w:p>
    <w:p>
      <w:pPr>
        <w:pStyle w:val="nzSubsection"/>
      </w:pPr>
      <w:r>
        <w:tab/>
      </w:r>
      <w:r>
        <w:tab/>
        <w:t>a juvenile on regulated premises commits an offence.</w:t>
      </w:r>
    </w:p>
    <w:p>
      <w:pPr>
        <w:pStyle w:val="nzPenstart"/>
      </w:pPr>
      <w:r>
        <w:tab/>
        <w:t>Penalty: $10 000.</w:t>
      </w:r>
    </w:p>
    <w:p>
      <w:pPr>
        <w:pStyle w:val="MiscClose"/>
      </w:pPr>
      <w:r>
        <w:t xml:space="preserve">    ”.</w:t>
      </w:r>
    </w:p>
    <w:p>
      <w:pPr>
        <w:pStyle w:val="nzHeading5"/>
        <w:outlineLvl w:val="0"/>
      </w:pPr>
      <w:r>
        <w:rPr>
          <w:rStyle w:val="CharSectno"/>
        </w:rPr>
        <w:t>90</w:t>
      </w:r>
      <w:r>
        <w:t>.</w:t>
      </w:r>
      <w:r>
        <w:tab/>
        <w:t>Section 123 amended</w:t>
      </w:r>
    </w:p>
    <w:p>
      <w:pPr>
        <w:pStyle w:val="nzSubsection"/>
      </w:pPr>
      <w:r>
        <w:tab/>
        <w:t>(1)</w:t>
      </w:r>
      <w:r>
        <w:tab/>
        <w:t>Section 123 is amended by inserting before “Subject” the subsection designation “(1)”.</w:t>
      </w:r>
    </w:p>
    <w:p>
      <w:pPr>
        <w:pStyle w:val="nzSubsection"/>
      </w:pPr>
      <w:r>
        <w:tab/>
        <w:t>(2)</w:t>
      </w:r>
      <w:r>
        <w:tab/>
        <w:t xml:space="preserve">At the end of section 123 the following subsection is inserted — </w:t>
      </w:r>
    </w:p>
    <w:p>
      <w:pPr>
        <w:pStyle w:val="MiscOpen"/>
        <w:ind w:left="600"/>
      </w:pPr>
      <w:r>
        <w:t xml:space="preserve">“    </w:t>
      </w:r>
    </w:p>
    <w:p>
      <w:pPr>
        <w:pStyle w:val="nzSubsection"/>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nzPenstart"/>
      </w:pPr>
      <w:r>
        <w:tab/>
        <w:t>Penalty: $2 000.</w:t>
      </w:r>
    </w:p>
    <w:p>
      <w:pPr>
        <w:pStyle w:val="MiscClose"/>
      </w:pPr>
      <w:r>
        <w:t xml:space="preserve">    ”.</w:t>
      </w:r>
    </w:p>
    <w:p>
      <w:pPr>
        <w:pStyle w:val="nzHeading5"/>
        <w:outlineLvl w:val="0"/>
      </w:pPr>
      <w:r>
        <w:rPr>
          <w:rStyle w:val="CharSectno"/>
        </w:rPr>
        <w:t>91</w:t>
      </w:r>
      <w:r>
        <w:t>.</w:t>
      </w:r>
      <w:r>
        <w:tab/>
        <w:t>Section 126 amended</w:t>
      </w:r>
    </w:p>
    <w:p>
      <w:pPr>
        <w:pStyle w:val="nzSubsection"/>
        <w:outlineLvl w:val="0"/>
      </w:pPr>
      <w:r>
        <w:tab/>
        <w:t>(1)</w:t>
      </w:r>
      <w:r>
        <w:tab/>
        <w:t xml:space="preserve">After section 126(2) the following subsections are inserted — </w:t>
      </w:r>
    </w:p>
    <w:p>
      <w:pPr>
        <w:pStyle w:val="MiscOpen"/>
        <w:ind w:left="600"/>
      </w:pPr>
      <w:r>
        <w:t xml:space="preserve">“    </w:t>
      </w:r>
    </w:p>
    <w:p>
      <w:pPr>
        <w:pStyle w:val="nzSubsection"/>
      </w:pPr>
      <w:r>
        <w:tab/>
        <w:t>(2a)</w:t>
      </w:r>
      <w:r>
        <w:tab/>
        <w:t>If an authorised person suspects on reasonable grounds that a document produced by a juvenile under subsection (1)(b) is a forged, false or counterfeit document, the authorised person may confiscate the document.</w:t>
      </w:r>
    </w:p>
    <w:p>
      <w:pPr>
        <w:pStyle w:val="nzSubsection"/>
      </w:pPr>
      <w:r>
        <w:tab/>
        <w:t>(2b)</w:t>
      </w:r>
      <w:r>
        <w:tab/>
        <w:t>An authorised person who confiscates a document under subsection (2a) must deal with the document in accordance with the regulations.</w:t>
      </w:r>
    </w:p>
    <w:p>
      <w:pPr>
        <w:pStyle w:val="MiscClose"/>
      </w:pPr>
      <w:r>
        <w:t xml:space="preserve">    ”.</w:t>
      </w:r>
    </w:p>
    <w:p>
      <w:pPr>
        <w:pStyle w:val="nzSubsection"/>
        <w:outlineLvl w:val="0"/>
      </w:pPr>
      <w:r>
        <w:tab/>
        <w:t>(2)</w:t>
      </w:r>
      <w:r>
        <w:tab/>
        <w:t xml:space="preserve">After section 126(4) the following subsections are inserted — </w:t>
      </w:r>
    </w:p>
    <w:p>
      <w:pPr>
        <w:pStyle w:val="MiscOpen"/>
        <w:ind w:left="600"/>
      </w:pPr>
      <w:r>
        <w:t xml:space="preserve">“    </w:t>
      </w:r>
    </w:p>
    <w:p>
      <w:pPr>
        <w:pStyle w:val="nzSubsection"/>
      </w:pPr>
      <w:r>
        <w:tab/>
        <w:t>(5)</w:t>
      </w:r>
      <w:r>
        <w:tab/>
        <w:t xml:space="preserve">A person who — </w:t>
      </w:r>
    </w:p>
    <w:p>
      <w:pPr>
        <w:pStyle w:val="nzIndenta"/>
      </w:pPr>
      <w:r>
        <w:tab/>
        <w:t>(a)</w:t>
      </w:r>
      <w:r>
        <w:tab/>
        <w:t>has been required to leave and has left, or been removed from, licensed premises or regulated premises under this section; and</w:t>
      </w:r>
    </w:p>
    <w:p>
      <w:pPr>
        <w:pStyle w:val="nzIndenta"/>
      </w:pPr>
      <w:r>
        <w:tab/>
        <w:t>(b)</w:t>
      </w:r>
      <w:r>
        <w:tab/>
        <w:t xml:space="preserve">remains — </w:t>
      </w:r>
    </w:p>
    <w:p>
      <w:pPr>
        <w:pStyle w:val="nzIndenti"/>
      </w:pPr>
      <w:r>
        <w:tab/>
        <w:t>(i)</w:t>
      </w:r>
      <w:r>
        <w:tab/>
        <w:t>on any footpath; or</w:t>
      </w:r>
    </w:p>
    <w:p>
      <w:pPr>
        <w:pStyle w:val="nzIndenti"/>
      </w:pPr>
      <w:r>
        <w:tab/>
        <w:t>(ii)</w:t>
      </w:r>
      <w:r>
        <w:tab/>
        <w:t>in any area subject to the control or management of the licensee or occupier of the regulated premises,</w:t>
      </w:r>
    </w:p>
    <w:p>
      <w:pPr>
        <w:pStyle w:val="nzIndenta"/>
      </w:pPr>
      <w:r>
        <w:tab/>
      </w:r>
      <w:r>
        <w:tab/>
        <w:t>that is adjacent to the licensed premises or regulated premises,</w:t>
      </w:r>
    </w:p>
    <w:p>
      <w:pPr>
        <w:pStyle w:val="nzSubsection"/>
      </w:pPr>
      <w:r>
        <w:tab/>
      </w:r>
      <w:r>
        <w:tab/>
        <w:t>commits an offence.</w:t>
      </w:r>
    </w:p>
    <w:p>
      <w:pPr>
        <w:pStyle w:val="nzPenstart"/>
      </w:pPr>
      <w:r>
        <w:tab/>
        <w:t>Penalty: $2 000.</w:t>
      </w:r>
    </w:p>
    <w:p>
      <w:pPr>
        <w:pStyle w:val="nzSubsection"/>
      </w:pPr>
      <w:r>
        <w:tab/>
        <w:t>(6)</w:t>
      </w:r>
      <w:r>
        <w:tab/>
        <w:t>This section does not limit any other right to remove a person from premises.</w:t>
      </w:r>
    </w:p>
    <w:p>
      <w:pPr>
        <w:pStyle w:val="MiscClose"/>
      </w:pPr>
      <w:r>
        <w:t xml:space="preserve">    ”.</w:t>
      </w:r>
    </w:p>
    <w:p>
      <w:pPr>
        <w:pStyle w:val="nzHeading5"/>
        <w:outlineLvl w:val="0"/>
      </w:pPr>
      <w:r>
        <w:rPr>
          <w:rStyle w:val="CharSectno"/>
        </w:rPr>
        <w:t>92</w:t>
      </w:r>
      <w:r>
        <w:t>.</w:t>
      </w:r>
      <w:r>
        <w:tab/>
        <w:t>Sections 126A and 126B inserted and section 104 consequentially amended</w:t>
      </w:r>
    </w:p>
    <w:p>
      <w:pPr>
        <w:pStyle w:val="nzSubsection"/>
        <w:outlineLvl w:val="0"/>
      </w:pPr>
      <w:r>
        <w:tab/>
        <w:t>(1)</w:t>
      </w:r>
      <w:r>
        <w:tab/>
        <w:t xml:space="preserve">After section 126 the following sections are inserted in Part 4 Division 9 — </w:t>
      </w:r>
    </w:p>
    <w:p>
      <w:pPr>
        <w:pStyle w:val="MiscOpen"/>
        <w:spacing w:before="80"/>
      </w:pPr>
      <w:r>
        <w:t xml:space="preserve">“    </w:t>
      </w:r>
    </w:p>
    <w:p>
      <w:pPr>
        <w:pStyle w:val="nzHeading5"/>
      </w:pPr>
      <w:r>
        <w:t>126A.</w:t>
      </w:r>
      <w:r>
        <w:tab/>
        <w:t>Licensees may apply for approval of entertainment for juveniles on licensed premises</w:t>
      </w:r>
    </w:p>
    <w:p>
      <w:pPr>
        <w:pStyle w:val="nz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nzSubsection"/>
      </w:pPr>
      <w:r>
        <w:tab/>
        <w:t>(2)</w:t>
      </w:r>
      <w:r>
        <w:tab/>
        <w:t>The application is to be accompanied by the prescribed fee and is to be supported by any further or other documentation or information that the Director may require.</w:t>
      </w:r>
    </w:p>
    <w:p>
      <w:pPr>
        <w:pStyle w:val="nzSubsection"/>
      </w:pPr>
      <w:r>
        <w:tab/>
        <w:t>(3)</w:t>
      </w:r>
      <w:r>
        <w:tab/>
        <w:t>The application is to be lodged with the Director not later than 14 days before the day on which the entertainment that is the subject of the application is proposed to be provided.</w:t>
      </w:r>
    </w:p>
    <w:p>
      <w:pPr>
        <w:pStyle w:val="nzSubsection"/>
      </w:pPr>
      <w:r>
        <w:tab/>
        <w:t>(4)</w:t>
      </w:r>
      <w:r>
        <w:tab/>
        <w:t>Part 3 Division 7 does not apply to an application under this section.</w:t>
      </w:r>
    </w:p>
    <w:p>
      <w:pPr>
        <w:pStyle w:val="nzHeading5"/>
      </w:pPr>
      <w:r>
        <w:t>126B.</w:t>
      </w:r>
      <w:r>
        <w:tab/>
        <w:t>Director may approve entertainment for juveniles on licensed premises</w:t>
      </w:r>
    </w:p>
    <w:p>
      <w:pPr>
        <w:pStyle w:val="nz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nzSubsection"/>
      </w:pPr>
      <w:r>
        <w:tab/>
        <w:t>(2)</w:t>
      </w:r>
      <w:r>
        <w:tab/>
        <w:t>The Director may, by notice in writing given to the licensee at any time before the entertainment is provided, withdraw the approval if the Director is no longer satisfied in accordance with subsection (1).</w:t>
      </w:r>
    </w:p>
    <w:p>
      <w:pPr>
        <w:pStyle w:val="nzSubsection"/>
      </w:pPr>
      <w:r>
        <w:tab/>
        <w:t>(3)</w:t>
      </w:r>
      <w:r>
        <w:tab/>
        <w:t>The Director may make the approval subject to such terms and conditions as the Director thinks fit and specifies in the notice under subsection (1).</w:t>
      </w:r>
    </w:p>
    <w:p>
      <w:pPr>
        <w:pStyle w:val="nz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nzIndenta"/>
      </w:pPr>
      <w:r>
        <w:tab/>
        <w:t>(a)</w:t>
      </w:r>
      <w:r>
        <w:tab/>
        <w:t>details of the arrangement were set out in the relevant application under section 126A or otherwise provided under that section; and</w:t>
      </w:r>
    </w:p>
    <w:p>
      <w:pPr>
        <w:pStyle w:val="nzIndenta"/>
      </w:pPr>
      <w:r>
        <w:tab/>
        <w:t>(b)</w:t>
      </w:r>
      <w:r>
        <w:tab/>
        <w:t>the Director has granted approval under subsection (5).</w:t>
      </w:r>
    </w:p>
    <w:p>
      <w:pPr>
        <w:pStyle w:val="nzSubsection"/>
      </w:pPr>
      <w:r>
        <w:tab/>
        <w:t>(5)</w:t>
      </w:r>
      <w:r>
        <w:tab/>
        <w:t>The Director may, by notice in writing given to the licensee, approve an arrangement referred to in subsection (4).</w:t>
      </w:r>
    </w:p>
    <w:p>
      <w:pPr>
        <w:pStyle w:val="MiscClose"/>
      </w:pPr>
      <w:r>
        <w:t xml:space="preserve">    ”.</w:t>
      </w:r>
    </w:p>
    <w:p>
      <w:pPr>
        <w:pStyle w:val="nzSubsection"/>
        <w:outlineLvl w:val="0"/>
      </w:pPr>
      <w:r>
        <w:tab/>
        <w:t>(2)</w:t>
      </w:r>
      <w:r>
        <w:tab/>
        <w:t>Section 104(2) is amended as follows:</w:t>
      </w:r>
    </w:p>
    <w:p>
      <w:pPr>
        <w:pStyle w:val="nzIndenta"/>
      </w:pPr>
      <w:r>
        <w:tab/>
        <w:t>(a)</w:t>
      </w:r>
      <w:r>
        <w:tab/>
        <w:t xml:space="preserve">after paragraph (a) by inserting — </w:t>
      </w:r>
    </w:p>
    <w:p>
      <w:pPr>
        <w:pStyle w:val="nzIndenta"/>
      </w:pPr>
      <w:r>
        <w:tab/>
      </w:r>
      <w:r>
        <w:tab/>
        <w:t>“    or    ”;</w:t>
      </w:r>
    </w:p>
    <w:p>
      <w:pPr>
        <w:pStyle w:val="nzIndenta"/>
      </w:pPr>
      <w:r>
        <w:tab/>
        <w:t>(b)</w:t>
      </w:r>
      <w:r>
        <w:tab/>
        <w:t xml:space="preserve">after paragraph (b) by inserting — </w:t>
      </w:r>
    </w:p>
    <w:p>
      <w:pPr>
        <w:pStyle w:val="MiscOpen"/>
        <w:ind w:left="1340"/>
      </w:pPr>
      <w:r>
        <w:t xml:space="preserve">“    </w:t>
      </w:r>
    </w:p>
    <w:p>
      <w:pPr>
        <w:pStyle w:val="nzIndenta"/>
      </w:pPr>
      <w:r>
        <w:tab/>
        <w:t>(ba)</w:t>
      </w:r>
      <w:r>
        <w:tab/>
        <w:t>the provision of entertainment solely for juveniles on licensed premises or a part of licensed premises, where it is approved under section 126B(5); or</w:t>
      </w:r>
    </w:p>
    <w:p>
      <w:pPr>
        <w:pStyle w:val="MiscClose"/>
      </w:pPr>
      <w:r>
        <w:t xml:space="preserve">    ”.</w:t>
      </w:r>
    </w:p>
    <w:p>
      <w:pPr>
        <w:pStyle w:val="nzHeading5"/>
        <w:outlineLvl w:val="0"/>
      </w:pPr>
      <w:r>
        <w:rPr>
          <w:rStyle w:val="CharSectno"/>
        </w:rPr>
        <w:t>93</w:t>
      </w:r>
      <w:r>
        <w:t>.</w:t>
      </w:r>
      <w:r>
        <w:tab/>
        <w:t>Part 4 Division 10 inserted</w:t>
      </w:r>
    </w:p>
    <w:p>
      <w:pPr>
        <w:pStyle w:val="nzSubsection"/>
      </w:pPr>
      <w:r>
        <w:tab/>
      </w:r>
      <w:r>
        <w:tab/>
        <w:t xml:space="preserve">Before section 127 the following Division is inserted in Part 4 — </w:t>
      </w:r>
    </w:p>
    <w:p>
      <w:pPr>
        <w:pStyle w:val="MiscOpen"/>
      </w:pPr>
      <w:r>
        <w:t xml:space="preserve">“    </w:t>
      </w:r>
    </w:p>
    <w:p>
      <w:pPr>
        <w:pStyle w:val="nzHeading3"/>
        <w:outlineLvl w:val="0"/>
      </w:pPr>
      <w:r>
        <w:t>Division 10 — Miscellaneous</w:t>
      </w:r>
    </w:p>
    <w:p>
      <w:pPr>
        <w:pStyle w:val="nzHeading5"/>
      </w:pPr>
      <w:r>
        <w:t>126C.</w:t>
      </w:r>
      <w:r>
        <w:tab/>
        <w:t>Crowd controllers to be authorised when exercising powers of removal</w:t>
      </w:r>
    </w:p>
    <w:p>
      <w:pPr>
        <w:pStyle w:val="nzSubsection"/>
      </w:pPr>
      <w:r>
        <w:tab/>
        <w:t>(1)</w:t>
      </w:r>
      <w:r>
        <w:tab/>
        <w:t xml:space="preserve">A person (the </w:t>
      </w:r>
      <w:r>
        <w:rPr>
          <w:b/>
        </w:rPr>
        <w:t>“</w:t>
      </w:r>
      <w:r>
        <w:rPr>
          <w:rStyle w:val="CharDefText"/>
        </w:rPr>
        <w:t>crowd controller</w:t>
      </w:r>
      <w:r>
        <w:rPr>
          <w:b/>
        </w:rPr>
        <w:t>”</w:t>
      </w:r>
      <w:r>
        <w:rPr>
          <w:bCs/>
        </w:rPr>
        <w:t xml:space="preserve">) </w:t>
      </w:r>
      <w:r>
        <w:t xml:space="preserve">who — </w:t>
      </w:r>
    </w:p>
    <w:p>
      <w:pPr>
        <w:pStyle w:val="nzIndenta"/>
      </w:pPr>
      <w:r>
        <w:tab/>
        <w:t>(a)</w:t>
      </w:r>
      <w:r>
        <w:tab/>
        <w:t>holds a crowd controller’s licence; and</w:t>
      </w:r>
    </w:p>
    <w:p>
      <w:pPr>
        <w:pStyle w:val="nzIndenta"/>
      </w:pPr>
      <w:r>
        <w:tab/>
        <w:t>(b)</w:t>
      </w:r>
      <w:r>
        <w:tab/>
        <w:t>is employed by a crowd control agent engaged under a contract for services by the licensee or occupier or a manager of licensed premises to supply the services of crowd controllers at those premises,</w:t>
      </w:r>
    </w:p>
    <w:p>
      <w:pPr>
        <w:pStyle w:val="nz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nz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nzSubsection"/>
      </w:pPr>
      <w:r>
        <w:tab/>
        <w:t>(3)</w:t>
      </w:r>
      <w:r>
        <w:tab/>
        <w:t>The licensee, occupier or manager may withdraw the authority referred to in subsection (2) at any time by written notice given to the crowd controller or the crowd control agent.</w:t>
      </w:r>
    </w:p>
    <w:p>
      <w:pPr>
        <w:pStyle w:val="nzHeading5"/>
      </w:pPr>
      <w:r>
        <w:t>126D.</w:t>
      </w:r>
      <w:r>
        <w:tab/>
        <w:t>Sale of undesirable liquor products</w:t>
      </w:r>
    </w:p>
    <w:p>
      <w:pPr>
        <w:pStyle w:val="nz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nz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nzPenstart"/>
      </w:pPr>
      <w:r>
        <w:tab/>
        <w:t>Penalty: In the case of the licensee or manager $10 000, in the case of an employee or agent $4 000.</w:t>
      </w:r>
    </w:p>
    <w:p>
      <w:pPr>
        <w:pStyle w:val="nzSubsection"/>
      </w:pPr>
      <w:r>
        <w:tab/>
        <w:t>(3)</w:t>
      </w:r>
      <w:r>
        <w:tab/>
        <w:t xml:space="preserve">The Minister may recommend the making of regulations for the purposes of subsection (1) only if — </w:t>
      </w:r>
    </w:p>
    <w:p>
      <w:pPr>
        <w:pStyle w:val="nzIndenta"/>
      </w:pPr>
      <w:r>
        <w:tab/>
        <w:t>(a)</w:t>
      </w:r>
      <w:r>
        <w:tab/>
        <w:t xml:space="preserve">the Minister considers that — </w:t>
      </w:r>
    </w:p>
    <w:p>
      <w:pPr>
        <w:pStyle w:val="nzIndenti"/>
      </w:pPr>
      <w:r>
        <w:tab/>
        <w:t>(i)</w:t>
      </w:r>
      <w:r>
        <w:tab/>
        <w:t>designs, motifs or characters on the packaging of the product concerned are of such a kind that the product is, or is likely to be, attractive to juveniles; or</w:t>
      </w:r>
    </w:p>
    <w:p>
      <w:pPr>
        <w:pStyle w:val="nzIndenti"/>
      </w:pPr>
      <w:r>
        <w:tab/>
        <w:t>(ii)</w:t>
      </w:r>
      <w:r>
        <w:tab/>
        <w:t>the product is likely, for any reason, to be confused with soft drinks or confectionery; or</w:t>
      </w:r>
    </w:p>
    <w:p>
      <w:pPr>
        <w:pStyle w:val="nzIndenti"/>
      </w:pPr>
      <w:r>
        <w:tab/>
        <w:t>(iii)</w:t>
      </w:r>
      <w:r>
        <w:tab/>
        <w:t>the product, for any other reason, has or is likely to have a special appeal to juveniles; or</w:t>
      </w:r>
    </w:p>
    <w:p>
      <w:pPr>
        <w:pStyle w:val="nzIndenti"/>
      </w:pPr>
      <w:r>
        <w:tab/>
        <w:t>(iv)</w:t>
      </w:r>
      <w:r>
        <w:tab/>
        <w:t>it is otherwise in the public interest to do so;</w:t>
      </w:r>
    </w:p>
    <w:p>
      <w:pPr>
        <w:pStyle w:val="nzIndenta"/>
      </w:pPr>
      <w:r>
        <w:tab/>
      </w:r>
      <w:r>
        <w:tab/>
        <w:t>and</w:t>
      </w:r>
    </w:p>
    <w:p>
      <w:pPr>
        <w:pStyle w:val="nzIndenta"/>
      </w:pPr>
      <w:r>
        <w:tab/>
        <w:t>(b)</w:t>
      </w:r>
      <w:r>
        <w:tab/>
        <w:t>the Minister has complied with subsection (4).</w:t>
      </w:r>
    </w:p>
    <w:p>
      <w:pPr>
        <w:pStyle w:val="nz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nzSubsection"/>
      </w:pPr>
      <w:r>
        <w:tab/>
        <w:t>(5)</w:t>
      </w:r>
      <w:r>
        <w:tab/>
        <w:t>A failure to comply with subsection (3) does not affect the validity of the regulation concerned.</w:t>
      </w:r>
    </w:p>
    <w:p>
      <w:pPr>
        <w:pStyle w:val="nzHeading5"/>
      </w:pPr>
      <w:r>
        <w:t>126E.</w:t>
      </w:r>
      <w:r>
        <w:tab/>
        <w:t>Modified operation of Act for special events</w:t>
      </w:r>
    </w:p>
    <w:p>
      <w:pPr>
        <w:pStyle w:val="nzSubsection"/>
      </w:pPr>
      <w:r>
        <w:tab/>
        <w:t>(1)</w:t>
      </w:r>
      <w:r>
        <w:tab/>
        <w:t xml:space="preserve">In this section — </w:t>
      </w:r>
    </w:p>
    <w:p>
      <w:pPr>
        <w:pStyle w:val="nzDefstart"/>
      </w:pPr>
      <w:r>
        <w:rPr>
          <w:b/>
        </w:rPr>
        <w:tab/>
        <w:t>“</w:t>
      </w:r>
      <w:r>
        <w:rPr>
          <w:rStyle w:val="CharDefText"/>
        </w:rPr>
        <w:t>special event notice</w:t>
      </w:r>
      <w:r>
        <w:rPr>
          <w:b/>
        </w:rPr>
        <w:t>”</w:t>
      </w:r>
      <w:r>
        <w:t xml:space="preserve"> means a notice under subsection (2);</w:t>
      </w:r>
    </w:p>
    <w:p>
      <w:pPr>
        <w:pStyle w:val="nzDefstart"/>
      </w:pPr>
      <w:r>
        <w:rPr>
          <w:b/>
        </w:rPr>
        <w:tab/>
        <w:t>“</w:t>
      </w:r>
      <w:r>
        <w:rPr>
          <w:rStyle w:val="CharDefText"/>
        </w:rPr>
        <w:t>specified</w:t>
      </w:r>
      <w:r>
        <w:rPr>
          <w:b/>
          <w:bCs/>
        </w:rPr>
        <w:t>”</w:t>
      </w:r>
      <w:r>
        <w:t xml:space="preserve"> means specified in a special event notice.</w:t>
      </w:r>
    </w:p>
    <w:p>
      <w:pPr>
        <w:pStyle w:val="nzSubsection"/>
      </w:pPr>
      <w:r>
        <w:tab/>
        <w:t>(2)</w:t>
      </w:r>
      <w:r>
        <w:tab/>
        <w:t xml:space="preserve">The Minister may, by notice published in the </w:t>
      </w:r>
      <w:r>
        <w:rPr>
          <w:i/>
          <w:iCs/>
        </w:rPr>
        <w:t>Gazette</w:t>
      </w:r>
      <w:r>
        <w:t>, declare that, for the purposes of this Act, a specified event to be held in the State is a special event.</w:t>
      </w:r>
    </w:p>
    <w:p>
      <w:pPr>
        <w:pStyle w:val="nzSubsection"/>
      </w:pPr>
      <w:r>
        <w:tab/>
        <w:t>(3)</w:t>
      </w:r>
      <w:r>
        <w:tab/>
        <w:t xml:space="preserve">Subject to subsection (4), a special event notice may declare that, for the purposes of the special event, specified provisions of this Act have a specified modified operation — </w:t>
      </w:r>
    </w:p>
    <w:p>
      <w:pPr>
        <w:pStyle w:val="nzIndenta"/>
      </w:pPr>
      <w:r>
        <w:tab/>
        <w:t>(a)</w:t>
      </w:r>
      <w:r>
        <w:tab/>
        <w:t>during a specified period; and</w:t>
      </w:r>
    </w:p>
    <w:p>
      <w:pPr>
        <w:pStyle w:val="nzIndenta"/>
      </w:pPr>
      <w:r>
        <w:tab/>
        <w:t>(b)</w:t>
      </w:r>
      <w:r>
        <w:tab/>
        <w:t>in relation to a specified area of the State or the whole of the State.</w:t>
      </w:r>
    </w:p>
    <w:p>
      <w:pPr>
        <w:pStyle w:val="nzSubsection"/>
      </w:pPr>
      <w:r>
        <w:tab/>
        <w:t>(4)</w:t>
      </w:r>
      <w:r>
        <w:tab/>
        <w:t>A special event notice may make a declaration under subsection (3) only in relation to prescribed provisions of this Act.</w:t>
      </w:r>
    </w:p>
    <w:p>
      <w:pPr>
        <w:pStyle w:val="nzSubsection"/>
      </w:pPr>
      <w:r>
        <w:tab/>
        <w:t>(5)</w:t>
      </w:r>
      <w:r>
        <w:tab/>
        <w:t>For the purposes of the special event, provisions of this Act that are the subject of a declaration under subsection (3) have effect in accordance with any specified modified operation.</w:t>
      </w:r>
    </w:p>
    <w:p>
      <w:pPr>
        <w:pStyle w:val="nzSubsection"/>
      </w:pPr>
      <w:r>
        <w:tab/>
        <w:t>(6)</w:t>
      </w:r>
      <w:r>
        <w:tab/>
        <w:t xml:space="preserve">The Minister may, by notice published in the </w:t>
      </w:r>
      <w:r>
        <w:rPr>
          <w:i/>
          <w:iCs/>
        </w:rPr>
        <w:t>Gazette</w:t>
      </w:r>
      <w:r>
        <w:t>, vary or revoke a special event notice.</w:t>
      </w:r>
    </w:p>
    <w:p>
      <w:pPr>
        <w:pStyle w:val="MiscClose"/>
      </w:pPr>
      <w:r>
        <w:t xml:space="preserve">    ”.</w:t>
      </w:r>
    </w:p>
    <w:p>
      <w:pPr>
        <w:pStyle w:val="nzHeading5"/>
        <w:outlineLvl w:val="0"/>
      </w:pPr>
      <w:r>
        <w:rPr>
          <w:rStyle w:val="CharSectno"/>
        </w:rPr>
        <w:t>94</w:t>
      </w:r>
      <w:r>
        <w:t>.</w:t>
      </w:r>
      <w:r>
        <w:tab/>
        <w:t>Section 127 amended</w:t>
      </w:r>
    </w:p>
    <w:p>
      <w:pPr>
        <w:pStyle w:val="nzSubsection"/>
      </w:pPr>
      <w:r>
        <w:tab/>
      </w:r>
      <w:r>
        <w:tab/>
        <w:t xml:space="preserve">Section 127(1) is amended after “force” by inserting — </w:t>
      </w:r>
    </w:p>
    <w:p>
      <w:pPr>
        <w:pStyle w:val="nzSubsection"/>
      </w:pPr>
      <w:r>
        <w:tab/>
      </w:r>
      <w:r>
        <w:tab/>
        <w:t>“    (including any period when its operation is suspended)    ”.</w:t>
      </w:r>
    </w:p>
    <w:p>
      <w:pPr>
        <w:pStyle w:val="nzHeading5"/>
        <w:outlineLvl w:val="0"/>
      </w:pPr>
      <w:r>
        <w:rPr>
          <w:rStyle w:val="CharSectno"/>
        </w:rPr>
        <w:t>95</w:t>
      </w:r>
      <w:r>
        <w:t>.</w:t>
      </w:r>
      <w:r>
        <w:tab/>
        <w:t>Section 128 amended</w:t>
      </w:r>
    </w:p>
    <w:p>
      <w:pPr>
        <w:pStyle w:val="nzSubsection"/>
        <w:outlineLvl w:val="0"/>
      </w:pPr>
      <w:r>
        <w:tab/>
        <w:t>(1)</w:t>
      </w:r>
      <w:r>
        <w:tab/>
        <w:t>Section 128 is amended as follows:</w:t>
      </w:r>
    </w:p>
    <w:p>
      <w:pPr>
        <w:pStyle w:val="nzIndenta"/>
      </w:pPr>
      <w:r>
        <w:tab/>
        <w:t>(a)</w:t>
      </w:r>
      <w:r>
        <w:tab/>
        <w:t>before “Regulations” by inserting the subsection designation “(1)”;</w:t>
      </w:r>
    </w:p>
    <w:p>
      <w:pPr>
        <w:pStyle w:val="nzIndenta"/>
      </w:pPr>
      <w:r>
        <w:tab/>
        <w:t>(b)</w:t>
      </w:r>
      <w:r>
        <w:tab/>
        <w:t>after “refund o</w:t>
      </w:r>
      <w:r>
        <w:rPr>
          <w:spacing w:val="40"/>
        </w:rPr>
        <w:t>f</w:t>
      </w:r>
      <w:r>
        <w:t xml:space="preserve">” by inserting — </w:t>
      </w:r>
    </w:p>
    <w:p>
      <w:pPr>
        <w:pStyle w:val="nzIndenta"/>
      </w:pPr>
      <w:r>
        <w:tab/>
      </w:r>
      <w:r>
        <w:tab/>
        <w:t>“    licence fees or    ”.</w:t>
      </w:r>
    </w:p>
    <w:p>
      <w:pPr>
        <w:pStyle w:val="nzSubsection"/>
        <w:outlineLvl w:val="0"/>
      </w:pPr>
      <w:r>
        <w:tab/>
        <w:t>(2)</w:t>
      </w:r>
      <w:r>
        <w:tab/>
        <w:t xml:space="preserve">At the end of section 128 the following subsection is inserted — </w:t>
      </w:r>
    </w:p>
    <w:p>
      <w:pPr>
        <w:pStyle w:val="MiscOpen"/>
        <w:spacing w:before="80"/>
        <w:ind w:left="601"/>
      </w:pPr>
      <w:r>
        <w:t xml:space="preserve">“    </w:t>
      </w:r>
    </w:p>
    <w:p>
      <w:pPr>
        <w:pStyle w:val="nzSubsection"/>
        <w:outlineLvl w:val="0"/>
      </w:pPr>
      <w:r>
        <w:tab/>
        <w:t>(2)</w:t>
      </w:r>
      <w:r>
        <w:tab/>
        <w:t xml:space="preserve">Without limiting subsection (1) or section 127, regulations may prescribe licence fees by reference to — </w:t>
      </w:r>
    </w:p>
    <w:p>
      <w:pPr>
        <w:pStyle w:val="nzIndenta"/>
      </w:pPr>
      <w:r>
        <w:tab/>
        <w:t>(a)</w:t>
      </w:r>
      <w:r>
        <w:tab/>
        <w:t>classes of licence; or</w:t>
      </w:r>
    </w:p>
    <w:p>
      <w:pPr>
        <w:pStyle w:val="nzIndenta"/>
      </w:pPr>
      <w:r>
        <w:tab/>
        <w:t>(b)</w:t>
      </w:r>
      <w:r>
        <w:tab/>
        <w:t>the extension of the operation of a licence by a permit; or</w:t>
      </w:r>
    </w:p>
    <w:p>
      <w:pPr>
        <w:pStyle w:val="nzIndenta"/>
      </w:pPr>
      <w:r>
        <w:tab/>
        <w:t>(c)</w:t>
      </w:r>
      <w:r>
        <w:tab/>
        <w:t>the purposes for which a permit is to be issued, or the period during which a permit is to have effect.</w:t>
      </w:r>
    </w:p>
    <w:p>
      <w:pPr>
        <w:pStyle w:val="MiscClose"/>
      </w:pPr>
      <w:r>
        <w:t xml:space="preserve">    ”.</w:t>
      </w:r>
    </w:p>
    <w:p>
      <w:pPr>
        <w:pStyle w:val="nzHeading5"/>
        <w:outlineLvl w:val="0"/>
      </w:pPr>
      <w:r>
        <w:rPr>
          <w:rStyle w:val="CharSectno"/>
        </w:rPr>
        <w:t>96</w:t>
      </w:r>
      <w:r>
        <w:t>.</w:t>
      </w:r>
      <w:r>
        <w:tab/>
        <w:t>Part 5 Division 3 heading amended</w:t>
      </w:r>
    </w:p>
    <w:p>
      <w:pPr>
        <w:pStyle w:val="nzSubsection"/>
      </w:pPr>
      <w:r>
        <w:tab/>
      </w:r>
      <w:r>
        <w:tab/>
        <w:t xml:space="preserve">The heading to Part 5 Division 3 is amended by deleting “Court” and inserting instead — </w:t>
      </w:r>
    </w:p>
    <w:p>
      <w:pPr>
        <w:pStyle w:val="nzSubsection"/>
      </w:pPr>
      <w:r>
        <w:tab/>
      </w:r>
      <w:r>
        <w:tab/>
        <w:t xml:space="preserve">“    </w:t>
      </w:r>
      <w:r>
        <w:rPr>
          <w:b/>
          <w:bCs/>
          <w:sz w:val="26"/>
        </w:rPr>
        <w:t>Commission</w:t>
      </w:r>
      <w:r>
        <w:t xml:space="preserve">    ”.</w:t>
      </w:r>
    </w:p>
    <w:p>
      <w:pPr>
        <w:pStyle w:val="nzHeading5"/>
        <w:outlineLvl w:val="0"/>
      </w:pPr>
      <w:r>
        <w:rPr>
          <w:rStyle w:val="CharSectno"/>
        </w:rPr>
        <w:t>97</w:t>
      </w:r>
      <w:r>
        <w:t>.</w:t>
      </w:r>
      <w:r>
        <w:tab/>
        <w:t>Part 5A inserted</w:t>
      </w:r>
    </w:p>
    <w:p>
      <w:pPr>
        <w:pStyle w:val="nzSubsection"/>
      </w:pPr>
      <w:r>
        <w:tab/>
      </w:r>
      <w:r>
        <w:tab/>
        <w:t xml:space="preserve">After section 152 the following Part is inserted — </w:t>
      </w:r>
    </w:p>
    <w:p>
      <w:pPr>
        <w:pStyle w:val="MiscOpen"/>
      </w:pPr>
      <w:r>
        <w:t xml:space="preserve">“    </w:t>
      </w:r>
    </w:p>
    <w:p>
      <w:pPr>
        <w:pStyle w:val="nzHeading2"/>
        <w:outlineLvl w:val="0"/>
      </w:pPr>
      <w:r>
        <w:t>Part 5A</w:t>
      </w:r>
      <w:r>
        <w:rPr>
          <w:b w:val="0"/>
        </w:rPr>
        <w:t> </w:t>
      </w:r>
      <w:r>
        <w:t>—</w:t>
      </w:r>
      <w:r>
        <w:rPr>
          <w:b w:val="0"/>
        </w:rPr>
        <w:t> </w:t>
      </w:r>
      <w:r>
        <w:t>Prohibition orders</w:t>
      </w:r>
    </w:p>
    <w:p>
      <w:pPr>
        <w:pStyle w:val="nzHeading5"/>
      </w:pPr>
      <w:r>
        <w:t>152A.</w:t>
      </w:r>
      <w:r>
        <w:tab/>
        <w:t>Terms used in this Part</w:t>
      </w:r>
    </w:p>
    <w:p>
      <w:pPr>
        <w:pStyle w:val="nzSubsection"/>
      </w:pPr>
      <w:r>
        <w:tab/>
      </w:r>
      <w:r>
        <w:tab/>
        <w:t xml:space="preserve">In this Part — </w:t>
      </w:r>
    </w:p>
    <w:p>
      <w:pPr>
        <w:pStyle w:val="nzDefstart"/>
      </w:pPr>
      <w:r>
        <w:rPr>
          <w:b/>
        </w:rPr>
        <w:tab/>
        <w:t>“</w:t>
      </w:r>
      <w:r>
        <w:rPr>
          <w:rStyle w:val="CharDefText"/>
        </w:rPr>
        <w:t>employed</w:t>
      </w:r>
      <w:r>
        <w:rPr>
          <w:b/>
          <w:bCs/>
        </w:rPr>
        <w:t>”</w:t>
      </w:r>
      <w:r>
        <w:t xml:space="preserve"> includes engaged under a contract for services;</w:t>
      </w:r>
    </w:p>
    <w:p>
      <w:pPr>
        <w:pStyle w:val="nzDefstart"/>
      </w:pPr>
      <w:r>
        <w:rPr>
          <w:b/>
        </w:rPr>
        <w:tab/>
        <w:t>“</w:t>
      </w:r>
      <w:r>
        <w:rPr>
          <w:rStyle w:val="CharDefText"/>
        </w:rPr>
        <w:t>prohibition order</w:t>
      </w:r>
      <w:r>
        <w:rPr>
          <w:b/>
        </w:rPr>
        <w:t>”</w:t>
      </w:r>
      <w:r>
        <w:t xml:space="preserve"> means an order made under section 152E;</w:t>
      </w:r>
    </w:p>
    <w:p>
      <w:pPr>
        <w:pStyle w:val="nzDefstart"/>
      </w:pPr>
      <w:r>
        <w:rPr>
          <w:b/>
        </w:rPr>
        <w:tab/>
        <w:t>“</w:t>
      </w:r>
      <w:r>
        <w:rPr>
          <w:rStyle w:val="CharDefText"/>
        </w:rPr>
        <w:t>relevant person</w:t>
      </w:r>
      <w:r>
        <w:rPr>
          <w:b/>
        </w:rPr>
        <w:t>”</w:t>
      </w:r>
      <w:r>
        <w:t xml:space="preserve"> means the person who, as the case requires, is the subject of — </w:t>
      </w:r>
    </w:p>
    <w:p>
      <w:pPr>
        <w:pStyle w:val="nzDefpara"/>
      </w:pPr>
      <w:r>
        <w:tab/>
        <w:t>(a)</w:t>
      </w:r>
      <w:r>
        <w:tab/>
        <w:t>an application under section 152B; or</w:t>
      </w:r>
    </w:p>
    <w:p>
      <w:pPr>
        <w:pStyle w:val="nzDefpara"/>
      </w:pPr>
      <w:r>
        <w:tab/>
        <w:t>(b)</w:t>
      </w:r>
      <w:r>
        <w:tab/>
        <w:t>a prohibition order;</w:t>
      </w:r>
    </w:p>
    <w:p>
      <w:pPr>
        <w:pStyle w:val="nzDefstart"/>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nzHeading5"/>
      </w:pPr>
      <w:r>
        <w:t>152B.</w:t>
      </w:r>
      <w:r>
        <w:tab/>
        <w:t>Commissioner of Police may apply for prohibition orders</w:t>
      </w:r>
    </w:p>
    <w:p>
      <w:pPr>
        <w:pStyle w:val="nzSubsection"/>
      </w:pPr>
      <w:r>
        <w:tab/>
      </w:r>
      <w:r>
        <w:tab/>
        <w:t xml:space="preserve">The Commissioner of Police may apply in writing to the Director in a form approved by the Director for an order to be made in respect of a person that — </w:t>
      </w:r>
    </w:p>
    <w:p>
      <w:pPr>
        <w:pStyle w:val="nzIndenta"/>
      </w:pPr>
      <w:r>
        <w:tab/>
        <w:t>(a)</w:t>
      </w:r>
      <w:r>
        <w:tab/>
        <w:t>prohibits the relevant person from being employed by a licensee at specified licensed premises, licensed premises of a specified class or any licensed premises; or</w:t>
      </w:r>
    </w:p>
    <w:p>
      <w:pPr>
        <w:pStyle w:val="nzIndenta"/>
      </w:pPr>
      <w:r>
        <w:tab/>
        <w:t>(b)</w:t>
      </w:r>
      <w:r>
        <w:tab/>
        <w:t>prohibits the relevant person from entering specified licensed premises, licensed premises of a specified class or any licensed premises.</w:t>
      </w:r>
    </w:p>
    <w:p>
      <w:pPr>
        <w:pStyle w:val="nzHeading5"/>
      </w:pPr>
      <w:r>
        <w:t>152C.</w:t>
      </w:r>
      <w:r>
        <w:tab/>
        <w:t>Evidence in support of application</w:t>
      </w:r>
    </w:p>
    <w:p>
      <w:pPr>
        <w:pStyle w:val="nzSubsection"/>
      </w:pPr>
      <w:r>
        <w:tab/>
        <w:t>(1)</w:t>
      </w:r>
      <w:r>
        <w:tab/>
        <w:t xml:space="preserve">An application under section 152B is to — </w:t>
      </w:r>
    </w:p>
    <w:p>
      <w:pPr>
        <w:pStyle w:val="nzIndenta"/>
      </w:pPr>
      <w:r>
        <w:tab/>
        <w:t>(a)</w:t>
      </w:r>
      <w:r>
        <w:tab/>
        <w:t>set out the reasons why the Commissioner of Police considers a prohibition order should be made in respect of the relevant person; and</w:t>
      </w:r>
    </w:p>
    <w:p>
      <w:pPr>
        <w:pStyle w:val="nzIndenta"/>
      </w:pPr>
      <w:r>
        <w:tab/>
        <w:t>(b)</w:t>
      </w:r>
      <w:r>
        <w:tab/>
        <w:t>set out any other information and be accompanied by any document that the Commissioner of Police considers relevant to the application.</w:t>
      </w:r>
    </w:p>
    <w:p>
      <w:pPr>
        <w:pStyle w:val="nzSubsection"/>
      </w:pPr>
      <w:r>
        <w:tab/>
        <w:t>(2)</w:t>
      </w:r>
      <w:r>
        <w:tab/>
        <w:t xml:space="preserve">Without limiting subsection (1), the Commissioner of Police is authorised to include in or with the application — </w:t>
      </w:r>
    </w:p>
    <w:p>
      <w:pPr>
        <w:pStyle w:val="nzIndenta"/>
      </w:pPr>
      <w:r>
        <w:tab/>
        <w:t>(a)</w:t>
      </w:r>
      <w:r>
        <w:tab/>
        <w:t>details of any criminal convictions of the relevant person for offences under the law of the Commonwealth or a State or Territory; and</w:t>
      </w:r>
    </w:p>
    <w:p>
      <w:pPr>
        <w:pStyle w:val="nzIndenta"/>
      </w:pPr>
      <w:r>
        <w:tab/>
        <w:t>(b)</w:t>
      </w:r>
      <w:r>
        <w:tab/>
        <w:t>any information that the Commissioner of Police has regarding any involvement, or suspected involvement, of the relevant person in serious and organised crime.</w:t>
      </w:r>
    </w:p>
    <w:p>
      <w:pPr>
        <w:pStyle w:val="nzHeading5"/>
      </w:pPr>
      <w:r>
        <w:t>152D.</w:t>
      </w:r>
      <w:r>
        <w:tab/>
        <w:t>Relevant person to be given notice of application</w:t>
      </w:r>
    </w:p>
    <w:p>
      <w:pPr>
        <w:pStyle w:val="nzSubsection"/>
      </w:pPr>
      <w:r>
        <w:tab/>
        <w:t>(1)</w:t>
      </w:r>
      <w:r>
        <w:tab/>
        <w:t xml:space="preserve">The Director is to give the relevant person a written notice that — </w:t>
      </w:r>
    </w:p>
    <w:p>
      <w:pPr>
        <w:pStyle w:val="nzIndenta"/>
      </w:pPr>
      <w:r>
        <w:tab/>
        <w:t>(a)</w:t>
      </w:r>
      <w:r>
        <w:tab/>
        <w:t>states that the application has been made and explains the proposed effect of the order applied for; and</w:t>
      </w:r>
    </w:p>
    <w:p>
      <w:pPr>
        <w:pStyle w:val="nzIndenta"/>
      </w:pPr>
      <w:r>
        <w:tab/>
        <w:t>(b)</w:t>
      </w:r>
      <w:r>
        <w:tab/>
        <w:t>describes the information and documents provided in support of the application; and</w:t>
      </w:r>
    </w:p>
    <w:p>
      <w:pPr>
        <w:pStyle w:val="nzIndenta"/>
      </w:pPr>
      <w:r>
        <w:tab/>
        <w:t>(c)</w:t>
      </w:r>
      <w:r>
        <w:tab/>
        <w:t>informs the relevant person that he or she will be given a reasonable opportunity to make submissions or to be heard in relation to the application.</w:t>
      </w:r>
    </w:p>
    <w:p>
      <w:pPr>
        <w:pStyle w:val="nzSubsection"/>
      </w:pPr>
      <w:r>
        <w:tab/>
        <w:t>(2)</w:t>
      </w:r>
      <w:r>
        <w:tab/>
        <w:t>Nothing in subsection (1) requires or authorises the Director to disclose confidential police information.</w:t>
      </w:r>
    </w:p>
    <w:p>
      <w:pPr>
        <w:pStyle w:val="nzHeading5"/>
      </w:pPr>
      <w:r>
        <w:t>152E.</w:t>
      </w:r>
      <w:r>
        <w:tab/>
        <w:t>Director may make prohibition orders</w:t>
      </w:r>
    </w:p>
    <w:p>
      <w:pPr>
        <w:pStyle w:val="nzSubsection"/>
      </w:pPr>
      <w:r>
        <w:tab/>
        <w:t>(1)</w:t>
      </w:r>
      <w:r>
        <w:tab/>
        <w:t xml:space="preserve">The Director may dispose of the application — </w:t>
      </w:r>
    </w:p>
    <w:p>
      <w:pPr>
        <w:pStyle w:val="nzIndenta"/>
      </w:pPr>
      <w:r>
        <w:tab/>
        <w:t>(a)</w:t>
      </w:r>
      <w:r>
        <w:tab/>
        <w:t>by making a prohibition order; or</w:t>
      </w:r>
    </w:p>
    <w:p>
      <w:pPr>
        <w:pStyle w:val="nzIndenta"/>
      </w:pPr>
      <w:r>
        <w:tab/>
        <w:t>(b)</w:t>
      </w:r>
      <w:r>
        <w:tab/>
        <w:t>by dismissing the application; or</w:t>
      </w:r>
    </w:p>
    <w:p>
      <w:pPr>
        <w:pStyle w:val="nzIndenta"/>
      </w:pPr>
      <w:r>
        <w:tab/>
        <w:t>(c)</w:t>
      </w:r>
      <w:r>
        <w:tab/>
        <w:t>at the request of the Commissioner of Police — by discontinuing the application.</w:t>
      </w:r>
    </w:p>
    <w:p>
      <w:pPr>
        <w:pStyle w:val="nzSubsection"/>
      </w:pPr>
      <w:r>
        <w:tab/>
        <w:t>(2)</w:t>
      </w:r>
      <w:r>
        <w:tab/>
        <w:t xml:space="preserve">The Director may make a prohibition order that — </w:t>
      </w:r>
    </w:p>
    <w:p>
      <w:pPr>
        <w:pStyle w:val="nzIndenta"/>
      </w:pPr>
      <w:r>
        <w:tab/>
        <w:t>(a)</w:t>
      </w:r>
      <w:r>
        <w:tab/>
        <w:t>prohibits the relevant person from being employed by a licensee at specified licensed premises, licensed premises of a specified class or any licensed premises; or</w:t>
      </w:r>
    </w:p>
    <w:p>
      <w:pPr>
        <w:pStyle w:val="nzIndenta"/>
      </w:pPr>
      <w:r>
        <w:tab/>
        <w:t>(b)</w:t>
      </w:r>
      <w:r>
        <w:tab/>
        <w:t>prohibits the relevant person from entering specified licensed premises, licensed premises of a specified class or any licensed premises.</w:t>
      </w:r>
    </w:p>
    <w:p>
      <w:pPr>
        <w:pStyle w:val="nzSubsection"/>
      </w:pPr>
      <w:r>
        <w:tab/>
        <w:t>(3)</w:t>
      </w:r>
      <w:r>
        <w:tab/>
        <w:t xml:space="preserve">The Director may make a prohibition order only if satisfied that it is in the public interest to do so after — </w:t>
      </w:r>
    </w:p>
    <w:p>
      <w:pPr>
        <w:pStyle w:val="nzIndenta"/>
      </w:pPr>
      <w:r>
        <w:tab/>
        <w:t>(a)</w:t>
      </w:r>
      <w:r>
        <w:tab/>
        <w:t>having given the relevant person a reasonable opportunity to make submissions or to be heard in relation to the application; and</w:t>
      </w:r>
    </w:p>
    <w:p>
      <w:pPr>
        <w:pStyle w:val="nzIndenta"/>
      </w:pPr>
      <w:r>
        <w:tab/>
        <w:t>(b)</w:t>
      </w:r>
      <w:r>
        <w:tab/>
        <w:t xml:space="preserve">having regard to — </w:t>
      </w:r>
    </w:p>
    <w:p>
      <w:pPr>
        <w:pStyle w:val="nzIndenti"/>
      </w:pPr>
      <w:r>
        <w:tab/>
        <w:t>(i)</w:t>
      </w:r>
      <w:r>
        <w:tab/>
        <w:t>any information or document provided by the Commissioner of Police in or with the application; and</w:t>
      </w:r>
    </w:p>
    <w:p>
      <w:pPr>
        <w:pStyle w:val="nzIndenti"/>
      </w:pPr>
      <w:r>
        <w:tab/>
        <w:t>(ii)</w:t>
      </w:r>
      <w:r>
        <w:tab/>
        <w:t>any information or document provided by the relevant person under paragraph (a).</w:t>
      </w:r>
    </w:p>
    <w:p>
      <w:pPr>
        <w:pStyle w:val="nzSubsection"/>
      </w:pPr>
      <w:r>
        <w:tab/>
        <w:t>(4)</w:t>
      </w:r>
      <w:r>
        <w:tab/>
        <w:t>A prohibition order has effect subject to such terms or conditions as the Director thinks fit and specifies in the order.</w:t>
      </w:r>
    </w:p>
    <w:p>
      <w:pPr>
        <w:pStyle w:val="nzHeading5"/>
      </w:pPr>
      <w:r>
        <w:t>152F.</w:t>
      </w:r>
      <w:r>
        <w:tab/>
        <w:t>Term of prohibition orders</w:t>
      </w:r>
    </w:p>
    <w:p>
      <w:pPr>
        <w:pStyle w:val="nzSubsection"/>
      </w:pPr>
      <w:r>
        <w:tab/>
        <w:t>(1)</w:t>
      </w:r>
      <w:r>
        <w:tab/>
        <w:t>The Director is to specify in a prohibition order the term for which the prohibition order remains in force.</w:t>
      </w:r>
    </w:p>
    <w:p>
      <w:pPr>
        <w:pStyle w:val="nzSubsection"/>
      </w:pPr>
      <w:r>
        <w:tab/>
        <w:t>(2)</w:t>
      </w:r>
      <w:r>
        <w:tab/>
        <w:t>The term cannot be more than 5 years or, for a prohibition order in respect of a juvenile, more than 2 years, after it is made, but an application may be made for a further prohibition order.</w:t>
      </w:r>
    </w:p>
    <w:p>
      <w:pPr>
        <w:pStyle w:val="nzHeading5"/>
      </w:pPr>
      <w:r>
        <w:t>152G.</w:t>
      </w:r>
      <w:r>
        <w:tab/>
        <w:t>Applications to vary or revoke prohibition orders</w:t>
      </w:r>
    </w:p>
    <w:p>
      <w:pPr>
        <w:pStyle w:val="nzSubsection"/>
      </w:pPr>
      <w:r>
        <w:tab/>
        <w:t>(1)</w:t>
      </w:r>
      <w:r>
        <w:tab/>
        <w:t>The Commissioner of Police or the relevant person may apply in writing to the Director in a form approved by the Director for an order varying or revoking a prohibition order.</w:t>
      </w:r>
    </w:p>
    <w:p>
      <w:pPr>
        <w:pStyle w:val="nzSubsection"/>
      </w:pPr>
      <w:r>
        <w:tab/>
        <w:t>(2)</w:t>
      </w:r>
      <w:r>
        <w:tab/>
        <w:t xml:space="preserve">If the application is made — </w:t>
      </w:r>
    </w:p>
    <w:p>
      <w:pPr>
        <w:pStyle w:val="nzIndenta"/>
      </w:pPr>
      <w:r>
        <w:tab/>
        <w:t>(a)</w:t>
      </w:r>
      <w:r>
        <w:tab/>
        <w:t>by the Commissioner of Police, the relevant person is the respondent; or</w:t>
      </w:r>
    </w:p>
    <w:p>
      <w:pPr>
        <w:pStyle w:val="nzIndenta"/>
      </w:pPr>
      <w:r>
        <w:tab/>
        <w:t>(b)</w:t>
      </w:r>
      <w:r>
        <w:tab/>
        <w:t>by the relevant person, the Commissioner of Police is the respondent.</w:t>
      </w:r>
    </w:p>
    <w:p>
      <w:pPr>
        <w:pStyle w:val="nzHeading5"/>
      </w:pPr>
      <w:r>
        <w:t>152H.</w:t>
      </w:r>
      <w:r>
        <w:tab/>
        <w:t>Evidence in support of application</w:t>
      </w:r>
    </w:p>
    <w:p>
      <w:pPr>
        <w:pStyle w:val="nzSubsection"/>
      </w:pPr>
      <w:r>
        <w:tab/>
      </w:r>
      <w:r>
        <w:tab/>
        <w:t xml:space="preserve">The application is to — </w:t>
      </w:r>
    </w:p>
    <w:p>
      <w:pPr>
        <w:pStyle w:val="nzIndenta"/>
      </w:pPr>
      <w:r>
        <w:tab/>
        <w:t>(a)</w:t>
      </w:r>
      <w:r>
        <w:tab/>
        <w:t>set out the reasons why the applicant considers a prohibition order should be varied or revoked; and</w:t>
      </w:r>
    </w:p>
    <w:p>
      <w:pPr>
        <w:pStyle w:val="nzIndenta"/>
      </w:pPr>
      <w:r>
        <w:tab/>
        <w:t>(b)</w:t>
      </w:r>
      <w:r>
        <w:tab/>
        <w:t>set out any other information and be accompanied by any document that the applicant considers relevant to the application.</w:t>
      </w:r>
    </w:p>
    <w:p>
      <w:pPr>
        <w:pStyle w:val="nzHeading5"/>
      </w:pPr>
      <w:r>
        <w:t>152I.</w:t>
      </w:r>
      <w:r>
        <w:tab/>
        <w:t>Respondent to be given notice of application</w:t>
      </w:r>
    </w:p>
    <w:p>
      <w:pPr>
        <w:pStyle w:val="nzSubsection"/>
        <w:outlineLvl w:val="0"/>
      </w:pPr>
      <w:r>
        <w:tab/>
        <w:t>(1)</w:t>
      </w:r>
      <w:r>
        <w:tab/>
        <w:t xml:space="preserve">The Director is to give the respondent a written notice that — </w:t>
      </w:r>
    </w:p>
    <w:p>
      <w:pPr>
        <w:pStyle w:val="nzIndenta"/>
      </w:pPr>
      <w:r>
        <w:tab/>
        <w:t>(a)</w:t>
      </w:r>
      <w:r>
        <w:tab/>
        <w:t>states that the application has been made and explains the proposed effect of the order applied for; and</w:t>
      </w:r>
    </w:p>
    <w:p>
      <w:pPr>
        <w:pStyle w:val="nzIndenta"/>
      </w:pPr>
      <w:r>
        <w:tab/>
        <w:t>(b)</w:t>
      </w:r>
      <w:r>
        <w:tab/>
        <w:t>describes the information and documents provided in support of the application; and</w:t>
      </w:r>
    </w:p>
    <w:p>
      <w:pPr>
        <w:pStyle w:val="nzIndenta"/>
      </w:pPr>
      <w:r>
        <w:tab/>
        <w:t>(c)</w:t>
      </w:r>
      <w:r>
        <w:tab/>
        <w:t>informs the respondent that he or she will be given a reasonable opportunity to make submissions or to be heard in relation to the application.</w:t>
      </w:r>
    </w:p>
    <w:p>
      <w:pPr>
        <w:pStyle w:val="nzSubsection"/>
        <w:outlineLvl w:val="0"/>
      </w:pPr>
      <w:r>
        <w:tab/>
        <w:t>(2)</w:t>
      </w:r>
      <w:r>
        <w:tab/>
        <w:t>Nothing in subsection (1) requires or authorises the Director to disclose confidential police information.</w:t>
      </w:r>
    </w:p>
    <w:p>
      <w:pPr>
        <w:pStyle w:val="nzHeading5"/>
      </w:pPr>
      <w:r>
        <w:t>152J.</w:t>
      </w:r>
      <w:r>
        <w:tab/>
        <w:t>Director may vary or revoke prohibition orders</w:t>
      </w:r>
    </w:p>
    <w:p>
      <w:pPr>
        <w:pStyle w:val="nzSubsection"/>
        <w:outlineLvl w:val="0"/>
      </w:pPr>
      <w:r>
        <w:tab/>
        <w:t>(1)</w:t>
      </w:r>
      <w:r>
        <w:tab/>
        <w:t xml:space="preserve">The Director may dispose of the application — </w:t>
      </w:r>
    </w:p>
    <w:p>
      <w:pPr>
        <w:pStyle w:val="nzIndenta"/>
      </w:pPr>
      <w:r>
        <w:tab/>
        <w:t>(a)</w:t>
      </w:r>
      <w:r>
        <w:tab/>
        <w:t>by making an order that varies or revokes a prohibition order; or</w:t>
      </w:r>
    </w:p>
    <w:p>
      <w:pPr>
        <w:pStyle w:val="nzIndenta"/>
      </w:pPr>
      <w:r>
        <w:tab/>
        <w:t>(b)</w:t>
      </w:r>
      <w:r>
        <w:tab/>
        <w:t>by dismissing the application; or</w:t>
      </w:r>
    </w:p>
    <w:p>
      <w:pPr>
        <w:pStyle w:val="nzIndenta"/>
      </w:pPr>
      <w:r>
        <w:tab/>
        <w:t>(c)</w:t>
      </w:r>
      <w:r>
        <w:tab/>
        <w:t>at the request of the applicant — by discontinuing the application.</w:t>
      </w:r>
    </w:p>
    <w:p>
      <w:pPr>
        <w:pStyle w:val="nzSubsection"/>
        <w:outlineLvl w:val="0"/>
      </w:pPr>
      <w:r>
        <w:tab/>
        <w:t>(2)</w:t>
      </w:r>
      <w:r>
        <w:tab/>
        <w:t xml:space="preserve">The Director may make an order varying or revoking a prohibition order only if satisfied that it is in the public interest to do so — </w:t>
      </w:r>
    </w:p>
    <w:p>
      <w:pPr>
        <w:pStyle w:val="nzIndenta"/>
      </w:pPr>
      <w:r>
        <w:tab/>
        <w:t>(a)</w:t>
      </w:r>
      <w:r>
        <w:tab/>
        <w:t>having given the respondent a reasonable opportunity to make submissions or to be heard in relation to the application; and</w:t>
      </w:r>
    </w:p>
    <w:p>
      <w:pPr>
        <w:pStyle w:val="nzIndenta"/>
      </w:pPr>
      <w:r>
        <w:tab/>
        <w:t>(b)</w:t>
      </w:r>
      <w:r>
        <w:tab/>
        <w:t xml:space="preserve">having regard to — </w:t>
      </w:r>
    </w:p>
    <w:p>
      <w:pPr>
        <w:pStyle w:val="nzIndenti"/>
      </w:pPr>
      <w:r>
        <w:tab/>
        <w:t>(i)</w:t>
      </w:r>
      <w:r>
        <w:tab/>
        <w:t>any information or document provided by the applicant in or with the application; and</w:t>
      </w:r>
    </w:p>
    <w:p>
      <w:pPr>
        <w:pStyle w:val="nzIndenti"/>
      </w:pPr>
      <w:r>
        <w:tab/>
        <w:t>(ii)</w:t>
      </w:r>
      <w:r>
        <w:tab/>
        <w:t>any information or document provided by the respondent under paragraph (a).</w:t>
      </w:r>
    </w:p>
    <w:p>
      <w:pPr>
        <w:pStyle w:val="nzHeading5"/>
      </w:pPr>
      <w:r>
        <w:t>152K.</w:t>
      </w:r>
      <w:r>
        <w:tab/>
        <w:t>Notification of orders</w:t>
      </w:r>
    </w:p>
    <w:p>
      <w:pPr>
        <w:pStyle w:val="nzSubsection"/>
      </w:pPr>
      <w:r>
        <w:tab/>
        <w:t>(1)</w:t>
      </w:r>
      <w:r>
        <w:tab/>
        <w:t xml:space="preserve">If the Director makes a prohibition order, the Director is to give a copy of the order — </w:t>
      </w:r>
    </w:p>
    <w:p>
      <w:pPr>
        <w:pStyle w:val="nzIndenta"/>
      </w:pPr>
      <w:r>
        <w:tab/>
        <w:t>(a)</w:t>
      </w:r>
      <w:r>
        <w:tab/>
        <w:t>to the relevant person; and</w:t>
      </w:r>
    </w:p>
    <w:p>
      <w:pPr>
        <w:pStyle w:val="nzIndenta"/>
      </w:pPr>
      <w:r>
        <w:tab/>
        <w:t>(b)</w:t>
      </w:r>
      <w:r>
        <w:tab/>
        <w:t>if the order is made under section 152E(2)(a) and the Director is aware that the relevant person is employed by a licensee at licensed premises to which the order applies — to the licensee.</w:t>
      </w:r>
    </w:p>
    <w:p>
      <w:pPr>
        <w:pStyle w:val="nzSubsection"/>
      </w:pPr>
      <w:r>
        <w:tab/>
        <w:t>(2)</w:t>
      </w:r>
      <w:r>
        <w:tab/>
        <w:t>If the Director makes an order varying or revoking a prohibition order, the Director is to give a copy of the order to the applicant and the respondent.</w:t>
      </w:r>
    </w:p>
    <w:p>
      <w:pPr>
        <w:pStyle w:val="nzHeading5"/>
      </w:pPr>
      <w:r>
        <w:t>152L.</w:t>
      </w:r>
      <w:r>
        <w:tab/>
        <w:t>Failure to comply with orders</w:t>
      </w:r>
    </w:p>
    <w:p>
      <w:pPr>
        <w:pStyle w:val="nzSubsection"/>
      </w:pPr>
      <w:r>
        <w:tab/>
        <w:t>(1)</w:t>
      </w:r>
      <w:r>
        <w:tab/>
        <w:t>A person given a copy of a prohibition order under section 152K(1)(a) who fails, without reasonable excuse, to comply with the order commits an offence.</w:t>
      </w:r>
    </w:p>
    <w:p>
      <w:pPr>
        <w:pStyle w:val="nzPenstart"/>
      </w:pPr>
      <w:r>
        <w:tab/>
        <w:t>Penalty: $10 000.</w:t>
      </w:r>
    </w:p>
    <w:p>
      <w:pPr>
        <w:pStyle w:val="nzSubsection"/>
      </w:pPr>
      <w:r>
        <w:tab/>
        <w:t>(2)</w:t>
      </w:r>
      <w:r>
        <w:tab/>
        <w:t>A person given a copy of a prohibition order under section 152K(1)(b) who continues, without reasonable excuse, to employ the relevant person, commits an offence.</w:t>
      </w:r>
    </w:p>
    <w:p>
      <w:pPr>
        <w:pStyle w:val="nzPenstart"/>
      </w:pPr>
      <w:r>
        <w:tab/>
        <w:t>Penalty: $10 000.</w:t>
      </w:r>
    </w:p>
    <w:p>
      <w:pPr>
        <w:pStyle w:val="MiscClose"/>
      </w:pPr>
      <w:r>
        <w:t xml:space="preserve">    ”.</w:t>
      </w:r>
    </w:p>
    <w:p>
      <w:pPr>
        <w:pStyle w:val="nzHeading5"/>
        <w:outlineLvl w:val="0"/>
      </w:pPr>
      <w:r>
        <w:rPr>
          <w:rStyle w:val="CharSectno"/>
        </w:rPr>
        <w:t>98</w:t>
      </w:r>
      <w:r>
        <w:t>.</w:t>
      </w:r>
      <w:r>
        <w:tab/>
        <w:t>Section 155 amended</w:t>
      </w:r>
    </w:p>
    <w:p>
      <w:pPr>
        <w:pStyle w:val="nzSubsection"/>
      </w:pPr>
      <w:r>
        <w:tab/>
      </w:r>
      <w:r>
        <w:tab/>
        <w:t xml:space="preserve">After section 155(5) the following subsection is inserted — </w:t>
      </w:r>
    </w:p>
    <w:p>
      <w:pPr>
        <w:pStyle w:val="MiscOpen"/>
        <w:ind w:left="600"/>
      </w:pPr>
      <w:r>
        <w:t xml:space="preserve">“    </w:t>
      </w:r>
    </w:p>
    <w:p>
      <w:pPr>
        <w:pStyle w:val="nzSubsection"/>
      </w:pPr>
      <w:r>
        <w:tab/>
        <w:t>(6)</w:t>
      </w:r>
      <w:r>
        <w:tab/>
        <w:t xml:space="preserve">Despite subsections (4) and (5) — </w:t>
      </w:r>
    </w:p>
    <w:p>
      <w:pPr>
        <w:pStyle w:val="nz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nzIndenta"/>
      </w:pPr>
      <w:r>
        <w:tab/>
        <w:t>(b)</w:t>
      </w:r>
      <w:r>
        <w:tab/>
        <w:t>if a person is otherwise consuming liquor contrary to section 119, a member of the Police Force may seize and, as soon as is practicable, dispose of any opened container of liquor that is in the possession of the person.</w:t>
      </w:r>
    </w:p>
    <w:p>
      <w:pPr>
        <w:pStyle w:val="MiscClose"/>
      </w:pPr>
      <w:r>
        <w:t xml:space="preserve">    ”.</w:t>
      </w:r>
    </w:p>
    <w:p>
      <w:pPr>
        <w:pStyle w:val="nzHeading5"/>
        <w:outlineLvl w:val="0"/>
      </w:pPr>
      <w:r>
        <w:rPr>
          <w:rStyle w:val="CharSectno"/>
        </w:rPr>
        <w:t>99</w:t>
      </w:r>
      <w:r>
        <w:t>.</w:t>
      </w:r>
      <w:r>
        <w:tab/>
        <w:t>Section 165 amended</w:t>
      </w:r>
    </w:p>
    <w:p>
      <w:pPr>
        <w:pStyle w:val="nzSubsection"/>
      </w:pPr>
      <w:r>
        <w:tab/>
      </w:r>
      <w:r>
        <w:tab/>
        <w:t xml:space="preserve">After section 165(3) the following subsection is inserted — </w:t>
      </w:r>
    </w:p>
    <w:p>
      <w:pPr>
        <w:pStyle w:val="MiscOpen"/>
        <w:ind w:left="600"/>
      </w:pPr>
      <w:r>
        <w:t xml:space="preserve">“    </w:t>
      </w:r>
    </w:p>
    <w:p>
      <w:pPr>
        <w:pStyle w:val="nzSubsection"/>
        <w:outlineLvl w:val="0"/>
      </w:pPr>
      <w:r>
        <w:tab/>
        <w:t>(4)</w:t>
      </w:r>
      <w:r>
        <w:tab/>
        <w:t xml:space="preserve">In this section — </w:t>
      </w:r>
    </w:p>
    <w:p>
      <w:pPr>
        <w:pStyle w:val="nzDefstart"/>
      </w:pPr>
      <w:r>
        <w:rPr>
          <w:b/>
        </w:rPr>
        <w:tab/>
        <w:t>“</w:t>
      </w:r>
      <w:r>
        <w:rPr>
          <w:rStyle w:val="CharDefText"/>
        </w:rPr>
        <w:t>employee</w:t>
      </w:r>
      <w:r>
        <w:rPr>
          <w:b/>
        </w:rPr>
        <w:t>”</w:t>
      </w:r>
      <w:r>
        <w:rPr>
          <w:bCs/>
        </w:rPr>
        <w:t>, of the licensee,</w:t>
      </w:r>
      <w:r>
        <w:t xml:space="preserve"> includes — </w:t>
      </w:r>
    </w:p>
    <w:p>
      <w:pPr>
        <w:pStyle w:val="nzDefpara"/>
      </w:pPr>
      <w:r>
        <w:tab/>
        <w:t>(a)</w:t>
      </w:r>
      <w:r>
        <w:tab/>
        <w:t>a person engaged under a contract for services by the licensee; and</w:t>
      </w:r>
    </w:p>
    <w:p>
      <w:pPr>
        <w:pStyle w:val="nz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MiscClose"/>
      </w:pPr>
      <w:r>
        <w:t xml:space="preserve">    ”.</w:t>
      </w:r>
    </w:p>
    <w:p>
      <w:pPr>
        <w:pStyle w:val="nzHeading5"/>
        <w:outlineLvl w:val="0"/>
      </w:pPr>
      <w:r>
        <w:rPr>
          <w:rStyle w:val="CharSectno"/>
        </w:rPr>
        <w:t>100</w:t>
      </w:r>
      <w:r>
        <w:t>.</w:t>
      </w:r>
      <w:r>
        <w:tab/>
        <w:t>Section 167 amended</w:t>
      </w:r>
    </w:p>
    <w:p>
      <w:pPr>
        <w:pStyle w:val="nzSubsection"/>
      </w:pPr>
      <w:r>
        <w:tab/>
      </w:r>
      <w:r>
        <w:tab/>
        <w:t>Section 167(5a) is repealed.</w:t>
      </w:r>
    </w:p>
    <w:p>
      <w:pPr>
        <w:pStyle w:val="nzHeading5"/>
        <w:outlineLvl w:val="0"/>
      </w:pPr>
      <w:r>
        <w:rPr>
          <w:rStyle w:val="CharSectno"/>
        </w:rPr>
        <w:t>101</w:t>
      </w:r>
      <w:r>
        <w:t>.</w:t>
      </w:r>
      <w:r>
        <w:tab/>
        <w:t>Section 172 amended</w:t>
      </w:r>
    </w:p>
    <w:p>
      <w:pPr>
        <w:pStyle w:val="nzSubsection"/>
      </w:pPr>
      <w:r>
        <w:tab/>
      </w:r>
      <w:r>
        <w:tab/>
        <w:t xml:space="preserve">Section 172(6)(a) is amended by deleting “judge,” and inserting instead — </w:t>
      </w:r>
    </w:p>
    <w:p>
      <w:pPr>
        <w:pStyle w:val="nzSubsection"/>
      </w:pPr>
      <w:r>
        <w:tab/>
      </w:r>
      <w:r>
        <w:tab/>
        <w:t>“    chairperson or any other member of the Commission,    ”.</w:t>
      </w:r>
    </w:p>
    <w:p>
      <w:pPr>
        <w:pStyle w:val="nzHeading5"/>
        <w:outlineLvl w:val="0"/>
      </w:pPr>
      <w:r>
        <w:rPr>
          <w:rStyle w:val="CharSectno"/>
        </w:rPr>
        <w:t>102</w:t>
      </w:r>
      <w:r>
        <w:t>.</w:t>
      </w:r>
      <w:r>
        <w:tab/>
        <w:t>Section 175 amended</w:t>
      </w:r>
    </w:p>
    <w:p>
      <w:pPr>
        <w:pStyle w:val="nzSubsection"/>
        <w:outlineLvl w:val="0"/>
      </w:pPr>
      <w:r>
        <w:tab/>
        <w:t>(1)</w:t>
      </w:r>
      <w:r>
        <w:tab/>
        <w:t xml:space="preserve">After section 175(1) the following subsections are inserted — </w:t>
      </w:r>
    </w:p>
    <w:p>
      <w:pPr>
        <w:pStyle w:val="MiscOpen"/>
        <w:ind w:left="600"/>
      </w:pPr>
      <w:r>
        <w:t xml:space="preserve">“    </w:t>
      </w:r>
    </w:p>
    <w:p>
      <w:pPr>
        <w:pStyle w:val="nzSubsection"/>
      </w:pPr>
      <w:r>
        <w:tab/>
        <w:t>(1a)</w:t>
      </w:r>
      <w:r>
        <w:tab/>
        <w:t xml:space="preserve">The Governor, on the recommendation of the Minister, may make regulations for any or all of the following purposes — </w:t>
      </w:r>
    </w:p>
    <w:p>
      <w:pPr>
        <w:pStyle w:val="nzIndenta"/>
      </w:pPr>
      <w:r>
        <w:tab/>
        <w:t>(a)</w:t>
      </w:r>
      <w:r>
        <w:tab/>
        <w:t>declaring an area of the State specified in the regulations to be a restricted area;</w:t>
      </w:r>
    </w:p>
    <w:p>
      <w:pPr>
        <w:pStyle w:val="nzIndenta"/>
      </w:pPr>
      <w:r>
        <w:tab/>
        <w:t>(b)</w:t>
      </w:r>
      <w:r>
        <w:tab/>
        <w:t xml:space="preserve">restricting or prohibiting — </w:t>
      </w:r>
    </w:p>
    <w:p>
      <w:pPr>
        <w:pStyle w:val="nzIndenti"/>
      </w:pPr>
      <w:r>
        <w:tab/>
        <w:t>(i)</w:t>
      </w:r>
      <w:r>
        <w:tab/>
        <w:t>the bringing of liquor into the restricted area; or</w:t>
      </w:r>
    </w:p>
    <w:p>
      <w:pPr>
        <w:pStyle w:val="nzIndenti"/>
      </w:pPr>
      <w:r>
        <w:tab/>
        <w:t>(ii)</w:t>
      </w:r>
      <w:r>
        <w:tab/>
        <w:t>the possession of liquor in the restricted area; or</w:t>
      </w:r>
    </w:p>
    <w:p>
      <w:pPr>
        <w:pStyle w:val="nzIndenti"/>
      </w:pPr>
      <w:r>
        <w:tab/>
        <w:t>(iii)</w:t>
      </w:r>
      <w:r>
        <w:tab/>
        <w:t>the consumption of liquor in the restricted area;</w:t>
      </w:r>
    </w:p>
    <w:p>
      <w:pPr>
        <w:pStyle w:val="nz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nzSubsection"/>
      </w:pPr>
      <w:r>
        <w:tab/>
        <w:t>(1b)</w:t>
      </w:r>
      <w:r>
        <w:tab/>
        <w:t xml:space="preserve">The Minister may recommend the making of regulations under subsection (1a) only if, after consultation with — </w:t>
      </w:r>
    </w:p>
    <w:p>
      <w:pPr>
        <w:pStyle w:val="nzIndenta"/>
      </w:pPr>
      <w:r>
        <w:tab/>
        <w:t>(a)</w:t>
      </w:r>
      <w:r>
        <w:tab/>
        <w:t>the Commissioner of Police; and</w:t>
      </w:r>
    </w:p>
    <w:p>
      <w:pPr>
        <w:pStyle w:val="nzIndenta"/>
      </w:pPr>
      <w:r>
        <w:tab/>
        <w:t>(b)</w:t>
      </w:r>
      <w:r>
        <w:tab/>
        <w:t>each local government in the district of which any part of the proposed restricted area would be situated; and</w:t>
      </w:r>
    </w:p>
    <w:p>
      <w:pPr>
        <w:pStyle w:val="nzIndenta"/>
      </w:pPr>
      <w:r>
        <w:tab/>
        <w:t>(c)</w:t>
      </w:r>
      <w:r>
        <w:tab/>
        <w:t>any other person the Minister considers it appropriate to consult,</w:t>
      </w:r>
    </w:p>
    <w:p>
      <w:pPr>
        <w:pStyle w:val="nzSubsection"/>
      </w:pPr>
      <w:r>
        <w:tab/>
      </w:r>
      <w:r>
        <w:tab/>
        <w:t>the Minister is satisfied that the regulations are in the public interest.</w:t>
      </w:r>
    </w:p>
    <w:p>
      <w:pPr>
        <w:pStyle w:val="nzSubsection"/>
      </w:pPr>
      <w:r>
        <w:tab/>
        <w:t>(1c)</w:t>
      </w:r>
      <w:r>
        <w:tab/>
        <w:t>Regulations made under subsection (1a) must state the period during which the regulations are to have effect.</w:t>
      </w:r>
    </w:p>
    <w:p>
      <w:pPr>
        <w:pStyle w:val="nzSubsection"/>
      </w:pPr>
      <w:r>
        <w:tab/>
        <w:t>(1d)</w:t>
      </w:r>
      <w:r>
        <w:tab/>
        <w:t>Regulations made under subsection (1a) expire at the end of the period referred to in subsection (1c).</w:t>
      </w:r>
    </w:p>
    <w:p>
      <w:pPr>
        <w:pStyle w:val="MiscClose"/>
      </w:pPr>
      <w:r>
        <w:t xml:space="preserve">    ”.</w:t>
      </w:r>
    </w:p>
    <w:p>
      <w:pPr>
        <w:pStyle w:val="nzSubsection"/>
        <w:outlineLvl w:val="0"/>
      </w:pPr>
      <w:r>
        <w:tab/>
        <w:t>(2)</w:t>
      </w:r>
      <w:r>
        <w:tab/>
        <w:t>Section 175(2) is amended as follows:</w:t>
      </w:r>
    </w:p>
    <w:p>
      <w:pPr>
        <w:pStyle w:val="nzIndenta"/>
      </w:pPr>
      <w:r>
        <w:tab/>
        <w:t>(a)</w:t>
      </w:r>
      <w:r>
        <w:tab/>
        <w:t xml:space="preserve">in paragraph (a), by deleting “$2 000;” and inserting instead — </w:t>
      </w:r>
    </w:p>
    <w:p>
      <w:pPr>
        <w:pStyle w:val="nzIndenta"/>
      </w:pPr>
      <w:r>
        <w:tab/>
      </w:r>
      <w:r>
        <w:tab/>
        <w:t>“    $5 000;    ”;</w:t>
      </w:r>
    </w:p>
    <w:p>
      <w:pPr>
        <w:pStyle w:val="nzIndenta"/>
      </w:pPr>
      <w:r>
        <w:tab/>
        <w:t>(b)</w:t>
      </w:r>
      <w:r>
        <w:tab/>
        <w:t xml:space="preserve">in paragraph (b), by deleting “$500.” and inserting instead — </w:t>
      </w:r>
    </w:p>
    <w:p>
      <w:pPr>
        <w:pStyle w:val="nzIndenta"/>
      </w:pPr>
      <w:r>
        <w:tab/>
      </w:r>
      <w:r>
        <w:tab/>
        <w:t>“    $2 000.    ”.</w:t>
      </w:r>
    </w:p>
    <w:p>
      <w:pPr>
        <w:pStyle w:val="nzHeading5"/>
        <w:outlineLvl w:val="0"/>
      </w:pPr>
      <w:r>
        <w:rPr>
          <w:rStyle w:val="CharSectno"/>
        </w:rPr>
        <w:t>103</w:t>
      </w:r>
      <w:r>
        <w:t>.</w:t>
      </w:r>
      <w:r>
        <w:tab/>
        <w:t>Section 177A inserted</w:t>
      </w:r>
    </w:p>
    <w:p>
      <w:pPr>
        <w:pStyle w:val="nzSubsection"/>
      </w:pPr>
      <w:r>
        <w:tab/>
      </w:r>
      <w:r>
        <w:tab/>
        <w:t xml:space="preserve">After section 177 the following section is inserted — </w:t>
      </w:r>
    </w:p>
    <w:p>
      <w:pPr>
        <w:pStyle w:val="MiscOpen"/>
        <w:spacing w:before="60"/>
      </w:pPr>
      <w:r>
        <w:t xml:space="preserve">“    </w:t>
      </w:r>
    </w:p>
    <w:p>
      <w:pPr>
        <w:pStyle w:val="nzHeading5"/>
      </w:pPr>
      <w:r>
        <w:t>177A.</w:t>
      </w:r>
      <w:r>
        <w:tab/>
        <w:t xml:space="preserve">Transitional provisions relating to the </w:t>
      </w:r>
      <w:r>
        <w:rPr>
          <w:i/>
          <w:iCs/>
        </w:rPr>
        <w:t>Liquor and Gaming Legislation Amendment Act 2006</w:t>
      </w:r>
    </w:p>
    <w:p>
      <w:pPr>
        <w:pStyle w:val="nzSubsection"/>
      </w:pPr>
      <w:r>
        <w:tab/>
      </w:r>
      <w:r>
        <w:tab/>
        <w:t xml:space="preserve">Schedule 1A sets out transitional provisions relating to amendments made to this Act by the </w:t>
      </w:r>
      <w:r>
        <w:rPr>
          <w:i/>
          <w:iCs/>
        </w:rPr>
        <w:t>Liquor and Gaming Legislation Amendment Act 2006</w:t>
      </w:r>
      <w:r>
        <w:t>.</w:t>
      </w:r>
    </w:p>
    <w:p>
      <w:pPr>
        <w:pStyle w:val="MiscClose"/>
      </w:pPr>
      <w:r>
        <w:t xml:space="preserve">    ”.</w:t>
      </w:r>
    </w:p>
    <w:p>
      <w:pPr>
        <w:pStyle w:val="nzHeading5"/>
        <w:outlineLvl w:val="0"/>
      </w:pPr>
      <w:r>
        <w:rPr>
          <w:rStyle w:val="CharSectno"/>
        </w:rPr>
        <w:t>104</w:t>
      </w:r>
      <w:r>
        <w:t>.</w:t>
      </w:r>
      <w:r>
        <w:tab/>
        <w:t>Schedule 1A inserted</w:t>
      </w:r>
    </w:p>
    <w:p>
      <w:pPr>
        <w:pStyle w:val="nzSubsection"/>
      </w:pPr>
      <w:r>
        <w:tab/>
      </w:r>
      <w:r>
        <w:tab/>
        <w:t xml:space="preserve">After Schedule 1 the following Schedule is inserted — </w:t>
      </w:r>
    </w:p>
    <w:p>
      <w:pPr>
        <w:pStyle w:val="MiscOpen"/>
        <w:spacing w:before="60"/>
      </w:pPr>
      <w:r>
        <w:t xml:space="preserve">“    </w:t>
      </w:r>
    </w:p>
    <w:p>
      <w:pPr>
        <w:pStyle w:val="nzHeading2"/>
      </w:pPr>
      <w:r>
        <w:t xml:space="preserve">Schedule 1A — Transitional provisions relating to the </w:t>
      </w:r>
      <w:r>
        <w:rPr>
          <w:i/>
          <w:iCs/>
        </w:rPr>
        <w:t>Liquor and Gaming Legislation Amendment Act 2006</w:t>
      </w:r>
    </w:p>
    <w:p>
      <w:pPr>
        <w:pStyle w:val="nzMiscellaneousBody"/>
        <w:jc w:val="right"/>
      </w:pPr>
      <w:r>
        <w:t>[s. 177A]</w:t>
      </w:r>
    </w:p>
    <w:p>
      <w:pPr>
        <w:pStyle w:val="nzHeading5"/>
        <w:outlineLvl w:val="0"/>
      </w:pPr>
      <w:r>
        <w:t>1.</w:t>
      </w:r>
      <w:r>
        <w:rPr>
          <w:b w:val="0"/>
        </w:rPr>
        <w:tab/>
      </w:r>
      <w:r>
        <w:t>Terms used in this Schedule</w:t>
      </w:r>
    </w:p>
    <w:p>
      <w:pPr>
        <w:pStyle w:val="nzSubsection"/>
      </w:pPr>
      <w:r>
        <w:tab/>
      </w:r>
      <w:r>
        <w:tab/>
        <w:t xml:space="preserve">In this Schedule, unless the context otherwise requires — </w:t>
      </w:r>
    </w:p>
    <w:p>
      <w:pPr>
        <w:pStyle w:val="nzDefstart"/>
      </w:pPr>
      <w:r>
        <w:tab/>
      </w:r>
      <w:r>
        <w:rPr>
          <w:b/>
        </w:rPr>
        <w:t>“</w:t>
      </w:r>
      <w:r>
        <w:rPr>
          <w:rStyle w:val="CharDefText"/>
        </w:rPr>
        <w:t>commencement day</w:t>
      </w:r>
      <w:r>
        <w:rPr>
          <w:b/>
        </w:rPr>
        <w:t>”</w:t>
      </w:r>
      <w:r>
        <w:t xml:space="preserve"> means the day on which the </w:t>
      </w:r>
      <w:r>
        <w:rPr>
          <w:i/>
          <w:iCs/>
        </w:rPr>
        <w:t>Liquor and Gaming Legislation Amendment Act 2006</w:t>
      </w:r>
      <w:r>
        <w:t xml:space="preserve"> section 103 comes into operation;</w:t>
      </w:r>
    </w:p>
    <w:p>
      <w:pPr>
        <w:pStyle w:val="nzDefstart"/>
      </w:pPr>
      <w:r>
        <w:tab/>
      </w:r>
      <w:r>
        <w:rPr>
          <w:b/>
        </w:rPr>
        <w:t>“</w:t>
      </w:r>
      <w:r>
        <w:rPr>
          <w:rStyle w:val="CharDefText"/>
        </w:rPr>
        <w:t>Court</w:t>
      </w:r>
      <w:r>
        <w:rPr>
          <w:b/>
        </w:rPr>
        <w:t>”</w:t>
      </w:r>
      <w:r>
        <w:t xml:space="preserve"> means the Liquor Licensing Court preserved and continued under section 8 of the former Act;</w:t>
      </w:r>
    </w:p>
    <w:p>
      <w:pPr>
        <w:pStyle w:val="nzDefstart"/>
      </w:pPr>
      <w:r>
        <w:tab/>
      </w:r>
      <w:r>
        <w:rPr>
          <w:b/>
        </w:rPr>
        <w:t>“</w:t>
      </w:r>
      <w:r>
        <w:rPr>
          <w:rStyle w:val="CharDefText"/>
        </w:rPr>
        <w:t>former Act</w:t>
      </w:r>
      <w:r>
        <w:rPr>
          <w:b/>
        </w:rPr>
        <w:t>”</w:t>
      </w:r>
      <w:r>
        <w:t xml:space="preserve"> means this Act as in force immediately before the commencement day;</w:t>
      </w:r>
    </w:p>
    <w:p>
      <w:pPr>
        <w:pStyle w:val="nzDefstart"/>
      </w:pPr>
      <w:r>
        <w:tab/>
      </w:r>
      <w:r>
        <w:rPr>
          <w:b/>
        </w:rPr>
        <w:t>“</w:t>
      </w:r>
      <w:r>
        <w:rPr>
          <w:rStyle w:val="CharDefText"/>
        </w:rPr>
        <w:t>new Act</w:t>
      </w:r>
      <w:r>
        <w:rPr>
          <w:b/>
        </w:rPr>
        <w:t>”</w:t>
      </w:r>
      <w:r>
        <w:t xml:space="preserve"> means this Act as in force on the commencement day.</w:t>
      </w:r>
    </w:p>
    <w:p>
      <w:pPr>
        <w:pStyle w:val="nzHeading5"/>
        <w:outlineLvl w:val="0"/>
      </w:pPr>
      <w:r>
        <w:t>2.</w:t>
      </w:r>
      <w:r>
        <w:rPr>
          <w:b w:val="0"/>
        </w:rPr>
        <w:tab/>
      </w:r>
      <w:r>
        <w:t xml:space="preserve">Liquor Licensing Court </w:t>
      </w:r>
    </w:p>
    <w:p>
      <w:pPr>
        <w:pStyle w:val="nzSubsection"/>
      </w:pPr>
      <w:r>
        <w:tab/>
        <w:t>(1)</w:t>
      </w:r>
      <w:r>
        <w:tab/>
        <w:t xml:space="preserve">The Court is abolished — </w:t>
      </w:r>
    </w:p>
    <w:p>
      <w:pPr>
        <w:pStyle w:val="nzIndenta"/>
      </w:pPr>
      <w:r>
        <w:tab/>
        <w:t>(a)</w:t>
      </w:r>
      <w:r>
        <w:tab/>
        <w:t>on the commencement day; or</w:t>
      </w:r>
    </w:p>
    <w:p>
      <w:pPr>
        <w:pStyle w:val="nzIndenta"/>
      </w:pPr>
      <w:r>
        <w:tab/>
        <w:t>(b)</w:t>
      </w:r>
      <w:r>
        <w:tab/>
        <w:t>if subclause (2) applies — on the date specified in the notice under subclause (3).</w:t>
      </w:r>
    </w:p>
    <w:p>
      <w:pPr>
        <w:pStyle w:val="nz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nzSubsection"/>
      </w:pPr>
      <w:r>
        <w:tab/>
        <w:t>(3)</w:t>
      </w:r>
      <w:r>
        <w:tab/>
        <w:t xml:space="preserve">When the Minister is satisfied that there is no further application or matter to be dealt with by the Court under clause 5(1), the Minister is to publish a notice in the </w:t>
      </w:r>
      <w:r>
        <w:rPr>
          <w:i/>
          <w:iCs/>
        </w:rPr>
        <w:t>Gazette</w:t>
      </w:r>
      <w:r>
        <w:t xml:space="preserve"> specifying the date on which the Court is to cease to continue in operation under that subclause.</w:t>
      </w:r>
    </w:p>
    <w:p>
      <w:pPr>
        <w:pStyle w:val="nzHeading5"/>
        <w:outlineLvl w:val="0"/>
      </w:pPr>
      <w:r>
        <w:t>3.</w:t>
      </w:r>
      <w:r>
        <w:rPr>
          <w:b w:val="0"/>
        </w:rPr>
        <w:tab/>
      </w:r>
      <w:r>
        <w:t>Liquor Licensing Court judge</w:t>
      </w:r>
    </w:p>
    <w:p>
      <w:pPr>
        <w:pStyle w:val="nz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nzHeading5"/>
        <w:outlineLvl w:val="0"/>
      </w:pPr>
      <w:r>
        <w:t>4.</w:t>
      </w:r>
      <w:r>
        <w:rPr>
          <w:b w:val="0"/>
        </w:rPr>
        <w:tab/>
      </w:r>
      <w:r>
        <w:t>Pending cases stated and appeals to Supreme Court</w:t>
      </w:r>
    </w:p>
    <w:p>
      <w:pPr>
        <w:pStyle w:val="nz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nz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nzHeading5"/>
        <w:outlineLvl w:val="0"/>
      </w:pPr>
      <w:r>
        <w:t>5.</w:t>
      </w:r>
      <w:r>
        <w:rPr>
          <w:b w:val="0"/>
        </w:rPr>
        <w:tab/>
      </w:r>
      <w:r>
        <w:t>Pending applications and matters</w:t>
      </w:r>
    </w:p>
    <w:p>
      <w:pPr>
        <w:pStyle w:val="nz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nz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nzSubsection"/>
      </w:pPr>
      <w:r>
        <w:tab/>
        <w:t>(3)</w:t>
      </w:r>
      <w:r>
        <w:tab/>
        <w:t xml:space="preserve">If — </w:t>
      </w:r>
    </w:p>
    <w:p>
      <w:pPr>
        <w:pStyle w:val="nzIndenta"/>
      </w:pPr>
      <w:r>
        <w:tab/>
        <w:t>(a)</w:t>
      </w:r>
      <w:r>
        <w:tab/>
        <w:t>an application or matter was before the licensing authority under the former Act; but</w:t>
      </w:r>
    </w:p>
    <w:p>
      <w:pPr>
        <w:pStyle w:val="nzIndenta"/>
      </w:pPr>
      <w:r>
        <w:tab/>
        <w:t>(b)</w:t>
      </w:r>
      <w:r>
        <w:tab/>
        <w:t>the licensing authority has not begun to hear or determine the application or matter immediately before the commencement day,</w:t>
      </w:r>
    </w:p>
    <w:p>
      <w:pPr>
        <w:pStyle w:val="nzSubsection"/>
      </w:pPr>
      <w:r>
        <w:tab/>
      </w:r>
      <w:r>
        <w:tab/>
        <w:t>the application or matter is to be dealt with on or after that day in accordance with the relevant provisions of the new Act.</w:t>
      </w:r>
    </w:p>
    <w:p>
      <w:pPr>
        <w:pStyle w:val="nzSubsection"/>
      </w:pPr>
      <w:r>
        <w:tab/>
        <w:t>(4)</w:t>
      </w:r>
      <w:r>
        <w:tab/>
        <w:t xml:space="preserve">If — </w:t>
      </w:r>
    </w:p>
    <w:p>
      <w:pPr>
        <w:pStyle w:val="nzIndenta"/>
      </w:pPr>
      <w:r>
        <w:tab/>
        <w:t>(a)</w:t>
      </w:r>
      <w:r>
        <w:tab/>
        <w:t>the Court determined under the former Act that an application or matter is to be referred to or further considered by the Court; and</w:t>
      </w:r>
    </w:p>
    <w:p>
      <w:pPr>
        <w:pStyle w:val="nzIndenta"/>
      </w:pPr>
      <w:r>
        <w:tab/>
        <w:t>(b)</w:t>
      </w:r>
      <w:r>
        <w:tab/>
        <w:t>the application or matter has not been referred to or further considered by the Court immediately before the commencement day,</w:t>
      </w:r>
    </w:p>
    <w:p>
      <w:pPr>
        <w:pStyle w:val="nzSubsection"/>
      </w:pPr>
      <w:r>
        <w:tab/>
      </w:r>
      <w:r>
        <w:tab/>
        <w:t>then, on or after that day, the application or matter may be referred to or further considered by either the Director or the Commission under the new Act.</w:t>
      </w:r>
    </w:p>
    <w:p>
      <w:pPr>
        <w:pStyle w:val="nzHeading5"/>
        <w:outlineLvl w:val="0"/>
      </w:pPr>
      <w:r>
        <w:t>6.</w:t>
      </w:r>
      <w:r>
        <w:rPr>
          <w:b w:val="0"/>
        </w:rPr>
        <w:tab/>
      </w:r>
      <w:r>
        <w:rPr>
          <w:bCs/>
        </w:rPr>
        <w:t>L</w:t>
      </w:r>
      <w:r>
        <w:t>icences granted and permits issued by Liquor Licensing Court</w:t>
      </w:r>
    </w:p>
    <w:p>
      <w:pPr>
        <w:pStyle w:val="nzSubsection"/>
      </w:pPr>
      <w:r>
        <w:tab/>
      </w:r>
      <w:r>
        <w:tab/>
        <w:t>A licence granted or a permit issued by the Court that has effect immediately before the commencement day continues to have effect, on and after that day, as if it had been granted or issued by the Commission.</w:t>
      </w:r>
    </w:p>
    <w:p>
      <w:pPr>
        <w:pStyle w:val="nzHeading5"/>
        <w:outlineLvl w:val="0"/>
      </w:pPr>
      <w:r>
        <w:t>7.</w:t>
      </w:r>
      <w:r>
        <w:rPr>
          <w:b w:val="0"/>
        </w:rPr>
        <w:tab/>
      </w:r>
      <w:r>
        <w:t>Cabaret licences</w:t>
      </w:r>
    </w:p>
    <w:p>
      <w:pPr>
        <w:pStyle w:val="nz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nzSubsection"/>
      </w:pPr>
      <w:r>
        <w:tab/>
        <w:t>(2)</w:t>
      </w:r>
      <w:r>
        <w:tab/>
        <w:t>A reference in a written law or other document or instrument to a cabaret licence may, where the context so requires, be read as if it had been amended to be a reference to a nightclub licence.</w:t>
      </w:r>
    </w:p>
    <w:p>
      <w:pPr>
        <w:pStyle w:val="nzHeading5"/>
        <w:outlineLvl w:val="0"/>
      </w:pPr>
      <w:r>
        <w:t>8.</w:t>
      </w:r>
      <w:r>
        <w:rPr>
          <w:b w:val="0"/>
        </w:rPr>
        <w:tab/>
      </w:r>
      <w:r>
        <w:t>Courses</w:t>
      </w:r>
      <w:r>
        <w:rPr>
          <w:bCs/>
        </w:rPr>
        <w:t xml:space="preserve"> of training and assessments</w:t>
      </w:r>
    </w:p>
    <w:p>
      <w:pPr>
        <w:pStyle w:val="nz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nzHeading5"/>
        <w:outlineLvl w:val="0"/>
      </w:pPr>
      <w:r>
        <w:t>9.</w:t>
      </w:r>
      <w:r>
        <w:rPr>
          <w:b w:val="0"/>
        </w:rPr>
        <w:tab/>
      </w:r>
      <w:r>
        <w:t>References to the Liquor Licensing Court and Liquor Licensing Court judge</w:t>
      </w:r>
    </w:p>
    <w:p>
      <w:pPr>
        <w:pStyle w:val="nzSubsection"/>
      </w:pPr>
      <w:r>
        <w:tab/>
        <w:t>(1)</w:t>
      </w:r>
      <w:r>
        <w:tab/>
        <w:t>A reference in a written law or other document or instrument to the Court may, where the context so requires, be read as if it had been amended to be a reference to the Commission.</w:t>
      </w:r>
    </w:p>
    <w:p>
      <w:pPr>
        <w:pStyle w:val="nz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nzHeading5"/>
        <w:outlineLvl w:val="0"/>
      </w:pPr>
      <w:r>
        <w:t>10.</w:t>
      </w:r>
      <w:r>
        <w:rPr>
          <w:b w:val="0"/>
        </w:rPr>
        <w:tab/>
      </w:r>
      <w:r>
        <w:rPr>
          <w:bCs/>
        </w:rPr>
        <w:t>Transitional regulations</w:t>
      </w:r>
    </w:p>
    <w:p>
      <w:pPr>
        <w:pStyle w:val="nzSubsection"/>
      </w:pPr>
      <w:r>
        <w:tab/>
        <w:t>(1)</w:t>
      </w:r>
      <w:r>
        <w:tab/>
        <w:t xml:space="preserve">If this Schedule does not provide sufficiently for a matter or issue of a transitional nature that arises as a result of the amendments made to this Act by the </w:t>
      </w:r>
      <w:r>
        <w:rPr>
          <w:i/>
          <w:iCs/>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nz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(3)</w:t>
      </w:r>
      <w:r>
        <w:tab/>
        <w:t xml:space="preserve">If the transitional regulations contain a provision referred to in subclause (2),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 xml:space="preserve">    ”.</w:t>
      </w:r>
    </w:p>
    <w:p>
      <w:pPr>
        <w:pStyle w:val="nzHeading5"/>
        <w:outlineLvl w:val="0"/>
      </w:pPr>
      <w:r>
        <w:rPr>
          <w:rStyle w:val="CharSectno"/>
        </w:rPr>
        <w:t>105</w:t>
      </w:r>
      <w:r>
        <w:t>.</w:t>
      </w:r>
      <w:r>
        <w:tab/>
        <w:t>Schedule 2 amended</w:t>
      </w:r>
    </w:p>
    <w:p>
      <w:pPr>
        <w:pStyle w:val="nzSubsection"/>
      </w:pPr>
      <w:r>
        <w:tab/>
      </w:r>
      <w:r>
        <w:tab/>
        <w:t xml:space="preserve">Schedule 2 Division 2 clause 2(1) is amended by deleting “at Bull Creek Drive (formerly Benningfield Road) Bull Creek, at the corner of Marmion Avenue and Baltimore Parade, Merriwa and at 133 Mandurah Terrace, Mandurah — ” and inserting instead — </w:t>
      </w:r>
    </w:p>
    <w:p>
      <w:pPr>
        <w:pStyle w:val="nzSubsection"/>
      </w:pPr>
      <w:r>
        <w:tab/>
      </w:r>
      <w:r>
        <w:tab/>
        <w:t xml:space="preserve">“    </w:t>
      </w:r>
      <w:r>
        <w:rPr>
          <w:sz w:val="22"/>
        </w:rPr>
        <w:t xml:space="preserve">in the State — </w:t>
      </w:r>
      <w:r>
        <w:t xml:space="preserve">    ”.</w:t>
      </w:r>
    </w:p>
    <w:p>
      <w:pPr>
        <w:pStyle w:val="nzHeading5"/>
        <w:outlineLvl w:val="0"/>
      </w:pPr>
      <w:r>
        <w:rPr>
          <w:rStyle w:val="CharSectno"/>
        </w:rPr>
        <w:t>106</w:t>
      </w:r>
      <w:r>
        <w:t>.</w:t>
      </w:r>
      <w:r>
        <w:tab/>
        <w:t>Amendments relating to the Liquor Commission</w:t>
      </w:r>
    </w:p>
    <w:p>
      <w:pPr>
        <w:pStyle w:val="nzSubsection"/>
      </w:pPr>
      <w:r>
        <w:tab/>
      </w:r>
      <w:r>
        <w:tab/>
        <w:t xml:space="preserve">The provisions listed in the Table to this section are amended by deleting “Court” in each place where it occurs (except where it occurs in the term “Supreme Court”) and inserting instead — </w:t>
      </w:r>
    </w:p>
    <w:p>
      <w:pPr>
        <w:pStyle w:val="nzSubsection"/>
      </w:pPr>
      <w:r>
        <w:tab/>
      </w:r>
      <w:r>
        <w:tab/>
        <w:t>“    Commission    ”.</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692"/>
        <w:gridCol w:w="2836"/>
      </w:tblGrid>
      <w:tr>
        <w:tc>
          <w:tcPr>
            <w:tcW w:w="2692" w:type="dxa"/>
          </w:tcPr>
          <w:p>
            <w:pPr>
              <w:pStyle w:val="nzTable"/>
            </w:pPr>
            <w:r>
              <w:t>s. 3(1) (definition of “licensing authority”)</w:t>
            </w:r>
          </w:p>
        </w:tc>
        <w:tc>
          <w:tcPr>
            <w:tcW w:w="2836" w:type="dxa"/>
          </w:tcPr>
          <w:p>
            <w:pPr>
              <w:pStyle w:val="nzTable"/>
            </w:pPr>
            <w:r>
              <w:t>s. 25(1)</w:t>
            </w:r>
          </w:p>
        </w:tc>
      </w:tr>
      <w:tr>
        <w:tc>
          <w:tcPr>
            <w:tcW w:w="2692" w:type="dxa"/>
          </w:tcPr>
          <w:p>
            <w:pPr>
              <w:pStyle w:val="nzTable"/>
            </w:pPr>
            <w:r>
              <w:t>s. 7(2)</w:t>
            </w:r>
          </w:p>
        </w:tc>
        <w:tc>
          <w:tcPr>
            <w:tcW w:w="2836" w:type="dxa"/>
          </w:tcPr>
          <w:p>
            <w:pPr>
              <w:pStyle w:val="nzTable"/>
            </w:pPr>
            <w:r>
              <w:t>s. 25(2)</w:t>
            </w:r>
          </w:p>
        </w:tc>
      </w:tr>
      <w:tr>
        <w:tc>
          <w:tcPr>
            <w:tcW w:w="2692" w:type="dxa"/>
          </w:tcPr>
          <w:p>
            <w:pPr>
              <w:pStyle w:val="nzTable"/>
            </w:pPr>
            <w:r>
              <w:t>s. 14(1)(b)</w:t>
            </w:r>
          </w:p>
        </w:tc>
        <w:tc>
          <w:tcPr>
            <w:tcW w:w="2836" w:type="dxa"/>
          </w:tcPr>
          <w:p>
            <w:pPr>
              <w:pStyle w:val="nzTable"/>
            </w:pPr>
            <w:r>
              <w:t>s. 25(4)</w:t>
            </w:r>
          </w:p>
        </w:tc>
      </w:tr>
      <w:tr>
        <w:tc>
          <w:tcPr>
            <w:tcW w:w="2692" w:type="dxa"/>
          </w:tcPr>
          <w:p>
            <w:pPr>
              <w:pStyle w:val="nzTable"/>
            </w:pPr>
            <w:r>
              <w:t>s. 16(2)</w:t>
            </w:r>
          </w:p>
        </w:tc>
        <w:tc>
          <w:tcPr>
            <w:tcW w:w="2836" w:type="dxa"/>
          </w:tcPr>
          <w:p>
            <w:pPr>
              <w:pStyle w:val="nzTable"/>
            </w:pPr>
            <w:r>
              <w:t>s. 27(1)</w:t>
            </w:r>
          </w:p>
        </w:tc>
      </w:tr>
      <w:tr>
        <w:tc>
          <w:tcPr>
            <w:tcW w:w="2692" w:type="dxa"/>
          </w:tcPr>
          <w:p>
            <w:pPr>
              <w:pStyle w:val="nzTable"/>
            </w:pPr>
            <w:r>
              <w:t>s. 16(4)(a)</w:t>
            </w:r>
          </w:p>
        </w:tc>
        <w:tc>
          <w:tcPr>
            <w:tcW w:w="2836" w:type="dxa"/>
          </w:tcPr>
          <w:p>
            <w:pPr>
              <w:pStyle w:val="nzTable"/>
            </w:pPr>
            <w:r>
              <w:t>s. 28(3a)</w:t>
            </w:r>
          </w:p>
        </w:tc>
      </w:tr>
      <w:tr>
        <w:tc>
          <w:tcPr>
            <w:tcW w:w="2692" w:type="dxa"/>
          </w:tcPr>
          <w:p>
            <w:pPr>
              <w:pStyle w:val="nzTable"/>
            </w:pPr>
            <w:r>
              <w:t>s. 16(5)</w:t>
            </w:r>
          </w:p>
        </w:tc>
        <w:tc>
          <w:tcPr>
            <w:tcW w:w="2836" w:type="dxa"/>
          </w:tcPr>
          <w:p>
            <w:pPr>
              <w:pStyle w:val="nzTable"/>
            </w:pPr>
            <w:r>
              <w:t>s. 29</w:t>
            </w:r>
          </w:p>
        </w:tc>
      </w:tr>
      <w:tr>
        <w:tc>
          <w:tcPr>
            <w:tcW w:w="2692" w:type="dxa"/>
          </w:tcPr>
          <w:p>
            <w:pPr>
              <w:pStyle w:val="nzTable"/>
            </w:pPr>
            <w:r>
              <w:t>s. 16(6)</w:t>
            </w:r>
          </w:p>
        </w:tc>
        <w:tc>
          <w:tcPr>
            <w:tcW w:w="2836" w:type="dxa"/>
          </w:tcPr>
          <w:p>
            <w:pPr>
              <w:pStyle w:val="nzTable"/>
            </w:pPr>
            <w:r>
              <w:t>s. 32(3)(b)</w:t>
            </w:r>
          </w:p>
        </w:tc>
      </w:tr>
      <w:tr>
        <w:tc>
          <w:tcPr>
            <w:tcW w:w="2692" w:type="dxa"/>
          </w:tcPr>
          <w:p>
            <w:pPr>
              <w:pStyle w:val="nzTable"/>
            </w:pPr>
            <w:r>
              <w:t>s. 16(10)</w:t>
            </w:r>
          </w:p>
        </w:tc>
        <w:tc>
          <w:tcPr>
            <w:tcW w:w="2836" w:type="dxa"/>
          </w:tcPr>
          <w:p>
            <w:pPr>
              <w:pStyle w:val="nzTable"/>
            </w:pPr>
            <w:r>
              <w:t>s. 75(2)(d)</w:t>
            </w:r>
          </w:p>
        </w:tc>
      </w:tr>
      <w:tr>
        <w:tc>
          <w:tcPr>
            <w:tcW w:w="2692" w:type="dxa"/>
          </w:tcPr>
          <w:p>
            <w:pPr>
              <w:pStyle w:val="nzTable"/>
            </w:pPr>
            <w:r>
              <w:t>s. 18(2)(a)</w:t>
            </w:r>
          </w:p>
        </w:tc>
        <w:tc>
          <w:tcPr>
            <w:tcW w:w="2836" w:type="dxa"/>
          </w:tcPr>
          <w:p>
            <w:pPr>
              <w:pStyle w:val="nzTable"/>
            </w:pPr>
            <w:r>
              <w:t>s. 95(1)</w:t>
            </w:r>
          </w:p>
        </w:tc>
      </w:tr>
      <w:tr>
        <w:tc>
          <w:tcPr>
            <w:tcW w:w="2692" w:type="dxa"/>
          </w:tcPr>
          <w:p>
            <w:pPr>
              <w:pStyle w:val="nzTable"/>
            </w:pPr>
            <w:r>
              <w:t>s. 20(3)</w:t>
            </w:r>
          </w:p>
        </w:tc>
        <w:tc>
          <w:tcPr>
            <w:tcW w:w="2836" w:type="dxa"/>
          </w:tcPr>
          <w:p>
            <w:pPr>
              <w:pStyle w:val="nzTable"/>
            </w:pPr>
            <w:r>
              <w:t>s. 95(3)</w:t>
            </w:r>
          </w:p>
        </w:tc>
      </w:tr>
      <w:tr>
        <w:tc>
          <w:tcPr>
            <w:tcW w:w="2692" w:type="dxa"/>
          </w:tcPr>
          <w:p>
            <w:pPr>
              <w:pStyle w:val="nzTable"/>
            </w:pPr>
            <w:r>
              <w:t>s. 20(4)</w:t>
            </w:r>
          </w:p>
        </w:tc>
        <w:tc>
          <w:tcPr>
            <w:tcW w:w="2836" w:type="dxa"/>
          </w:tcPr>
          <w:p>
            <w:pPr>
              <w:pStyle w:val="nzTable"/>
            </w:pPr>
            <w:r>
              <w:t>s. 95(5a)</w:t>
            </w:r>
          </w:p>
        </w:tc>
      </w:tr>
      <w:tr>
        <w:tc>
          <w:tcPr>
            <w:tcW w:w="2692" w:type="dxa"/>
          </w:tcPr>
          <w:p>
            <w:pPr>
              <w:pStyle w:val="nzTable"/>
            </w:pPr>
            <w:r>
              <w:t>s. 21(1)</w:t>
            </w:r>
          </w:p>
        </w:tc>
        <w:tc>
          <w:tcPr>
            <w:tcW w:w="2836" w:type="dxa"/>
          </w:tcPr>
          <w:p>
            <w:pPr>
              <w:pStyle w:val="nzTable"/>
            </w:pPr>
            <w:r>
              <w:t>s. 95(7)</w:t>
            </w:r>
          </w:p>
        </w:tc>
      </w:tr>
      <w:tr>
        <w:tc>
          <w:tcPr>
            <w:tcW w:w="2692" w:type="dxa"/>
          </w:tcPr>
          <w:p>
            <w:pPr>
              <w:pStyle w:val="nzTable"/>
            </w:pPr>
            <w:r>
              <w:t>s. 21(4)</w:t>
            </w:r>
          </w:p>
        </w:tc>
        <w:tc>
          <w:tcPr>
            <w:tcW w:w="2836" w:type="dxa"/>
          </w:tcPr>
          <w:p>
            <w:pPr>
              <w:pStyle w:val="nzTable"/>
            </w:pPr>
            <w:r>
              <w:t>s. 95(10)</w:t>
            </w:r>
          </w:p>
        </w:tc>
      </w:tr>
      <w:tr>
        <w:tc>
          <w:tcPr>
            <w:tcW w:w="2692" w:type="dxa"/>
          </w:tcPr>
          <w:p>
            <w:pPr>
              <w:pStyle w:val="nzTable"/>
            </w:pPr>
            <w:r>
              <w:t>s. 21(5)</w:t>
            </w:r>
          </w:p>
        </w:tc>
        <w:tc>
          <w:tcPr>
            <w:tcW w:w="2836" w:type="dxa"/>
          </w:tcPr>
          <w:p>
            <w:pPr>
              <w:pStyle w:val="nzTable"/>
            </w:pPr>
            <w:r>
              <w:t>s. 96(1)</w:t>
            </w:r>
          </w:p>
        </w:tc>
      </w:tr>
      <w:tr>
        <w:tc>
          <w:tcPr>
            <w:tcW w:w="2692" w:type="dxa"/>
          </w:tcPr>
          <w:p>
            <w:pPr>
              <w:pStyle w:val="nzTable"/>
            </w:pPr>
            <w:r>
              <w:t>s. 22(a)</w:t>
            </w:r>
          </w:p>
        </w:tc>
        <w:tc>
          <w:tcPr>
            <w:tcW w:w="2836" w:type="dxa"/>
          </w:tcPr>
          <w:p>
            <w:pPr>
              <w:pStyle w:val="nzTable"/>
            </w:pPr>
            <w:r>
              <w:t>s. 96(3)</w:t>
            </w:r>
          </w:p>
        </w:tc>
      </w:tr>
      <w:tr>
        <w:tc>
          <w:tcPr>
            <w:tcW w:w="2692" w:type="dxa"/>
          </w:tcPr>
          <w:p>
            <w:pPr>
              <w:pStyle w:val="nzTable"/>
            </w:pPr>
            <w:r>
              <w:t>s. 23(1)</w:t>
            </w:r>
          </w:p>
        </w:tc>
        <w:tc>
          <w:tcPr>
            <w:tcW w:w="2836" w:type="dxa"/>
          </w:tcPr>
          <w:p>
            <w:pPr>
              <w:pStyle w:val="nzTable"/>
            </w:pPr>
            <w:r>
              <w:t>s. 96(4)</w:t>
            </w:r>
          </w:p>
        </w:tc>
      </w:tr>
      <w:tr>
        <w:tc>
          <w:tcPr>
            <w:tcW w:w="2692" w:type="dxa"/>
          </w:tcPr>
          <w:p>
            <w:pPr>
              <w:pStyle w:val="nzTable"/>
            </w:pPr>
            <w:r>
              <w:t>s. 24</w:t>
            </w:r>
          </w:p>
        </w:tc>
        <w:tc>
          <w:tcPr>
            <w:tcW w:w="2836" w:type="dxa"/>
          </w:tcPr>
          <w:p>
            <w:pPr>
              <w:jc w:val="both"/>
            </w:pPr>
            <w:r>
              <w:t>s. 117(6)</w:t>
            </w:r>
          </w:p>
        </w:tc>
      </w:tr>
      <w:tr>
        <w:tc>
          <w:tcPr>
            <w:tcW w:w="2692" w:type="dxa"/>
          </w:tcPr>
          <w:p>
            <w:pPr>
              <w:jc w:val="both"/>
            </w:pPr>
            <w:r>
              <w:t>s. 143(1)</w:t>
            </w:r>
          </w:p>
        </w:tc>
        <w:tc>
          <w:tcPr>
            <w:tcW w:w="2836" w:type="dxa"/>
          </w:tcPr>
          <w:p>
            <w:pPr>
              <w:jc w:val="both"/>
            </w:pPr>
            <w:r>
              <w:t>s. 164(1a)</w:t>
            </w:r>
          </w:p>
        </w:tc>
      </w:tr>
      <w:tr>
        <w:tc>
          <w:tcPr>
            <w:tcW w:w="2692" w:type="dxa"/>
          </w:tcPr>
          <w:p>
            <w:pPr>
              <w:jc w:val="both"/>
            </w:pPr>
            <w:r>
              <w:t>s. 147(1)</w:t>
            </w:r>
          </w:p>
        </w:tc>
        <w:tc>
          <w:tcPr>
            <w:tcW w:w="2836" w:type="dxa"/>
          </w:tcPr>
          <w:p>
            <w:pPr>
              <w:jc w:val="both"/>
            </w:pPr>
            <w:r>
              <w:t>s. 172(1)</w:t>
            </w:r>
          </w:p>
        </w:tc>
      </w:tr>
      <w:tr>
        <w:tc>
          <w:tcPr>
            <w:tcW w:w="2692" w:type="dxa"/>
          </w:tcPr>
          <w:p>
            <w:pPr>
              <w:jc w:val="both"/>
            </w:pPr>
            <w:r>
              <w:t>s. 153(1)(c)</w:t>
            </w:r>
          </w:p>
        </w:tc>
        <w:tc>
          <w:tcPr>
            <w:tcW w:w="2836" w:type="dxa"/>
          </w:tcPr>
          <w:p>
            <w:pPr>
              <w:jc w:val="both"/>
            </w:pPr>
            <w:r>
              <w:t>s. 175(1)(c)</w:t>
            </w:r>
          </w:p>
        </w:tc>
      </w:tr>
    </w:tbl>
    <w:p>
      <w:pPr>
        <w:pStyle w:val="nzHeading5"/>
      </w:pPr>
      <w:r>
        <w:rPr>
          <w:rStyle w:val="CharSectno"/>
        </w:rPr>
        <w:t>108</w:t>
      </w:r>
      <w:r>
        <w:t>.</w:t>
      </w:r>
      <w:r>
        <w:tab/>
        <w:t>Amendments relating to guest accommodation</w:t>
      </w:r>
    </w:p>
    <w:p>
      <w:pPr>
        <w:pStyle w:val="nzSubsection"/>
      </w:pPr>
      <w:r>
        <w:tab/>
      </w:r>
      <w:r>
        <w:tab/>
        <w:t xml:space="preserve">The provisions listed in the Table to this section are amended by deleting “residential” in each place where it occurs and inserting instead — </w:t>
      </w:r>
    </w:p>
    <w:p>
      <w:pPr>
        <w:pStyle w:val="nzSubsection"/>
      </w:pPr>
      <w:r>
        <w:tab/>
      </w:r>
      <w:r>
        <w:tab/>
        <w:t>“    guest    ”.</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s. 41(6)</w:t>
            </w:r>
          </w:p>
        </w:tc>
        <w:tc>
          <w:tcPr>
            <w:tcW w:w="3545" w:type="dxa"/>
          </w:tcPr>
          <w:p>
            <w:pPr>
              <w:pStyle w:val="nzTable"/>
            </w:pPr>
            <w:r>
              <w:t>s. 60(4)(c)</w:t>
            </w:r>
          </w:p>
        </w:tc>
      </w:tr>
      <w:tr>
        <w:tc>
          <w:tcPr>
            <w:tcW w:w="2692" w:type="dxa"/>
          </w:tcPr>
          <w:p>
            <w:pPr>
              <w:pStyle w:val="nzTable"/>
            </w:pPr>
            <w:r>
              <w:t>s. 50(2)</w:t>
            </w:r>
          </w:p>
        </w:tc>
        <w:tc>
          <w:tcPr>
            <w:tcW w:w="3545" w:type="dxa"/>
          </w:tcPr>
          <w:p>
            <w:pPr>
              <w:pStyle w:val="nzTable"/>
            </w:pPr>
            <w:r>
              <w:t>s. 105(3)</w:t>
            </w:r>
          </w:p>
        </w:tc>
      </w:tr>
    </w:tbl>
    <w:p>
      <w:pPr>
        <w:pStyle w:val="nzHeading5"/>
      </w:pPr>
      <w:r>
        <w:rPr>
          <w:rStyle w:val="CharSectno"/>
        </w:rPr>
        <w:t>109</w:t>
      </w:r>
      <w:r>
        <w:t>.</w:t>
      </w:r>
      <w:r>
        <w:tab/>
        <w:t>Amendments relating to the use of reasonable force</w:t>
      </w:r>
    </w:p>
    <w:p>
      <w:pPr>
        <w:pStyle w:val="nzSubsection"/>
      </w:pPr>
      <w:r>
        <w:tab/>
      </w:r>
      <w:r>
        <w:tab/>
        <w:t xml:space="preserve">The provisions listed in the Table to this section are amended after “may be” by inserting — </w:t>
      </w:r>
    </w:p>
    <w:p>
      <w:pPr>
        <w:pStyle w:val="nzSubsection"/>
      </w:pPr>
      <w:r>
        <w:tab/>
      </w:r>
      <w:r>
        <w:tab/>
        <w:t>“    reasonably    ”.</w:t>
      </w:r>
    </w:p>
    <w:p>
      <w:pPr>
        <w:pStyle w:val="nzMiscellaneousHeading"/>
        <w:outlineLvl w:val="0"/>
      </w:pPr>
      <w:r>
        <w:rPr>
          <w:b/>
        </w:rPr>
        <w:t>Table</w:t>
      </w:r>
    </w:p>
    <w:tbl>
      <w:tblPr>
        <w:tblW w:w="0" w:type="auto"/>
        <w:tblInd w:w="959" w:type="dxa"/>
        <w:tblLayout w:type="fixed"/>
        <w:tblLook w:val="0000" w:firstRow="0" w:lastRow="0" w:firstColumn="0" w:lastColumn="0" w:noHBand="0" w:noVBand="0"/>
      </w:tblPr>
      <w:tblGrid>
        <w:gridCol w:w="2692"/>
        <w:gridCol w:w="3545"/>
      </w:tblGrid>
      <w:tr>
        <w:tc>
          <w:tcPr>
            <w:tcW w:w="2692" w:type="dxa"/>
          </w:tcPr>
          <w:p>
            <w:pPr>
              <w:pStyle w:val="nzTable"/>
            </w:pPr>
            <w:r>
              <w:t>s. 114(3)</w:t>
            </w:r>
          </w:p>
        </w:tc>
        <w:tc>
          <w:tcPr>
            <w:tcW w:w="3545" w:type="dxa"/>
          </w:tcPr>
          <w:p>
            <w:pPr>
              <w:pStyle w:val="nzTable"/>
            </w:pPr>
            <w:r>
              <w:t>s. 126(4)(b)</w:t>
            </w:r>
          </w:p>
        </w:tc>
      </w:tr>
      <w:tr>
        <w:tc>
          <w:tcPr>
            <w:tcW w:w="2692" w:type="dxa"/>
          </w:tcPr>
          <w:p>
            <w:pPr>
              <w:pStyle w:val="nzTable"/>
            </w:pPr>
            <w:r>
              <w:t>s. 115(7)</w:t>
            </w:r>
          </w:p>
        </w:tc>
        <w:tc>
          <w:tcPr>
            <w:tcW w:w="3545" w:type="dxa"/>
          </w:tcPr>
          <w:p>
            <w:pPr>
              <w:pStyle w:val="nzTable"/>
            </w:pPr>
            <w:r>
              <w:t>s. 155(3)</w:t>
            </w:r>
          </w:p>
        </w:tc>
      </w:tr>
      <w:tr>
        <w:tc>
          <w:tcPr>
            <w:tcW w:w="2692" w:type="dxa"/>
          </w:tcPr>
          <w:p>
            <w:pPr>
              <w:pStyle w:val="nzTable"/>
            </w:pPr>
            <w:r>
              <w:t>s. 121(7)(b)</w:t>
            </w:r>
          </w:p>
        </w:tc>
        <w:tc>
          <w:tcPr>
            <w:tcW w:w="3545" w:type="dxa"/>
          </w:tcPr>
          <w:p>
            <w:pPr>
              <w:pStyle w:val="nzTable"/>
            </w:pPr>
            <w:r>
              <w:t>s. 161(1)(b)</w:t>
            </w:r>
          </w:p>
        </w:tc>
      </w:tr>
      <w:tr>
        <w:tc>
          <w:tcPr>
            <w:tcW w:w="2692" w:type="dxa"/>
          </w:tcPr>
          <w:p>
            <w:pPr>
              <w:pStyle w:val="nzTable"/>
            </w:pPr>
            <w:r>
              <w:t>s. 126(3)(b)</w:t>
            </w:r>
          </w:p>
        </w:tc>
        <w:tc>
          <w:tcPr>
            <w:tcW w:w="3545" w:type="dxa"/>
          </w:tcPr>
          <w:p>
            <w:pPr>
              <w:pStyle w:val="nzTable"/>
            </w:pPr>
          </w:p>
        </w:tc>
      </w:tr>
    </w:tbl>
    <w:p>
      <w:pPr>
        <w:pStyle w:val="nzHeading5"/>
      </w:pPr>
      <w:r>
        <w:rPr>
          <w:rStyle w:val="CharSectno"/>
        </w:rPr>
        <w:t>110</w:t>
      </w:r>
      <w:r>
        <w:t>.</w:t>
      </w:r>
      <w:r>
        <w:tab/>
        <w:t>Amendments relating to penalty amounts</w:t>
      </w:r>
    </w:p>
    <w:p>
      <w:pPr>
        <w:pStyle w:val="nzSubsection"/>
      </w:pPr>
      <w:r>
        <w:tab/>
      </w:r>
      <w:r>
        <w:tab/>
        <w:t>Each provision specified in the first column of the Table to this section is amended by deleting the corresponding amount, or amounts, specified in the second column and inserting instead the corresponding amount, or amounts, specified in the third column.</w:t>
      </w:r>
    </w:p>
    <w:p>
      <w:pPr>
        <w:pStyle w:val="nzSubsection"/>
        <w:jc w:val="center"/>
        <w:outlineLvl w:val="0"/>
        <w:rPr>
          <w:b/>
          <w:bCs/>
        </w:rPr>
      </w:pPr>
      <w:r>
        <w:rPr>
          <w:b/>
          <w:bCs/>
        </w:rPr>
        <w:t>Table</w:t>
      </w:r>
    </w:p>
    <w:tbl>
      <w:tblPr>
        <w:tblW w:w="6237" w:type="dxa"/>
        <w:tblInd w:w="959" w:type="dxa"/>
        <w:tblLayout w:type="fixed"/>
        <w:tblLook w:val="0000" w:firstRow="0" w:lastRow="0" w:firstColumn="0" w:lastColumn="0" w:noHBand="0" w:noVBand="0"/>
      </w:tblPr>
      <w:tblGrid>
        <w:gridCol w:w="2079"/>
        <w:gridCol w:w="2079"/>
        <w:gridCol w:w="2079"/>
      </w:tblGrid>
      <w:tr>
        <w:trPr>
          <w:cantSplit/>
        </w:trPr>
        <w:tc>
          <w:tcPr>
            <w:tcW w:w="2079" w:type="dxa"/>
          </w:tcPr>
          <w:p>
            <w:pPr>
              <w:pStyle w:val="nzTable"/>
              <w:ind w:left="481"/>
            </w:pPr>
            <w:r>
              <w:t>s. 37A</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51(2)</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51(4)</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77(1)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100(2)</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100(4)</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100(5)</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100(6)</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100(8)</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101(3)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102(1)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104(1)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106(1)</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106(3)</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109(3)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110(1)</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110(2)</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110(3)</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110(5)</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110(7)</w:t>
            </w:r>
          </w:p>
        </w:tc>
        <w:tc>
          <w:tcPr>
            <w:tcW w:w="2079" w:type="dxa"/>
          </w:tcPr>
          <w:p>
            <w:pPr>
              <w:pStyle w:val="nzTable"/>
              <w:ind w:left="442"/>
            </w:pPr>
            <w:r>
              <w:t>$1 000</w:t>
            </w:r>
          </w:p>
        </w:tc>
        <w:tc>
          <w:tcPr>
            <w:tcW w:w="2079" w:type="dxa"/>
          </w:tcPr>
          <w:p>
            <w:pPr>
              <w:pStyle w:val="nzTable"/>
              <w:ind w:left="403"/>
            </w:pPr>
            <w:r>
              <w:t>$10 000</w:t>
            </w:r>
          </w:p>
        </w:tc>
      </w:tr>
      <w:tr>
        <w:trPr>
          <w:cantSplit/>
        </w:trPr>
        <w:tc>
          <w:tcPr>
            <w:tcW w:w="2079" w:type="dxa"/>
          </w:tcPr>
          <w:p>
            <w:pPr>
              <w:pStyle w:val="nzTable"/>
              <w:ind w:left="481"/>
            </w:pPr>
            <w:r>
              <w:t>s. 111(1)</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111(2)</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114(1)</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115(1)</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115(2)</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115(5)</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115(7)</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116</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117(7)</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118(3)</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119(1)</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119(2)</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119(5)</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119(7)</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119(11)</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121(1)</w:t>
            </w:r>
          </w:p>
        </w:tc>
        <w:tc>
          <w:tcPr>
            <w:tcW w:w="2079" w:type="dxa"/>
          </w:tcPr>
          <w:p>
            <w:pPr>
              <w:pStyle w:val="nzTable"/>
              <w:ind w:left="442"/>
            </w:pPr>
            <w:r>
              <w:t>$5 000</w:t>
            </w:r>
            <w:r>
              <w:br/>
              <w:t>$2 000</w:t>
            </w:r>
            <w:r>
              <w:br/>
              <w:t>$1 000</w:t>
            </w:r>
          </w:p>
        </w:tc>
        <w:tc>
          <w:tcPr>
            <w:tcW w:w="2079" w:type="dxa"/>
          </w:tcPr>
          <w:p>
            <w:pPr>
              <w:pStyle w:val="nzTable"/>
              <w:ind w:left="403"/>
            </w:pPr>
            <w:r>
              <w:t>$10 000</w:t>
            </w:r>
            <w:r>
              <w:br/>
              <w:t>$4 000</w:t>
            </w:r>
            <w:r>
              <w:br/>
              <w:t>$2 000</w:t>
            </w:r>
          </w:p>
        </w:tc>
      </w:tr>
      <w:tr>
        <w:trPr>
          <w:cantSplit/>
        </w:trPr>
        <w:tc>
          <w:tcPr>
            <w:tcW w:w="2079" w:type="dxa"/>
          </w:tcPr>
          <w:p>
            <w:pPr>
              <w:pStyle w:val="nzTable"/>
              <w:ind w:left="481"/>
            </w:pPr>
            <w:r>
              <w:t>s. 121(2)</w:t>
            </w:r>
          </w:p>
        </w:tc>
        <w:tc>
          <w:tcPr>
            <w:tcW w:w="2079" w:type="dxa"/>
          </w:tcPr>
          <w:p>
            <w:pPr>
              <w:pStyle w:val="nzTable"/>
              <w:ind w:left="442"/>
            </w:pPr>
            <w:r>
              <w:t>$5 000</w:t>
            </w:r>
            <w:r>
              <w:br/>
              <w:t>$2 000</w:t>
            </w:r>
          </w:p>
        </w:tc>
        <w:tc>
          <w:tcPr>
            <w:tcW w:w="2079" w:type="dxa"/>
          </w:tcPr>
          <w:p>
            <w:pPr>
              <w:pStyle w:val="nzTable"/>
              <w:ind w:left="403"/>
            </w:pPr>
            <w:r>
              <w:t>$10 000</w:t>
            </w:r>
            <w:r>
              <w:br/>
              <w:t>$4 000</w:t>
            </w:r>
          </w:p>
        </w:tc>
      </w:tr>
      <w:tr>
        <w:trPr>
          <w:cantSplit/>
        </w:trPr>
        <w:tc>
          <w:tcPr>
            <w:tcW w:w="2079" w:type="dxa"/>
          </w:tcPr>
          <w:p>
            <w:pPr>
              <w:pStyle w:val="nzTable"/>
              <w:ind w:left="481"/>
            </w:pPr>
            <w:r>
              <w:t>s. 121(7)</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121(9)</w:t>
            </w:r>
          </w:p>
        </w:tc>
        <w:tc>
          <w:tcPr>
            <w:tcW w:w="2079" w:type="dxa"/>
          </w:tcPr>
          <w:p>
            <w:pPr>
              <w:pStyle w:val="nzTable"/>
              <w:ind w:left="442"/>
            </w:pPr>
            <w:r>
              <w:t>$500</w:t>
            </w:r>
          </w:p>
        </w:tc>
        <w:tc>
          <w:tcPr>
            <w:tcW w:w="2079" w:type="dxa"/>
          </w:tcPr>
          <w:p>
            <w:pPr>
              <w:pStyle w:val="nzTable"/>
              <w:ind w:left="403"/>
            </w:pPr>
            <w:r>
              <w:t>$2 000</w:t>
            </w:r>
          </w:p>
        </w:tc>
      </w:tr>
      <w:tr>
        <w:trPr>
          <w:cantSplit/>
        </w:trPr>
        <w:tc>
          <w:tcPr>
            <w:tcW w:w="2079" w:type="dxa"/>
          </w:tcPr>
          <w:p>
            <w:pPr>
              <w:pStyle w:val="nzTable"/>
              <w:ind w:left="481"/>
            </w:pPr>
            <w:r>
              <w:t>s. 121(10)</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122(3)</w:t>
            </w:r>
          </w:p>
        </w:tc>
        <w:tc>
          <w:tcPr>
            <w:tcW w:w="2079" w:type="dxa"/>
          </w:tcPr>
          <w:p>
            <w:pPr>
              <w:pStyle w:val="nzTable"/>
              <w:ind w:left="442"/>
            </w:pPr>
            <w:r>
              <w:t>$1 000</w:t>
            </w:r>
            <w:r>
              <w:br/>
              <w:t>$2 000</w:t>
            </w:r>
          </w:p>
        </w:tc>
        <w:tc>
          <w:tcPr>
            <w:tcW w:w="2079" w:type="dxa"/>
          </w:tcPr>
          <w:p>
            <w:pPr>
              <w:pStyle w:val="nzTable"/>
              <w:ind w:left="403"/>
            </w:pPr>
            <w:r>
              <w:t>$2 000</w:t>
            </w:r>
            <w:r>
              <w:br/>
              <w:t>$4 000</w:t>
            </w:r>
          </w:p>
        </w:tc>
      </w:tr>
      <w:tr>
        <w:trPr>
          <w:cantSplit/>
        </w:trPr>
        <w:tc>
          <w:tcPr>
            <w:tcW w:w="2079" w:type="dxa"/>
          </w:tcPr>
          <w:p>
            <w:pPr>
              <w:pStyle w:val="nzTable"/>
              <w:ind w:left="481"/>
            </w:pPr>
            <w:r>
              <w:t>s. 123</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124</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126(2)</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126(4)</w:t>
            </w:r>
          </w:p>
        </w:tc>
        <w:tc>
          <w:tcPr>
            <w:tcW w:w="2079" w:type="dxa"/>
          </w:tcPr>
          <w:p>
            <w:pPr>
              <w:pStyle w:val="nzTable"/>
              <w:ind w:left="442"/>
            </w:pPr>
            <w:r>
              <w:t>$1 000</w:t>
            </w:r>
          </w:p>
        </w:tc>
        <w:tc>
          <w:tcPr>
            <w:tcW w:w="2079" w:type="dxa"/>
          </w:tcPr>
          <w:p>
            <w:pPr>
              <w:pStyle w:val="nzTable"/>
              <w:ind w:left="403"/>
            </w:pPr>
            <w:r>
              <w:t>$2 000</w:t>
            </w:r>
          </w:p>
        </w:tc>
      </w:tr>
      <w:tr>
        <w:trPr>
          <w:cantSplit/>
        </w:trPr>
        <w:tc>
          <w:tcPr>
            <w:tcW w:w="2079" w:type="dxa"/>
          </w:tcPr>
          <w:p>
            <w:pPr>
              <w:pStyle w:val="nzTable"/>
              <w:ind w:left="481"/>
            </w:pPr>
            <w:r>
              <w:t>s. 145(4)</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146(1)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150(2)</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152(2)</w:t>
            </w:r>
          </w:p>
        </w:tc>
        <w:tc>
          <w:tcPr>
            <w:tcW w:w="2079" w:type="dxa"/>
          </w:tcPr>
          <w:p>
            <w:pPr>
              <w:pStyle w:val="nzTable"/>
              <w:ind w:left="442"/>
            </w:pPr>
            <w:r>
              <w:t>$2 000</w:t>
            </w:r>
          </w:p>
        </w:tc>
        <w:tc>
          <w:tcPr>
            <w:tcW w:w="2079" w:type="dxa"/>
          </w:tcPr>
          <w:p>
            <w:pPr>
              <w:pStyle w:val="nzTable"/>
              <w:ind w:left="403"/>
            </w:pPr>
            <w:r>
              <w:t>$5 000</w:t>
            </w:r>
          </w:p>
        </w:tc>
      </w:tr>
      <w:tr>
        <w:trPr>
          <w:cantSplit/>
        </w:trPr>
        <w:tc>
          <w:tcPr>
            <w:tcW w:w="2079" w:type="dxa"/>
          </w:tcPr>
          <w:p>
            <w:pPr>
              <w:pStyle w:val="nzTable"/>
              <w:ind w:left="481"/>
            </w:pPr>
            <w:r>
              <w:t>s. 154(3)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158(1)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159(1)</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159(3)</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160(4)</w:t>
            </w:r>
          </w:p>
        </w:tc>
        <w:tc>
          <w:tcPr>
            <w:tcW w:w="2079" w:type="dxa"/>
          </w:tcPr>
          <w:p>
            <w:pPr>
              <w:pStyle w:val="nzTable"/>
              <w:ind w:left="442"/>
            </w:pPr>
            <w:r>
              <w:t>$1 000</w:t>
            </w:r>
          </w:p>
        </w:tc>
        <w:tc>
          <w:tcPr>
            <w:tcW w:w="2079" w:type="dxa"/>
          </w:tcPr>
          <w:p>
            <w:pPr>
              <w:pStyle w:val="nzTable"/>
              <w:ind w:left="403"/>
            </w:pPr>
            <w:r>
              <w:t>$5 000</w:t>
            </w:r>
          </w:p>
        </w:tc>
      </w:tr>
      <w:tr>
        <w:trPr>
          <w:cantSplit/>
        </w:trPr>
        <w:tc>
          <w:tcPr>
            <w:tcW w:w="2079" w:type="dxa"/>
          </w:tcPr>
          <w:p>
            <w:pPr>
              <w:pStyle w:val="nzTable"/>
              <w:ind w:left="481"/>
            </w:pPr>
            <w:r>
              <w:t>s. 161(7)</w:t>
            </w:r>
          </w:p>
        </w:tc>
        <w:tc>
          <w:tcPr>
            <w:tcW w:w="2079" w:type="dxa"/>
          </w:tcPr>
          <w:p>
            <w:pPr>
              <w:pStyle w:val="nzTable"/>
              <w:ind w:left="442"/>
            </w:pPr>
            <w:r>
              <w:t>$5 000</w:t>
            </w:r>
          </w:p>
        </w:tc>
        <w:tc>
          <w:tcPr>
            <w:tcW w:w="2079" w:type="dxa"/>
          </w:tcPr>
          <w:p>
            <w:pPr>
              <w:pStyle w:val="nzTable"/>
              <w:ind w:left="403"/>
            </w:pPr>
            <w:r>
              <w:t>$10 000</w:t>
            </w:r>
          </w:p>
        </w:tc>
      </w:tr>
      <w:tr>
        <w:trPr>
          <w:cantSplit/>
        </w:trPr>
        <w:tc>
          <w:tcPr>
            <w:tcW w:w="2079" w:type="dxa"/>
          </w:tcPr>
          <w:p>
            <w:pPr>
              <w:pStyle w:val="nzTable"/>
              <w:ind w:left="481"/>
            </w:pPr>
            <w:r>
              <w:t>s. 166(2)</w:t>
            </w:r>
          </w:p>
        </w:tc>
        <w:tc>
          <w:tcPr>
            <w:tcW w:w="2079" w:type="dxa"/>
          </w:tcPr>
          <w:p>
            <w:pPr>
              <w:pStyle w:val="nzTable"/>
              <w:ind w:left="442"/>
            </w:pPr>
            <w:r>
              <w:t>$1 000</w:t>
            </w:r>
          </w:p>
        </w:tc>
        <w:tc>
          <w:tcPr>
            <w:tcW w:w="2079" w:type="dxa"/>
          </w:tcPr>
          <w:p>
            <w:pPr>
              <w:pStyle w:val="nzTable"/>
              <w:ind w:left="403"/>
            </w:pPr>
            <w:r>
              <w:t>$2 000</w:t>
            </w:r>
          </w:p>
        </w:tc>
      </w:tr>
    </w:tbl>
    <w:p>
      <w:pPr>
        <w:pStyle w:val="nzHeading5"/>
      </w:pPr>
      <w:r>
        <w:rPr>
          <w:rStyle w:val="CharSectno"/>
        </w:rPr>
        <w:t>111</w:t>
      </w:r>
      <w:r>
        <w:t>.</w:t>
      </w:r>
      <w:r>
        <w:tab/>
        <w:t>Amendments relating to approved forms</w:t>
      </w:r>
    </w:p>
    <w:p>
      <w:pPr>
        <w:pStyle w:val="nzSubsection"/>
      </w:pPr>
      <w:r>
        <w:tab/>
        <w:t>(1)</w:t>
      </w:r>
      <w:r>
        <w:tab/>
        <w:t xml:space="preserve">Section 14(3) is amended by deleting “prescribed form.” and inserting instead — </w:t>
      </w:r>
    </w:p>
    <w:p>
      <w:pPr>
        <w:pStyle w:val="nzSubsection"/>
      </w:pPr>
      <w:r>
        <w:tab/>
      </w:r>
      <w:r>
        <w:tab/>
        <w:t>“    form approved by the Director.    ”.</w:t>
      </w:r>
    </w:p>
    <w:p>
      <w:pPr>
        <w:pStyle w:val="nzSubsection"/>
      </w:pPr>
      <w:r>
        <w:tab/>
        <w:t>(2)</w:t>
      </w:r>
      <w:r>
        <w:tab/>
        <w:t xml:space="preserve">Section 68(1)(a) is amended by deleting “, if a form and manner of giving notice of an application of that kind is prescribed, be so made by notice;” and inserting instead — </w:t>
      </w:r>
    </w:p>
    <w:p>
      <w:pPr>
        <w:pStyle w:val="MiscOpen"/>
        <w:ind w:left="1620"/>
      </w:pPr>
      <w:r>
        <w:t xml:space="preserve">“    </w:t>
      </w:r>
    </w:p>
    <w:p>
      <w:pPr>
        <w:pStyle w:val="nzIndenta"/>
      </w:pPr>
      <w:r>
        <w:tab/>
      </w:r>
      <w:r>
        <w:tab/>
        <w:t>be made in the form and manner approved by the licensing authority;</w:t>
      </w:r>
    </w:p>
    <w:p>
      <w:pPr>
        <w:pStyle w:val="MiscClose"/>
      </w:pPr>
      <w:r>
        <w:t xml:space="preserve">    ”.</w:t>
      </w:r>
    </w:p>
    <w:p>
      <w:pPr>
        <w:pStyle w:val="nzSubsection"/>
      </w:pPr>
      <w:r>
        <w:tab/>
        <w:t>(3)</w:t>
      </w:r>
      <w:r>
        <w:tab/>
        <w:t xml:space="preserve">Section 73(4) is amended by deleting “in the prescribed form with the Director,” and inserting instead — </w:t>
      </w:r>
    </w:p>
    <w:p>
      <w:pPr>
        <w:pStyle w:val="MiscOpen"/>
        <w:ind w:left="880"/>
      </w:pPr>
      <w:r>
        <w:t xml:space="preserve">“    </w:t>
      </w:r>
    </w:p>
    <w:p>
      <w:pPr>
        <w:pStyle w:val="nzSubsection"/>
      </w:pPr>
      <w:r>
        <w:tab/>
      </w:r>
      <w:r>
        <w:tab/>
        <w:t>with the Director in the form approved by the Director,</w:t>
      </w:r>
    </w:p>
    <w:p>
      <w:pPr>
        <w:pStyle w:val="MiscClose"/>
      </w:pPr>
      <w:r>
        <w:t xml:space="preserve">    ”.</w:t>
      </w:r>
    </w:p>
    <w:p>
      <w:pPr>
        <w:pStyle w:val="nzSubsection"/>
      </w:pPr>
      <w:r>
        <w:tab/>
        <w:t>(4)</w:t>
      </w:r>
      <w:r>
        <w:tab/>
        <w:t xml:space="preserve">Section 73(5)(a)(ii) is amended by deleting “prescribed” and inserting instead — </w:t>
      </w:r>
    </w:p>
    <w:p>
      <w:pPr>
        <w:pStyle w:val="nzSubsection"/>
      </w:pPr>
      <w:r>
        <w:tab/>
      </w:r>
      <w:r>
        <w:tab/>
        <w:t>“    the approved    ”.</w:t>
      </w:r>
    </w:p>
    <w:p>
      <w:pPr>
        <w:pStyle w:val="nzSubsection"/>
      </w:pPr>
      <w:r>
        <w:tab/>
        <w:t>(5)</w:t>
      </w:r>
      <w:r>
        <w:tab/>
        <w:t xml:space="preserve">Section 75(1) is amended by deleting “prescribed manner and form” and inserting instead — </w:t>
      </w:r>
    </w:p>
    <w:p>
      <w:pPr>
        <w:pStyle w:val="nzSubsection"/>
      </w:pPr>
      <w:r>
        <w:tab/>
      </w:r>
      <w:r>
        <w:tab/>
        <w:t>“    manner and form approved by the Director    ”.</w:t>
      </w:r>
    </w:p>
    <w:p>
      <w:pPr>
        <w:pStyle w:val="nzSubsection"/>
      </w:pPr>
      <w:r>
        <w:tab/>
        <w:t>(6)</w:t>
      </w:r>
      <w:r>
        <w:tab/>
        <w:t xml:space="preserve">Section 76(1) is amended by deleting “an application in the prescribed manner and form with” and inserting instead — </w:t>
      </w:r>
    </w:p>
    <w:p>
      <w:pPr>
        <w:pStyle w:val="MiscOpen"/>
        <w:ind w:left="880"/>
      </w:pPr>
      <w:r>
        <w:t xml:space="preserve">“    </w:t>
      </w:r>
    </w:p>
    <w:p>
      <w:pPr>
        <w:pStyle w:val="nzSubsection"/>
      </w:pPr>
      <w:r>
        <w:tab/>
      </w:r>
      <w:r>
        <w:tab/>
        <w:t>with the Director an application in the manner and form approved by</w:t>
      </w:r>
    </w:p>
    <w:p>
      <w:pPr>
        <w:pStyle w:val="MiscClose"/>
      </w:pPr>
      <w:r>
        <w:t xml:space="preserve">    ”.</w:t>
      </w:r>
    </w:p>
    <w:p>
      <w:pPr>
        <w:pStyle w:val="nzSubsection"/>
      </w:pPr>
      <w:r>
        <w:tab/>
        <w:t>(7)</w:t>
      </w:r>
      <w:r>
        <w:tab/>
        <w:t xml:space="preserve">Section 84(4)(b) is amended by deleting “the prescribed form or such other” and inserting instead — </w:t>
      </w:r>
    </w:p>
    <w:p>
      <w:pPr>
        <w:pStyle w:val="nzSubsection"/>
      </w:pPr>
      <w:r>
        <w:tab/>
      </w:r>
      <w:r>
        <w:tab/>
        <w:t>“    such    ”.</w:t>
      </w:r>
    </w:p>
    <w:p>
      <w:pPr>
        <w:pStyle w:val="nzSubsection"/>
      </w:pPr>
      <w:r>
        <w:tab/>
        <w:t>(8)</w:t>
      </w:r>
      <w:r>
        <w:tab/>
        <w:t>Section 96(6)(a) is amended by deleting “prescribed form or in a”.</w:t>
      </w:r>
    </w:p>
    <w:p>
      <w:pPr>
        <w:pStyle w:val="nzSubsection"/>
      </w:pPr>
      <w:r>
        <w:tab/>
        <w:t>(9)</w:t>
      </w:r>
      <w:r>
        <w:tab/>
        <w:t xml:space="preserve">Section 121(6) is amended by deleting “prescribed form” and inserting instead — </w:t>
      </w:r>
    </w:p>
    <w:p>
      <w:pPr>
        <w:pStyle w:val="nzSubsection"/>
      </w:pPr>
      <w:r>
        <w:tab/>
      </w:r>
      <w:r>
        <w:tab/>
        <w:t>“    form approved by the Director    ”.</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Dec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Licensing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Licensing Act 1988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Licensing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Licensing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Licensing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Licensing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Licensing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Licensing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61930"/>
    <w:docVar w:name="WAFER_20140604161930" w:val="RemoveTocBookmarks,RemoveUnusedBookmarks,RemoveLanguageTags,UsedStyles,ResetPageSize"/>
    <w:docVar w:name="WAFER_20140604161930_GUID" w:val="9a891a47-2134-417a-8ed6-cef42c5d0b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337</Pages>
  <Words>89406</Words>
  <Characters>423785</Characters>
  <Application>Microsoft Office Word</Application>
  <DocSecurity>0</DocSecurity>
  <Lines>11453</Lines>
  <Paragraphs>6579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Licensing Act 1988 - 04-c0-06</dc:title>
  <dc:subject/>
  <dc:creator/>
  <cp:keywords/>
  <dc:description/>
  <cp:lastModifiedBy>svcMRProcess</cp:lastModifiedBy>
  <cp:revision>4</cp:revision>
  <cp:lastPrinted>2006-06-14T04:53:00Z</cp:lastPrinted>
  <dcterms:created xsi:type="dcterms:W3CDTF">2018-09-04T01:18:00Z</dcterms:created>
  <dcterms:modified xsi:type="dcterms:W3CDTF">2018-09-04T01:18:00Z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20061217</vt:lpwstr>
  </property>
  <property fmtid="{D5CDD505-2E9C-101B-9397-08002B2CF9AE}" pid="4" name="DocumentType">
    <vt:lpwstr>Act</vt:lpwstr>
  </property>
  <property fmtid="{D5CDD505-2E9C-101B-9397-08002B2CF9AE}" pid="5" name="OwlsUID">
    <vt:i4>461</vt:i4>
  </property>
  <property fmtid="{D5CDD505-2E9C-101B-9397-08002B2CF9AE}" pid="6" name="ReprintNo">
    <vt:lpwstr>4</vt:lpwstr>
  </property>
  <property fmtid="{D5CDD505-2E9C-101B-9397-08002B2CF9AE}" pid="7" name="AsAtDate">
    <vt:lpwstr>17 Dec 2006</vt:lpwstr>
  </property>
  <property fmtid="{D5CDD505-2E9C-101B-9397-08002B2CF9AE}" pid="8" name="Suffix">
    <vt:lpwstr>04-c0-06</vt:lpwstr>
  </property>
</Properties>
</file>