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Cremation Act 1929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476"/>
      </w:pPr>
      <w:r>
        <w:fldChar w:fldCharType="begin"/>
      </w:r>
      <w:r>
        <w:instrText xml:space="preserve"> STYLEREF "Name Of Act/Reg"</w:instrText>
      </w:r>
      <w:r>
        <w:fldChar w:fldCharType="separate"/>
      </w:r>
      <w:r>
        <w:rPr>
          <w:noProof/>
        </w:rPr>
        <w:t>Cremation Act 1929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_Toc215479465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_Toc215479466 \h </w:instrText>
      </w:r>
      <w:r>
        <w:fldChar w:fldCharType="separate"/>
      </w:r>
      <w:r>
        <w:t>1</w:t>
      </w:r>
      <w:r>
        <w:fldChar w:fldCharType="end"/>
      </w:r>
    </w:p>
    <w:p>
      <w:pPr>
        <w:pStyle w:val="TOC8"/>
        <w:rPr>
          <w:sz w:val="24"/>
          <w:szCs w:val="24"/>
        </w:rPr>
      </w:pPr>
      <w:r>
        <w:rPr>
          <w:szCs w:val="24"/>
        </w:rPr>
        <w:t>3.</w:t>
      </w:r>
      <w:r>
        <w:rPr>
          <w:szCs w:val="24"/>
        </w:rPr>
        <w:tab/>
        <w:t>Cremation without licence prohibited</w:t>
      </w:r>
      <w:r>
        <w:tab/>
      </w:r>
      <w:r>
        <w:fldChar w:fldCharType="begin"/>
      </w:r>
      <w:r>
        <w:instrText xml:space="preserve"> PAGEREF _Toc215479467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Issue of licences</w:t>
      </w:r>
      <w:r>
        <w:tab/>
      </w:r>
      <w:r>
        <w:fldChar w:fldCharType="begin"/>
      </w:r>
      <w:r>
        <w:instrText xml:space="preserve"> PAGEREF _Toc215479468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Portion of a cemetery may be set aside as a site for a crematorium</w:t>
      </w:r>
      <w:r>
        <w:tab/>
      </w:r>
      <w:r>
        <w:fldChar w:fldCharType="begin"/>
      </w:r>
      <w:r>
        <w:instrText xml:space="preserve"> PAGEREF _Toc215479469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Site of a crematorium which is not included in a cemetery shall be deemed to be a cemetery for certain purposes</w:t>
      </w:r>
      <w:r>
        <w:tab/>
      </w:r>
      <w:r>
        <w:fldChar w:fldCharType="begin"/>
      </w:r>
      <w:r>
        <w:instrText xml:space="preserve"> PAGEREF _Toc215479470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Disposal of ashes otherwise than by burial on a site of a crematorium</w:t>
      </w:r>
      <w:r>
        <w:tab/>
      </w:r>
      <w:r>
        <w:fldChar w:fldCharType="begin"/>
      </w:r>
      <w:r>
        <w:instrText xml:space="preserve"> PAGEREF _Toc215479471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Appointment of medical referees</w:t>
      </w:r>
      <w:r>
        <w:tab/>
      </w:r>
      <w:r>
        <w:fldChar w:fldCharType="begin"/>
      </w:r>
      <w:r>
        <w:instrText xml:space="preserve"> PAGEREF _Toc215479472 \h </w:instrText>
      </w:r>
      <w:r>
        <w:fldChar w:fldCharType="separate"/>
      </w:r>
      <w:r>
        <w:t>6</w:t>
      </w:r>
      <w:r>
        <w:fldChar w:fldCharType="end"/>
      </w:r>
    </w:p>
    <w:p>
      <w:pPr>
        <w:pStyle w:val="TOC8"/>
        <w:rPr>
          <w:sz w:val="24"/>
          <w:szCs w:val="24"/>
        </w:rPr>
      </w:pPr>
      <w:r>
        <w:rPr>
          <w:szCs w:val="24"/>
        </w:rPr>
        <w:t>8A</w:t>
      </w:r>
      <w:r>
        <w:rPr>
          <w:snapToGrid w:val="0"/>
          <w:szCs w:val="24"/>
        </w:rPr>
        <w:t>.</w:t>
      </w:r>
      <w:r>
        <w:rPr>
          <w:snapToGrid w:val="0"/>
          <w:szCs w:val="24"/>
        </w:rPr>
        <w:tab/>
        <w:t>Permits</w:t>
      </w:r>
      <w:r>
        <w:tab/>
      </w:r>
      <w:r>
        <w:fldChar w:fldCharType="begin"/>
      </w:r>
      <w:r>
        <w:instrText xml:space="preserve"> PAGEREF _Toc215479473 \h </w:instrText>
      </w:r>
      <w:r>
        <w:fldChar w:fldCharType="separate"/>
      </w:r>
      <w:r>
        <w:t>7</w:t>
      </w:r>
      <w:r>
        <w:fldChar w:fldCharType="end"/>
      </w:r>
    </w:p>
    <w:p>
      <w:pPr>
        <w:pStyle w:val="TOC8"/>
        <w:rPr>
          <w:sz w:val="24"/>
          <w:szCs w:val="24"/>
        </w:rPr>
      </w:pPr>
      <w:r>
        <w:rPr>
          <w:szCs w:val="24"/>
        </w:rPr>
        <w:t>8B</w:t>
      </w:r>
      <w:r>
        <w:rPr>
          <w:snapToGrid w:val="0"/>
          <w:szCs w:val="24"/>
        </w:rPr>
        <w:t>.</w:t>
      </w:r>
      <w:r>
        <w:rPr>
          <w:snapToGrid w:val="0"/>
          <w:szCs w:val="24"/>
        </w:rPr>
        <w:tab/>
        <w:t>Permit to cremate still</w:t>
      </w:r>
      <w:r>
        <w:rPr>
          <w:snapToGrid w:val="0"/>
          <w:szCs w:val="24"/>
        </w:rPr>
        <w:noBreakHyphen/>
        <w:t>born child</w:t>
      </w:r>
      <w:r>
        <w:tab/>
      </w:r>
      <w:r>
        <w:fldChar w:fldCharType="begin"/>
      </w:r>
      <w:r>
        <w:instrText xml:space="preserve"> PAGEREF _Toc215479474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Permit to be sufficient authority to cremate body</w:t>
      </w:r>
      <w:r>
        <w:tab/>
      </w:r>
      <w:r>
        <w:fldChar w:fldCharType="begin"/>
      </w:r>
      <w:r>
        <w:instrText xml:space="preserve"> PAGEREF _Toc215479475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Medical referee not to issue permit improperly; and no person to cremate body without permit</w:t>
      </w:r>
      <w:r>
        <w:tab/>
      </w:r>
      <w:r>
        <w:fldChar w:fldCharType="begin"/>
      </w:r>
      <w:r>
        <w:instrText xml:space="preserve"> PAGEREF _Toc215479476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Interested persons not to give certificates</w:t>
      </w:r>
      <w:r>
        <w:tab/>
      </w:r>
      <w:r>
        <w:fldChar w:fldCharType="begin"/>
      </w:r>
      <w:r>
        <w:instrText xml:space="preserve"> PAGEREF _Toc215479477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Cremation not permitted if objected to by deceased’s spouse, de facto partner or next of kin, unless directed by will or other writing signed by deceased</w:t>
      </w:r>
      <w:r>
        <w:tab/>
      </w:r>
      <w:r>
        <w:fldChar w:fldCharType="begin"/>
      </w:r>
      <w:r>
        <w:instrText xml:space="preserve"> PAGEREF _Toc215479478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Attorney General or coroner may forbid cremation</w:t>
      </w:r>
      <w:r>
        <w:tab/>
      </w:r>
      <w:r>
        <w:fldChar w:fldCharType="begin"/>
      </w:r>
      <w:r>
        <w:instrText xml:space="preserve"> PAGEREF _Toc215479479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Offences</w:t>
      </w:r>
      <w:r>
        <w:tab/>
      </w:r>
      <w:r>
        <w:fldChar w:fldCharType="begin"/>
      </w:r>
      <w:r>
        <w:instrText xml:space="preserve"> PAGEREF _Toc215479480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Revocation of licences</w:t>
      </w:r>
      <w:r>
        <w:tab/>
      </w:r>
      <w:r>
        <w:fldChar w:fldCharType="begin"/>
      </w:r>
      <w:r>
        <w:instrText xml:space="preserve"> PAGEREF _Toc215479481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_Toc215479482 \h </w:instrText>
      </w:r>
      <w:r>
        <w:fldChar w:fldCharType="separate"/>
      </w:r>
      <w:r>
        <w:t>12</w:t>
      </w:r>
      <w:r>
        <w:fldChar w:fldCharType="end"/>
      </w:r>
    </w:p>
    <w:p>
      <w:pPr>
        <w:pStyle w:val="TOC2"/>
        <w:tabs>
          <w:tab w:val="right" w:leader="dot" w:pos="7078"/>
        </w:tabs>
        <w:rPr>
          <w:b w:val="0"/>
          <w:sz w:val="24"/>
          <w:szCs w:val="24"/>
        </w:rPr>
      </w:pPr>
      <w:r>
        <w:rPr>
          <w:szCs w:val="26"/>
        </w:rPr>
        <w:lastRenderedPageBreak/>
        <w:t>Notes</w:t>
      </w:r>
    </w:p>
    <w:p>
      <w:pPr>
        <w:pStyle w:val="TOC8"/>
        <w:rPr>
          <w:sz w:val="24"/>
          <w:szCs w:val="24"/>
        </w:rPr>
      </w:pPr>
      <w:r>
        <w:rPr>
          <w:snapToGrid w:val="0"/>
          <w:szCs w:val="24"/>
        </w:rPr>
        <w:tab/>
        <w:t>Compilation table</w:t>
      </w:r>
      <w:r>
        <w:tab/>
      </w:r>
      <w:r>
        <w:fldChar w:fldCharType="begin"/>
      </w:r>
      <w:r>
        <w:instrText xml:space="preserve"> PAGEREF _Toc215479484 \h </w:instrText>
      </w:r>
      <w:r>
        <w:fldChar w:fldCharType="separate"/>
      </w:r>
      <w:r>
        <w:t>14</w:t>
      </w:r>
      <w:r>
        <w:fldChar w:fldCharType="end"/>
      </w:r>
    </w:p>
    <w:p>
      <w:pPr>
        <w:pStyle w:val="TOC2"/>
        <w:tabs>
          <w:tab w:val="right" w:leader="dot" w:pos="7078"/>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Cremation Act 1929</w:t>
      </w:r>
    </w:p>
    <w:p>
      <w:pPr>
        <w:pStyle w:val="LongTitle"/>
        <w:spacing w:after="220"/>
        <w:rPr>
          <w:snapToGrid w:val="0"/>
        </w:rPr>
      </w:pPr>
      <w:r>
        <w:rPr>
          <w:snapToGrid w:val="0"/>
        </w:rPr>
        <w:t>An Act to regulate cremation.</w:t>
      </w:r>
    </w:p>
    <w:p>
      <w:pPr>
        <w:pStyle w:val="Heading5"/>
        <w:rPr>
          <w:snapToGrid w:val="0"/>
        </w:rPr>
      </w:pPr>
      <w:bookmarkStart w:id="2" w:name="_Toc448717214"/>
      <w:bookmarkStart w:id="3" w:name="_Toc20537892"/>
      <w:bookmarkStart w:id="4" w:name="_Toc101953531"/>
      <w:bookmarkStart w:id="5" w:name="_Toc215479465"/>
      <w:r>
        <w:rPr>
          <w:rStyle w:val="CharSectno"/>
        </w:rPr>
        <w:t>1</w:t>
      </w:r>
      <w:r>
        <w:rPr>
          <w:snapToGrid w:val="0"/>
        </w:rPr>
        <w:t>.</w:t>
      </w:r>
      <w:r>
        <w:rPr>
          <w:snapToGrid w:val="0"/>
        </w:rPr>
        <w:tab/>
        <w:t>Short title</w:t>
      </w:r>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6" w:name="_Toc448717215"/>
      <w:bookmarkStart w:id="7" w:name="_Toc20537893"/>
      <w:bookmarkStart w:id="8" w:name="_Toc101953532"/>
      <w:bookmarkStart w:id="9" w:name="_Toc215479466"/>
      <w:r>
        <w:rPr>
          <w:rStyle w:val="CharSectno"/>
        </w:rPr>
        <w:t>2</w:t>
      </w:r>
      <w:r>
        <w:rPr>
          <w:snapToGrid w:val="0"/>
        </w:rPr>
        <w:t>.</w:t>
      </w:r>
      <w:r>
        <w:rPr>
          <w:snapToGrid w:val="0"/>
        </w:rPr>
        <w:tab/>
      </w:r>
      <w:bookmarkEnd w:id="6"/>
      <w:bookmarkEnd w:id="7"/>
      <w:bookmarkEnd w:id="8"/>
      <w:r>
        <w:rPr>
          <w:snapToGrid w:val="0"/>
        </w:rPr>
        <w:t>Terms used in this Act</w:t>
      </w:r>
      <w:bookmarkEnd w:id="9"/>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rPr>
          <w:b/>
        </w:rPr>
        <w:tab/>
      </w:r>
      <w:r>
        <w:rPr>
          <w:rStyle w:val="CharDefText"/>
        </w:rPr>
        <w:t>medical practitioner</w:t>
      </w:r>
      <w:r>
        <w:t xml:space="preserve"> means a legally qualified medical practitioner registered under the</w:t>
      </w:r>
      <w:r>
        <w:rPr>
          <w:i/>
        </w:rPr>
        <w:t xml:space="preserve"> Medical Practitioners Act 2008</w:t>
      </w:r>
      <w:r>
        <w:rPr>
          <w:iCs/>
        </w:rPr>
        <w:t>.</w:t>
      </w:r>
    </w:p>
    <w:p>
      <w:pPr>
        <w:pStyle w:val="Footnotesection"/>
      </w:pPr>
      <w:r>
        <w:tab/>
        <w:t>[Section 2 amended by No. 80 of 1953 s. 3; No. 2 of 1968 s. 2; No. 28 of 1984 s. 11; No. 103 of 1986 s. 2; No. 2 of 1996 s. 61; No. 22 of 2008 s. 162.]</w:t>
      </w:r>
    </w:p>
    <w:p>
      <w:pPr>
        <w:pStyle w:val="Heading5"/>
      </w:pPr>
      <w:bookmarkStart w:id="10" w:name="_Toc448717216"/>
      <w:bookmarkStart w:id="11" w:name="_Toc20537894"/>
      <w:bookmarkStart w:id="12" w:name="_Toc101953533"/>
      <w:bookmarkStart w:id="13" w:name="_Toc215479467"/>
      <w:r>
        <w:rPr>
          <w:rStyle w:val="CharSectno"/>
        </w:rPr>
        <w:t>3</w:t>
      </w:r>
      <w:r>
        <w:t>.</w:t>
      </w:r>
      <w:r>
        <w:tab/>
        <w:t>Cremation without licence prohibited</w:t>
      </w:r>
      <w:bookmarkEnd w:id="10"/>
      <w:bookmarkEnd w:id="11"/>
      <w:bookmarkEnd w:id="12"/>
      <w:bookmarkEnd w:id="13"/>
    </w:p>
    <w:p>
      <w:pPr>
        <w:pStyle w:val="Subsection"/>
      </w:pPr>
      <w:r>
        <w:tab/>
      </w:r>
      <w:r>
        <w:tab/>
        <w:t>No person shall cremate or be party or privy to the cremation of any human body elsewhere than in a licensed crematorium.</w:t>
      </w:r>
    </w:p>
    <w:p>
      <w:pPr>
        <w:pStyle w:val="Subsection"/>
        <w:rPr>
          <w:snapToGrid w:val="0"/>
        </w:rPr>
      </w:pPr>
      <w:r>
        <w:rPr>
          <w:snapToGrid w:val="0"/>
        </w:rPr>
        <w:tab/>
      </w:r>
      <w:r>
        <w:rPr>
          <w:snapToGrid w:val="0"/>
        </w:rPr>
        <w:tab/>
        <w:t>Provided that nothing in this section shall prevent the dead body of any person of Asiatic race being cremated in accordance with the religion to which the deceased belonged, subject, always, to such regulations as may be prescribed in regard thereto.</w:t>
      </w:r>
    </w:p>
    <w:p>
      <w:pPr>
        <w:pStyle w:val="Heading5"/>
        <w:rPr>
          <w:snapToGrid w:val="0"/>
        </w:rPr>
      </w:pPr>
      <w:bookmarkStart w:id="14" w:name="_Toc448717217"/>
      <w:bookmarkStart w:id="15" w:name="_Toc20537895"/>
      <w:bookmarkStart w:id="16" w:name="_Toc101953534"/>
      <w:bookmarkStart w:id="17" w:name="_Toc215479468"/>
      <w:r>
        <w:rPr>
          <w:rStyle w:val="CharSectno"/>
        </w:rPr>
        <w:t>4</w:t>
      </w:r>
      <w:r>
        <w:rPr>
          <w:snapToGrid w:val="0"/>
        </w:rPr>
        <w:t>.</w:t>
      </w:r>
      <w:r>
        <w:rPr>
          <w:snapToGrid w:val="0"/>
        </w:rPr>
        <w:tab/>
        <w:t>Issue of licences</w:t>
      </w:r>
      <w:bookmarkEnd w:id="14"/>
      <w:bookmarkEnd w:id="15"/>
      <w:bookmarkEnd w:id="16"/>
      <w:bookmarkEnd w:id="17"/>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 xml:space="preserve">any association incorporated under the </w:t>
      </w:r>
      <w:r>
        <w:rPr>
          <w:i/>
          <w:snapToGrid w:val="0"/>
        </w:rPr>
        <w:t>Associations Incorporation Act 1895 </w:t>
      </w:r>
      <w:r>
        <w:rPr>
          <w:snapToGrid w:val="0"/>
          <w:vertAlign w:val="superscript"/>
        </w:rPr>
        <w:t>2</w:t>
      </w:r>
      <w:r>
        <w:rPr>
          <w:snapToGrid w:val="0"/>
        </w:rPr>
        <w:t>,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w:t>
      </w:r>
    </w:p>
    <w:p>
      <w:pPr>
        <w:pStyle w:val="Heading5"/>
        <w:rPr>
          <w:snapToGrid w:val="0"/>
        </w:rPr>
      </w:pPr>
      <w:bookmarkStart w:id="18" w:name="_Toc448717218"/>
      <w:bookmarkStart w:id="19" w:name="_Toc20537896"/>
      <w:bookmarkStart w:id="20" w:name="_Toc101953535"/>
      <w:bookmarkStart w:id="21" w:name="_Toc215479469"/>
      <w:r>
        <w:rPr>
          <w:rStyle w:val="CharSectno"/>
        </w:rPr>
        <w:t>5</w:t>
      </w:r>
      <w:r>
        <w:rPr>
          <w:snapToGrid w:val="0"/>
        </w:rPr>
        <w:t>.</w:t>
      </w:r>
      <w:r>
        <w:rPr>
          <w:snapToGrid w:val="0"/>
        </w:rPr>
        <w:tab/>
        <w:t>Portion of a cemetery may be set aside as a site for a crematorium</w:t>
      </w:r>
      <w:bookmarkEnd w:id="18"/>
      <w:bookmarkEnd w:id="19"/>
      <w:bookmarkEnd w:id="20"/>
      <w:bookmarkEnd w:id="21"/>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22" w:name="_Toc448717219"/>
      <w:bookmarkStart w:id="23" w:name="_Toc20537897"/>
      <w:bookmarkStart w:id="24" w:name="_Toc101953536"/>
      <w:bookmarkStart w:id="25" w:name="_Toc215479470"/>
      <w:r>
        <w:rPr>
          <w:rStyle w:val="CharSectno"/>
        </w:rPr>
        <w:t>6</w:t>
      </w:r>
      <w:r>
        <w:rPr>
          <w:snapToGrid w:val="0"/>
        </w:rPr>
        <w:t>.</w:t>
      </w:r>
      <w:r>
        <w:rPr>
          <w:snapToGrid w:val="0"/>
        </w:rPr>
        <w:tab/>
        <w:t>Site of a crematorium which is not included in a cemetery shall be deemed to be a cemetery for certain purposes</w:t>
      </w:r>
      <w:bookmarkEnd w:id="22"/>
      <w:bookmarkEnd w:id="23"/>
      <w:bookmarkEnd w:id="24"/>
      <w:bookmarkEnd w:id="25"/>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26" w:name="_Toc448717220"/>
      <w:bookmarkStart w:id="27" w:name="_Toc20537898"/>
      <w:bookmarkStart w:id="28" w:name="_Toc101953537"/>
      <w:bookmarkStart w:id="29" w:name="_Toc215479471"/>
      <w:r>
        <w:rPr>
          <w:rStyle w:val="CharSectno"/>
        </w:rPr>
        <w:t>7</w:t>
      </w:r>
      <w:r>
        <w:rPr>
          <w:snapToGrid w:val="0"/>
        </w:rPr>
        <w:t>.</w:t>
      </w:r>
      <w:r>
        <w:rPr>
          <w:snapToGrid w:val="0"/>
        </w:rPr>
        <w:tab/>
        <w:t>Disposal of ashes otherwise than by burial on a site of a crematorium</w:t>
      </w:r>
      <w:bookmarkEnd w:id="26"/>
      <w:bookmarkEnd w:id="27"/>
      <w:bookmarkEnd w:id="28"/>
      <w:bookmarkEnd w:id="29"/>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30" w:name="_Toc448717221"/>
      <w:bookmarkStart w:id="31" w:name="_Toc20537899"/>
      <w:bookmarkStart w:id="32" w:name="_Toc101953538"/>
      <w:bookmarkStart w:id="33" w:name="_Toc215479472"/>
      <w:r>
        <w:rPr>
          <w:rStyle w:val="CharSectno"/>
        </w:rPr>
        <w:t>8</w:t>
      </w:r>
      <w:r>
        <w:rPr>
          <w:snapToGrid w:val="0"/>
        </w:rPr>
        <w:t>.</w:t>
      </w:r>
      <w:r>
        <w:rPr>
          <w:snapToGrid w:val="0"/>
        </w:rPr>
        <w:tab/>
        <w:t>Appointment of medical referees</w:t>
      </w:r>
      <w:bookmarkEnd w:id="30"/>
      <w:bookmarkEnd w:id="31"/>
      <w:bookmarkEnd w:id="32"/>
      <w:bookmarkEnd w:id="33"/>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(i)</w:t>
      </w:r>
      <w:r>
        <w:rPr>
          <w:snapToGrid w:val="0"/>
        </w:rPr>
        <w:tab/>
        <w:t>an administrator;</w:t>
      </w:r>
    </w:p>
    <w:p>
      <w:pPr>
        <w:pStyle w:val="Indenta"/>
        <w:rPr>
          <w:snapToGrid w:val="0"/>
        </w:rPr>
      </w:pPr>
      <w:r>
        <w:rPr>
          <w:snapToGrid w:val="0"/>
        </w:rPr>
        <w:tab/>
        <w:t>(ii)</w:t>
      </w:r>
      <w:r>
        <w:rPr>
          <w:snapToGrid w:val="0"/>
        </w:rPr>
        <w:tab/>
        <w:t>a person acting with the written authority of and on behalf of the administrator; or</w:t>
      </w:r>
    </w:p>
    <w:p>
      <w:pPr>
        <w:pStyle w:val="Indenta"/>
        <w:rPr>
          <w:snapToGrid w:val="0"/>
        </w:rPr>
      </w:pPr>
      <w:r>
        <w:rPr>
          <w:snapToGrid w:val="0"/>
        </w:rPr>
        <w:tab/>
        <w:t>(iii)</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(b)</w:t>
      </w:r>
      <w:r>
        <w:rPr>
          <w:snapToGrid w:val="0"/>
        </w:rPr>
        <w:tab/>
        <w:t>Where the application for a permit is not made by an administrator, the person making the application shall —</w:t>
      </w:r>
    </w:p>
    <w:p>
      <w:pPr>
        <w:pStyle w:val="Indenta"/>
        <w:rPr>
          <w:snapToGrid w:val="0"/>
        </w:rPr>
      </w:pPr>
      <w:r>
        <w:rPr>
          <w:snapToGrid w:val="0"/>
        </w:rPr>
        <w:tab/>
        <w:t>(i)</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(ii)</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w:t>
      </w:r>
    </w:p>
    <w:p>
      <w:pPr>
        <w:pStyle w:val="Heading5"/>
        <w:rPr>
          <w:snapToGrid w:val="0"/>
        </w:rPr>
      </w:pPr>
      <w:bookmarkStart w:id="34" w:name="_Toc448717222"/>
      <w:bookmarkStart w:id="35" w:name="_Toc20537900"/>
      <w:bookmarkStart w:id="36" w:name="_Toc101953539"/>
      <w:bookmarkStart w:id="37" w:name="_Toc215479473"/>
      <w:r>
        <w:rPr>
          <w:rStyle w:val="CharSectno"/>
        </w:rPr>
        <w:t>8A</w:t>
      </w:r>
      <w:r>
        <w:rPr>
          <w:snapToGrid w:val="0"/>
        </w:rPr>
        <w:t>.</w:t>
      </w:r>
      <w:r>
        <w:rPr>
          <w:snapToGrid w:val="0"/>
        </w:rPr>
        <w:tab/>
        <w:t>Permits</w:t>
      </w:r>
      <w:bookmarkEnd w:id="34"/>
      <w:bookmarkEnd w:id="35"/>
      <w:bookmarkEnd w:id="36"/>
      <w:bookmarkEnd w:id="37"/>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w:t>
      </w:r>
    </w:p>
    <w:p>
      <w:pPr>
        <w:pStyle w:val="Heading5"/>
        <w:rPr>
          <w:snapToGrid w:val="0"/>
        </w:rPr>
      </w:pPr>
      <w:bookmarkStart w:id="38" w:name="_Toc448717223"/>
      <w:bookmarkStart w:id="39" w:name="_Toc20537901"/>
      <w:bookmarkStart w:id="40" w:name="_Toc101953540"/>
      <w:bookmarkStart w:id="41" w:name="_Toc215479474"/>
      <w:r>
        <w:rPr>
          <w:rStyle w:val="CharSectno"/>
        </w:rPr>
        <w:t>8B</w:t>
      </w:r>
      <w:r>
        <w:rPr>
          <w:snapToGrid w:val="0"/>
        </w:rPr>
        <w:t>.</w:t>
      </w:r>
      <w:r>
        <w:rPr>
          <w:snapToGrid w:val="0"/>
        </w:rPr>
        <w:tab/>
        <w:t>Permit to cremate still</w:t>
      </w:r>
      <w:r>
        <w:rPr>
          <w:snapToGrid w:val="0"/>
        </w:rPr>
        <w:noBreakHyphen/>
        <w:t>born child</w:t>
      </w:r>
      <w:bookmarkEnd w:id="38"/>
      <w:bookmarkEnd w:id="39"/>
      <w:bookmarkEnd w:id="40"/>
      <w:bookmarkEnd w:id="41"/>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p>
    <w:p>
      <w:pPr>
        <w:pStyle w:val="Footnotesection"/>
      </w:pPr>
      <w:r>
        <w:tab/>
        <w:t>[Section 8B inserted by No. 80 of 1953 s. 8.]</w:t>
      </w:r>
    </w:p>
    <w:p>
      <w:pPr>
        <w:pStyle w:val="Heading5"/>
        <w:rPr>
          <w:snapToGrid w:val="0"/>
        </w:rPr>
      </w:pPr>
      <w:bookmarkStart w:id="42" w:name="_Toc448717224"/>
      <w:bookmarkStart w:id="43" w:name="_Toc20537902"/>
      <w:bookmarkStart w:id="44" w:name="_Toc101953541"/>
      <w:bookmarkStart w:id="45" w:name="_Toc215479475"/>
      <w:r>
        <w:rPr>
          <w:rStyle w:val="CharSectno"/>
        </w:rPr>
        <w:t>9</w:t>
      </w:r>
      <w:r>
        <w:rPr>
          <w:snapToGrid w:val="0"/>
        </w:rPr>
        <w:t>.</w:t>
      </w:r>
      <w:r>
        <w:rPr>
          <w:snapToGrid w:val="0"/>
        </w:rPr>
        <w:tab/>
        <w:t>Permit to be sufficient authority to cremate body</w:t>
      </w:r>
      <w:bookmarkEnd w:id="42"/>
      <w:bookmarkEnd w:id="43"/>
      <w:bookmarkEnd w:id="44"/>
      <w:bookmarkEnd w:id="45"/>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46" w:name="_Toc448717225"/>
      <w:bookmarkStart w:id="47" w:name="_Toc20537903"/>
      <w:bookmarkStart w:id="48" w:name="_Toc101953542"/>
      <w:bookmarkStart w:id="49" w:name="_Toc215479476"/>
      <w:r>
        <w:rPr>
          <w:rStyle w:val="CharSectno"/>
        </w:rPr>
        <w:t>10</w:t>
      </w:r>
      <w:r>
        <w:rPr>
          <w:snapToGrid w:val="0"/>
        </w:rPr>
        <w:t>.</w:t>
      </w:r>
      <w:r>
        <w:rPr>
          <w:snapToGrid w:val="0"/>
        </w:rPr>
        <w:tab/>
        <w:t>Medical referee not to issue permit improperly; and no person to cremate body without permit</w:t>
      </w:r>
      <w:bookmarkEnd w:id="46"/>
      <w:bookmarkEnd w:id="47"/>
      <w:bookmarkEnd w:id="48"/>
      <w:bookmarkEnd w:id="49"/>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t>Deleted by No. 40 of 1998 s. 9(b).]</w:t>
      </w:r>
    </w:p>
    <w:p>
      <w:pPr>
        <w:pStyle w:val="Heading5"/>
        <w:rPr>
          <w:snapToGrid w:val="0"/>
        </w:rPr>
      </w:pPr>
      <w:bookmarkStart w:id="50" w:name="_Toc448717226"/>
      <w:bookmarkStart w:id="51" w:name="_Toc20537904"/>
      <w:bookmarkStart w:id="52" w:name="_Toc101953543"/>
      <w:bookmarkStart w:id="53" w:name="_Toc215479477"/>
      <w:r>
        <w:rPr>
          <w:rStyle w:val="CharSectno"/>
        </w:rPr>
        <w:t>12</w:t>
      </w:r>
      <w:r>
        <w:rPr>
          <w:snapToGrid w:val="0"/>
        </w:rPr>
        <w:t>.</w:t>
      </w:r>
      <w:r>
        <w:rPr>
          <w:snapToGrid w:val="0"/>
        </w:rPr>
        <w:tab/>
        <w:t>Interested persons not to give certificates</w:t>
      </w:r>
      <w:bookmarkEnd w:id="50"/>
      <w:bookmarkEnd w:id="51"/>
      <w:bookmarkEnd w:id="52"/>
      <w:bookmarkEnd w:id="53"/>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54" w:name="_Toc448717227"/>
      <w:bookmarkStart w:id="55" w:name="_Toc20537905"/>
      <w:bookmarkStart w:id="56" w:name="_Toc101953544"/>
      <w:bookmarkStart w:id="57" w:name="_Toc215479478"/>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54"/>
      <w:bookmarkEnd w:id="55"/>
      <w:bookmarkEnd w:id="56"/>
      <w:bookmarkEnd w:id="57"/>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58" w:name="_Toc448717228"/>
      <w:bookmarkStart w:id="59" w:name="_Toc20537906"/>
      <w:bookmarkStart w:id="60" w:name="_Toc101953545"/>
      <w:bookmarkStart w:id="61" w:name="_Toc215479479"/>
      <w:r>
        <w:rPr>
          <w:rStyle w:val="CharSectno"/>
        </w:rPr>
        <w:t>14</w:t>
      </w:r>
      <w:r>
        <w:rPr>
          <w:snapToGrid w:val="0"/>
        </w:rPr>
        <w:t>.</w:t>
      </w:r>
      <w:r>
        <w:rPr>
          <w:snapToGrid w:val="0"/>
        </w:rPr>
        <w:tab/>
        <w:t>Attorney General or coroner may forbid cremation</w:t>
      </w:r>
      <w:bookmarkEnd w:id="58"/>
      <w:bookmarkEnd w:id="59"/>
      <w:bookmarkEnd w:id="60"/>
      <w:bookmarkEnd w:id="61"/>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62" w:name="_Toc448717229"/>
      <w:bookmarkStart w:id="63" w:name="_Toc20537907"/>
      <w:bookmarkStart w:id="64" w:name="_Toc101953546"/>
      <w:bookmarkStart w:id="65" w:name="_Toc215479480"/>
      <w:r>
        <w:rPr>
          <w:rStyle w:val="CharSectno"/>
        </w:rPr>
        <w:t>15</w:t>
      </w:r>
      <w:r>
        <w:rPr>
          <w:snapToGrid w:val="0"/>
        </w:rPr>
        <w:t>.</w:t>
      </w:r>
      <w:r>
        <w:rPr>
          <w:snapToGrid w:val="0"/>
        </w:rPr>
        <w:tab/>
        <w:t>Offences</w:t>
      </w:r>
      <w:bookmarkEnd w:id="62"/>
      <w:bookmarkEnd w:id="63"/>
      <w:bookmarkEnd w:id="64"/>
      <w:bookmarkEnd w:id="65"/>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66" w:name="_Toc448717230"/>
      <w:bookmarkStart w:id="67" w:name="_Toc20537908"/>
      <w:bookmarkStart w:id="68" w:name="_Toc101953547"/>
      <w:bookmarkStart w:id="69" w:name="_Toc215479481"/>
      <w:r>
        <w:rPr>
          <w:rStyle w:val="CharSectno"/>
        </w:rPr>
        <w:t>16</w:t>
      </w:r>
      <w:r>
        <w:rPr>
          <w:snapToGrid w:val="0"/>
        </w:rPr>
        <w:t>.</w:t>
      </w:r>
      <w:r>
        <w:rPr>
          <w:snapToGrid w:val="0"/>
        </w:rPr>
        <w:tab/>
        <w:t>Revocation of licences</w:t>
      </w:r>
      <w:bookmarkEnd w:id="66"/>
      <w:bookmarkEnd w:id="67"/>
      <w:bookmarkEnd w:id="68"/>
      <w:bookmarkEnd w:id="69"/>
    </w:p>
    <w:p>
      <w:pPr>
        <w:pStyle w:val="Subsection"/>
        <w:rPr>
          <w:snapToGrid w:val="0"/>
        </w:rPr>
      </w:pPr>
      <w:r>
        <w:rPr>
          <w:snapToGrid w:val="0"/>
        </w:rPr>
        <w:tab/>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 Provided that no order revoking any licence on the ground mentioned in paragraph (a) or (b) shall be made more than 3 months after the date of the conviction or of the Executive Director’s certificate, as the case may be.</w:t>
      </w:r>
    </w:p>
    <w:p>
      <w:pPr>
        <w:pStyle w:val="Footnotesection"/>
      </w:pPr>
      <w:r>
        <w:tab/>
        <w:t>[Section 16 amended by No. 113 of 1965 s. 8; No. 28 of 1984 s. 12 and 13.]</w:t>
      </w:r>
    </w:p>
    <w:p>
      <w:pPr>
        <w:pStyle w:val="Heading5"/>
        <w:rPr>
          <w:snapToGrid w:val="0"/>
        </w:rPr>
      </w:pPr>
      <w:bookmarkStart w:id="70" w:name="_Toc448717231"/>
      <w:bookmarkStart w:id="71" w:name="_Toc20537909"/>
      <w:bookmarkStart w:id="72" w:name="_Toc101953548"/>
      <w:bookmarkStart w:id="73" w:name="_Toc215479482"/>
      <w:r>
        <w:rPr>
          <w:rStyle w:val="CharSectno"/>
        </w:rPr>
        <w:t>17</w:t>
      </w:r>
      <w:r>
        <w:rPr>
          <w:snapToGrid w:val="0"/>
        </w:rPr>
        <w:t>.</w:t>
      </w:r>
      <w:r>
        <w:rPr>
          <w:snapToGrid w:val="0"/>
        </w:rPr>
        <w:tab/>
        <w:t>Regulations</w:t>
      </w:r>
      <w:bookmarkEnd w:id="70"/>
      <w:bookmarkEnd w:id="71"/>
      <w:bookmarkEnd w:id="72"/>
      <w:bookmarkEnd w:id="73"/>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74" w:name="_Toc89499498"/>
      <w:bookmarkStart w:id="75" w:name="_Toc89499583"/>
      <w:bookmarkStart w:id="76" w:name="_Toc89510850"/>
      <w:bookmarkStart w:id="77" w:name="_Toc92513111"/>
      <w:bookmarkStart w:id="78" w:name="_Toc101953507"/>
      <w:bookmarkStart w:id="79" w:name="_Toc101953549"/>
      <w:bookmarkStart w:id="80" w:name="_Toc199738526"/>
      <w:bookmarkStart w:id="81" w:name="_Toc199738572"/>
      <w:bookmarkStart w:id="82" w:name="_Toc199815663"/>
      <w:bookmarkStart w:id="83" w:name="_Toc202235196"/>
      <w:bookmarkStart w:id="84" w:name="_Toc202250099"/>
      <w:bookmarkStart w:id="85" w:name="_Toc203379060"/>
      <w:bookmarkStart w:id="86" w:name="_Toc215479483"/>
      <w:r>
        <w:t>Notes</w:t>
      </w:r>
      <w:bookmarkEnd w:id="74"/>
      <w:bookmarkEnd w:id="75"/>
      <w:bookmarkEnd w:id="76"/>
      <w:bookmarkEnd w:id="77"/>
      <w:bookmarkEnd w:id="78"/>
      <w:bookmarkEnd w:id="79"/>
      <w:bookmarkEnd w:id="80"/>
      <w:bookmarkEnd w:id="81"/>
      <w:bookmarkEnd w:id="82"/>
      <w:bookmarkEnd w:id="83"/>
      <w:bookmarkEnd w:id="84"/>
      <w:bookmarkEnd w:id="85"/>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Act 1929</w:t>
      </w:r>
      <w:r>
        <w:rPr>
          <w:snapToGrid w:val="0"/>
        </w:rPr>
        <w:t xml:space="preserve"> and includes the amendments made by the other written laws referred to in the following table </w:t>
      </w:r>
      <w:r>
        <w:rPr>
          <w:snapToGrid w:val="0"/>
          <w:vertAlign w:val="superscript"/>
        </w:rPr>
        <w:t>3</w:t>
      </w:r>
      <w:r>
        <w:rPr>
          <w:snapToGrid w:val="0"/>
        </w:rPr>
        <w:t>.  The table also contains information about any reprint.</w:t>
      </w:r>
    </w:p>
    <w:p>
      <w:pPr>
        <w:pStyle w:val="nHeading3"/>
        <w:rPr>
          <w:snapToGrid w:val="0"/>
        </w:rPr>
      </w:pPr>
      <w:bookmarkStart w:id="87" w:name="_Toc215479484"/>
      <w:r>
        <w:rPr>
          <w:snapToGrid w:val="0"/>
        </w:rPr>
        <w:t>Compilation table</w:t>
      </w:r>
      <w:bookmarkEnd w:id="87"/>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Cremation Act 1929</w:t>
            </w:r>
          </w:p>
        </w:tc>
        <w:tc>
          <w:tcPr>
            <w:tcW w:w="1134" w:type="dxa"/>
            <w:gridSpan w:val="2"/>
            <w:tcBorders>
              <w:top w:val="single" w:sz="8" w:space="0" w:color="auto"/>
            </w:tcBorders>
          </w:tcPr>
          <w:p>
            <w:pPr>
              <w:pStyle w:val="nTable"/>
              <w:spacing w:after="40"/>
              <w:rPr>
                <w:sz w:val="19"/>
              </w:rPr>
            </w:pPr>
            <w:r>
              <w:rPr>
                <w:sz w:val="19"/>
              </w:rPr>
              <w:t>22 of 1929</w:t>
            </w:r>
            <w:r>
              <w:rPr>
                <w:sz w:val="19"/>
              </w:rPr>
              <w:br/>
              <w:t>(20 Geo. V No. 20)</w:t>
            </w:r>
          </w:p>
        </w:tc>
        <w:tc>
          <w:tcPr>
            <w:tcW w:w="1134" w:type="dxa"/>
            <w:tcBorders>
              <w:top w:val="single" w:sz="8" w:space="0" w:color="auto"/>
            </w:tcBorders>
          </w:tcPr>
          <w:p>
            <w:pPr>
              <w:pStyle w:val="nTable"/>
              <w:spacing w:after="40"/>
              <w:rPr>
                <w:sz w:val="19"/>
              </w:rPr>
            </w:pPr>
            <w:r>
              <w:rPr>
                <w:sz w:val="19"/>
              </w:rPr>
              <w:t>11 Dec 1929</w:t>
            </w:r>
          </w:p>
        </w:tc>
        <w:tc>
          <w:tcPr>
            <w:tcW w:w="2552" w:type="dxa"/>
            <w:gridSpan w:val="2"/>
            <w:tcBorders>
              <w:top w:val="single" w:sz="8" w:space="0" w:color="auto"/>
            </w:tcBorders>
          </w:tcPr>
          <w:p>
            <w:pPr>
              <w:pStyle w:val="nTable"/>
              <w:spacing w:after="40"/>
              <w:rPr>
                <w:sz w:val="19"/>
              </w:rPr>
            </w:pPr>
            <w:r>
              <w:rPr>
                <w:sz w:val="19"/>
              </w:rPr>
              <w:t>11 Dec 1929</w:t>
            </w:r>
          </w:p>
        </w:tc>
      </w:tr>
      <w:tr>
        <w:trPr>
          <w:cantSplit/>
        </w:trPr>
        <w:tc>
          <w:tcPr>
            <w:tcW w:w="2268" w:type="dxa"/>
            <w:gridSpan w:val="2"/>
          </w:tcPr>
          <w:p>
            <w:pPr>
              <w:pStyle w:val="nTable"/>
              <w:spacing w:after="40"/>
              <w:ind w:right="113"/>
              <w:rPr>
                <w:sz w:val="19"/>
              </w:rPr>
            </w:pPr>
            <w:r>
              <w:rPr>
                <w:i/>
                <w:sz w:val="19"/>
              </w:rPr>
              <w:t>Cremation Act Amendment Act 1935</w:t>
            </w:r>
          </w:p>
        </w:tc>
        <w:tc>
          <w:tcPr>
            <w:tcW w:w="1134" w:type="dxa"/>
            <w:gridSpan w:val="2"/>
          </w:tcPr>
          <w:p>
            <w:pPr>
              <w:pStyle w:val="nTable"/>
              <w:spacing w:after="40"/>
              <w:rPr>
                <w:sz w:val="19"/>
              </w:rPr>
            </w:pPr>
            <w:r>
              <w:rPr>
                <w:sz w:val="19"/>
              </w:rPr>
              <w:t>8 of 1935</w:t>
            </w:r>
            <w:r>
              <w:rPr>
                <w:sz w:val="19"/>
              </w:rPr>
              <w:br/>
              <w:t>(26 Geo. V No. 8)</w:t>
            </w:r>
          </w:p>
        </w:tc>
        <w:tc>
          <w:tcPr>
            <w:tcW w:w="1134" w:type="dxa"/>
          </w:tcPr>
          <w:p>
            <w:pPr>
              <w:pStyle w:val="nTable"/>
              <w:spacing w:after="40"/>
              <w:rPr>
                <w:sz w:val="19"/>
              </w:rPr>
            </w:pPr>
            <w:r>
              <w:rPr>
                <w:sz w:val="19"/>
              </w:rPr>
              <w:t>5 Oct 1935</w:t>
            </w:r>
          </w:p>
        </w:tc>
        <w:tc>
          <w:tcPr>
            <w:tcW w:w="2552" w:type="dxa"/>
            <w:gridSpan w:val="2"/>
          </w:tcPr>
          <w:p>
            <w:pPr>
              <w:pStyle w:val="nTable"/>
              <w:spacing w:after="40"/>
              <w:rPr>
                <w:sz w:val="19"/>
              </w:rPr>
            </w:pPr>
            <w:r>
              <w:rPr>
                <w:sz w:val="19"/>
              </w:rPr>
              <w:t>5 Oct 1935</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in Vol. 2 of Reprinted Acts</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Cremation Act Amendment Act 1953</w:t>
            </w:r>
          </w:p>
        </w:tc>
        <w:tc>
          <w:tcPr>
            <w:tcW w:w="1134" w:type="dxa"/>
            <w:gridSpan w:val="2"/>
          </w:tcPr>
          <w:p>
            <w:pPr>
              <w:pStyle w:val="nTable"/>
              <w:spacing w:after="40"/>
              <w:rPr>
                <w:sz w:val="19"/>
              </w:rPr>
            </w:pPr>
            <w:r>
              <w:rPr>
                <w:sz w:val="19"/>
              </w:rPr>
              <w:t>80 of 1953</w:t>
            </w:r>
            <w:r>
              <w:rPr>
                <w:sz w:val="19"/>
              </w:rPr>
              <w:br/>
              <w:t>(2 Eliz. II No. 80)</w:t>
            </w:r>
          </w:p>
        </w:tc>
        <w:tc>
          <w:tcPr>
            <w:tcW w:w="1134" w:type="dxa"/>
          </w:tcPr>
          <w:p>
            <w:pPr>
              <w:pStyle w:val="nTable"/>
              <w:spacing w:after="40"/>
              <w:rPr>
                <w:sz w:val="19"/>
              </w:rPr>
            </w:pPr>
            <w:r>
              <w:rPr>
                <w:sz w:val="19"/>
              </w:rPr>
              <w:t>18 Jan 1954</w:t>
            </w:r>
          </w:p>
        </w:tc>
        <w:tc>
          <w:tcPr>
            <w:tcW w:w="2552" w:type="dxa"/>
            <w:gridSpan w:val="2"/>
          </w:tcPr>
          <w:p>
            <w:pPr>
              <w:pStyle w:val="nTable"/>
              <w:spacing w:after="40"/>
              <w:rPr>
                <w:sz w:val="19"/>
              </w:rPr>
            </w:pPr>
            <w:r>
              <w:rPr>
                <w:sz w:val="19"/>
              </w:rPr>
              <w:t xml:space="preserve">6 Sep 1954 (see s. 2 and </w:t>
            </w:r>
            <w:r>
              <w:rPr>
                <w:i/>
                <w:sz w:val="19"/>
              </w:rPr>
              <w:t>Gazette</w:t>
            </w:r>
            <w:r>
              <w:rPr>
                <w:sz w:val="19"/>
              </w:rPr>
              <w:t xml:space="preserve"> 20 Aug 1954 p. 1429)</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approved 23 Apr 1963 in Vol. 18 of Reprinted Acts</w:t>
            </w:r>
            <w:r>
              <w:rPr>
                <w:sz w:val="19"/>
              </w:rPr>
              <w:t xml:space="preserve"> (includes amendments listed above)</w:t>
            </w:r>
          </w:p>
        </w:tc>
      </w:tr>
      <w:tr>
        <w:trPr>
          <w:cantSplit/>
        </w:trPr>
        <w:tc>
          <w:tcPr>
            <w:tcW w:w="2268" w:type="dxa"/>
            <w:gridSpan w:val="2"/>
          </w:tcPr>
          <w:p>
            <w:pPr>
              <w:pStyle w:val="nTable"/>
              <w:spacing w:after="40"/>
              <w:ind w:right="113"/>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gridSpan w:val="2"/>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gridSpan w:val="2"/>
          </w:tcPr>
          <w:p>
            <w:pPr>
              <w:pStyle w:val="nTable"/>
              <w:spacing w:after="40"/>
              <w:ind w:right="113"/>
              <w:rPr>
                <w:sz w:val="19"/>
              </w:rPr>
            </w:pPr>
            <w:r>
              <w:rPr>
                <w:i/>
                <w:sz w:val="19"/>
              </w:rPr>
              <w:t>Cremation Act Amendment Act 1967</w:t>
            </w:r>
          </w:p>
        </w:tc>
        <w:tc>
          <w:tcPr>
            <w:tcW w:w="1134" w:type="dxa"/>
            <w:gridSpan w:val="2"/>
          </w:tcPr>
          <w:p>
            <w:pPr>
              <w:pStyle w:val="nTable"/>
              <w:spacing w:after="40"/>
              <w:rPr>
                <w:sz w:val="19"/>
              </w:rPr>
            </w:pPr>
            <w:r>
              <w:rPr>
                <w:sz w:val="19"/>
              </w:rPr>
              <w:t>35 of 1967</w:t>
            </w:r>
          </w:p>
        </w:tc>
        <w:tc>
          <w:tcPr>
            <w:tcW w:w="1134" w:type="dxa"/>
          </w:tcPr>
          <w:p>
            <w:pPr>
              <w:pStyle w:val="nTable"/>
              <w:spacing w:after="40"/>
              <w:rPr>
                <w:sz w:val="19"/>
              </w:rPr>
            </w:pPr>
            <w:r>
              <w:rPr>
                <w:sz w:val="19"/>
              </w:rPr>
              <w:t>21 Nov 1967</w:t>
            </w:r>
          </w:p>
        </w:tc>
        <w:tc>
          <w:tcPr>
            <w:tcW w:w="2552" w:type="dxa"/>
            <w:gridSpan w:val="2"/>
          </w:tcPr>
          <w:p>
            <w:pPr>
              <w:pStyle w:val="nTable"/>
              <w:spacing w:after="40"/>
              <w:rPr>
                <w:sz w:val="19"/>
              </w:rPr>
            </w:pPr>
            <w:r>
              <w:rPr>
                <w:sz w:val="19"/>
              </w:rPr>
              <w:t>21 Nov 1967</w:t>
            </w:r>
          </w:p>
        </w:tc>
      </w:tr>
      <w:tr>
        <w:trPr>
          <w:cantSplit/>
        </w:trPr>
        <w:tc>
          <w:tcPr>
            <w:tcW w:w="2268" w:type="dxa"/>
            <w:gridSpan w:val="2"/>
          </w:tcPr>
          <w:p>
            <w:pPr>
              <w:pStyle w:val="nTable"/>
              <w:spacing w:after="40"/>
              <w:ind w:right="113"/>
              <w:rPr>
                <w:sz w:val="19"/>
              </w:rPr>
            </w:pPr>
            <w:r>
              <w:rPr>
                <w:i/>
                <w:sz w:val="19"/>
              </w:rPr>
              <w:t>Cremation Act Amendment Act 1968</w:t>
            </w:r>
          </w:p>
        </w:tc>
        <w:tc>
          <w:tcPr>
            <w:tcW w:w="1134" w:type="dxa"/>
            <w:gridSpan w:val="2"/>
          </w:tcPr>
          <w:p>
            <w:pPr>
              <w:pStyle w:val="nTable"/>
              <w:spacing w:after="40"/>
              <w:rPr>
                <w:sz w:val="19"/>
              </w:rPr>
            </w:pPr>
            <w:r>
              <w:rPr>
                <w:sz w:val="19"/>
              </w:rPr>
              <w:t>2 of 1968</w:t>
            </w:r>
          </w:p>
        </w:tc>
        <w:tc>
          <w:tcPr>
            <w:tcW w:w="1134" w:type="dxa"/>
          </w:tcPr>
          <w:p>
            <w:pPr>
              <w:pStyle w:val="nTable"/>
              <w:spacing w:after="40"/>
              <w:rPr>
                <w:sz w:val="19"/>
              </w:rPr>
            </w:pPr>
            <w:r>
              <w:rPr>
                <w:sz w:val="19"/>
              </w:rPr>
              <w:t>26 Sep 1968</w:t>
            </w:r>
          </w:p>
        </w:tc>
        <w:tc>
          <w:tcPr>
            <w:tcW w:w="2552" w:type="dxa"/>
            <w:gridSpan w:val="2"/>
          </w:tcPr>
          <w:p>
            <w:pPr>
              <w:pStyle w:val="nTable"/>
              <w:spacing w:after="40"/>
              <w:rPr>
                <w:sz w:val="19"/>
              </w:rPr>
            </w:pPr>
            <w:r>
              <w:rPr>
                <w:sz w:val="19"/>
              </w:rPr>
              <w:t>26 Sep 1968</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approved 8 Apr 1971</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Health Legislation Amendment Act 1984</w:t>
            </w:r>
            <w:r>
              <w:rPr>
                <w:sz w:val="19"/>
              </w:rPr>
              <w:t xml:space="preserve"> Pt. IV</w:t>
            </w:r>
          </w:p>
        </w:tc>
        <w:tc>
          <w:tcPr>
            <w:tcW w:w="1134" w:type="dxa"/>
            <w:gridSpan w:val="2"/>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gridSpan w:val="2"/>
          </w:tcPr>
          <w:p>
            <w:pPr>
              <w:pStyle w:val="nTable"/>
              <w:spacing w:after="40"/>
              <w:ind w:right="113"/>
              <w:rPr>
                <w:sz w:val="19"/>
              </w:rPr>
            </w:pPr>
            <w:r>
              <w:rPr>
                <w:i/>
                <w:sz w:val="19"/>
              </w:rPr>
              <w:t>Cremation Amendment Act 1986</w:t>
            </w:r>
          </w:p>
        </w:tc>
        <w:tc>
          <w:tcPr>
            <w:tcW w:w="1134" w:type="dxa"/>
            <w:gridSpan w:val="2"/>
          </w:tcPr>
          <w:p>
            <w:pPr>
              <w:pStyle w:val="nTable"/>
              <w:spacing w:after="40"/>
              <w:rPr>
                <w:sz w:val="19"/>
              </w:rPr>
            </w:pPr>
            <w:r>
              <w:rPr>
                <w:sz w:val="19"/>
              </w:rPr>
              <w:t>103 of 1986</w:t>
            </w:r>
          </w:p>
        </w:tc>
        <w:tc>
          <w:tcPr>
            <w:tcW w:w="1134" w:type="dxa"/>
          </w:tcPr>
          <w:p>
            <w:pPr>
              <w:pStyle w:val="nTable"/>
              <w:spacing w:after="40"/>
              <w:rPr>
                <w:sz w:val="19"/>
              </w:rPr>
            </w:pPr>
            <w:r>
              <w:rPr>
                <w:sz w:val="19"/>
              </w:rPr>
              <w:t>12 Dec 1986</w:t>
            </w:r>
          </w:p>
        </w:tc>
        <w:tc>
          <w:tcPr>
            <w:tcW w:w="2552" w:type="dxa"/>
            <w:gridSpan w:val="2"/>
          </w:tcPr>
          <w:p>
            <w:pPr>
              <w:pStyle w:val="nTable"/>
              <w:spacing w:after="40"/>
              <w:rPr>
                <w:sz w:val="19"/>
              </w:rPr>
            </w:pPr>
            <w:r>
              <w:rPr>
                <w:sz w:val="19"/>
              </w:rPr>
              <w:t xml:space="preserve">1 Jul 1987 (see s. 3 and </w:t>
            </w:r>
            <w:r>
              <w:rPr>
                <w:i/>
                <w:sz w:val="19"/>
              </w:rPr>
              <w:t>Gazette</w:t>
            </w:r>
            <w:r>
              <w:rPr>
                <w:sz w:val="19"/>
              </w:rPr>
              <w:t xml:space="preserve"> 12 Jun 1987 p. 2319)</w:t>
            </w:r>
          </w:p>
        </w:tc>
      </w:tr>
      <w:tr>
        <w:trPr>
          <w:cantSplit/>
        </w:trPr>
        <w:tc>
          <w:tcPr>
            <w:tcW w:w="2268" w:type="dxa"/>
            <w:gridSpan w:val="2"/>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ind w:right="113"/>
              <w:rPr>
                <w:sz w:val="19"/>
              </w:rPr>
            </w:pPr>
            <w:r>
              <w:rPr>
                <w:i/>
                <w:sz w:val="19"/>
              </w:rPr>
              <w:t>Statutes (Repeals and Minor Amendments) Act (No. 2) 1998</w:t>
            </w:r>
            <w:r>
              <w:rPr>
                <w:sz w:val="19"/>
              </w:rPr>
              <w:t xml:space="preserve"> s. 25</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8" w:type="dxa"/>
            <w:gridSpan w:val="2"/>
          </w:tcPr>
          <w:p>
            <w:pPr>
              <w:pStyle w:val="nTable"/>
              <w:spacing w:after="40"/>
              <w:ind w:right="113"/>
              <w:rPr>
                <w:i/>
                <w:sz w:val="19"/>
              </w:rPr>
            </w:pPr>
            <w:r>
              <w:rPr>
                <w:i/>
                <w:sz w:val="19"/>
              </w:rPr>
              <w:t xml:space="preserve">Acts Repeal and Amendment (Births, Deaths and Marriages Registration) Act 1998 </w:t>
            </w:r>
            <w:r>
              <w:rPr>
                <w:sz w:val="19"/>
              </w:rPr>
              <w:t>s. 9</w:t>
            </w:r>
          </w:p>
        </w:tc>
        <w:tc>
          <w:tcPr>
            <w:tcW w:w="1134" w:type="dxa"/>
            <w:gridSpan w:val="2"/>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gridSpan w:val="2"/>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as at 16 Feb 2001</w:t>
            </w:r>
            <w:r>
              <w:rPr>
                <w:sz w:val="19"/>
              </w:rPr>
              <w:t xml:space="preserve"> (includes amendments listed above)</w:t>
            </w:r>
          </w:p>
        </w:tc>
      </w:tr>
      <w:tr>
        <w:trPr>
          <w:cantSplit/>
        </w:trPr>
        <w:tc>
          <w:tcPr>
            <w:tcW w:w="2268" w:type="dxa"/>
            <w:gridSpan w:val="2"/>
          </w:tcPr>
          <w:p>
            <w:pPr>
              <w:pStyle w:val="nTable"/>
              <w:spacing w:after="40"/>
              <w:ind w:right="113"/>
              <w:rPr>
                <w:i/>
                <w:sz w:val="19"/>
              </w:rPr>
            </w:pPr>
            <w:r>
              <w:rPr>
                <w:i/>
                <w:sz w:val="19"/>
              </w:rPr>
              <w:t xml:space="preserve">Acts Amendment (Lesbian and Gay Law Reform) Act 2002 </w:t>
            </w:r>
            <w:r>
              <w:rPr>
                <w:sz w:val="19"/>
              </w:rPr>
              <w:t>Pt. 6</w:t>
            </w:r>
          </w:p>
        </w:tc>
        <w:tc>
          <w:tcPr>
            <w:tcW w:w="1134" w:type="dxa"/>
            <w:gridSpan w:val="2"/>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32</w:t>
            </w:r>
            <w:r>
              <w:rPr>
                <w:snapToGrid w:val="0"/>
                <w:sz w:val="19"/>
                <w:vertAlign w:val="superscript"/>
              </w:rPr>
              <w:t> 4</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7"/>
          </w:tcPr>
          <w:p>
            <w:pPr>
              <w:pStyle w:val="nTable"/>
              <w:spacing w:after="40"/>
              <w:rPr>
                <w:sz w:val="19"/>
              </w:rPr>
            </w:pPr>
            <w:r>
              <w:rPr>
                <w:b/>
                <w:bCs/>
                <w:sz w:val="19"/>
              </w:rPr>
              <w:t xml:space="preserve">Reprint 5: The </w:t>
            </w:r>
            <w:r>
              <w:rPr>
                <w:b/>
                <w:bCs/>
                <w:i/>
                <w:sz w:val="19"/>
              </w:rPr>
              <w:t>Cremation Act 1929</w:t>
            </w:r>
            <w:r>
              <w:rPr>
                <w:b/>
                <w:bCs/>
                <w:sz w:val="19"/>
              </w:rPr>
              <w:t xml:space="preserve"> as at 4 Jul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8" w:space="0" w:color="auto"/>
            </w:tcBorders>
          </w:tcPr>
          <w:p>
            <w:pPr>
              <w:pStyle w:val="nTable"/>
              <w:spacing w:after="40"/>
              <w:rPr>
                <w:sz w:val="19"/>
              </w:rPr>
            </w:pPr>
            <w:r>
              <w:rPr>
                <w:sz w:val="19"/>
              </w:rPr>
              <w:t>22 of 2008</w:t>
            </w:r>
          </w:p>
        </w:tc>
        <w:tc>
          <w:tcPr>
            <w:tcW w:w="1162" w:type="dxa"/>
            <w:gridSpan w:val="3"/>
            <w:tcBorders>
              <w:top w:val="nil"/>
              <w:bottom w:val="single" w:sz="8" w:space="0" w:color="auto"/>
            </w:tcBorders>
          </w:tcPr>
          <w:p>
            <w:pPr>
              <w:pStyle w:val="nTable"/>
              <w:spacing w:after="40"/>
              <w:rPr>
                <w:sz w:val="19"/>
              </w:rPr>
            </w:pPr>
            <w:r>
              <w:rPr>
                <w:sz w:val="19"/>
              </w:rPr>
              <w:t>27 May 2008</w:t>
            </w:r>
          </w:p>
        </w:tc>
        <w:tc>
          <w:tcPr>
            <w:tcW w:w="2538"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pPr>
      <w:r>
        <w:rPr>
          <w:snapToGrid w:val="0"/>
          <w:vertAlign w:val="superscript"/>
        </w:rPr>
        <w:t>2</w:t>
      </w:r>
      <w:r>
        <w:rPr>
          <w:snapToGrid w:val="0"/>
        </w:rPr>
        <w:tab/>
        <w:t xml:space="preserve">Repealed by the </w:t>
      </w:r>
      <w:r>
        <w:rPr>
          <w:i/>
          <w:snapToGrid w:val="0"/>
        </w:rPr>
        <w:t>Associations Incorporation Act 1987</w:t>
      </w:r>
      <w:r>
        <w:t>.</w:t>
      </w:r>
    </w:p>
    <w:p>
      <w:pPr>
        <w:pStyle w:val="nSubsection"/>
      </w:pPr>
      <w:r>
        <w:rPr>
          <w:vertAlign w:val="superscript"/>
        </w:rPr>
        <w:t>3</w:t>
      </w:r>
      <w:r>
        <w:tab/>
      </w:r>
      <w:r>
        <w:rPr>
          <w:snapToGrid w:val="0"/>
        </w:rPr>
        <w:t>The renumbering of sections effected in the 1943 reprint (in Volume 2 of the Reprinted Acts of the Parliament of Western Australia) and subsequent reprints has been retained. References to the original numbering are contained in the 1943 reprint.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rPr>
          <w:sz w:val="28"/>
        </w:rPr>
      </w:pPr>
      <w:bookmarkStart w:id="88" w:name="_Toc202250102"/>
      <w:bookmarkStart w:id="89" w:name="_Toc203379063"/>
      <w:bookmarkStart w:id="90" w:name="_Toc215479485"/>
      <w:r>
        <w:rPr>
          <w:sz w:val="28"/>
        </w:rPr>
        <w:t>Defined Terms</w:t>
      </w:r>
      <w:bookmarkEnd w:id="88"/>
      <w:bookmarkEnd w:id="89"/>
      <w:bookmarkEnd w:id="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1" w:name="DefinedTerms"/>
      <w:bookmarkEnd w:id="91"/>
      <w:r>
        <w:t>administration</w:t>
      </w:r>
      <w:r>
        <w:tab/>
        <w:t>2</w:t>
      </w:r>
    </w:p>
    <w:p>
      <w:pPr>
        <w:pStyle w:val="DefinedTerms"/>
      </w:pPr>
      <w:r>
        <w:t>administrator</w:t>
      </w:r>
      <w:r>
        <w:tab/>
        <w:t>2</w:t>
      </w:r>
    </w:p>
    <w:p>
      <w:pPr>
        <w:pStyle w:val="DefinedTerms"/>
      </w:pPr>
      <w:r>
        <w:t>Board</w:t>
      </w:r>
      <w:r>
        <w:tab/>
        <w:t>2</w:t>
      </w:r>
    </w:p>
    <w:p>
      <w:pPr>
        <w:pStyle w:val="DefinedTerms"/>
      </w:pPr>
      <w:r>
        <w:t>body</w:t>
      </w:r>
      <w:r>
        <w:tab/>
        <w:t>2</w:t>
      </w:r>
    </w:p>
    <w:p>
      <w:pPr>
        <w:pStyle w:val="DefinedTerms"/>
      </w:pPr>
      <w:r>
        <w:t>cemetery</w:t>
      </w:r>
      <w:r>
        <w:tab/>
        <w:t>2</w:t>
      </w:r>
    </w:p>
    <w:p>
      <w:pPr>
        <w:pStyle w:val="DefinedTerms"/>
      </w:pPr>
      <w:r>
        <w:t>coroner</w:t>
      </w:r>
      <w:r>
        <w:tab/>
        <w:t>2</w:t>
      </w:r>
    </w:p>
    <w:p>
      <w:pPr>
        <w:pStyle w:val="DefinedTerms"/>
      </w:pPr>
      <w:r>
        <w:t>crematorium</w:t>
      </w:r>
      <w:r>
        <w:tab/>
        <w:t>2</w:t>
      </w:r>
    </w:p>
    <w:p>
      <w:pPr>
        <w:pStyle w:val="DefinedTerms"/>
      </w:pPr>
      <w:r>
        <w:t>dead human body</w:t>
      </w:r>
      <w:r>
        <w:tab/>
        <w:t>2</w:t>
      </w:r>
    </w:p>
    <w:p>
      <w:pPr>
        <w:pStyle w:val="DefinedTerms"/>
      </w:pPr>
      <w:r>
        <w:t>Executive Director</w:t>
      </w:r>
      <w:r>
        <w:tab/>
        <w:t>2</w:t>
      </w:r>
    </w:p>
    <w:p>
      <w:pPr>
        <w:pStyle w:val="DefinedTerms"/>
      </w:pPr>
      <w:r>
        <w:t>human body</w:t>
      </w:r>
      <w:r>
        <w:tab/>
        <w:t>2</w:t>
      </w:r>
    </w:p>
    <w:p>
      <w:pPr>
        <w:pStyle w:val="DefinedTerms"/>
      </w:pPr>
      <w:r>
        <w:t>licensed</w:t>
      </w:r>
      <w:r>
        <w:tab/>
        <w:t>2</w:t>
      </w:r>
    </w:p>
    <w:p>
      <w:pPr>
        <w:pStyle w:val="DefinedTerms"/>
      </w:pPr>
      <w:r>
        <w:t>licensees</w:t>
      </w:r>
      <w:r>
        <w:tab/>
        <w:t>2</w:t>
      </w:r>
    </w:p>
    <w:p>
      <w:pPr>
        <w:pStyle w:val="DefinedTerms"/>
      </w:pPr>
      <w:r>
        <w:t>medical practitioner</w:t>
      </w:r>
      <w:r>
        <w:tab/>
        <w:t>2</w:t>
      </w:r>
    </w:p>
    <w:p>
      <w:pPr>
        <w:pStyle w:val="DefinedTerms"/>
      </w:pPr>
    </w:p>
    <w:p>
      <w:pPr>
        <w:sectPr>
          <w:headerReference w:type="even" r:id="rId31"/>
          <w:headerReference w:type="default" r:id="rId32"/>
          <w:foot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Cremation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Cremation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CC0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4F010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AC6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4A24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FA868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5123A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E6BA9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1BAA7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365372"/>
    <w:lvl w:ilvl="0">
      <w:start w:val="1"/>
      <w:numFmt w:val="decimal"/>
      <w:pStyle w:val="ListNumber"/>
      <w:lvlText w:val="%1."/>
      <w:lvlJc w:val="left"/>
      <w:pPr>
        <w:tabs>
          <w:tab w:val="num" w:pos="360"/>
        </w:tabs>
        <w:ind w:left="360" w:hanging="360"/>
      </w:pPr>
    </w:lvl>
  </w:abstractNum>
  <w:abstractNum w:abstractNumId="9">
    <w:nsid w:val="FFFFFF89"/>
    <w:multiLevelType w:val="singleLevel"/>
    <w:tmpl w:val="D0A602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966171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B646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9C84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E28C5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032"/>
    <w:docVar w:name="WAFER_20151210132032" w:val="RemoveTrackChanges"/>
    <w:docVar w:name="WAFER_20151210132032_GUID" w:val="a8a455f2-f1f7-4b3f-a3c5-a98865bafa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4648</Words>
  <Characters>21524</Characters>
  <Application>Microsoft Office Word</Application>
  <DocSecurity>0</DocSecurity>
  <Lines>614</Lines>
  <Paragraphs>307</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25865</CharactersWithSpaces>
  <SharedDoc>false</SharedDoc>
  <HLinks>
    <vt:vector size="12" baseType="variant">
      <vt:variant>
        <vt:i4>131085</vt:i4>
      </vt:variant>
      <vt:variant>
        <vt:i4>23746</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1929 - 05-b0-03</dc:title>
  <dc:subject/>
  <dc:creator/>
  <cp:keywords/>
  <dc:description/>
  <cp:lastModifiedBy>svcMRProcess</cp:lastModifiedBy>
  <cp:revision>4</cp:revision>
  <cp:lastPrinted>2008-07-09T07:05:00Z</cp:lastPrinted>
  <dcterms:created xsi:type="dcterms:W3CDTF">2015-12-12T01:27:00Z</dcterms:created>
  <dcterms:modified xsi:type="dcterms:W3CDTF">2015-12-12T01:27:00Z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CommencementDate">
    <vt:lpwstr>20081201</vt:lpwstr>
  </property>
  <property fmtid="{D5CDD505-2E9C-101B-9397-08002B2CF9AE}" pid="4" name="DocumentType">
    <vt:lpwstr>Act</vt:lpwstr>
  </property>
  <property fmtid="{D5CDD505-2E9C-101B-9397-08002B2CF9AE}" pid="5" name="AsAtDate">
    <vt:lpwstr>01 Dec 2008</vt:lpwstr>
  </property>
  <property fmtid="{D5CDD505-2E9C-101B-9397-08002B2CF9AE}" pid="6" name="Suffix">
    <vt:lpwstr>05-b0-03</vt:lpwstr>
  </property>
  <property fmtid="{D5CDD505-2E9C-101B-9397-08002B2CF9AE}" pid="7" name="OwlsUID">
    <vt:i4>193</vt:i4>
  </property>
  <property fmtid="{D5CDD505-2E9C-101B-9397-08002B2CF9AE}" pid="8" name="ReprintNo">
    <vt:lpwstr>5</vt:lpwstr>
  </property>
</Properties>
</file>