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Medical Act 1894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Medical Practitioners Act 2008</w:t>
      </w:r>
      <w:r>
        <w:rPr>
          <w:color w:val="000000"/>
          <w:sz w:val="22"/>
          <w:szCs w:val="22"/>
        </w:rPr>
        <w:t xml:space="preserve"> s. 160(1) (No. 22 of 2008) as at 1 Dec 2008 (see s. 2 and </w:t>
      </w:r>
      <w:r>
        <w:rPr>
          <w:i/>
          <w:iCs/>
          <w:color w:val="000000"/>
          <w:sz w:val="22"/>
          <w:szCs w:val="22"/>
        </w:rPr>
        <w:t>Gazette</w:t>
      </w:r>
      <w:r>
        <w:rPr>
          <w:color w:val="000000"/>
          <w:sz w:val="22"/>
          <w:szCs w:val="22"/>
        </w:rPr>
        <w:t xml:space="preserve"> 25 Nov 2008 p. 4989).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Act 1894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_Toc425847955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_Toc425847956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Medical Board and professional standards committee</w:t>
      </w:r>
    </w:p>
    <w:p>
      <w:pPr>
        <w:pStyle w:val="TOC8"/>
        <w:rPr>
          <w:rFonts w:asciiTheme="minorHAnsi" w:eastAsiaTheme="minorEastAsia" w:hAnsiTheme="minorHAnsi" w:cstheme="minorBidi"/>
          <w:szCs w:val="22"/>
        </w:rPr>
      </w:pPr>
      <w:r>
        <w:t>4</w:t>
      </w:r>
      <w:r>
        <w:rPr>
          <w:snapToGrid w:val="0"/>
        </w:rPr>
        <w:t>.</w:t>
      </w:r>
      <w:r>
        <w:rPr>
          <w:snapToGrid w:val="0"/>
        </w:rPr>
        <w:tab/>
        <w:t>Constitution and proceedings of Medical Board</w:t>
      </w:r>
      <w:r>
        <w:tab/>
      </w:r>
      <w:r>
        <w:fldChar w:fldCharType="begin"/>
      </w:r>
      <w:r>
        <w:instrText xml:space="preserve"> PAGEREF _Toc425847958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Governor may remove member</w:t>
      </w:r>
      <w:r>
        <w:tab/>
      </w:r>
      <w:r>
        <w:fldChar w:fldCharType="begin"/>
      </w:r>
      <w:r>
        <w:instrText xml:space="preserve"> PAGEREF _Toc425847959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Rules and regulations</w:t>
      </w:r>
      <w:r>
        <w:tab/>
      </w:r>
      <w:r>
        <w:fldChar w:fldCharType="begin"/>
      </w:r>
      <w:r>
        <w:instrText xml:space="preserve"> PAGEREF _Toc425847960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Officers of the Board</w:t>
      </w:r>
      <w:r>
        <w:tab/>
      </w:r>
      <w:r>
        <w:fldChar w:fldCharType="begin"/>
      </w:r>
      <w:r>
        <w:instrText xml:space="preserve"> PAGEREF _Toc425847961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sue</w:t>
      </w:r>
      <w:r>
        <w:tab/>
      </w:r>
      <w:r>
        <w:fldChar w:fldCharType="begin"/>
      </w:r>
      <w:r>
        <w:instrText xml:space="preserve"> PAGEREF _Toc425847962 \h </w:instrText>
      </w:r>
      <w:r>
        <w:fldChar w:fldCharType="separate"/>
      </w:r>
      <w:r>
        <w:t>7</w:t>
      </w:r>
      <w:r>
        <w:fldChar w:fldCharType="end"/>
      </w:r>
    </w:p>
    <w:p>
      <w:pPr>
        <w:pStyle w:val="TOC8"/>
        <w:rPr>
          <w:rFonts w:asciiTheme="minorHAnsi" w:eastAsiaTheme="minorEastAsia" w:hAnsiTheme="minorHAnsi" w:cstheme="minorBidi"/>
          <w:szCs w:val="22"/>
        </w:rPr>
      </w:pPr>
      <w:r>
        <w:t>8AA.</w:t>
      </w:r>
      <w:r>
        <w:tab/>
        <w:t>Professional standards committee</w:t>
      </w:r>
      <w:r>
        <w:tab/>
      </w:r>
      <w:r>
        <w:fldChar w:fldCharType="begin"/>
      </w:r>
      <w:r>
        <w:instrText xml:space="preserve"> PAGEREF _Toc425847963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Protection of Board and Registrar from liability</w:t>
      </w:r>
      <w:r>
        <w:tab/>
      </w:r>
      <w:r>
        <w:fldChar w:fldCharType="begin"/>
      </w:r>
      <w:r>
        <w:instrText xml:space="preserve"> PAGEREF _Toc425847964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Examination of persons and documents by Board, and public nature of proceedings</w:t>
      </w:r>
      <w:r>
        <w:tab/>
      </w:r>
      <w:r>
        <w:fldChar w:fldCharType="begin"/>
      </w:r>
      <w:r>
        <w:instrText xml:space="preserve"> PAGEREF _Toc425847965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w:t>
      </w:r>
    </w:p>
    <w:p>
      <w:pPr>
        <w:pStyle w:val="TOC8"/>
        <w:rPr>
          <w:rFonts w:asciiTheme="minorHAnsi" w:eastAsiaTheme="minorEastAsia" w:hAnsiTheme="minorHAnsi" w:cstheme="minorBidi"/>
          <w:szCs w:val="22"/>
        </w:rPr>
      </w:pPr>
      <w:r>
        <w:t>10</w:t>
      </w:r>
      <w:r>
        <w:rPr>
          <w:snapToGrid w:val="0"/>
        </w:rPr>
        <w:t>.</w:t>
      </w:r>
      <w:r>
        <w:rPr>
          <w:snapToGrid w:val="0"/>
        </w:rPr>
        <w:tab/>
        <w:t>Register to be kept by the Registrar</w:t>
      </w:r>
      <w:r>
        <w:tab/>
      </w:r>
      <w:r>
        <w:fldChar w:fldCharType="begin"/>
      </w:r>
      <w:r>
        <w:instrText xml:space="preserve"> PAGEREF _Toc425847967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entitled to be registered and special provisions for bodies corporate</w:t>
      </w:r>
      <w:r>
        <w:tab/>
      </w:r>
      <w:r>
        <w:fldChar w:fldCharType="begin"/>
      </w:r>
      <w:r>
        <w:instrText xml:space="preserve"> PAGEREF _Toc425847968 \h </w:instrText>
      </w:r>
      <w:r>
        <w:fldChar w:fldCharType="separate"/>
      </w:r>
      <w:r>
        <w:t>11</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Applicants to be competent and of good character</w:t>
      </w:r>
      <w:r>
        <w:tab/>
      </w:r>
      <w:r>
        <w:fldChar w:fldCharType="begin"/>
      </w:r>
      <w:r>
        <w:instrText xml:space="preserve"> PAGEREF _Toc425847969 \h </w:instrText>
      </w:r>
      <w:r>
        <w:fldChar w:fldCharType="separate"/>
      </w:r>
      <w:r>
        <w:t>14</w:t>
      </w:r>
      <w:r>
        <w:fldChar w:fldCharType="end"/>
      </w:r>
    </w:p>
    <w:p>
      <w:pPr>
        <w:pStyle w:val="TOC8"/>
        <w:rPr>
          <w:rFonts w:asciiTheme="minorHAnsi" w:eastAsiaTheme="minorEastAsia" w:hAnsiTheme="minorHAnsi" w:cstheme="minorBidi"/>
          <w:szCs w:val="22"/>
        </w:rPr>
      </w:pPr>
      <w:r>
        <w:t>11AB</w:t>
      </w:r>
      <w:r>
        <w:rPr>
          <w:snapToGrid w:val="0"/>
        </w:rPr>
        <w:t>.</w:t>
      </w:r>
      <w:r>
        <w:rPr>
          <w:snapToGrid w:val="0"/>
        </w:rPr>
        <w:tab/>
        <w:t>Armed forces exempted from fees in certain circumstances</w:t>
      </w:r>
      <w:r>
        <w:tab/>
      </w:r>
      <w:r>
        <w:fldChar w:fldCharType="begin"/>
      </w:r>
      <w:r>
        <w:instrText xml:space="preserve"> PAGEREF _Toc425847970 \h </w:instrText>
      </w:r>
      <w:r>
        <w:fldChar w:fldCharType="separate"/>
      </w:r>
      <w:r>
        <w:t>14</w:t>
      </w:r>
      <w:r>
        <w:fldChar w:fldCharType="end"/>
      </w:r>
    </w:p>
    <w:p>
      <w:pPr>
        <w:pStyle w:val="TOC8"/>
        <w:rPr>
          <w:rFonts w:asciiTheme="minorHAnsi" w:eastAsiaTheme="minorEastAsia" w:hAnsiTheme="minorHAnsi" w:cstheme="minorBidi"/>
          <w:szCs w:val="22"/>
        </w:rPr>
      </w:pPr>
      <w:r>
        <w:t>11AC</w:t>
      </w:r>
      <w:r>
        <w:rPr>
          <w:snapToGrid w:val="0"/>
        </w:rPr>
        <w:t>.</w:t>
      </w:r>
      <w:r>
        <w:rPr>
          <w:snapToGrid w:val="0"/>
        </w:rPr>
        <w:tab/>
        <w:t>Entitlement to conditional registration for interns</w:t>
      </w:r>
      <w:r>
        <w:tab/>
      </w:r>
      <w:r>
        <w:fldChar w:fldCharType="begin"/>
      </w:r>
      <w:r>
        <w:instrText xml:space="preserve"> PAGEREF _Toc425847971 \h </w:instrText>
      </w:r>
      <w:r>
        <w:fldChar w:fldCharType="separate"/>
      </w:r>
      <w:r>
        <w:t>15</w:t>
      </w:r>
      <w:r>
        <w:fldChar w:fldCharType="end"/>
      </w:r>
    </w:p>
    <w:p>
      <w:pPr>
        <w:pStyle w:val="TOC8"/>
        <w:rPr>
          <w:rFonts w:asciiTheme="minorHAnsi" w:eastAsiaTheme="minorEastAsia" w:hAnsiTheme="minorHAnsi" w:cstheme="minorBidi"/>
          <w:szCs w:val="22"/>
        </w:rPr>
      </w:pPr>
      <w:r>
        <w:t>11AD</w:t>
      </w:r>
      <w:r>
        <w:rPr>
          <w:snapToGrid w:val="0"/>
        </w:rPr>
        <w:t>.</w:t>
      </w:r>
      <w:r>
        <w:rPr>
          <w:snapToGrid w:val="0"/>
        </w:rPr>
        <w:tab/>
        <w:t>Entitlement to conditional registration for supervised clinical practice</w:t>
      </w:r>
      <w:r>
        <w:tab/>
      </w:r>
      <w:r>
        <w:fldChar w:fldCharType="begin"/>
      </w:r>
      <w:r>
        <w:instrText xml:space="preserve"> PAGEREF _Toc425847972 \h </w:instrText>
      </w:r>
      <w:r>
        <w:fldChar w:fldCharType="separate"/>
      </w:r>
      <w:r>
        <w:t>16</w:t>
      </w:r>
      <w:r>
        <w:fldChar w:fldCharType="end"/>
      </w:r>
    </w:p>
    <w:p>
      <w:pPr>
        <w:pStyle w:val="TOC8"/>
        <w:rPr>
          <w:rFonts w:asciiTheme="minorHAnsi" w:eastAsiaTheme="minorEastAsia" w:hAnsiTheme="minorHAnsi" w:cstheme="minorBidi"/>
          <w:szCs w:val="22"/>
        </w:rPr>
      </w:pPr>
      <w:r>
        <w:t>11AE</w:t>
      </w:r>
      <w:r>
        <w:rPr>
          <w:snapToGrid w:val="0"/>
        </w:rPr>
        <w:t>.</w:t>
      </w:r>
      <w:r>
        <w:rPr>
          <w:snapToGrid w:val="0"/>
        </w:rPr>
        <w:tab/>
        <w:t>Entitlement to general or conditional registration based on registration elsewhere in Australia</w:t>
      </w:r>
      <w:r>
        <w:tab/>
      </w:r>
      <w:r>
        <w:fldChar w:fldCharType="begin"/>
      </w:r>
      <w:r>
        <w:instrText xml:space="preserve"> PAGEREF _Toc425847973 \h </w:instrText>
      </w:r>
      <w:r>
        <w:fldChar w:fldCharType="separate"/>
      </w:r>
      <w:r>
        <w:t>16</w:t>
      </w:r>
      <w:r>
        <w:fldChar w:fldCharType="end"/>
      </w:r>
    </w:p>
    <w:p>
      <w:pPr>
        <w:pStyle w:val="TOC8"/>
        <w:rPr>
          <w:rFonts w:asciiTheme="minorHAnsi" w:eastAsiaTheme="minorEastAsia" w:hAnsiTheme="minorHAnsi" w:cstheme="minorBidi"/>
          <w:szCs w:val="22"/>
        </w:rPr>
      </w:pPr>
      <w:r>
        <w:t>11AF</w:t>
      </w:r>
      <w:r>
        <w:rPr>
          <w:snapToGrid w:val="0"/>
        </w:rPr>
        <w:t xml:space="preserve">. </w:t>
      </w:r>
      <w:r>
        <w:rPr>
          <w:snapToGrid w:val="0"/>
        </w:rPr>
        <w:tab/>
        <w:t>Conditional registration at the discretion of the Board</w:t>
      </w:r>
      <w:r>
        <w:tab/>
      </w:r>
      <w:r>
        <w:fldChar w:fldCharType="begin"/>
      </w:r>
      <w:r>
        <w:instrText xml:space="preserve"> PAGEREF _Toc425847974 \h </w:instrText>
      </w:r>
      <w:r>
        <w:fldChar w:fldCharType="separate"/>
      </w:r>
      <w:r>
        <w:t>17</w:t>
      </w:r>
      <w:r>
        <w:fldChar w:fldCharType="end"/>
      </w:r>
    </w:p>
    <w:p>
      <w:pPr>
        <w:pStyle w:val="TOC8"/>
        <w:rPr>
          <w:rFonts w:asciiTheme="minorHAnsi" w:eastAsiaTheme="minorEastAsia" w:hAnsiTheme="minorHAnsi" w:cstheme="minorBidi"/>
          <w:szCs w:val="22"/>
        </w:rPr>
      </w:pPr>
      <w:r>
        <w:t>11AG.</w:t>
      </w:r>
      <w:r>
        <w:tab/>
        <w:t>Conditional registration for general practice in remote and rural WA</w:t>
      </w:r>
      <w:r>
        <w:tab/>
      </w:r>
      <w:r>
        <w:fldChar w:fldCharType="begin"/>
      </w:r>
      <w:r>
        <w:instrText xml:space="preserve"> PAGEREF _Toc425847975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Determination of specialties and registration of specialists</w:t>
      </w:r>
      <w:r>
        <w:tab/>
      </w:r>
      <w:r>
        <w:fldChar w:fldCharType="begin"/>
      </w:r>
      <w:r>
        <w:instrText xml:space="preserve"> PAGEREF _Toc425847976 \h </w:instrText>
      </w:r>
      <w:r>
        <w:fldChar w:fldCharType="separate"/>
      </w:r>
      <w:r>
        <w:t>20</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Provisional certificate may be granted</w:t>
      </w:r>
      <w:r>
        <w:tab/>
      </w:r>
      <w:r>
        <w:fldChar w:fldCharType="begin"/>
      </w:r>
      <w:r>
        <w:instrText xml:space="preserve"> PAGEREF _Toc425847977 \h </w:instrText>
      </w:r>
      <w:r>
        <w:fldChar w:fldCharType="separate"/>
      </w:r>
      <w:r>
        <w:t>21</w:t>
      </w:r>
      <w:r>
        <w:fldChar w:fldCharType="end"/>
      </w:r>
    </w:p>
    <w:p>
      <w:pPr>
        <w:pStyle w:val="TOC8"/>
        <w:rPr>
          <w:rFonts w:asciiTheme="minorHAnsi" w:eastAsiaTheme="minorEastAsia" w:hAnsiTheme="minorHAnsi" w:cstheme="minorBidi"/>
          <w:szCs w:val="22"/>
        </w:rPr>
      </w:pPr>
      <w:r>
        <w:t>12BA.</w:t>
      </w:r>
      <w:r>
        <w:tab/>
        <w:t>Interim constraint on practice</w:t>
      </w:r>
      <w:r>
        <w:tab/>
      </w:r>
      <w:r>
        <w:fldChar w:fldCharType="begin"/>
      </w:r>
      <w:r>
        <w:instrText xml:space="preserve"> PAGEREF _Toc425847978 \h </w:instrText>
      </w:r>
      <w:r>
        <w:fldChar w:fldCharType="separate"/>
      </w:r>
      <w:r>
        <w:t>22</w:t>
      </w:r>
      <w:r>
        <w:fldChar w:fldCharType="end"/>
      </w:r>
    </w:p>
    <w:p>
      <w:pPr>
        <w:pStyle w:val="TOC8"/>
        <w:rPr>
          <w:rFonts w:asciiTheme="minorHAnsi" w:eastAsiaTheme="minorEastAsia" w:hAnsiTheme="minorHAnsi" w:cstheme="minorBidi"/>
          <w:szCs w:val="22"/>
        </w:rPr>
      </w:pPr>
      <w:r>
        <w:t>12BB</w:t>
      </w:r>
      <w:r>
        <w:rPr>
          <w:snapToGrid w:val="0"/>
        </w:rPr>
        <w:t>.</w:t>
      </w:r>
      <w:r>
        <w:rPr>
          <w:snapToGrid w:val="0"/>
        </w:rPr>
        <w:tab/>
        <w:t>Allegation to be made</w:t>
      </w:r>
      <w:r>
        <w:tab/>
      </w:r>
      <w:r>
        <w:fldChar w:fldCharType="begin"/>
      </w:r>
      <w:r>
        <w:instrText xml:space="preserve"> PAGEREF _Toc425847979 \h </w:instrText>
      </w:r>
      <w:r>
        <w:fldChar w:fldCharType="separate"/>
      </w:r>
      <w:r>
        <w:t>23</w:t>
      </w:r>
      <w:r>
        <w:fldChar w:fldCharType="end"/>
      </w:r>
    </w:p>
    <w:p>
      <w:pPr>
        <w:pStyle w:val="TOC8"/>
        <w:rPr>
          <w:rFonts w:asciiTheme="minorHAnsi" w:eastAsiaTheme="minorEastAsia" w:hAnsiTheme="minorHAnsi" w:cstheme="minorBidi"/>
          <w:szCs w:val="22"/>
        </w:rPr>
      </w:pPr>
      <w:r>
        <w:t>12BC</w:t>
      </w:r>
      <w:r>
        <w:rPr>
          <w:snapToGrid w:val="0"/>
        </w:rPr>
        <w:t>.</w:t>
      </w:r>
      <w:r>
        <w:rPr>
          <w:snapToGrid w:val="0"/>
        </w:rPr>
        <w:tab/>
        <w:t>Power to make interim constraint additional to other powers</w:t>
      </w:r>
      <w:r>
        <w:tab/>
      </w:r>
      <w:r>
        <w:fldChar w:fldCharType="begin"/>
      </w:r>
      <w:r>
        <w:instrText xml:space="preserve"> PAGEREF _Toc425847980 \h </w:instrText>
      </w:r>
      <w:r>
        <w:fldChar w:fldCharType="separate"/>
      </w:r>
      <w:r>
        <w:t>24</w:t>
      </w:r>
      <w:r>
        <w:fldChar w:fldCharType="end"/>
      </w:r>
    </w:p>
    <w:p>
      <w:pPr>
        <w:pStyle w:val="TOC8"/>
        <w:rPr>
          <w:rFonts w:asciiTheme="minorHAnsi" w:eastAsiaTheme="minorEastAsia" w:hAnsiTheme="minorHAnsi" w:cstheme="minorBidi"/>
          <w:szCs w:val="22"/>
        </w:rPr>
      </w:pPr>
      <w:r>
        <w:t>12C.</w:t>
      </w:r>
      <w:r>
        <w:tab/>
        <w:t>Appointment of investigator</w:t>
      </w:r>
      <w:r>
        <w:tab/>
      </w:r>
      <w:r>
        <w:fldChar w:fldCharType="begin"/>
      </w:r>
      <w:r>
        <w:instrText xml:space="preserve"> PAGEREF _Toc425847981 \h </w:instrText>
      </w:r>
      <w:r>
        <w:fldChar w:fldCharType="separate"/>
      </w:r>
      <w:r>
        <w:t>24</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Report of investigator</w:t>
      </w:r>
      <w:r>
        <w:tab/>
      </w:r>
      <w:r>
        <w:fldChar w:fldCharType="begin"/>
      </w:r>
      <w:r>
        <w:instrText xml:space="preserve"> PAGEREF _Toc425847982 \h </w:instrText>
      </w:r>
      <w:r>
        <w:fldChar w:fldCharType="separate"/>
      </w:r>
      <w:r>
        <w:t>25</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Powers of investigator</w:t>
      </w:r>
      <w:r>
        <w:tab/>
      </w:r>
      <w:r>
        <w:fldChar w:fldCharType="begin"/>
      </w:r>
      <w:r>
        <w:instrText xml:space="preserve"> PAGEREF _Toc425847983 \h </w:instrText>
      </w:r>
      <w:r>
        <w:fldChar w:fldCharType="separate"/>
      </w:r>
      <w:r>
        <w:t>25</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Warrant to enter premises</w:t>
      </w:r>
      <w:r>
        <w:tab/>
      </w:r>
      <w:r>
        <w:fldChar w:fldCharType="begin"/>
      </w:r>
      <w:r>
        <w:instrText xml:space="preserve"> PAGEREF _Toc425847984 \h </w:instrText>
      </w:r>
      <w:r>
        <w:fldChar w:fldCharType="separate"/>
      </w:r>
      <w:r>
        <w:t>27</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Issue of warrant</w:t>
      </w:r>
      <w:r>
        <w:tab/>
      </w:r>
      <w:r>
        <w:fldChar w:fldCharType="begin"/>
      </w:r>
      <w:r>
        <w:instrText xml:space="preserve"> PAGEREF _Toc425847985 \h </w:instrText>
      </w:r>
      <w:r>
        <w:fldChar w:fldCharType="separate"/>
      </w:r>
      <w:r>
        <w:t>28</w:t>
      </w:r>
      <w:r>
        <w:fldChar w:fldCharType="end"/>
      </w:r>
    </w:p>
    <w:p>
      <w:pPr>
        <w:pStyle w:val="TOC8"/>
        <w:rPr>
          <w:rFonts w:asciiTheme="minorHAnsi" w:eastAsiaTheme="minorEastAsia" w:hAnsiTheme="minorHAnsi" w:cstheme="minorBidi"/>
          <w:szCs w:val="22"/>
        </w:rPr>
      </w:pPr>
      <w:r>
        <w:t>12H</w:t>
      </w:r>
      <w:r>
        <w:rPr>
          <w:snapToGrid w:val="0"/>
        </w:rPr>
        <w:t>.</w:t>
      </w:r>
      <w:r>
        <w:rPr>
          <w:snapToGrid w:val="0"/>
        </w:rPr>
        <w:tab/>
        <w:t>Execution of warrant</w:t>
      </w:r>
      <w:r>
        <w:tab/>
      </w:r>
      <w:r>
        <w:fldChar w:fldCharType="begin"/>
      </w:r>
      <w:r>
        <w:instrText xml:space="preserve"> PAGEREF _Toc425847986 \h </w:instrText>
      </w:r>
      <w:r>
        <w:fldChar w:fldCharType="separate"/>
      </w:r>
      <w:r>
        <w:t>29</w:t>
      </w:r>
      <w:r>
        <w:fldChar w:fldCharType="end"/>
      </w:r>
    </w:p>
    <w:p>
      <w:pPr>
        <w:pStyle w:val="TOC8"/>
        <w:rPr>
          <w:rFonts w:asciiTheme="minorHAnsi" w:eastAsiaTheme="minorEastAsia" w:hAnsiTheme="minorHAnsi" w:cstheme="minorBidi"/>
          <w:szCs w:val="22"/>
        </w:rPr>
      </w:pPr>
      <w:r>
        <w:t>12I</w:t>
      </w:r>
      <w:r>
        <w:rPr>
          <w:snapToGrid w:val="0"/>
        </w:rPr>
        <w:t>.</w:t>
      </w:r>
      <w:r>
        <w:rPr>
          <w:snapToGrid w:val="0"/>
        </w:rPr>
        <w:tab/>
        <w:t>Incriminating information, questions, or documents</w:t>
      </w:r>
      <w:r>
        <w:tab/>
      </w:r>
      <w:r>
        <w:fldChar w:fldCharType="begin"/>
      </w:r>
      <w:r>
        <w:instrText xml:space="preserve"> PAGEREF _Toc425847987 \h </w:instrText>
      </w:r>
      <w:r>
        <w:fldChar w:fldCharType="separate"/>
      </w:r>
      <w:r>
        <w:t>29</w:t>
      </w:r>
      <w:r>
        <w:fldChar w:fldCharType="end"/>
      </w:r>
    </w:p>
    <w:p>
      <w:pPr>
        <w:pStyle w:val="TOC8"/>
        <w:rPr>
          <w:rFonts w:asciiTheme="minorHAnsi" w:eastAsiaTheme="minorEastAsia" w:hAnsiTheme="minorHAnsi" w:cstheme="minorBidi"/>
          <w:szCs w:val="22"/>
        </w:rPr>
      </w:pPr>
      <w:r>
        <w:t>12J</w:t>
      </w:r>
      <w:r>
        <w:rPr>
          <w:snapToGrid w:val="0"/>
        </w:rPr>
        <w:t>.</w:t>
      </w:r>
      <w:r>
        <w:rPr>
          <w:snapToGrid w:val="0"/>
        </w:rPr>
        <w:tab/>
        <w:t>Failure to comply with investigation</w:t>
      </w:r>
      <w:r>
        <w:tab/>
      </w:r>
      <w:r>
        <w:fldChar w:fldCharType="begin"/>
      </w:r>
      <w:r>
        <w:instrText xml:space="preserve"> PAGEREF _Toc425847988 \h </w:instrText>
      </w:r>
      <w:r>
        <w:fldChar w:fldCharType="separate"/>
      </w:r>
      <w:r>
        <w:t>30</w:t>
      </w:r>
      <w:r>
        <w:fldChar w:fldCharType="end"/>
      </w:r>
    </w:p>
    <w:p>
      <w:pPr>
        <w:pStyle w:val="TOC8"/>
        <w:rPr>
          <w:rFonts w:asciiTheme="minorHAnsi" w:eastAsiaTheme="minorEastAsia" w:hAnsiTheme="minorHAnsi" w:cstheme="minorBidi"/>
          <w:szCs w:val="22"/>
        </w:rPr>
      </w:pPr>
      <w:r>
        <w:t>12K</w:t>
      </w:r>
      <w:r>
        <w:rPr>
          <w:snapToGrid w:val="0"/>
        </w:rPr>
        <w:t>.</w:t>
      </w:r>
      <w:r>
        <w:rPr>
          <w:snapToGrid w:val="0"/>
        </w:rPr>
        <w:tab/>
        <w:t>Obstruction of investigator</w:t>
      </w:r>
      <w:r>
        <w:tab/>
      </w:r>
      <w:r>
        <w:fldChar w:fldCharType="begin"/>
      </w:r>
      <w:r>
        <w:instrText xml:space="preserve"> PAGEREF _Toc425847989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Inquiries into, and striking off and suspension of, medical practitioner</w:t>
      </w:r>
      <w:r>
        <w:tab/>
      </w:r>
      <w:r>
        <w:fldChar w:fldCharType="begin"/>
      </w:r>
      <w:r>
        <w:instrText xml:space="preserve"> PAGEREF _Toc425847990 \h </w:instrText>
      </w:r>
      <w:r>
        <w:fldChar w:fldCharType="separate"/>
      </w:r>
      <w:r>
        <w:t>31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Medical practitioner struck off or suspended in another State or Territory</w:t>
      </w:r>
      <w:r>
        <w:tab/>
      </w:r>
      <w:r>
        <w:fldChar w:fldCharType="begin"/>
      </w:r>
      <w:r>
        <w:instrText xml:space="preserve"> PAGEREF _Toc425847991 \h </w:instrText>
      </w:r>
      <w:r>
        <w:fldChar w:fldCharType="separate"/>
      </w:r>
      <w:r>
        <w:t>37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Copy of register to be published</w:t>
      </w:r>
      <w:r>
        <w:tab/>
      </w:r>
      <w:r>
        <w:fldChar w:fldCharType="begin"/>
      </w:r>
      <w:r>
        <w:instrText xml:space="preserve"> PAGEREF _Toc425847992 \h </w:instrText>
      </w:r>
      <w:r>
        <w:fldChar w:fldCharType="separate"/>
      </w:r>
      <w:r>
        <w:t>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may be altered to insert new or additional qualification</w:t>
      </w:r>
      <w:r>
        <w:tab/>
      </w:r>
      <w:r>
        <w:fldChar w:fldCharType="begin"/>
      </w:r>
      <w:r>
        <w:instrText xml:space="preserve"> PAGEREF _Toc425847993 \h </w:instrText>
      </w:r>
      <w:r>
        <w:fldChar w:fldCharType="separate"/>
      </w:r>
      <w:r>
        <w:t>38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Practitioner on registration entitled to certificate</w:t>
      </w:r>
      <w:r>
        <w:tab/>
      </w:r>
      <w:r>
        <w:fldChar w:fldCharType="begin"/>
      </w:r>
      <w:r>
        <w:instrText xml:space="preserve"> PAGEREF _Toc425847994 \h </w:instrText>
      </w:r>
      <w:r>
        <w:fldChar w:fldCharType="separate"/>
      </w:r>
      <w:r>
        <w:t>38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Annual practice fees</w:t>
      </w:r>
      <w:r>
        <w:tab/>
      </w:r>
      <w:r>
        <w:fldChar w:fldCharType="begin"/>
      </w:r>
      <w:r>
        <w:instrText xml:space="preserve"> PAGEREF _Toc425847995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17</w:t>
      </w:r>
      <w:r>
        <w:rPr>
          <w:snapToGrid w:val="0"/>
        </w:rPr>
        <w:t>.</w:t>
      </w:r>
      <w:r>
        <w:rPr>
          <w:snapToGrid w:val="0"/>
        </w:rPr>
        <w:tab/>
        <w:t>Offences to do with registration</w:t>
      </w:r>
      <w:r>
        <w:tab/>
      </w:r>
      <w:r>
        <w:fldChar w:fldCharType="begin"/>
      </w:r>
      <w:r>
        <w:instrText xml:space="preserve"> PAGEREF _Toc425847997 \h </w:instrText>
      </w:r>
      <w:r>
        <w:fldChar w:fldCharType="separate"/>
      </w:r>
      <w:r>
        <w:t>42</w:t>
      </w:r>
      <w:r>
        <w:fldChar w:fldCharType="end"/>
      </w:r>
    </w:p>
    <w:p>
      <w:pPr>
        <w:pStyle w:val="TOC8"/>
        <w:rPr>
          <w:rFonts w:asciiTheme="minorHAnsi" w:eastAsiaTheme="minorEastAsia" w:hAnsiTheme="minorHAnsi" w:cstheme="minorBidi"/>
          <w:szCs w:val="22"/>
        </w:rPr>
      </w:pPr>
      <w:r>
        <w:t>17A.</w:t>
      </w:r>
      <w:r>
        <w:tab/>
        <w:t>Making false statement to the professional standards committee</w:t>
      </w:r>
      <w:r>
        <w:tab/>
      </w:r>
      <w:r>
        <w:fldChar w:fldCharType="begin"/>
      </w:r>
      <w:r>
        <w:instrText xml:space="preserve"> PAGEREF _Toc425847998 \h </w:instrText>
      </w:r>
      <w:r>
        <w:fldChar w:fldCharType="separate"/>
      </w:r>
      <w:r>
        <w:t>43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Only a medical practitioner to hold certain appointments</w:t>
      </w:r>
      <w:r>
        <w:tab/>
      </w:r>
      <w:r>
        <w:fldChar w:fldCharType="begin"/>
      </w:r>
      <w:r>
        <w:instrText xml:space="preserve"> PAGEREF _Toc425847999 \h </w:instrText>
      </w:r>
      <w:r>
        <w:fldChar w:fldCharType="separate"/>
      </w:r>
      <w:r>
        <w:t>43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Only a medical practitioner to practise or profess to practise medicine</w:t>
      </w:r>
      <w:r>
        <w:tab/>
      </w:r>
      <w:r>
        <w:fldChar w:fldCharType="begin"/>
      </w:r>
      <w:r>
        <w:instrText xml:space="preserve"> PAGEREF _Toc425848000 \h </w:instrText>
      </w:r>
      <w:r>
        <w:fldChar w:fldCharType="separate"/>
      </w:r>
      <w:r>
        <w:t>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 of publishing prohibited advertisement</w:t>
      </w:r>
      <w:r>
        <w:tab/>
      </w:r>
      <w:r>
        <w:fldChar w:fldCharType="begin"/>
      </w:r>
      <w:r>
        <w:instrText xml:space="preserve"> PAGEREF _Toc425848001 \h </w:instrText>
      </w:r>
      <w:r>
        <w:fldChar w:fldCharType="separate"/>
      </w:r>
      <w:r>
        <w:t>45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Medical practitioner may sue for fees, etc.</w:t>
      </w:r>
      <w:r>
        <w:tab/>
      </w:r>
      <w:r>
        <w:fldChar w:fldCharType="begin"/>
      </w:r>
      <w:r>
        <w:instrText xml:space="preserve"> PAGEREF _Toc425848002 \h </w:instrText>
      </w:r>
      <w:r>
        <w:fldChar w:fldCharType="separate"/>
      </w:r>
      <w:r>
        <w:t>45</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Treatment by means of radium or X</w:t>
      </w:r>
      <w:r>
        <w:rPr>
          <w:snapToGrid w:val="0"/>
        </w:rPr>
        <w:noBreakHyphen/>
        <w:t>ray</w:t>
      </w:r>
      <w:r>
        <w:tab/>
      </w:r>
      <w:r>
        <w:fldChar w:fldCharType="begin"/>
      </w:r>
      <w:r>
        <w:instrText xml:space="preserve"> PAGEREF _Toc425848003 \h </w:instrText>
      </w:r>
      <w:r>
        <w:fldChar w:fldCharType="separate"/>
      </w:r>
      <w:r>
        <w:t>45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Medical practitioners to arrange consultation in certain cases</w:t>
      </w:r>
      <w:r>
        <w:tab/>
      </w:r>
      <w:r>
        <w:fldChar w:fldCharType="begin"/>
      </w:r>
      <w:r>
        <w:instrText xml:space="preserve"> PAGEREF _Toc425848004 \h </w:instrText>
      </w:r>
      <w:r>
        <w:fldChar w:fldCharType="separate"/>
      </w:r>
      <w:r>
        <w:t>46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Restriction on administration of anaesthetics in certain cases</w:t>
      </w:r>
      <w:r>
        <w:tab/>
      </w:r>
      <w:r>
        <w:fldChar w:fldCharType="begin"/>
      </w:r>
      <w:r>
        <w:instrText xml:space="preserve"> PAGEREF _Toc425848005 \h </w:instrText>
      </w:r>
      <w:r>
        <w:fldChar w:fldCharType="separate"/>
      </w:r>
      <w:r>
        <w:t>47</w:t>
      </w:r>
      <w:r>
        <w:fldChar w:fldCharType="end"/>
      </w:r>
    </w:p>
    <w:p>
      <w:pPr>
        <w:pStyle w:val="TOC8"/>
        <w:rPr>
          <w:rFonts w:asciiTheme="minorHAnsi" w:eastAsiaTheme="minorEastAsia" w:hAnsiTheme="minorHAnsi" w:cstheme="minorBidi"/>
          <w:szCs w:val="22"/>
        </w:rPr>
      </w:pPr>
      <w:r>
        <w:t>21CA</w:t>
      </w:r>
      <w:r>
        <w:rPr>
          <w:snapToGrid w:val="0"/>
        </w:rPr>
        <w:t>.</w:t>
      </w:r>
      <w:r>
        <w:rPr>
          <w:snapToGrid w:val="0"/>
        </w:rPr>
        <w:tab/>
        <w:t>Approval for medical call services</w:t>
      </w:r>
      <w:r>
        <w:tab/>
      </w:r>
      <w:r>
        <w:fldChar w:fldCharType="begin"/>
      </w:r>
      <w:r>
        <w:instrText xml:space="preserve"> PAGEREF _Toc425848006 \h </w:instrText>
      </w:r>
      <w:r>
        <w:fldChar w:fldCharType="separate"/>
      </w:r>
      <w:r>
        <w:t>47</w:t>
      </w:r>
      <w:r>
        <w:fldChar w:fldCharType="end"/>
      </w:r>
    </w:p>
    <w:p>
      <w:pPr>
        <w:pStyle w:val="TOC8"/>
        <w:rPr>
          <w:rFonts w:asciiTheme="minorHAnsi" w:eastAsiaTheme="minorEastAsia" w:hAnsiTheme="minorHAnsi" w:cstheme="minorBidi"/>
          <w:szCs w:val="22"/>
        </w:rPr>
      </w:pPr>
      <w:r>
        <w:t>21CB</w:t>
      </w:r>
      <w:r>
        <w:rPr>
          <w:snapToGrid w:val="0"/>
        </w:rPr>
        <w:t>.</w:t>
      </w:r>
      <w:r>
        <w:rPr>
          <w:snapToGrid w:val="0"/>
        </w:rPr>
        <w:tab/>
        <w:t>Register of medical call services</w:t>
      </w:r>
      <w:r>
        <w:tab/>
      </w:r>
      <w:r>
        <w:fldChar w:fldCharType="begin"/>
      </w:r>
      <w:r>
        <w:instrText xml:space="preserve"> PAGEREF _Toc425848007 \h </w:instrText>
      </w:r>
      <w:r>
        <w:fldChar w:fldCharType="separate"/>
      </w:r>
      <w:r>
        <w:t>49</w:t>
      </w:r>
      <w:r>
        <w:fldChar w:fldCharType="end"/>
      </w:r>
    </w:p>
    <w:p>
      <w:pPr>
        <w:pStyle w:val="TOC8"/>
        <w:rPr>
          <w:rFonts w:asciiTheme="minorHAnsi" w:eastAsiaTheme="minorEastAsia" w:hAnsiTheme="minorHAnsi" w:cstheme="minorBidi"/>
          <w:szCs w:val="22"/>
        </w:rPr>
      </w:pPr>
      <w:r>
        <w:t>21CC</w:t>
      </w:r>
      <w:r>
        <w:rPr>
          <w:snapToGrid w:val="0"/>
        </w:rPr>
        <w:t>.</w:t>
      </w:r>
      <w:r>
        <w:rPr>
          <w:snapToGrid w:val="0"/>
        </w:rPr>
        <w:tab/>
        <w:t>Changes to be notified</w:t>
      </w:r>
      <w:r>
        <w:tab/>
      </w:r>
      <w:r>
        <w:fldChar w:fldCharType="begin"/>
      </w:r>
      <w:r>
        <w:instrText xml:space="preserve"> PAGEREF _Toc425848008 \h </w:instrText>
      </w:r>
      <w:r>
        <w:fldChar w:fldCharType="separate"/>
      </w:r>
      <w:r>
        <w:t>49</w:t>
      </w:r>
      <w:r>
        <w:fldChar w:fldCharType="end"/>
      </w:r>
    </w:p>
    <w:p>
      <w:pPr>
        <w:pStyle w:val="TOC8"/>
        <w:rPr>
          <w:rFonts w:asciiTheme="minorHAnsi" w:eastAsiaTheme="minorEastAsia" w:hAnsiTheme="minorHAnsi" w:cstheme="minorBidi"/>
          <w:szCs w:val="22"/>
        </w:rPr>
      </w:pPr>
      <w:r>
        <w:t>21CD</w:t>
      </w:r>
      <w:r>
        <w:rPr>
          <w:snapToGrid w:val="0"/>
        </w:rPr>
        <w:t>.</w:t>
      </w:r>
      <w:r>
        <w:rPr>
          <w:snapToGrid w:val="0"/>
        </w:rPr>
        <w:tab/>
        <w:t>Cancellation and suspension of approval</w:t>
      </w:r>
      <w:r>
        <w:tab/>
      </w:r>
      <w:r>
        <w:fldChar w:fldCharType="begin"/>
      </w:r>
      <w:r>
        <w:instrText xml:space="preserve"> PAGEREF _Toc425848009 \h </w:instrText>
      </w:r>
      <w:r>
        <w:fldChar w:fldCharType="separate"/>
      </w:r>
      <w:r>
        <w:t>49</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Application of funds of Board</w:t>
      </w:r>
      <w:r>
        <w:tab/>
      </w:r>
      <w:r>
        <w:fldChar w:fldCharType="begin"/>
      </w:r>
      <w:r>
        <w:instrText xml:space="preserve"> PAGEREF _Toc425848010 \h </w:instrText>
      </w:r>
      <w:r>
        <w:fldChar w:fldCharType="separate"/>
      </w:r>
      <w:r>
        <w:t>51</w:t>
      </w:r>
      <w:r>
        <w:fldChar w:fldCharType="end"/>
      </w:r>
    </w:p>
    <w:p>
      <w:pPr>
        <w:pStyle w:val="TOC8"/>
        <w:rPr>
          <w:rFonts w:asciiTheme="minorHAnsi" w:eastAsiaTheme="minorEastAsia" w:hAnsiTheme="minorHAnsi" w:cstheme="minorBidi"/>
          <w:szCs w:val="22"/>
        </w:rPr>
      </w:pPr>
      <w:r>
        <w:t>21E</w:t>
      </w:r>
      <w:r>
        <w:rPr>
          <w:snapToGrid w:val="0"/>
        </w:rPr>
        <w:t>.</w:t>
      </w:r>
      <w:r>
        <w:rPr>
          <w:snapToGrid w:val="0"/>
        </w:rPr>
        <w:tab/>
        <w:t>Accounts</w:t>
      </w:r>
      <w:r>
        <w:tab/>
      </w:r>
      <w:r>
        <w:fldChar w:fldCharType="begin"/>
      </w:r>
      <w:r>
        <w:instrText xml:space="preserve"> PAGEREF _Toc425848011 \h </w:instrText>
      </w:r>
      <w:r>
        <w:fldChar w:fldCharType="separate"/>
      </w:r>
      <w:r>
        <w:t>51</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Audit</w:t>
      </w:r>
      <w:r>
        <w:tab/>
      </w:r>
      <w:r>
        <w:fldChar w:fldCharType="begin"/>
      </w:r>
      <w:r>
        <w:instrText xml:space="preserve"> PAGEREF _Toc425848012 \h </w:instrText>
      </w:r>
      <w:r>
        <w:fldChar w:fldCharType="separate"/>
      </w:r>
      <w:r>
        <w:t>51</w:t>
      </w:r>
      <w:r>
        <w:fldChar w:fldCharType="end"/>
      </w:r>
    </w:p>
    <w:p>
      <w:pPr>
        <w:pStyle w:val="TOC8"/>
        <w:rPr>
          <w:rFonts w:asciiTheme="minorHAnsi" w:eastAsiaTheme="minorEastAsia" w:hAnsiTheme="minorHAnsi" w:cstheme="minorBidi"/>
          <w:szCs w:val="22"/>
        </w:rPr>
      </w:pPr>
      <w:r>
        <w:t>21G</w:t>
      </w:r>
      <w:r>
        <w:rPr>
          <w:snapToGrid w:val="0"/>
        </w:rPr>
        <w:t>.</w:t>
      </w:r>
      <w:r>
        <w:rPr>
          <w:snapToGrid w:val="0"/>
        </w:rPr>
        <w:tab/>
        <w:t>Annual report</w:t>
      </w:r>
      <w:r>
        <w:tab/>
      </w:r>
      <w:r>
        <w:fldChar w:fldCharType="begin"/>
      </w:r>
      <w:r>
        <w:instrText xml:space="preserve"> PAGEREF _Toc425848013 \h </w:instrText>
      </w:r>
      <w:r>
        <w:fldChar w:fldCharType="separate"/>
      </w:r>
      <w:r>
        <w:t>51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Proceedings for offences etc.</w:t>
      </w:r>
      <w:r>
        <w:tab/>
      </w:r>
      <w:r>
        <w:fldChar w:fldCharType="begin"/>
      </w:r>
      <w:r>
        <w:instrText xml:space="preserve"> PAGEREF _Toc425848014 \h </w:instrText>
      </w:r>
      <w:r>
        <w:fldChar w:fldCharType="separate"/>
      </w:r>
      <w:r>
        <w:t>52</w:t>
      </w:r>
      <w:r>
        <w:fldChar w:fldCharType="end"/>
      </w:r>
    </w:p>
    <w:p>
      <w:pPr>
        <w:pStyle w:val="TOC8"/>
        <w:rPr>
          <w:rFonts w:asciiTheme="minorHAnsi" w:eastAsiaTheme="minorEastAsia" w:hAnsiTheme="minorHAnsi" w:cstheme="minorBidi"/>
          <w:szCs w:val="22"/>
        </w:rPr>
      </w:pPr>
      <w:r>
        <w:t>22A.</w:t>
      </w:r>
      <w:r>
        <w:tab/>
        <w:t>Constitution of State Administrative Tribunal under this Act</w:t>
      </w:r>
      <w:r>
        <w:tab/>
      </w:r>
      <w:r>
        <w:fldChar w:fldCharType="begin"/>
      </w:r>
      <w:r>
        <w:instrText xml:space="preserve"> PAGEREF _Toc425848015 \h </w:instrText>
      </w:r>
      <w:r>
        <w:fldChar w:fldCharType="separate"/>
      </w:r>
      <w:r>
        <w:t>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i/>
          <w:snapToGrid w:val="0"/>
        </w:rPr>
        <w:t>Interpretation Act 1918</w:t>
      </w:r>
      <w:r>
        <w:tab/>
      </w:r>
      <w:r>
        <w:fldChar w:fldCharType="begin"/>
      </w:r>
      <w:r>
        <w:instrText xml:space="preserve"> PAGEREF _Toc425848016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Review of Act</w:t>
      </w:r>
      <w:r>
        <w:tab/>
      </w:r>
      <w:r>
        <w:fldChar w:fldCharType="begin"/>
      </w:r>
      <w:r>
        <w:instrText xml:space="preserve"> PAGEREF _Toc425848017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The Schedules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_Toc425848020 \h </w:instrText>
      </w:r>
      <w:r>
        <w:fldChar w:fldCharType="separate"/>
      </w:r>
      <w:r>
        <w:t>56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400"/>
      </w:pPr>
      <w:r>
        <w:t>Medical Act 1894</w:t>
      </w:r>
    </w:p>
    <w:p>
      <w:pPr>
        <w:pStyle w:val="LongTitle"/>
        <w:rPr>
          <w:snapToGrid w:val="0"/>
        </w:rPr>
      </w:pPr>
      <w:r>
        <w:rPr>
          <w:snapToGrid w:val="0"/>
        </w:rPr>
        <w:t xml:space="preserve">An Act to consolidate the law relating to medical practitioners. </w:t>
      </w:r>
    </w:p>
    <w:p>
      <w:pPr>
        <w:pStyle w:val="Heading2"/>
      </w:pPr>
      <w:bookmarkStart w:id="3" w:name="_Toc377985252"/>
      <w:bookmarkStart w:id="4" w:name="_Toc377986124"/>
      <w:bookmarkStart w:id="5" w:name="_Toc42584795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120"/>
        <w:rPr>
          <w:snapToGrid w:val="0"/>
        </w:rPr>
      </w:pPr>
      <w:bookmarkStart w:id="6" w:name="_Toc377986125"/>
      <w:bookmarkStart w:id="7" w:name="_Toc425847955"/>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pPr>
        <w:pStyle w:val="Footnotesection"/>
      </w:pPr>
      <w:r>
        <w:tab/>
        <w:t>[Section 1 amended by No. 10 of 1998 s. 47(1).]</w:t>
      </w:r>
    </w:p>
    <w:p>
      <w:pPr>
        <w:pStyle w:val="Ednotesection"/>
      </w:pPr>
      <w:r>
        <w:t>[</w:t>
      </w:r>
      <w:r>
        <w:rPr>
          <w:b/>
          <w:bCs/>
        </w:rPr>
        <w:t>2.</w:t>
      </w:r>
      <w:r>
        <w:tab/>
        <w:t>Omitted under the Reprints Act 1984 s. 7(4)(f).]</w:t>
      </w:r>
    </w:p>
    <w:p>
      <w:pPr>
        <w:pStyle w:val="Heading5"/>
        <w:rPr>
          <w:snapToGrid w:val="0"/>
        </w:rPr>
      </w:pPr>
      <w:bookmarkStart w:id="8" w:name="_Toc377986126"/>
      <w:bookmarkStart w:id="9" w:name="_Toc425847956"/>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Board</w:t>
      </w:r>
      <w:r>
        <w:t xml:space="preserve"> means the Medical Board established under section 4;</w:t>
      </w:r>
    </w:p>
    <w:p>
      <w:pPr>
        <w:pStyle w:val="Defstart"/>
      </w:pPr>
      <w:r>
        <w:rPr>
          <w:b/>
        </w:rPr>
        <w:tab/>
      </w:r>
      <w:r>
        <w:rPr>
          <w:rStyle w:val="CharDefText"/>
        </w:rPr>
        <w:t>medical call service</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pPr>
        <w:pStyle w:val="Defstart"/>
        <w:keepNext/>
      </w:pPr>
      <w:r>
        <w:rPr>
          <w:b/>
        </w:rPr>
        <w:tab/>
      </w:r>
      <w:r>
        <w:rPr>
          <w:rStyle w:val="CharDefText"/>
        </w:rPr>
        <w:t>medical practitioner</w:t>
      </w:r>
      <w:r>
        <w:t xml:space="preserve"> means — </w:t>
      </w:r>
    </w:p>
    <w:p>
      <w:pPr>
        <w:pStyle w:val="Defpara"/>
      </w:pPr>
      <w:r>
        <w:tab/>
        <w:t>(a)</w:t>
      </w:r>
      <w:r>
        <w:tab/>
        <w:t>a person not being a body corporate who is registered under this Act; or</w:t>
      </w:r>
    </w:p>
    <w:p>
      <w:pPr>
        <w:pStyle w:val="Defpara"/>
      </w:pPr>
      <w:r>
        <w:tab/>
        <w:t>(b)</w:t>
      </w:r>
      <w:r>
        <w:tab/>
        <w:t>a body corporate which is registered under this Act;</w:t>
      </w:r>
    </w:p>
    <w:p>
      <w:pPr>
        <w:pStyle w:val="Defstart"/>
      </w:pPr>
      <w:r>
        <w:rPr>
          <w:b/>
        </w:rPr>
        <w:tab/>
      </w:r>
      <w:r>
        <w:rPr>
          <w:rStyle w:val="CharDefText"/>
        </w:rPr>
        <w:t>member</w:t>
      </w:r>
      <w:r>
        <w:t xml:space="preserve"> means — </w:t>
      </w:r>
    </w:p>
    <w:p>
      <w:pPr>
        <w:pStyle w:val="Defpara"/>
      </w:pPr>
      <w:r>
        <w:tab/>
        <w:t>(a)</w:t>
      </w:r>
      <w:r>
        <w:tab/>
        <w:t>in relation to the Board, a member of the Board and includes the president;</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professional standards committee</w:t>
      </w:r>
      <w:r>
        <w:t xml:space="preserve"> means the professional standards committee appointed under section 8AA;</w:t>
      </w:r>
    </w:p>
    <w:p>
      <w:pPr>
        <w:pStyle w:val="Defstart"/>
      </w:pPr>
      <w:r>
        <w:rPr>
          <w:b/>
        </w:rPr>
        <w:tab/>
      </w:r>
      <w:r>
        <w:rPr>
          <w:rStyle w:val="CharDefText"/>
        </w:rPr>
        <w:t>Register</w:t>
      </w:r>
      <w:r>
        <w:t xml:space="preserve"> shall mean the register of medical practitioners hereinafter mentioned;</w:t>
      </w:r>
    </w:p>
    <w:p>
      <w:pPr>
        <w:pStyle w:val="Defstart"/>
      </w:pPr>
      <w:r>
        <w:rPr>
          <w:b/>
        </w:rPr>
        <w:tab/>
      </w:r>
      <w:r>
        <w:rPr>
          <w:rStyle w:val="CharDefText"/>
        </w:rPr>
        <w:t>Registrar</w:t>
      </w:r>
      <w:r>
        <w:t xml:space="preserve"> shall mean the Registrar appointed under the provisions of this Act;</w:t>
      </w:r>
    </w:p>
    <w:p>
      <w:pPr>
        <w:pStyle w:val="Defstart"/>
      </w:pPr>
      <w:r>
        <w:rPr>
          <w:b/>
        </w:rPr>
        <w:tab/>
      </w:r>
      <w:r>
        <w:rPr>
          <w:rStyle w:val="CharDefText"/>
        </w:rPr>
        <w:t>Rules</w:t>
      </w:r>
      <w:r>
        <w:t xml:space="preserve"> shall mean the rules for the time being made and prescribed by the Board under this Act.</w:t>
      </w:r>
    </w:p>
    <w:p>
      <w:pPr>
        <w:pStyle w:val="Subsection"/>
        <w:rPr>
          <w:snapToGrid w:val="0"/>
        </w:rPr>
      </w:pPr>
      <w:r>
        <w:rPr>
          <w:snapToGrid w:val="0"/>
        </w:rPr>
        <w:tab/>
        <w:t>(2)</w:t>
      </w:r>
      <w:r>
        <w:rPr>
          <w:snapToGrid w:val="0"/>
        </w:rPr>
        <w:tab/>
        <w:t>For the purposes of this Act a statement is deemed to be published or advertised if it is — </w:t>
      </w:r>
    </w:p>
    <w:p>
      <w:pPr>
        <w:pStyle w:val="Indenta"/>
        <w:rPr>
          <w:snapToGrid w:val="0"/>
        </w:rPr>
      </w:pPr>
      <w:r>
        <w:rPr>
          <w:snapToGrid w:val="0"/>
        </w:rPr>
        <w:tab/>
        <w:t>(a)</w:t>
      </w:r>
      <w:r>
        <w:rPr>
          <w:snapToGrid w:val="0"/>
        </w:rPr>
        <w:tab/>
        <w:t>inserted in any newspaper or other publication;</w:t>
      </w:r>
    </w:p>
    <w:p>
      <w:pPr>
        <w:pStyle w:val="Indenta"/>
        <w:rPr>
          <w:snapToGrid w:val="0"/>
        </w:rPr>
      </w:pPr>
      <w:r>
        <w:rPr>
          <w:snapToGrid w:val="0"/>
        </w:rPr>
        <w:tab/>
        <w:t>(b)</w:t>
      </w:r>
      <w:r>
        <w:rPr>
          <w:snapToGrid w:val="0"/>
        </w:rPr>
        <w:tab/>
        <w:t>publicly exhibited — </w:t>
      </w:r>
    </w:p>
    <w:p>
      <w:pPr>
        <w:pStyle w:val="Indenti"/>
        <w:rPr>
          <w:snapToGrid w:val="0"/>
        </w:rPr>
      </w:pPr>
      <w:r>
        <w:rPr>
          <w:snapToGrid w:val="0"/>
        </w:rPr>
        <w:tab/>
        <w:t>(i)</w:t>
      </w:r>
      <w:r>
        <w:rPr>
          <w:snapToGrid w:val="0"/>
        </w:rPr>
        <w:tab/>
        <w:t>in, on, over or under any building, vehicle, or place (whether a public place or private place); or</w:t>
      </w:r>
    </w:p>
    <w:p>
      <w:pPr>
        <w:pStyle w:val="Indenti"/>
        <w:rPr>
          <w:snapToGrid w:val="0"/>
        </w:rPr>
      </w:pPr>
      <w:r>
        <w:rPr>
          <w:snapToGrid w:val="0"/>
        </w:rPr>
        <w:tab/>
        <w:t>(ii)</w:t>
      </w:r>
      <w:r>
        <w:rPr>
          <w:snapToGrid w:val="0"/>
        </w:rPr>
        <w:tab/>
        <w:t>in the air;</w:t>
      </w:r>
    </w:p>
    <w:p>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pPr>
        <w:pStyle w:val="Indenta"/>
        <w:rPr>
          <w:snapToGrid w:val="0"/>
        </w:rPr>
      </w:pPr>
      <w:r>
        <w:rPr>
          <w:snapToGrid w:val="0"/>
        </w:rPr>
        <w:tab/>
        <w:t>(d)</w:t>
      </w:r>
      <w:r>
        <w:rPr>
          <w:snapToGrid w:val="0"/>
        </w:rPr>
        <w:tab/>
        <w:t>made orally to any person; or</w:t>
      </w:r>
    </w:p>
    <w:p>
      <w:pPr>
        <w:pStyle w:val="Indenta"/>
        <w:rPr>
          <w:snapToGrid w:val="0"/>
        </w:rPr>
      </w:pPr>
      <w:r>
        <w:rPr>
          <w:snapToGrid w:val="0"/>
        </w:rPr>
        <w:tab/>
        <w:t>(e)</w:t>
      </w:r>
      <w:r>
        <w:rPr>
          <w:snapToGrid w:val="0"/>
        </w:rPr>
        <w:tab/>
        <w:t>publicly announced by means of transmission of light or sound.</w:t>
      </w:r>
    </w:p>
    <w:p>
      <w:pPr>
        <w:pStyle w:val="Footnotesection"/>
      </w:pPr>
      <w:r>
        <w:tab/>
        <w:t>[Section 3 amended by No. 22 of 1945 s. 2; No. 43 of 1966 s. 3; No. 70 of 1985 s. 3; No. 55 of 2004 s. 720.]</w:t>
      </w:r>
    </w:p>
    <w:p>
      <w:pPr>
        <w:pStyle w:val="Heading2"/>
      </w:pPr>
      <w:bookmarkStart w:id="10" w:name="_Toc377985255"/>
      <w:bookmarkStart w:id="11" w:name="_Toc377986127"/>
      <w:bookmarkStart w:id="12" w:name="_Toc425847957"/>
      <w:r>
        <w:rPr>
          <w:rStyle w:val="CharPartNo"/>
        </w:rPr>
        <w:t>Part II</w:t>
      </w:r>
      <w:r>
        <w:rPr>
          <w:rStyle w:val="CharDivNo"/>
        </w:rPr>
        <w:t> </w:t>
      </w:r>
      <w:r>
        <w:t>—</w:t>
      </w:r>
      <w:r>
        <w:rPr>
          <w:rStyle w:val="CharDivText"/>
        </w:rPr>
        <w:t> </w:t>
      </w:r>
      <w:r>
        <w:rPr>
          <w:rStyle w:val="CharPartText"/>
        </w:rPr>
        <w:t>Medical Board and professional standards committee</w:t>
      </w:r>
      <w:bookmarkEnd w:id="10"/>
      <w:bookmarkEnd w:id="11"/>
      <w:bookmarkEnd w:id="12"/>
    </w:p>
    <w:p>
      <w:pPr>
        <w:pStyle w:val="Footnotesection"/>
      </w:pPr>
      <w:r>
        <w:tab/>
        <w:t>[Heading amended by No. 55 of 2004 s. 721.]</w:t>
      </w:r>
    </w:p>
    <w:p>
      <w:pPr>
        <w:pStyle w:val="Heading5"/>
        <w:rPr>
          <w:snapToGrid w:val="0"/>
        </w:rPr>
      </w:pPr>
      <w:bookmarkStart w:id="13" w:name="_Toc377986128"/>
      <w:bookmarkStart w:id="14" w:name="_Toc425847958"/>
      <w:r>
        <w:rPr>
          <w:rStyle w:val="CharSectno"/>
        </w:rPr>
        <w:t>4</w:t>
      </w:r>
      <w:r>
        <w:rPr>
          <w:snapToGrid w:val="0"/>
        </w:rPr>
        <w:t>.</w:t>
      </w:r>
      <w:r>
        <w:rPr>
          <w:snapToGrid w:val="0"/>
        </w:rPr>
        <w:tab/>
        <w:t>Constitution and proceedings of Medical Board</w:t>
      </w:r>
      <w:bookmarkEnd w:id="13"/>
      <w:bookmarkEnd w:id="14"/>
    </w:p>
    <w:p>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pPr>
        <w:pStyle w:val="Subsection"/>
        <w:rPr>
          <w:snapToGrid w:val="0"/>
        </w:rPr>
      </w:pPr>
      <w:r>
        <w:rPr>
          <w:snapToGrid w:val="0"/>
        </w:rPr>
        <w:tab/>
        <w:t>(1a)</w:t>
      </w:r>
      <w:r>
        <w:rPr>
          <w:snapToGrid w:val="0"/>
        </w:rPr>
        <w:tab/>
        <w:t>The Board shall consist of 12 persons as follows — </w:t>
      </w:r>
    </w:p>
    <w:p>
      <w:pPr>
        <w:pStyle w:val="Indenta"/>
      </w:pPr>
      <w:r>
        <w:tab/>
        <w:t>(a)</w:t>
      </w:r>
      <w:r>
        <w:tab/>
        <w:t xml:space="preserve">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pPr>
        <w:pStyle w:val="Indenta"/>
        <w:rPr>
          <w:snapToGrid w:val="0"/>
        </w:rPr>
      </w:pPr>
      <w:r>
        <w:rPr>
          <w:snapToGrid w:val="0"/>
        </w:rPr>
        <w:tab/>
        <w:t>(b)</w:t>
      </w:r>
      <w:r>
        <w:rPr>
          <w:snapToGrid w:val="0"/>
        </w:rPr>
        <w:tab/>
        <w:t>7 persons other than bodies corporate appointed by the Minister who are registered medical practitioners under this Act;</w:t>
      </w:r>
    </w:p>
    <w:p>
      <w:pPr>
        <w:pStyle w:val="Indenta"/>
      </w:pPr>
      <w:r>
        <w:tab/>
        <w:t>(c)</w:t>
      </w:r>
      <w:r>
        <w:tab/>
        <w:t xml:space="preserve">2 persons appointed by the Minister who are legal practitioners; </w:t>
      </w:r>
    </w:p>
    <w:p>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pPr>
        <w:pStyle w:val="Indenta"/>
        <w:rPr>
          <w:snapToGrid w:val="0"/>
        </w:rPr>
      </w:pPr>
      <w:r>
        <w:rPr>
          <w:snapToGrid w:val="0"/>
        </w:rPr>
        <w:tab/>
        <w:t>(e)</w:t>
      </w:r>
      <w:r>
        <w:rPr>
          <w:snapToGrid w:val="0"/>
        </w:rPr>
        <w:tab/>
        <w:t>1 person appointed by the Minister who is not a medical practitioner.</w:t>
      </w:r>
    </w:p>
    <w:p>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pPr>
        <w:pStyle w:val="Indenta"/>
        <w:rPr>
          <w:snapToGrid w:val="0"/>
        </w:rPr>
      </w:pPr>
      <w:r>
        <w:rPr>
          <w:snapToGrid w:val="0"/>
        </w:rPr>
        <w:tab/>
        <w:t>(a)</w:t>
      </w:r>
      <w:r>
        <w:rPr>
          <w:snapToGrid w:val="0"/>
        </w:rPr>
        <w:tab/>
        <w:t>eligible to be appointed as, or hold office as; or</w:t>
      </w:r>
    </w:p>
    <w:p>
      <w:pPr>
        <w:pStyle w:val="Indenta"/>
        <w:rPr>
          <w:snapToGrid w:val="0"/>
        </w:rPr>
      </w:pPr>
      <w:r>
        <w:rPr>
          <w:snapToGrid w:val="0"/>
        </w:rPr>
        <w:tab/>
        <w:t>(b)</w:t>
      </w:r>
      <w:r>
        <w:rPr>
          <w:snapToGrid w:val="0"/>
        </w:rPr>
        <w:tab/>
        <w:t xml:space="preserve">entitled to nominate, or to vote for, a person to be elected as, </w:t>
      </w:r>
    </w:p>
    <w:p>
      <w:pPr>
        <w:pStyle w:val="Subsection"/>
        <w:rPr>
          <w:snapToGrid w:val="0"/>
        </w:rPr>
      </w:pPr>
      <w:r>
        <w:rPr>
          <w:snapToGrid w:val="0"/>
        </w:rPr>
        <w:tab/>
      </w:r>
      <w:r>
        <w:rPr>
          <w:snapToGrid w:val="0"/>
        </w:rPr>
        <w:tab/>
        <w:t>a member of the Board.</w:t>
      </w:r>
    </w:p>
    <w:p>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pPr>
        <w:pStyle w:val="Footnotesection"/>
      </w:pPr>
      <w:r>
        <w:tab/>
        <w:t>[Section 4 amended by No. 22 of 1945 s. 3; No. 70 of 1985 s. 4; No. 67 of 1994 s. 4; No. 48 of 2000 s. 4; No. 28 of 2006 s. 272; No. 49 of 2006 s. 4.]</w:t>
      </w:r>
    </w:p>
    <w:p>
      <w:pPr>
        <w:pStyle w:val="Heading5"/>
        <w:rPr>
          <w:snapToGrid w:val="0"/>
        </w:rPr>
      </w:pPr>
      <w:bookmarkStart w:id="15" w:name="_Toc377986129"/>
      <w:bookmarkStart w:id="16" w:name="_Toc425847959"/>
      <w:r>
        <w:rPr>
          <w:rStyle w:val="CharSectno"/>
        </w:rPr>
        <w:t>5</w:t>
      </w:r>
      <w:r>
        <w:rPr>
          <w:snapToGrid w:val="0"/>
        </w:rPr>
        <w:t>.</w:t>
      </w:r>
      <w:r>
        <w:rPr>
          <w:snapToGrid w:val="0"/>
        </w:rPr>
        <w:tab/>
        <w:t>Governor may remove member</w:t>
      </w:r>
      <w:bookmarkEnd w:id="15"/>
      <w:bookmarkEnd w:id="16"/>
    </w:p>
    <w:p>
      <w:pPr>
        <w:pStyle w:val="Subsection"/>
        <w:rPr>
          <w:snapToGrid w:val="0"/>
        </w:rPr>
      </w:pPr>
      <w:r>
        <w:rPr>
          <w:snapToGrid w:val="0"/>
        </w:rPr>
        <w:tab/>
        <w:t>(1)</w:t>
      </w:r>
      <w:r>
        <w:rPr>
          <w:snapToGrid w:val="0"/>
        </w:rPr>
        <w:tab/>
        <w:t>The Governor may remove a member referred to in section 4(1a)(b), (c) or (e).</w:t>
      </w:r>
    </w:p>
    <w:p>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pPr>
        <w:pStyle w:val="Footnotesection"/>
        <w:keepLines w:val="0"/>
      </w:pPr>
      <w:r>
        <w:tab/>
        <w:t xml:space="preserve">[Section 5 inserted by No. 70 of 1985 s. 5.] </w:t>
      </w:r>
    </w:p>
    <w:p>
      <w:pPr>
        <w:pStyle w:val="Heading5"/>
        <w:rPr>
          <w:snapToGrid w:val="0"/>
        </w:rPr>
      </w:pPr>
      <w:bookmarkStart w:id="17" w:name="_Toc377986130"/>
      <w:bookmarkStart w:id="18" w:name="_Toc425847960"/>
      <w:r>
        <w:rPr>
          <w:rStyle w:val="CharSectno"/>
        </w:rPr>
        <w:t>6</w:t>
      </w:r>
      <w:r>
        <w:rPr>
          <w:snapToGrid w:val="0"/>
        </w:rPr>
        <w:t>.</w:t>
      </w:r>
      <w:r>
        <w:rPr>
          <w:snapToGrid w:val="0"/>
        </w:rPr>
        <w:tab/>
        <w:t>Rules and regulations</w:t>
      </w:r>
      <w:bookmarkEnd w:id="17"/>
      <w:bookmarkEnd w:id="18"/>
    </w:p>
    <w:p>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pPr>
        <w:pStyle w:val="Indenta"/>
        <w:rPr>
          <w:snapToGrid w:val="0"/>
        </w:rPr>
      </w:pPr>
      <w:r>
        <w:rPr>
          <w:snapToGrid w:val="0"/>
        </w:rPr>
        <w:tab/>
        <w:t>(b)</w:t>
      </w:r>
      <w:r>
        <w:rPr>
          <w:snapToGrid w:val="0"/>
        </w:rPr>
        <w:tab/>
        <w:t>for regulating the manner of keeping and the form of the register;</w:t>
      </w:r>
    </w:p>
    <w:p>
      <w:pPr>
        <w:pStyle w:val="Indenta"/>
        <w:rPr>
          <w:snapToGrid w:val="0"/>
        </w:rPr>
      </w:pPr>
      <w:r>
        <w:rPr>
          <w:snapToGrid w:val="0"/>
        </w:rPr>
        <w:tab/>
        <w:t>(c)</w:t>
      </w:r>
      <w:r>
        <w:rPr>
          <w:snapToGrid w:val="0"/>
        </w:rPr>
        <w:tab/>
        <w:t>for regulating the meetings and proceedings of the Board and the conduct of the business thereof;</w:t>
      </w:r>
    </w:p>
    <w:p>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pPr>
        <w:pStyle w:val="Indenta"/>
        <w:rPr>
          <w:snapToGrid w:val="0"/>
        </w:rPr>
      </w:pPr>
      <w:r>
        <w:rPr>
          <w:snapToGrid w:val="0"/>
        </w:rPr>
        <w:tab/>
        <w:t>(da)</w:t>
      </w:r>
      <w:r>
        <w:rPr>
          <w:snapToGrid w:val="0"/>
        </w:rPr>
        <w:tab/>
        <w:t>for the control, regulation and prohibition of advertising by medical practitioners;</w:t>
      </w:r>
    </w:p>
    <w:p>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pPr>
        <w:pStyle w:val="Indenta"/>
        <w:rPr>
          <w:snapToGrid w:val="0"/>
        </w:rPr>
      </w:pPr>
      <w:r>
        <w:rPr>
          <w:snapToGrid w:val="0"/>
        </w:rPr>
        <w:tab/>
        <w:t>(e)</w:t>
      </w:r>
      <w:r>
        <w:rPr>
          <w:snapToGrid w:val="0"/>
        </w:rPr>
        <w:tab/>
        <w:t>for generally carrying into effect the objects of this Act.</w:t>
      </w:r>
    </w:p>
    <w:p>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pPr>
        <w:pStyle w:val="Ednotesubsection"/>
      </w:pPr>
      <w:r>
        <w:tab/>
        <w:t>[(3)</w:t>
      </w:r>
      <w:r>
        <w:tab/>
        <w:t>repealed]</w:t>
      </w:r>
    </w:p>
    <w:p>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pPr>
        <w:pStyle w:val="Footnotesection"/>
      </w:pPr>
      <w:r>
        <w:tab/>
        <w:t>[Section 6 amended by No. 22 of 1945 s. 5; No. 113 of 1965 s. 8; No. 70 of 1985 s. 6; No. 55 of 2004 s. 722.]</w:t>
      </w:r>
    </w:p>
    <w:p>
      <w:pPr>
        <w:pStyle w:val="Heading5"/>
        <w:rPr>
          <w:snapToGrid w:val="0"/>
        </w:rPr>
      </w:pPr>
      <w:bookmarkStart w:id="19" w:name="_Toc377986131"/>
      <w:bookmarkStart w:id="20" w:name="_Toc425847961"/>
      <w:r>
        <w:rPr>
          <w:rStyle w:val="CharSectno"/>
        </w:rPr>
        <w:t>7</w:t>
      </w:r>
      <w:r>
        <w:rPr>
          <w:snapToGrid w:val="0"/>
        </w:rPr>
        <w:t>.</w:t>
      </w:r>
      <w:r>
        <w:rPr>
          <w:snapToGrid w:val="0"/>
        </w:rPr>
        <w:tab/>
        <w:t>Officers of the Board</w:t>
      </w:r>
      <w:bookmarkEnd w:id="19"/>
      <w:bookmarkEnd w:id="20"/>
    </w:p>
    <w:p>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pPr>
        <w:pStyle w:val="Heading5"/>
        <w:rPr>
          <w:snapToGrid w:val="0"/>
        </w:rPr>
      </w:pPr>
      <w:bookmarkStart w:id="21" w:name="_Toc377986132"/>
      <w:bookmarkStart w:id="22" w:name="_Toc425847962"/>
      <w:r>
        <w:rPr>
          <w:rStyle w:val="CharSectno"/>
        </w:rPr>
        <w:t>8</w:t>
      </w:r>
      <w:r>
        <w:rPr>
          <w:snapToGrid w:val="0"/>
        </w:rPr>
        <w:t>.</w:t>
      </w:r>
      <w:r>
        <w:rPr>
          <w:snapToGrid w:val="0"/>
        </w:rPr>
        <w:tab/>
        <w:t>Board may sue</w:t>
      </w:r>
      <w:bookmarkEnd w:id="21"/>
      <w:bookmarkEnd w:id="22"/>
    </w:p>
    <w:p>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pPr>
        <w:pStyle w:val="Footnotesection"/>
      </w:pPr>
      <w:r>
        <w:tab/>
        <w:t>[Section 8 amended by No. 55 of 2004 s. 723; No. 84 of 2004 s. 80.]</w:t>
      </w:r>
    </w:p>
    <w:p>
      <w:pPr>
        <w:pStyle w:val="Heading5"/>
      </w:pPr>
      <w:bookmarkStart w:id="23" w:name="_Toc377986133"/>
      <w:bookmarkStart w:id="24" w:name="_Toc425847963"/>
      <w:r>
        <w:t>8AA.</w:t>
      </w:r>
      <w:r>
        <w:tab/>
        <w:t>Professional standards committee</w:t>
      </w:r>
      <w:bookmarkEnd w:id="23"/>
      <w:bookmarkEnd w:id="24"/>
    </w:p>
    <w:p>
      <w:pPr>
        <w:pStyle w:val="Subsection"/>
      </w:pPr>
      <w:r>
        <w:rPr>
          <w:snapToGrid w:val="0"/>
        </w:rPr>
        <w:tab/>
        <w:t>(1)</w:t>
      </w:r>
      <w:r>
        <w:rPr>
          <w:snapToGrid w:val="0"/>
        </w:rPr>
        <w:tab/>
      </w:r>
      <w:r>
        <w:t>The Board is to appoint persons to be members of a committee to be known as the professional standards committee.</w:t>
      </w:r>
    </w:p>
    <w:p>
      <w:pPr>
        <w:pStyle w:val="Subsection"/>
      </w:pPr>
      <w:r>
        <w:tab/>
        <w:t>(2)</w:t>
      </w:r>
      <w:r>
        <w:tab/>
        <w:t>Each member of the committee is to be a natural person chosen by the Board, and a member of the Board is not precluded from being a member of the committee.</w:t>
      </w:r>
    </w:p>
    <w:p>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pPr>
        <w:pStyle w:val="Subsection"/>
        <w:rPr>
          <w:snapToGrid w:val="0"/>
        </w:rPr>
      </w:pPr>
      <w:r>
        <w:rPr>
          <w:snapToGrid w:val="0"/>
        </w:rPr>
        <w:tab/>
        <w:t>(5)</w:t>
      </w:r>
      <w:r>
        <w:rPr>
          <w:snapToGrid w:val="0"/>
        </w:rPr>
        <w:tab/>
        <w:t xml:space="preserve">The committee is to ensure that — </w:t>
      </w:r>
    </w:p>
    <w:p>
      <w:pPr>
        <w:pStyle w:val="Indenta"/>
        <w:rPr>
          <w:snapToGrid w:val="0"/>
        </w:rPr>
      </w:pPr>
      <w:r>
        <w:rPr>
          <w:snapToGrid w:val="0"/>
        </w:rPr>
        <w:tab/>
        <w:t>(a)</w:t>
      </w:r>
      <w:r>
        <w:rPr>
          <w:snapToGrid w:val="0"/>
        </w:rPr>
        <w:tab/>
        <w:t>accurate records are made of the proceedings at its meetings, including details of each decision it makes; and</w:t>
      </w:r>
    </w:p>
    <w:p>
      <w:pPr>
        <w:pStyle w:val="Indenta"/>
        <w:rPr>
          <w:snapToGrid w:val="0"/>
        </w:rPr>
      </w:pPr>
      <w:r>
        <w:rPr>
          <w:snapToGrid w:val="0"/>
        </w:rPr>
        <w:tab/>
        <w:t>(b)</w:t>
      </w:r>
      <w:r>
        <w:rPr>
          <w:snapToGrid w:val="0"/>
        </w:rPr>
        <w:tab/>
        <w:t>those records are retained.</w:t>
      </w:r>
    </w:p>
    <w:p>
      <w:pPr>
        <w:pStyle w:val="Footnotesection"/>
      </w:pPr>
      <w:r>
        <w:tab/>
        <w:t>[Section 8AA inserted by No. 55 of 2004 s. 724.]</w:t>
      </w:r>
    </w:p>
    <w:p>
      <w:pPr>
        <w:pStyle w:val="Heading5"/>
        <w:rPr>
          <w:snapToGrid w:val="0"/>
        </w:rPr>
      </w:pPr>
      <w:bookmarkStart w:id="25" w:name="_Toc377986134"/>
      <w:bookmarkStart w:id="26" w:name="_Toc425847964"/>
      <w:r>
        <w:rPr>
          <w:rStyle w:val="CharSectno"/>
        </w:rPr>
        <w:t>8A</w:t>
      </w:r>
      <w:r>
        <w:rPr>
          <w:snapToGrid w:val="0"/>
        </w:rPr>
        <w:t>.</w:t>
      </w:r>
      <w:r>
        <w:rPr>
          <w:snapToGrid w:val="0"/>
        </w:rPr>
        <w:tab/>
        <w:t>Protection of Board and Registrar from liability</w:t>
      </w:r>
      <w:bookmarkEnd w:id="25"/>
      <w:bookmarkEnd w:id="26"/>
    </w:p>
    <w:p>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pPr>
        <w:pStyle w:val="Footnotesection"/>
      </w:pPr>
      <w:r>
        <w:tab/>
        <w:t>[Section 8A inserted by No. 22 of 1945 s. 6; amended by No. 55 of 2004 s. 725.]</w:t>
      </w:r>
    </w:p>
    <w:p>
      <w:pPr>
        <w:pStyle w:val="Heading5"/>
        <w:rPr>
          <w:snapToGrid w:val="0"/>
        </w:rPr>
      </w:pPr>
      <w:bookmarkStart w:id="27" w:name="_Toc377986135"/>
      <w:bookmarkStart w:id="28" w:name="_Toc425847965"/>
      <w:r>
        <w:rPr>
          <w:rStyle w:val="CharSectno"/>
        </w:rPr>
        <w:t>9</w:t>
      </w:r>
      <w:r>
        <w:rPr>
          <w:snapToGrid w:val="0"/>
        </w:rPr>
        <w:t>.</w:t>
      </w:r>
      <w:r>
        <w:rPr>
          <w:snapToGrid w:val="0"/>
        </w:rPr>
        <w:tab/>
        <w:t>Examination of persons and documents by Board, and public nature of proceedings</w:t>
      </w:r>
      <w:bookmarkEnd w:id="27"/>
      <w:bookmarkEnd w:id="28"/>
    </w:p>
    <w:p>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pPr>
        <w:pStyle w:val="Footnotesection"/>
      </w:pPr>
      <w:r>
        <w:tab/>
        <w:t>[Section 9 amended by No. 22 of 1945 s. 7; No. 70 of 1985 s. 7; No. 55 of 2004 s. 726.]</w:t>
      </w:r>
    </w:p>
    <w:p>
      <w:pPr>
        <w:pStyle w:val="Heading2"/>
      </w:pPr>
      <w:bookmarkStart w:id="29" w:name="_Toc377985264"/>
      <w:bookmarkStart w:id="30" w:name="_Toc377986136"/>
      <w:bookmarkStart w:id="31" w:name="_Toc425847966"/>
      <w:r>
        <w:rPr>
          <w:rStyle w:val="CharPartNo"/>
        </w:rPr>
        <w:t>Part III</w:t>
      </w:r>
      <w:r>
        <w:rPr>
          <w:rStyle w:val="CharDivNo"/>
        </w:rPr>
        <w:t> </w:t>
      </w:r>
      <w:r>
        <w:t>—</w:t>
      </w:r>
      <w:r>
        <w:rPr>
          <w:rStyle w:val="CharDivText"/>
        </w:rPr>
        <w:t> </w:t>
      </w:r>
      <w:r>
        <w:rPr>
          <w:rStyle w:val="CharPartText"/>
        </w:rPr>
        <w:t>Registration</w:t>
      </w:r>
      <w:bookmarkEnd w:id="29"/>
      <w:bookmarkEnd w:id="30"/>
      <w:bookmarkEnd w:id="31"/>
    </w:p>
    <w:p>
      <w:pPr>
        <w:pStyle w:val="Heading5"/>
        <w:rPr>
          <w:snapToGrid w:val="0"/>
        </w:rPr>
      </w:pPr>
      <w:bookmarkStart w:id="32" w:name="_Toc377986137"/>
      <w:bookmarkStart w:id="33" w:name="_Toc425847967"/>
      <w:r>
        <w:rPr>
          <w:rStyle w:val="CharSectno"/>
        </w:rPr>
        <w:t>10</w:t>
      </w:r>
      <w:r>
        <w:rPr>
          <w:snapToGrid w:val="0"/>
        </w:rPr>
        <w:t>.</w:t>
      </w:r>
      <w:r>
        <w:rPr>
          <w:snapToGrid w:val="0"/>
        </w:rPr>
        <w:tab/>
        <w:t>Register to be kept by the Registrar</w:t>
      </w:r>
      <w:bookmarkEnd w:id="32"/>
      <w:bookmarkEnd w:id="33"/>
    </w:p>
    <w:p>
      <w:pPr>
        <w:pStyle w:val="Subsection"/>
        <w:spacing w:before="100"/>
        <w:rPr>
          <w:snapToGrid w:val="0"/>
        </w:rPr>
      </w:pPr>
      <w:r>
        <w:rPr>
          <w:snapToGrid w:val="0"/>
        </w:rPr>
        <w:tab/>
        <w:t>(1)</w:t>
      </w:r>
      <w:r>
        <w:rPr>
          <w:snapToGrid w:val="0"/>
        </w:rPr>
        <w:tab/>
        <w:t>For the purposes of this Act, the Registrar shall keep a register of medical practitioners.</w:t>
      </w:r>
    </w:p>
    <w:p>
      <w:pPr>
        <w:pStyle w:val="Subsection"/>
        <w:spacing w:before="100"/>
        <w:rPr>
          <w:snapToGrid w:val="0"/>
        </w:rPr>
      </w:pPr>
      <w:r>
        <w:rPr>
          <w:snapToGrid w:val="0"/>
        </w:rPr>
        <w:tab/>
        <w:t>(1a)</w:t>
      </w:r>
      <w:r>
        <w:rPr>
          <w:snapToGrid w:val="0"/>
        </w:rP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pPr>
        <w:pStyle w:val="Subsection"/>
        <w:spacing w:before="100"/>
        <w:rPr>
          <w:snapToGrid w:val="0"/>
        </w:rPr>
      </w:pPr>
      <w:r>
        <w:rPr>
          <w:snapToGrid w:val="0"/>
        </w:rPr>
        <w:tab/>
      </w:r>
      <w:r>
        <w:rPr>
          <w:snapToGrid w:val="0"/>
        </w:rPr>
        <w:tab/>
        <w:t>in the register.</w:t>
      </w:r>
    </w:p>
    <w:p>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pPr>
        <w:pStyle w:val="Indenta"/>
        <w:rPr>
          <w:snapToGrid w:val="0"/>
        </w:rPr>
      </w:pPr>
      <w:r>
        <w:rPr>
          <w:snapToGrid w:val="0"/>
        </w:rPr>
        <w:tab/>
        <w:t>(a)</w:t>
      </w:r>
      <w:r>
        <w:rPr>
          <w:snapToGrid w:val="0"/>
        </w:rPr>
        <w:tab/>
        <w:t>applies to the Board in the prescribed form;</w:t>
      </w:r>
    </w:p>
    <w:p>
      <w:pPr>
        <w:pStyle w:val="Indenta"/>
        <w:rPr>
          <w:snapToGrid w:val="0"/>
        </w:rPr>
      </w:pPr>
      <w:r>
        <w:rPr>
          <w:snapToGrid w:val="0"/>
        </w:rPr>
        <w:tab/>
        <w:t>(b)</w:t>
      </w:r>
      <w:r>
        <w:rPr>
          <w:snapToGrid w:val="0"/>
        </w:rPr>
        <w:tab/>
        <w:t>pays the prescribed practice fee;</w:t>
      </w:r>
    </w:p>
    <w:p>
      <w:pPr>
        <w:pStyle w:val="Indenta"/>
        <w:rPr>
          <w:snapToGrid w:val="0"/>
        </w:rPr>
      </w:pPr>
      <w:r>
        <w:rPr>
          <w:snapToGrid w:val="0"/>
        </w:rPr>
        <w:tab/>
        <w:t>(c)</w:t>
      </w:r>
      <w:r>
        <w:rPr>
          <w:snapToGrid w:val="0"/>
        </w:rPr>
        <w:tab/>
        <w:t>pays the prescribed restoration fee;</w:t>
      </w:r>
    </w:p>
    <w:p>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pPr>
        <w:pStyle w:val="Footnotesection"/>
      </w:pPr>
      <w:r>
        <w:tab/>
        <w:t>[Section 10 amended by No. 10 of 1955 s. 2; No. 113 of 1965 s. 8; No. 70 of 1976 s. 3; No. 70 of 1985 s. 8; No. 55 of 2004 s. 727.]</w:t>
      </w:r>
    </w:p>
    <w:p>
      <w:pPr>
        <w:pStyle w:val="Heading5"/>
        <w:rPr>
          <w:snapToGrid w:val="0"/>
        </w:rPr>
      </w:pPr>
      <w:bookmarkStart w:id="34" w:name="_Toc377986138"/>
      <w:bookmarkStart w:id="35" w:name="_Toc425847968"/>
      <w:r>
        <w:rPr>
          <w:rStyle w:val="CharSectno"/>
        </w:rPr>
        <w:t>11</w:t>
      </w:r>
      <w:r>
        <w:rPr>
          <w:snapToGrid w:val="0"/>
        </w:rPr>
        <w:t>.</w:t>
      </w:r>
      <w:r>
        <w:rPr>
          <w:snapToGrid w:val="0"/>
        </w:rPr>
        <w:tab/>
        <w:t>Persons entitled to be registered and special provisions for bodies corporate</w:t>
      </w:r>
      <w:bookmarkEnd w:id="34"/>
      <w:bookmarkEnd w:id="35"/>
    </w:p>
    <w:p>
      <w:pPr>
        <w:pStyle w:val="Subsection"/>
        <w:rPr>
          <w:snapToGrid w:val="0"/>
        </w:rPr>
      </w:pPr>
      <w:r>
        <w:rPr>
          <w:snapToGrid w:val="0"/>
        </w:rPr>
        <w:tab/>
        <w:t>(1)</w:t>
      </w:r>
      <w:r>
        <w:rPr>
          <w:snapToGrid w:val="0"/>
        </w:rPr>
        <w:tab/>
        <w:t>Subject to section 11AA a person is entitled to be registered as a medical practitioner if the person — </w:t>
      </w:r>
    </w:p>
    <w:p>
      <w:pPr>
        <w:pStyle w:val="Indenta"/>
        <w:rPr>
          <w:snapToGrid w:val="0"/>
        </w:rPr>
      </w:pPr>
      <w:r>
        <w:rPr>
          <w:snapToGrid w:val="0"/>
        </w:rPr>
        <w:tab/>
        <w:t>(a)</w:t>
      </w:r>
      <w:r>
        <w:rPr>
          <w:snapToGrid w:val="0"/>
        </w:rPr>
        <w:tab/>
        <w:t>has recognised medical qualifications;</w:t>
      </w:r>
    </w:p>
    <w:p>
      <w:pPr>
        <w:pStyle w:val="Indenta"/>
        <w:rPr>
          <w:snapToGrid w:val="0"/>
        </w:rPr>
      </w:pPr>
      <w:r>
        <w:rPr>
          <w:snapToGrid w:val="0"/>
        </w:rPr>
        <w:tab/>
        <w:t>(b)</w:t>
      </w:r>
      <w:r>
        <w:rPr>
          <w:snapToGrid w:val="0"/>
        </w:rPr>
        <w:tab/>
        <w:t>has successfully completed a period of internship or supervised clinical practice as required by the Board; and</w:t>
      </w:r>
    </w:p>
    <w:p>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pPr>
        <w:pStyle w:val="Subsection"/>
        <w:rPr>
          <w:snapToGrid w:val="0"/>
        </w:rPr>
      </w:pPr>
      <w:r>
        <w:rPr>
          <w:snapToGrid w:val="0"/>
        </w:rPr>
        <w:tab/>
        <w:t>(2a)</w:t>
      </w:r>
      <w:r>
        <w:rPr>
          <w:snapToGrid w:val="0"/>
        </w:rPr>
        <w:tab/>
        <w:t xml:space="preserve">For the purposes of subsection (1) a person has </w:t>
      </w:r>
      <w:r>
        <w:rPr>
          <w:rStyle w:val="CharDefText"/>
        </w:rPr>
        <w:t>recognised medical qualifications</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pPr>
        <w:pStyle w:val="Indenta"/>
        <w:rPr>
          <w:snapToGrid w:val="0"/>
        </w:rPr>
      </w:pPr>
      <w:r>
        <w:rPr>
          <w:snapToGrid w:val="0"/>
        </w:rPr>
        <w:tab/>
        <w:t>(a)</w:t>
      </w:r>
      <w:r>
        <w:rPr>
          <w:snapToGrid w:val="0"/>
        </w:rPr>
        <w:tab/>
        <w:t>is composed entirely of members, not being bodies corporate, who are registered under this Act; or</w:t>
      </w:r>
    </w:p>
    <w:p>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pPr>
        <w:pStyle w:val="Indenta"/>
        <w:rPr>
          <w:snapToGrid w:val="0"/>
        </w:rPr>
      </w:pPr>
      <w:r>
        <w:rPr>
          <w:snapToGrid w:val="0"/>
        </w:rPr>
        <w:tab/>
        <w:t>(b)</w:t>
      </w:r>
      <w:r>
        <w:rPr>
          <w:snapToGrid w:val="0"/>
        </w:rPr>
        <w:tab/>
        <w:t>the control of the affairs of the body corporate is vested in a medical practitioner registered under this Act;</w:t>
      </w:r>
    </w:p>
    <w:p>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pPr>
        <w:pStyle w:val="Ednotepara"/>
        <w:spacing w:before="80"/>
      </w:pPr>
      <w:r>
        <w:tab/>
        <w:t>[(g)</w:t>
      </w:r>
      <w:r>
        <w:tab/>
        <w:t>deleted]</w:t>
      </w:r>
    </w:p>
    <w:p>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pPr>
        <w:pStyle w:val="Indenta"/>
        <w:rPr>
          <w:snapToGrid w:val="0"/>
        </w:rPr>
      </w:pPr>
      <w:r>
        <w:rPr>
          <w:snapToGrid w:val="0"/>
        </w:rPr>
        <w:tab/>
        <w:t>(i)</w:t>
      </w:r>
      <w:r>
        <w:rPr>
          <w:snapToGrid w:val="0"/>
        </w:rPr>
        <w:tab/>
        <w:t>there are no grounds upon which the application ought to be refused.</w:t>
      </w:r>
    </w:p>
    <w:p>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pPr>
        <w:pStyle w:val="Heading5"/>
        <w:rPr>
          <w:snapToGrid w:val="0"/>
        </w:rPr>
      </w:pPr>
      <w:bookmarkStart w:id="36" w:name="_Toc377986139"/>
      <w:bookmarkStart w:id="37" w:name="_Toc425847969"/>
      <w:r>
        <w:rPr>
          <w:rStyle w:val="CharSectno"/>
        </w:rPr>
        <w:t>11AA</w:t>
      </w:r>
      <w:r>
        <w:rPr>
          <w:snapToGrid w:val="0"/>
        </w:rPr>
        <w:t>.</w:t>
      </w:r>
      <w:r>
        <w:rPr>
          <w:snapToGrid w:val="0"/>
        </w:rPr>
        <w:tab/>
        <w:t>Applicants to be competent and of good character</w:t>
      </w:r>
      <w:bookmarkEnd w:id="36"/>
      <w:bookmarkEnd w:id="37"/>
    </w:p>
    <w:p>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pPr>
        <w:pStyle w:val="Indenta"/>
        <w:rPr>
          <w:snapToGrid w:val="0"/>
        </w:rPr>
      </w:pPr>
      <w:r>
        <w:rPr>
          <w:snapToGrid w:val="0"/>
        </w:rPr>
        <w:tab/>
        <w:t>(c)</w:t>
      </w:r>
      <w:r>
        <w:rPr>
          <w:snapToGrid w:val="0"/>
        </w:rPr>
        <w:tab/>
        <w:t>is of good character.</w:t>
      </w:r>
    </w:p>
    <w:p>
      <w:pPr>
        <w:pStyle w:val="Footnotesection"/>
      </w:pPr>
      <w:r>
        <w:tab/>
        <w:t>[Section 11AA inserted by No. 67 of 1994 s. 6; amended by No. 48 of 2000 s. 5.]</w:t>
      </w:r>
    </w:p>
    <w:p>
      <w:pPr>
        <w:pStyle w:val="Heading5"/>
        <w:rPr>
          <w:snapToGrid w:val="0"/>
        </w:rPr>
      </w:pPr>
      <w:bookmarkStart w:id="38" w:name="_Toc377986140"/>
      <w:bookmarkStart w:id="39" w:name="_Toc425847970"/>
      <w:r>
        <w:rPr>
          <w:rStyle w:val="CharSectno"/>
        </w:rPr>
        <w:t>11AB</w:t>
      </w:r>
      <w:r>
        <w:rPr>
          <w:snapToGrid w:val="0"/>
        </w:rPr>
        <w:t>.</w:t>
      </w:r>
      <w:r>
        <w:rPr>
          <w:snapToGrid w:val="0"/>
        </w:rPr>
        <w:tab/>
        <w:t>Armed forces exempted from fees in certain circumstances</w:t>
      </w:r>
      <w:bookmarkEnd w:id="38"/>
      <w:bookmarkEnd w:id="39"/>
    </w:p>
    <w:p>
      <w:pPr>
        <w:pStyle w:val="Subsection"/>
        <w:rPr>
          <w:snapToGrid w:val="0"/>
        </w:rPr>
      </w:pPr>
      <w:r>
        <w:rPr>
          <w:snapToGrid w:val="0"/>
        </w:rPr>
        <w:tab/>
        <w:t>(1)</w:t>
      </w:r>
      <w:r>
        <w:rPr>
          <w:snapToGrid w:val="0"/>
        </w:rPr>
        <w:tab/>
        <w:t>A person who satisfies the Board that — </w:t>
      </w:r>
    </w:p>
    <w:p>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(2)</w:t>
      </w:r>
      <w:r>
        <w:rPr>
          <w:snapToGrid w:val="0"/>
        </w:rPr>
        <w:tab/>
        <w:t>A person who satisfies the Board that — </w:t>
      </w:r>
    </w:p>
    <w:p>
      <w:pPr>
        <w:pStyle w:val="Indenta"/>
        <w:rPr>
          <w:snapToGrid w:val="0"/>
        </w:rPr>
      </w:pPr>
      <w:r>
        <w:rPr>
          <w:snapToGrid w:val="0"/>
        </w:rPr>
        <w:tab/>
        <w:t>(a)</w:t>
      </w:r>
      <w:r>
        <w:rPr>
          <w:snapToGrid w:val="0"/>
        </w:rPr>
        <w:tab/>
        <w:t>he or she has — </w:t>
      </w:r>
    </w:p>
    <w:p>
      <w:pPr>
        <w:pStyle w:val="Indenti"/>
        <w:rPr>
          <w:snapToGrid w:val="0"/>
        </w:rPr>
      </w:pPr>
      <w:r>
        <w:rPr>
          <w:snapToGrid w:val="0"/>
        </w:rPr>
        <w:tab/>
        <w:t>(i)</w:t>
      </w:r>
      <w:r>
        <w:rPr>
          <w:snapToGrid w:val="0"/>
        </w:rPr>
        <w:tab/>
        <w:t xml:space="preserve">such qualifications in; and </w:t>
      </w:r>
    </w:p>
    <w:p>
      <w:pPr>
        <w:pStyle w:val="Indenti"/>
        <w:rPr>
          <w:snapToGrid w:val="0"/>
        </w:rPr>
      </w:pPr>
      <w:r>
        <w:rPr>
          <w:snapToGrid w:val="0"/>
        </w:rPr>
        <w:tab/>
        <w:t>(ii)</w:t>
      </w:r>
      <w:r>
        <w:rPr>
          <w:snapToGrid w:val="0"/>
        </w:rPr>
        <w:tab/>
        <w:t>such experience in the practice of,</w:t>
      </w:r>
    </w:p>
    <w:p>
      <w:pPr>
        <w:pStyle w:val="Indenta"/>
        <w:rPr>
          <w:snapToGrid w:val="0"/>
        </w:rPr>
      </w:pPr>
      <w:r>
        <w:rPr>
          <w:snapToGrid w:val="0"/>
        </w:rPr>
        <w:tab/>
      </w:r>
      <w:r>
        <w:rPr>
          <w:snapToGrid w:val="0"/>
        </w:rPr>
        <w:tab/>
        <w:t>medicine and surgery as in the opinion of the Board qualify the person to practise medicine and surgery in the State; and</w:t>
      </w:r>
    </w:p>
    <w:p>
      <w:pPr>
        <w:pStyle w:val="Indenta"/>
        <w:rPr>
          <w:snapToGrid w:val="0"/>
        </w:rPr>
      </w:pPr>
      <w:r>
        <w:rPr>
          <w:snapToGrid w:val="0"/>
        </w:rPr>
        <w:tab/>
        <w:t>(b)</w:t>
      </w:r>
      <w:r>
        <w:rPr>
          <w:snapToGrid w:val="0"/>
        </w:rPr>
        <w:tab/>
        <w:t>he or she is serving as a member of a visiting force in the capacity of a medical officer,</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(3)</w:t>
      </w:r>
      <w:r>
        <w:rPr>
          <w:snapToGrid w:val="0"/>
        </w:rPr>
        <w:tab/>
        <w:t>For the purposes of subsection (2) — </w:t>
      </w:r>
    </w:p>
    <w:p>
      <w:pPr>
        <w:pStyle w:val="Defstart"/>
      </w:pPr>
      <w:r>
        <w:rPr>
          <w:b/>
        </w:rPr>
        <w:tab/>
      </w:r>
      <w:r>
        <w:rPr>
          <w:rStyle w:val="CharDefText"/>
        </w:rPr>
        <w:t>force</w:t>
      </w:r>
      <w:r>
        <w:t>, in relation to a country, means the naval, military or air force of that country;</w:t>
      </w:r>
    </w:p>
    <w:p>
      <w:pPr>
        <w:pStyle w:val="Defstart"/>
      </w:pPr>
      <w:r>
        <w:rPr>
          <w:b/>
        </w:rPr>
        <w:tab/>
      </w:r>
      <w:r>
        <w:rPr>
          <w:rStyle w:val="CharDefText"/>
        </w:rPr>
        <w:t>visiting force</w:t>
      </w:r>
      <w:r>
        <w:t xml:space="preserve"> means any body, contingent or detachment of the forces of a country that is for the time being present in the State by arrangement with the Minister of State for Defence for the Commonwealth.</w:t>
      </w:r>
    </w:p>
    <w:p>
      <w:pPr>
        <w:pStyle w:val="Footnotesection"/>
      </w:pPr>
      <w:r>
        <w:tab/>
        <w:t>[Section 11AB inserted by No. 67 of 1994 s. 7.]</w:t>
      </w:r>
    </w:p>
    <w:p>
      <w:pPr>
        <w:pStyle w:val="Heading5"/>
        <w:rPr>
          <w:snapToGrid w:val="0"/>
        </w:rPr>
      </w:pPr>
      <w:bookmarkStart w:id="40" w:name="_Toc377986141"/>
      <w:bookmarkStart w:id="41" w:name="_Toc425847971"/>
      <w:r>
        <w:rPr>
          <w:rStyle w:val="CharSectno"/>
        </w:rPr>
        <w:t>11AC</w:t>
      </w:r>
      <w:r>
        <w:rPr>
          <w:snapToGrid w:val="0"/>
        </w:rPr>
        <w:t>.</w:t>
      </w:r>
      <w:r>
        <w:rPr>
          <w:snapToGrid w:val="0"/>
        </w:rPr>
        <w:tab/>
        <w:t>Entitlement to conditional registration for interns</w:t>
      </w:r>
      <w:bookmarkEnd w:id="40"/>
      <w:bookmarkEnd w:id="41"/>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pPr>
        <w:pStyle w:val="Subsection"/>
        <w:rPr>
          <w:snapToGrid w:val="0"/>
        </w:rPr>
      </w:pPr>
      <w:r>
        <w:rPr>
          <w:snapToGrid w:val="0"/>
        </w:rPr>
        <w:tab/>
        <w:t>(2)</w:t>
      </w:r>
      <w:r>
        <w:rPr>
          <w:snapToGrid w:val="0"/>
        </w:rPr>
        <w:tab/>
        <w:t xml:space="preserve">The </w:t>
      </w:r>
      <w:r>
        <w:rPr>
          <w:rStyle w:val="CharDefText"/>
        </w:rPr>
        <w:t>appropriate conditions</w:t>
      </w:r>
      <w:r>
        <w:rPr>
          <w:snapToGrid w:val="0"/>
        </w:rPr>
        <w:t xml:space="preserve"> of registration are such conditions as the Board thinks appropriate for the purpose of enabling the person to complete that internship.</w:t>
      </w:r>
    </w:p>
    <w:p>
      <w:pPr>
        <w:pStyle w:val="Footnotesection"/>
      </w:pPr>
      <w:r>
        <w:tab/>
        <w:t>[Section 11AC inserted by No. 67 of 1994 s. 7; amended by No. 48 of 2000 s. 6.]</w:t>
      </w:r>
    </w:p>
    <w:p>
      <w:pPr>
        <w:pStyle w:val="Heading5"/>
        <w:rPr>
          <w:snapToGrid w:val="0"/>
        </w:rPr>
      </w:pPr>
      <w:bookmarkStart w:id="42" w:name="_Toc377986142"/>
      <w:bookmarkStart w:id="43" w:name="_Toc425847972"/>
      <w:r>
        <w:rPr>
          <w:rStyle w:val="CharSectno"/>
        </w:rPr>
        <w:t>11AD</w:t>
      </w:r>
      <w:r>
        <w:rPr>
          <w:snapToGrid w:val="0"/>
        </w:rPr>
        <w:t>.</w:t>
      </w:r>
      <w:r>
        <w:rPr>
          <w:snapToGrid w:val="0"/>
        </w:rPr>
        <w:tab/>
        <w:t>Entitlement to conditional registration for supervised clinical practice</w:t>
      </w:r>
      <w:bookmarkEnd w:id="42"/>
      <w:bookmarkEnd w:id="43"/>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pPr>
        <w:pStyle w:val="Subsection"/>
        <w:rPr>
          <w:snapToGrid w:val="0"/>
        </w:rPr>
      </w:pPr>
      <w:r>
        <w:rPr>
          <w:snapToGrid w:val="0"/>
        </w:rPr>
        <w:tab/>
        <w:t>(2)</w:t>
      </w:r>
      <w:r>
        <w:rPr>
          <w:snapToGrid w:val="0"/>
        </w:rPr>
        <w:tab/>
        <w:t xml:space="preserve">The </w:t>
      </w:r>
      <w:r>
        <w:rPr>
          <w:rStyle w:val="CharDefText"/>
        </w:rPr>
        <w:t>appropriate conditions</w:t>
      </w:r>
      <w:r>
        <w:rPr>
          <w:snapToGrid w:val="0"/>
        </w:rPr>
        <w:t xml:space="preserve"> of registration are such conditions as the Board thinks appropriate for the purpose of enabling the person to complete that supervised clinical practice.</w:t>
      </w:r>
    </w:p>
    <w:p>
      <w:pPr>
        <w:pStyle w:val="Footnotesection"/>
      </w:pPr>
      <w:r>
        <w:tab/>
        <w:t>[Section 11AD inserted by No. 67 of 1994 s. 7; amended by No. 48 of 2000 s. 6.]</w:t>
      </w:r>
    </w:p>
    <w:p>
      <w:pPr>
        <w:pStyle w:val="Heading5"/>
        <w:rPr>
          <w:snapToGrid w:val="0"/>
        </w:rPr>
      </w:pPr>
      <w:bookmarkStart w:id="44" w:name="_Toc377986143"/>
      <w:bookmarkStart w:id="45" w:name="_Toc425847973"/>
      <w:r>
        <w:rPr>
          <w:rStyle w:val="CharSectno"/>
        </w:rPr>
        <w:t>11AE</w:t>
      </w:r>
      <w:r>
        <w:rPr>
          <w:snapToGrid w:val="0"/>
        </w:rPr>
        <w:t>.</w:t>
      </w:r>
      <w:r>
        <w:rPr>
          <w:snapToGrid w:val="0"/>
        </w:rPr>
        <w:tab/>
        <w:t>Entitlement to general or conditional registration based on registration elsewhere in Australia</w:t>
      </w:r>
      <w:bookmarkEnd w:id="44"/>
      <w:bookmarkEnd w:id="45"/>
    </w:p>
    <w:p>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pPr>
        <w:pStyle w:val="Footnotesection"/>
      </w:pPr>
      <w:r>
        <w:tab/>
        <w:t>[Section 11AE inserted by No. 67 of 1994 s. 7.]</w:t>
      </w:r>
    </w:p>
    <w:p>
      <w:pPr>
        <w:pStyle w:val="Heading5"/>
        <w:rPr>
          <w:snapToGrid w:val="0"/>
        </w:rPr>
      </w:pPr>
      <w:bookmarkStart w:id="46" w:name="_Toc377986144"/>
      <w:bookmarkStart w:id="47" w:name="_Toc425847974"/>
      <w:r>
        <w:rPr>
          <w:rStyle w:val="CharSectno"/>
        </w:rPr>
        <w:t>11AF</w:t>
      </w:r>
      <w:r>
        <w:rPr>
          <w:snapToGrid w:val="0"/>
        </w:rPr>
        <w:t xml:space="preserve">. </w:t>
      </w:r>
      <w:r>
        <w:rPr>
          <w:snapToGrid w:val="0"/>
        </w:rPr>
        <w:tab/>
        <w:t>Conditional registration at the discretion of the Board</w:t>
      </w:r>
      <w:bookmarkEnd w:id="46"/>
      <w:bookmarkEnd w:id="47"/>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pPr>
        <w:pStyle w:val="Indenta"/>
        <w:rPr>
          <w:b/>
          <w:i/>
          <w:snapToGrid w:val="0"/>
        </w:rPr>
      </w:pPr>
      <w:r>
        <w:rPr>
          <w:snapToGrid w:val="0"/>
        </w:rPr>
        <w:tab/>
      </w:r>
      <w:r>
        <w:rPr>
          <w:b/>
          <w:snapToGrid w:val="0"/>
        </w:rPr>
        <w:t>B.</w:t>
      </w:r>
      <w:r>
        <w:rPr>
          <w:b/>
          <w:i/>
          <w:snapToGrid w:val="0"/>
        </w:rPr>
        <w:tab/>
        <w:t>Medical teaching</w:t>
      </w:r>
    </w:p>
    <w:p>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pPr>
        <w:pStyle w:val="Indenta"/>
        <w:rPr>
          <w:b/>
          <w:i/>
          <w:snapToGrid w:val="0"/>
        </w:rPr>
      </w:pPr>
      <w:r>
        <w:rPr>
          <w:snapToGrid w:val="0"/>
        </w:rPr>
        <w:tab/>
      </w:r>
      <w:r>
        <w:rPr>
          <w:b/>
          <w:snapToGrid w:val="0"/>
        </w:rPr>
        <w:t>C.</w:t>
      </w:r>
      <w:r>
        <w:rPr>
          <w:b/>
          <w:i/>
          <w:snapToGrid w:val="0"/>
        </w:rPr>
        <w:tab/>
        <w:t xml:space="preserve">Medical research </w:t>
      </w:r>
    </w:p>
    <w:p>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pPr>
        <w:pStyle w:val="Indenta"/>
        <w:keepNext/>
        <w:rPr>
          <w:b/>
          <w:i/>
          <w:snapToGrid w:val="0"/>
        </w:rPr>
      </w:pPr>
      <w:r>
        <w:rPr>
          <w:snapToGrid w:val="0"/>
        </w:rPr>
        <w:tab/>
      </w:r>
      <w:r>
        <w:rPr>
          <w:b/>
          <w:snapToGrid w:val="0"/>
        </w:rPr>
        <w:t>D.</w:t>
      </w:r>
      <w:r>
        <w:rPr>
          <w:b/>
          <w:i/>
          <w:snapToGrid w:val="0"/>
        </w:rPr>
        <w:tab/>
        <w:t xml:space="preserve">Unmet areas of need </w:t>
      </w:r>
    </w:p>
    <w:p>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pPr>
        <w:pStyle w:val="Indenta"/>
        <w:rPr>
          <w:b/>
          <w:i/>
          <w:snapToGrid w:val="0"/>
        </w:rPr>
      </w:pPr>
      <w:r>
        <w:rPr>
          <w:b/>
          <w:i/>
          <w:snapToGrid w:val="0"/>
        </w:rPr>
        <w:tab/>
      </w:r>
      <w:r>
        <w:rPr>
          <w:b/>
          <w:snapToGrid w:val="0"/>
        </w:rPr>
        <w:t>E.</w:t>
      </w:r>
      <w:r>
        <w:rPr>
          <w:b/>
          <w:i/>
          <w:snapToGrid w:val="0"/>
        </w:rPr>
        <w:tab/>
        <w:t>Recognised specialist qualifications and experience</w:t>
      </w:r>
    </w:p>
    <w:p>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pPr>
        <w:pStyle w:val="Indenta"/>
        <w:rPr>
          <w:snapToGrid w:val="0"/>
        </w:rPr>
      </w:pPr>
      <w:r>
        <w:rPr>
          <w:snapToGrid w:val="0"/>
        </w:rPr>
        <w:tab/>
      </w:r>
      <w:r>
        <w:rPr>
          <w:snapToGrid w:val="0"/>
        </w:rPr>
        <w:tab/>
        <w:t>A person may be registered on a temporary basis if the Board is satisfied that it is in the public interest to do so.</w:t>
      </w:r>
    </w:p>
    <w:p>
      <w:pPr>
        <w:pStyle w:val="Subsection"/>
        <w:rPr>
          <w:snapToGrid w:val="0"/>
        </w:rPr>
      </w:pPr>
      <w:r>
        <w:rPr>
          <w:snapToGrid w:val="0"/>
        </w:rPr>
        <w:tab/>
        <w:t>(2)</w:t>
      </w:r>
      <w:r>
        <w:rPr>
          <w:snapToGrid w:val="0"/>
        </w:rPr>
        <w:tab/>
        <w:t>For the purposes of subsection (1)D — </w:t>
      </w:r>
    </w:p>
    <w:p>
      <w:pPr>
        <w:pStyle w:val="Defstart"/>
      </w:pPr>
      <w:r>
        <w:rPr>
          <w:b/>
        </w:rPr>
        <w:tab/>
      </w:r>
      <w:r>
        <w:rPr>
          <w:rStyle w:val="CharDefText"/>
        </w:rPr>
        <w:t>an unmet area of need</w:t>
      </w:r>
      <w:r>
        <w:t xml:space="preserve"> means an area of need determined by the Minister.</w:t>
      </w:r>
    </w:p>
    <w:p>
      <w:pPr>
        <w:pStyle w:val="Footnotesection"/>
      </w:pPr>
      <w:r>
        <w:tab/>
        <w:t>[Section 11AF inserted by No. 67 of 1994 s. 7; amended by No. 48 of 2000 s. 7.]</w:t>
      </w:r>
    </w:p>
    <w:p>
      <w:pPr>
        <w:pStyle w:val="Heading5"/>
      </w:pPr>
      <w:bookmarkStart w:id="48" w:name="_Toc377986145"/>
      <w:bookmarkStart w:id="49" w:name="_Toc425847975"/>
      <w:r>
        <w:rPr>
          <w:rStyle w:val="CharSectno"/>
        </w:rPr>
        <w:t>11AG</w:t>
      </w:r>
      <w:r>
        <w:t>.</w:t>
      </w:r>
      <w:r>
        <w:tab/>
        <w:t>Conditional registration for general practice in remote and rural WA</w:t>
      </w:r>
      <w:bookmarkEnd w:id="48"/>
      <w:bookmarkEnd w:id="49"/>
    </w:p>
    <w:p>
      <w:pPr>
        <w:pStyle w:val="Subsection"/>
      </w:pPr>
      <w:r>
        <w:tab/>
        <w:t>(1)</w:t>
      </w:r>
      <w:r>
        <w:tab/>
        <w:t>Subject to section 11AA, the Board may register a person as a medical practitioner if —</w:t>
      </w:r>
    </w:p>
    <w:p>
      <w:pPr>
        <w:pStyle w:val="Indenta"/>
      </w:pPr>
      <w:r>
        <w:tab/>
        <w:t>(a)</w:t>
      </w:r>
      <w:r>
        <w:tab/>
        <w:t>the Board is satisfied that the person —</w:t>
      </w:r>
    </w:p>
    <w:p>
      <w:pPr>
        <w:pStyle w:val="Indenti"/>
      </w:pPr>
      <w:r>
        <w:tab/>
        <w:t>(i)</w:t>
      </w:r>
      <w:r>
        <w:tab/>
        <w:t xml:space="preserve">has qualifications and experience in general practice obtained outside Australia; </w:t>
      </w:r>
    </w:p>
    <w:p>
      <w:pPr>
        <w:pStyle w:val="Indenti"/>
      </w:pPr>
      <w:r>
        <w:tab/>
        <w:t>(ii)</w:t>
      </w:r>
      <w:r>
        <w:tab/>
        <w:t>is competent, having regard to the person’s qualifications and experience, to practise as a general practitioner in this State; and</w:t>
      </w:r>
    </w:p>
    <w:p>
      <w:pPr>
        <w:pStyle w:val="Indenti"/>
      </w:pPr>
      <w:r>
        <w:tab/>
        <w:t>(iii)</w:t>
      </w:r>
      <w:r>
        <w:tab/>
        <w:t xml:space="preserve">has undertaken to comply with the conditions imposed by subsection (2); </w:t>
      </w:r>
    </w:p>
    <w:p>
      <w:pPr>
        <w:pStyle w:val="Indenta"/>
      </w:pPr>
      <w:r>
        <w:tab/>
      </w:r>
      <w:r>
        <w:tab/>
        <w:t>and</w:t>
      </w:r>
    </w:p>
    <w:p>
      <w:pPr>
        <w:pStyle w:val="Indenta"/>
      </w:pPr>
      <w:r>
        <w:tab/>
        <w:t>(b)</w:t>
      </w:r>
      <w:r>
        <w:tab/>
        <w:t>the person pays to the Board together with his or her application for registration such registration fee as is prescribed, together with the annual practice fee prescribed for the purposes of section 16A.</w:t>
      </w:r>
    </w:p>
    <w:p>
      <w:pPr>
        <w:pStyle w:val="Subsection"/>
      </w:pPr>
      <w:r>
        <w:tab/>
        <w:t>(2)</w:t>
      </w:r>
      <w:r>
        <w:tab/>
        <w:t>The registration of a person under this section is subject to the following conditions —</w:t>
      </w:r>
    </w:p>
    <w:p>
      <w:pPr>
        <w:pStyle w:val="Indenta"/>
      </w:pPr>
      <w:r>
        <w:tab/>
        <w:t>(a)</w:t>
      </w:r>
      <w:r>
        <w:tab/>
        <w:t>that the person practise only as a general practitioner;</w:t>
      </w:r>
    </w:p>
    <w:p>
      <w:pPr>
        <w:pStyle w:val="Indenta"/>
      </w:pPr>
      <w:r>
        <w:tab/>
        <w:t>(b)</w:t>
      </w:r>
      <w:r>
        <w:tab/>
        <w:t>that the person must practise in remote and rural WA for 5 years after being registered; and</w:t>
      </w:r>
    </w:p>
    <w:p>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pPr>
        <w:pStyle w:val="Subsection"/>
        <w:keepNext/>
      </w:pPr>
      <w:r>
        <w:tab/>
        <w:t>(7)</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 xml:space="preserve">patient care of individuals, families and their community; </w:t>
      </w:r>
    </w:p>
    <w:p>
      <w:pPr>
        <w:pStyle w:val="Defstart"/>
      </w:pPr>
      <w:r>
        <w:tab/>
      </w:r>
      <w:r>
        <w:rPr>
          <w:rStyle w:val="CharDefText"/>
        </w:rPr>
        <w:t>remote and rural WA</w:t>
      </w:r>
      <w:r>
        <w:t xml:space="preserve"> means any part of the State, outside the Perth metropolitan area, determined by the</w:t>
      </w:r>
      <w:r>
        <w:rPr>
          <w:b/>
          <w:i/>
        </w:rPr>
        <w:t xml:space="preserve"> </w:t>
      </w:r>
      <w:r>
        <w:t xml:space="preserve">Minister to be remote and rural WA for the purposes of this section. </w:t>
      </w:r>
    </w:p>
    <w:p>
      <w:pPr>
        <w:pStyle w:val="Footnotesection"/>
      </w:pPr>
      <w:r>
        <w:tab/>
        <w:t>[Section 11AG inserted by No. 48 of 2000 s. 8.]</w:t>
      </w:r>
    </w:p>
    <w:p>
      <w:pPr>
        <w:pStyle w:val="Heading5"/>
        <w:rPr>
          <w:snapToGrid w:val="0"/>
        </w:rPr>
      </w:pPr>
      <w:bookmarkStart w:id="50" w:name="_Toc377986146"/>
      <w:bookmarkStart w:id="51" w:name="_Toc425847976"/>
      <w:r>
        <w:rPr>
          <w:rStyle w:val="CharSectno"/>
        </w:rPr>
        <w:t>11A</w:t>
      </w:r>
      <w:r>
        <w:rPr>
          <w:snapToGrid w:val="0"/>
        </w:rPr>
        <w:t>.</w:t>
      </w:r>
      <w:r>
        <w:rPr>
          <w:snapToGrid w:val="0"/>
        </w:rPr>
        <w:tab/>
        <w:t>Determination of specialties and registration of specialists</w:t>
      </w:r>
      <w:bookmarkEnd w:id="50"/>
      <w:bookmarkEnd w:id="51"/>
    </w:p>
    <w:p>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pPr>
        <w:pStyle w:val="Indenta"/>
        <w:rPr>
          <w:snapToGrid w:val="0"/>
        </w:rPr>
      </w:pPr>
      <w:r>
        <w:rPr>
          <w:snapToGrid w:val="0"/>
        </w:rPr>
        <w:tab/>
        <w:t>(a)</w:t>
      </w:r>
      <w:r>
        <w:rPr>
          <w:snapToGrid w:val="0"/>
        </w:rPr>
        <w:tab/>
        <w:t>the manner in which application shall be made and registration shall be effected;</w:t>
      </w:r>
    </w:p>
    <w:p>
      <w:pPr>
        <w:pStyle w:val="Indenta"/>
        <w:rPr>
          <w:snapToGrid w:val="0"/>
        </w:rPr>
      </w:pPr>
      <w:r>
        <w:rPr>
          <w:snapToGrid w:val="0"/>
        </w:rPr>
        <w:tab/>
        <w:t>(b)</w:t>
      </w:r>
      <w:r>
        <w:rPr>
          <w:snapToGrid w:val="0"/>
        </w:rPr>
        <w:tab/>
        <w:t>the experience and/or qualifications necessary;</w:t>
      </w:r>
    </w:p>
    <w:p>
      <w:pPr>
        <w:pStyle w:val="Indenta"/>
        <w:rPr>
          <w:snapToGrid w:val="0"/>
        </w:rPr>
      </w:pPr>
      <w:r>
        <w:rPr>
          <w:snapToGrid w:val="0"/>
        </w:rPr>
        <w:tab/>
        <w:t>(c)</w:t>
      </w:r>
      <w:r>
        <w:rPr>
          <w:snapToGrid w:val="0"/>
        </w:rPr>
        <w:tab/>
        <w:t>the appointment of examiners and the holding of examinations;</w:t>
      </w:r>
    </w:p>
    <w:p>
      <w:pPr>
        <w:pStyle w:val="Indenta"/>
        <w:rPr>
          <w:snapToGrid w:val="0"/>
        </w:rPr>
      </w:pPr>
      <w:r>
        <w:rPr>
          <w:snapToGrid w:val="0"/>
        </w:rPr>
        <w:tab/>
        <w:t>(d)</w:t>
      </w:r>
      <w:r>
        <w:rPr>
          <w:snapToGrid w:val="0"/>
        </w:rPr>
        <w:tab/>
        <w:t>the prescribing of the registration fee; and</w:t>
      </w:r>
    </w:p>
    <w:p>
      <w:pPr>
        <w:pStyle w:val="Indenta"/>
        <w:rPr>
          <w:snapToGrid w:val="0"/>
        </w:rPr>
      </w:pPr>
      <w:r>
        <w:rPr>
          <w:snapToGrid w:val="0"/>
        </w:rPr>
        <w:tab/>
        <w:t>(e)</w:t>
      </w:r>
      <w:r>
        <w:rPr>
          <w:snapToGrid w:val="0"/>
        </w:rPr>
        <w:tab/>
        <w:t>such other matters as the Board deems necessary to implement this section.</w:t>
      </w:r>
    </w:p>
    <w:p>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pPr>
        <w:pStyle w:val="Footnotesection"/>
      </w:pPr>
      <w:r>
        <w:tab/>
        <w:t>[Section 11A inserted by No. 22 of 1945 s. 9; amended by No. 67 of 1994 s. 8.]</w:t>
      </w:r>
    </w:p>
    <w:p>
      <w:pPr>
        <w:pStyle w:val="Ednotesection"/>
      </w:pPr>
      <w:r>
        <w:t>[</w:t>
      </w:r>
      <w:r>
        <w:rPr>
          <w:b/>
        </w:rPr>
        <w:t>12 and 12A.</w:t>
      </w:r>
      <w:r>
        <w:tab/>
        <w:t>Repealed by No. 67 of 1994 s. 9.]</w:t>
      </w:r>
    </w:p>
    <w:p>
      <w:pPr>
        <w:pStyle w:val="Heading5"/>
        <w:rPr>
          <w:snapToGrid w:val="0"/>
        </w:rPr>
      </w:pPr>
      <w:bookmarkStart w:id="52" w:name="_Toc377986147"/>
      <w:bookmarkStart w:id="53" w:name="_Toc425847977"/>
      <w:r>
        <w:rPr>
          <w:rStyle w:val="CharSectno"/>
        </w:rPr>
        <w:t>12B</w:t>
      </w:r>
      <w:r>
        <w:rPr>
          <w:snapToGrid w:val="0"/>
        </w:rPr>
        <w:t>.</w:t>
      </w:r>
      <w:r>
        <w:rPr>
          <w:snapToGrid w:val="0"/>
        </w:rPr>
        <w:tab/>
        <w:t>Provisional certificate may be granted</w:t>
      </w:r>
      <w:bookmarkEnd w:id="52"/>
      <w:bookmarkEnd w:id="53"/>
    </w:p>
    <w:p>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pPr>
        <w:pStyle w:val="Subsection"/>
        <w:keepNext/>
        <w:rPr>
          <w:snapToGrid w:val="0"/>
        </w:rPr>
      </w:pPr>
      <w:r>
        <w:rPr>
          <w:snapToGrid w:val="0"/>
        </w:rPr>
        <w:tab/>
        <w:t>(2)</w:t>
      </w:r>
      <w:r>
        <w:rPr>
          <w:snapToGrid w:val="0"/>
        </w:rPr>
        <w:tab/>
        <w:t>When a person has obtained a provisional certificate he shall be deemed to be registered under this Act until — </w:t>
      </w:r>
    </w:p>
    <w:p>
      <w:pPr>
        <w:pStyle w:val="Indenta"/>
        <w:rPr>
          <w:snapToGrid w:val="0"/>
        </w:rPr>
      </w:pPr>
      <w:r>
        <w:rPr>
          <w:snapToGrid w:val="0"/>
        </w:rPr>
        <w:tab/>
        <w:t>(a)</w:t>
      </w:r>
      <w:r>
        <w:rPr>
          <w:snapToGrid w:val="0"/>
        </w:rPr>
        <w:tab/>
        <w:t>the date stated in such certificate; or</w:t>
      </w:r>
    </w:p>
    <w:p>
      <w:pPr>
        <w:pStyle w:val="Indenta"/>
        <w:rPr>
          <w:snapToGrid w:val="0"/>
        </w:rPr>
      </w:pPr>
      <w:r>
        <w:rPr>
          <w:snapToGrid w:val="0"/>
        </w:rPr>
        <w:tab/>
        <w:t>(b)</w:t>
      </w:r>
      <w:r>
        <w:rPr>
          <w:snapToGrid w:val="0"/>
        </w:rPr>
        <w:tab/>
        <w:t>such later date as is fixed by the Board,</w:t>
      </w:r>
    </w:p>
    <w:p>
      <w:pPr>
        <w:pStyle w:val="Subsection"/>
        <w:rPr>
          <w:snapToGrid w:val="0"/>
        </w:rPr>
      </w:pPr>
      <w:r>
        <w:rPr>
          <w:snapToGrid w:val="0"/>
        </w:rPr>
        <w:tab/>
      </w:r>
      <w:r>
        <w:rPr>
          <w:snapToGrid w:val="0"/>
        </w:rPr>
        <w:tab/>
        <w:t>which in no case shall be later than 3 months from the granting of such certificate.</w:t>
      </w:r>
    </w:p>
    <w:p>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pPr>
        <w:pStyle w:val="Footnotesection"/>
      </w:pPr>
      <w:r>
        <w:tab/>
        <w:t>[Section 12B inserted by No. 28 of 1981 s. 4; amended by No. 70 of 1985 s. 12; No. 67 of 1994 s. 10; No. 48 of 2000 s. 9.]</w:t>
      </w:r>
    </w:p>
    <w:p>
      <w:pPr>
        <w:pStyle w:val="Heading5"/>
      </w:pPr>
      <w:bookmarkStart w:id="54" w:name="_Toc377986148"/>
      <w:bookmarkStart w:id="55" w:name="_Toc425847978"/>
      <w:r>
        <w:rPr>
          <w:rStyle w:val="CharSectno"/>
        </w:rPr>
        <w:t>12BA</w:t>
      </w:r>
      <w:r>
        <w:t>.</w:t>
      </w:r>
      <w:r>
        <w:tab/>
        <w:t>Interim constraint on practice</w:t>
      </w:r>
      <w:bookmarkEnd w:id="54"/>
      <w:bookmarkEnd w:id="55"/>
    </w:p>
    <w:p>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pPr>
        <w:pStyle w:val="Indenta"/>
        <w:rPr>
          <w:snapToGrid w:val="0"/>
        </w:rPr>
      </w:pPr>
      <w:r>
        <w:rPr>
          <w:snapToGrid w:val="0"/>
        </w:rPr>
        <w:tab/>
        <w:t>(b)</w:t>
      </w:r>
      <w:r>
        <w:rPr>
          <w:snapToGrid w:val="0"/>
        </w:rPr>
        <w:tab/>
      </w:r>
      <w:r>
        <w:t>the medical practitioner is not to practise medicine except on any conditions and restrictions specified in the order;</w:t>
      </w:r>
    </w:p>
    <w:p>
      <w:pPr>
        <w:pStyle w:val="Indenta"/>
        <w:rPr>
          <w:snapToGrid w:val="0"/>
        </w:rPr>
      </w:pPr>
      <w:r>
        <w:rPr>
          <w:snapToGrid w:val="0"/>
        </w:rPr>
        <w:tab/>
        <w:t>(c)</w:t>
      </w:r>
      <w:r>
        <w:rPr>
          <w:snapToGrid w:val="0"/>
        </w:rPr>
        <w:tab/>
      </w:r>
      <w:r>
        <w:t>the medical practitioner is prohibited from carrying on an activity; or</w:t>
      </w:r>
    </w:p>
    <w:p>
      <w:pPr>
        <w:pStyle w:val="Indenta"/>
      </w:pPr>
      <w:r>
        <w:tab/>
        <w:t>(d)</w:t>
      </w:r>
      <w:r>
        <w:tab/>
        <w:t>the medical practitioner is subject to any combination of the restrictions that could be imposed under paragraphs (a), (b), or (c).</w:t>
      </w:r>
    </w:p>
    <w:p>
      <w:pPr>
        <w:pStyle w:val="Subsection"/>
      </w:pPr>
      <w:r>
        <w:tab/>
        <w:t>(2)</w:t>
      </w:r>
      <w:r>
        <w:tab/>
        <w:t>An order under subsection (1) has no effect until it is given personally to the medical practitioner.</w:t>
      </w:r>
    </w:p>
    <w:p>
      <w:pPr>
        <w:pStyle w:val="Subsection"/>
        <w:keepNext/>
        <w:rPr>
          <w:snapToGrid w:val="0"/>
        </w:rPr>
      </w:pPr>
      <w:r>
        <w:rPr>
          <w:snapToGrid w:val="0"/>
        </w:rPr>
        <w:tab/>
        <w:t>(3)</w:t>
      </w:r>
      <w:r>
        <w:rPr>
          <w:snapToGrid w:val="0"/>
        </w:rPr>
        <w:tab/>
        <w:t>The order has to —</w:t>
      </w:r>
    </w:p>
    <w:p>
      <w:pPr>
        <w:pStyle w:val="Indenta"/>
        <w:rPr>
          <w:snapToGrid w:val="0"/>
        </w:rPr>
      </w:pPr>
      <w:r>
        <w:rPr>
          <w:snapToGrid w:val="0"/>
        </w:rPr>
        <w:tab/>
        <w:t>(a)</w:t>
      </w:r>
      <w:r>
        <w:rPr>
          <w:snapToGrid w:val="0"/>
        </w:rPr>
        <w:tab/>
        <w:t>state the Board’s opinion that is the basis for the order;</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pPr>
        <w:pStyle w:val="Footnotesection"/>
      </w:pPr>
      <w:r>
        <w:tab/>
        <w:t>[Section 12BA inserted by No. 55 of 2004 s. 728.]</w:t>
      </w:r>
    </w:p>
    <w:p>
      <w:pPr>
        <w:pStyle w:val="Heading5"/>
        <w:rPr>
          <w:snapToGrid w:val="0"/>
        </w:rPr>
      </w:pPr>
      <w:bookmarkStart w:id="56" w:name="_Toc377986149"/>
      <w:bookmarkStart w:id="57" w:name="_Toc425847979"/>
      <w:r>
        <w:rPr>
          <w:rStyle w:val="CharSectno"/>
        </w:rPr>
        <w:t>12BB</w:t>
      </w:r>
      <w:r>
        <w:rPr>
          <w:snapToGrid w:val="0"/>
        </w:rPr>
        <w:t>.</w:t>
      </w:r>
      <w:r>
        <w:rPr>
          <w:snapToGrid w:val="0"/>
        </w:rPr>
        <w:tab/>
        <w:t>Allegation to be made</w:t>
      </w:r>
      <w:bookmarkEnd w:id="56"/>
      <w:bookmarkEnd w:id="57"/>
    </w:p>
    <w:p>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pPr>
        <w:pStyle w:val="Indenta"/>
        <w:rPr>
          <w:snapToGrid w:val="0"/>
        </w:rPr>
      </w:pPr>
      <w:r>
        <w:rPr>
          <w:snapToGrid w:val="0"/>
        </w:rPr>
        <w:tab/>
        <w:t>(a)</w:t>
      </w:r>
      <w:r>
        <w:rPr>
          <w:snapToGrid w:val="0"/>
        </w:rPr>
        <w:tab/>
        <w:t>make an allegation to the State Administrative Tribunal of the matter because of which the order was made; or</w:t>
      </w:r>
    </w:p>
    <w:p>
      <w:pPr>
        <w:pStyle w:val="Indenta"/>
        <w:rPr>
          <w:snapToGrid w:val="0"/>
        </w:rPr>
      </w:pPr>
      <w:r>
        <w:rPr>
          <w:snapToGrid w:val="0"/>
        </w:rPr>
        <w:tab/>
        <w:t>(b)</w:t>
      </w:r>
      <w:r>
        <w:rPr>
          <w:snapToGrid w:val="0"/>
        </w:rPr>
        <w:tab/>
        <w:t>revoke the order under section 12BA(4).</w:t>
      </w:r>
    </w:p>
    <w:p>
      <w:pPr>
        <w:pStyle w:val="Subsection"/>
        <w:rPr>
          <w:snapToGrid w:val="0"/>
        </w:rPr>
      </w:pPr>
      <w:r>
        <w:rPr>
          <w:snapToGrid w:val="0"/>
        </w:rPr>
        <w:tab/>
        <w:t>(2)</w:t>
      </w:r>
      <w:r>
        <w:rPr>
          <w:snapToGrid w:val="0"/>
        </w:rPr>
        <w:tab/>
        <w:t xml:space="preserve">Upon an allegation made under subsection (1) the State Administrative Tribunal may — </w:t>
      </w:r>
    </w:p>
    <w:p>
      <w:pPr>
        <w:pStyle w:val="Indenta"/>
        <w:rPr>
          <w:snapToGrid w:val="0"/>
        </w:rPr>
      </w:pPr>
      <w:r>
        <w:rPr>
          <w:snapToGrid w:val="0"/>
        </w:rPr>
        <w:tab/>
        <w:t>(a)</w:t>
      </w:r>
      <w:r>
        <w:rPr>
          <w:snapToGrid w:val="0"/>
        </w:rPr>
        <w:tab/>
        <w:t>make any order that it could make if an application had been for a review of the order under section 12BA(1); and</w:t>
      </w:r>
    </w:p>
    <w:p>
      <w:pPr>
        <w:pStyle w:val="Indenta"/>
        <w:rPr>
          <w:snapToGrid w:val="0"/>
        </w:rPr>
      </w:pPr>
      <w:r>
        <w:rPr>
          <w:snapToGrid w:val="0"/>
        </w:rPr>
        <w:tab/>
        <w:t>(b)</w:t>
      </w:r>
      <w:r>
        <w:rPr>
          <w:snapToGrid w:val="0"/>
        </w:rPr>
        <w:tab/>
        <w:t>make an order under section 13(3a).</w:t>
      </w:r>
    </w:p>
    <w:p>
      <w:pPr>
        <w:pStyle w:val="Footnotesection"/>
      </w:pPr>
      <w:r>
        <w:tab/>
        <w:t>[Section 12BB inserted by No. 55 of 2004 s. 728.]</w:t>
      </w:r>
    </w:p>
    <w:p>
      <w:pPr>
        <w:pStyle w:val="Heading5"/>
        <w:rPr>
          <w:snapToGrid w:val="0"/>
        </w:rPr>
      </w:pPr>
      <w:bookmarkStart w:id="58" w:name="_Toc377986150"/>
      <w:bookmarkStart w:id="59" w:name="_Toc425847980"/>
      <w:r>
        <w:rPr>
          <w:rStyle w:val="CharSectno"/>
        </w:rPr>
        <w:t>12BC</w:t>
      </w:r>
      <w:r>
        <w:rPr>
          <w:snapToGrid w:val="0"/>
        </w:rPr>
        <w:t>.</w:t>
      </w:r>
      <w:r>
        <w:rPr>
          <w:snapToGrid w:val="0"/>
        </w:rPr>
        <w:tab/>
        <w:t>Power to make interim constraint additional to other powers</w:t>
      </w:r>
      <w:bookmarkEnd w:id="58"/>
      <w:bookmarkEnd w:id="59"/>
    </w:p>
    <w:p>
      <w:pPr>
        <w:pStyle w:val="Subsection"/>
        <w:rPr>
          <w:snapToGrid w:val="0"/>
        </w:rPr>
      </w:pPr>
      <w:r>
        <w:rPr>
          <w:snapToGrid w:val="0"/>
        </w:rPr>
        <w:tab/>
      </w:r>
      <w:r>
        <w:rPr>
          <w:snapToGrid w:val="0"/>
        </w:rPr>
        <w:tab/>
        <w:t xml:space="preserve">The Board may deal under sections 12BA and 12BB with a matter even if — </w:t>
      </w:r>
    </w:p>
    <w:p>
      <w:pPr>
        <w:pStyle w:val="Indenta"/>
        <w:rPr>
          <w:snapToGrid w:val="0"/>
        </w:rPr>
      </w:pPr>
      <w:r>
        <w:rPr>
          <w:snapToGrid w:val="0"/>
        </w:rPr>
        <w:tab/>
        <w:t>(a)</w:t>
      </w:r>
      <w:r>
        <w:rPr>
          <w:snapToGrid w:val="0"/>
        </w:rPr>
        <w:tab/>
        <w:t>the Board is already dealing with the matter under another provision of this Act; or</w:t>
      </w:r>
    </w:p>
    <w:p>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12BC inserted by No. 55 of 2004 s. 728.]</w:t>
      </w:r>
    </w:p>
    <w:p>
      <w:pPr>
        <w:pStyle w:val="Heading5"/>
      </w:pPr>
      <w:bookmarkStart w:id="60" w:name="_Toc377986151"/>
      <w:bookmarkStart w:id="61" w:name="_Toc425847981"/>
      <w:r>
        <w:rPr>
          <w:rStyle w:val="CharSectno"/>
        </w:rPr>
        <w:t>12C</w:t>
      </w:r>
      <w:r>
        <w:t>.</w:t>
      </w:r>
      <w:r>
        <w:tab/>
        <w:t>Appointment of investigator</w:t>
      </w:r>
      <w:bookmarkEnd w:id="60"/>
      <w:bookmarkEnd w:id="61"/>
    </w:p>
    <w:p>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12C inserted by No. 55 of 2004 s. 728.]</w:t>
      </w:r>
    </w:p>
    <w:p>
      <w:pPr>
        <w:pStyle w:val="Heading5"/>
        <w:rPr>
          <w:snapToGrid w:val="0"/>
        </w:rPr>
      </w:pPr>
      <w:bookmarkStart w:id="62" w:name="_Toc377986152"/>
      <w:bookmarkStart w:id="63" w:name="_Toc425847982"/>
      <w:r>
        <w:rPr>
          <w:rStyle w:val="CharSectno"/>
        </w:rPr>
        <w:t>12D</w:t>
      </w:r>
      <w:r>
        <w:rPr>
          <w:snapToGrid w:val="0"/>
        </w:rPr>
        <w:t>.</w:t>
      </w:r>
      <w:r>
        <w:rPr>
          <w:snapToGrid w:val="0"/>
        </w:rPr>
        <w:tab/>
        <w:t>Report of investigator</w:t>
      </w:r>
      <w:bookmarkEnd w:id="62"/>
      <w:bookmarkEnd w:id="63"/>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pPr>
        <w:pStyle w:val="Footnotesection"/>
        <w:spacing w:before="80"/>
        <w:ind w:left="890" w:hanging="890"/>
      </w:pPr>
      <w:r>
        <w:tab/>
        <w:t>[Section 12D inserted by No. 55 of 2004 s. 728.]</w:t>
      </w:r>
    </w:p>
    <w:p>
      <w:pPr>
        <w:pStyle w:val="Heading5"/>
        <w:spacing w:before="120"/>
        <w:rPr>
          <w:snapToGrid w:val="0"/>
        </w:rPr>
      </w:pPr>
      <w:bookmarkStart w:id="64" w:name="_Toc377986153"/>
      <w:bookmarkStart w:id="65" w:name="_Toc425847983"/>
      <w:r>
        <w:rPr>
          <w:rStyle w:val="CharSectno"/>
        </w:rPr>
        <w:t>12E</w:t>
      </w:r>
      <w:r>
        <w:rPr>
          <w:snapToGrid w:val="0"/>
        </w:rPr>
        <w:t>.</w:t>
      </w:r>
      <w:r>
        <w:rPr>
          <w:snapToGrid w:val="0"/>
        </w:rPr>
        <w:tab/>
        <w:t>Powers of investigator</w:t>
      </w:r>
      <w:bookmarkEnd w:id="64"/>
      <w:bookmarkEnd w:id="65"/>
    </w:p>
    <w:p>
      <w:pPr>
        <w:pStyle w:val="Subsection"/>
        <w:spacing w:before="100"/>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spacing w:before="100"/>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12E inserted by No. 55 of 2004 s. 728.]</w:t>
      </w:r>
    </w:p>
    <w:p>
      <w:pPr>
        <w:pStyle w:val="Heading5"/>
        <w:rPr>
          <w:snapToGrid w:val="0"/>
        </w:rPr>
      </w:pPr>
      <w:bookmarkStart w:id="66" w:name="_Toc377986154"/>
      <w:bookmarkStart w:id="67" w:name="_Toc425847984"/>
      <w:r>
        <w:rPr>
          <w:rStyle w:val="CharSectno"/>
        </w:rPr>
        <w:t>12F</w:t>
      </w:r>
      <w:r>
        <w:rPr>
          <w:snapToGrid w:val="0"/>
        </w:rPr>
        <w:t>.</w:t>
      </w:r>
      <w:r>
        <w:rPr>
          <w:snapToGrid w:val="0"/>
        </w:rPr>
        <w:tab/>
        <w:t>Warrant to enter premises</w:t>
      </w:r>
      <w:bookmarkEnd w:id="66"/>
      <w:bookmarkEnd w:id="67"/>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12F inserted by No. 55 of 2004 s. 728.]</w:t>
      </w:r>
    </w:p>
    <w:p>
      <w:pPr>
        <w:pStyle w:val="Heading5"/>
        <w:rPr>
          <w:snapToGrid w:val="0"/>
        </w:rPr>
      </w:pPr>
      <w:bookmarkStart w:id="68" w:name="_Toc377986155"/>
      <w:bookmarkStart w:id="69" w:name="_Toc425847985"/>
      <w:r>
        <w:rPr>
          <w:rStyle w:val="CharSectno"/>
        </w:rPr>
        <w:t>12G</w:t>
      </w:r>
      <w:r>
        <w:rPr>
          <w:snapToGrid w:val="0"/>
        </w:rPr>
        <w:t>.</w:t>
      </w:r>
      <w:r>
        <w:rPr>
          <w:snapToGrid w:val="0"/>
        </w:rPr>
        <w:tab/>
        <w:t>Issue of warrant</w:t>
      </w:r>
      <w:bookmarkEnd w:id="68"/>
      <w:bookmarkEnd w:id="69"/>
    </w:p>
    <w:p>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12G inserted by No. 55 of 2004 s. 728.]</w:t>
      </w:r>
    </w:p>
    <w:p>
      <w:pPr>
        <w:pStyle w:val="Heading5"/>
        <w:rPr>
          <w:snapToGrid w:val="0"/>
        </w:rPr>
      </w:pPr>
      <w:bookmarkStart w:id="70" w:name="_Toc377986156"/>
      <w:bookmarkStart w:id="71" w:name="_Toc425847986"/>
      <w:r>
        <w:rPr>
          <w:rStyle w:val="CharSectno"/>
        </w:rPr>
        <w:t>12H</w:t>
      </w:r>
      <w:r>
        <w:rPr>
          <w:snapToGrid w:val="0"/>
        </w:rPr>
        <w:t>.</w:t>
      </w:r>
      <w:r>
        <w:rPr>
          <w:snapToGrid w:val="0"/>
        </w:rPr>
        <w:tab/>
        <w:t>Execution of warrant</w:t>
      </w:r>
      <w:bookmarkEnd w:id="70"/>
      <w:bookmarkEnd w:id="71"/>
    </w:p>
    <w:p>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12H inserted by No. 55 of 2004 s. 728.]</w:t>
      </w:r>
    </w:p>
    <w:p>
      <w:pPr>
        <w:pStyle w:val="Heading5"/>
        <w:spacing w:before="120"/>
        <w:rPr>
          <w:snapToGrid w:val="0"/>
        </w:rPr>
      </w:pPr>
      <w:bookmarkStart w:id="72" w:name="_Toc377986157"/>
      <w:bookmarkStart w:id="73" w:name="_Toc425847987"/>
      <w:r>
        <w:rPr>
          <w:rStyle w:val="CharSectno"/>
        </w:rPr>
        <w:t>12I</w:t>
      </w:r>
      <w:r>
        <w:rPr>
          <w:snapToGrid w:val="0"/>
        </w:rPr>
        <w:t>.</w:t>
      </w:r>
      <w:r>
        <w:rPr>
          <w:snapToGrid w:val="0"/>
        </w:rPr>
        <w:tab/>
        <w:t>Incriminating information, questions, or documents</w:t>
      </w:r>
      <w:bookmarkEnd w:id="72"/>
      <w:bookmarkEnd w:id="73"/>
    </w:p>
    <w:p>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pPr>
        <w:pStyle w:val="Footnotesection"/>
      </w:pPr>
      <w:r>
        <w:tab/>
        <w:t>[Section 12I inserted by No. 55 of 2004 s. 728.]</w:t>
      </w:r>
    </w:p>
    <w:p>
      <w:pPr>
        <w:pStyle w:val="Heading5"/>
        <w:rPr>
          <w:snapToGrid w:val="0"/>
        </w:rPr>
      </w:pPr>
      <w:bookmarkStart w:id="74" w:name="_Toc377986158"/>
      <w:bookmarkStart w:id="75" w:name="_Toc425847988"/>
      <w:r>
        <w:rPr>
          <w:rStyle w:val="CharSectno"/>
        </w:rPr>
        <w:t>12J</w:t>
      </w:r>
      <w:r>
        <w:rPr>
          <w:snapToGrid w:val="0"/>
        </w:rPr>
        <w:t>.</w:t>
      </w:r>
      <w:r>
        <w:rPr>
          <w:snapToGrid w:val="0"/>
        </w:rPr>
        <w:tab/>
        <w:t>Failure to comply with investigation</w:t>
      </w:r>
      <w:bookmarkEnd w:id="74"/>
      <w:bookmarkEnd w:id="75"/>
    </w:p>
    <w:p>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12J inserted by No. 55 of 2004 s. 728.]</w:t>
      </w:r>
    </w:p>
    <w:p>
      <w:pPr>
        <w:pStyle w:val="Heading5"/>
        <w:rPr>
          <w:snapToGrid w:val="0"/>
        </w:rPr>
      </w:pPr>
      <w:bookmarkStart w:id="76" w:name="_Toc377986159"/>
      <w:bookmarkStart w:id="77" w:name="_Toc425847989"/>
      <w:r>
        <w:rPr>
          <w:rStyle w:val="CharSectno"/>
        </w:rPr>
        <w:t>12K</w:t>
      </w:r>
      <w:r>
        <w:rPr>
          <w:snapToGrid w:val="0"/>
        </w:rPr>
        <w:t>.</w:t>
      </w:r>
      <w:r>
        <w:rPr>
          <w:snapToGrid w:val="0"/>
        </w:rPr>
        <w:tab/>
        <w:t>Obstruction of investigator</w:t>
      </w:r>
      <w:bookmarkEnd w:id="76"/>
      <w:bookmarkEnd w:id="77"/>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pPr>
        <w:pStyle w:val="Penstart"/>
        <w:rPr>
          <w:snapToGrid w:val="0"/>
        </w:rPr>
      </w:pPr>
      <w:r>
        <w:rPr>
          <w:snapToGrid w:val="0"/>
        </w:rPr>
        <w:tab/>
        <w:t>Penalty: $2 000.</w:t>
      </w:r>
    </w:p>
    <w:p>
      <w:pPr>
        <w:pStyle w:val="Footnotesection"/>
      </w:pPr>
      <w:r>
        <w:tab/>
        <w:t>[Section 12K inserted by No. 55 of 2004 s. 728.]</w:t>
      </w:r>
    </w:p>
    <w:p>
      <w:pPr>
        <w:pStyle w:val="Heading5"/>
        <w:rPr>
          <w:snapToGrid w:val="0"/>
        </w:rPr>
      </w:pPr>
      <w:bookmarkStart w:id="78" w:name="_Toc377986160"/>
      <w:bookmarkStart w:id="79" w:name="_Toc425847990"/>
      <w:r>
        <w:rPr>
          <w:rStyle w:val="CharSectno"/>
        </w:rPr>
        <w:t>13</w:t>
      </w:r>
      <w:r>
        <w:rPr>
          <w:snapToGrid w:val="0"/>
        </w:rPr>
        <w:t>.</w:t>
      </w:r>
      <w:r>
        <w:rPr>
          <w:snapToGrid w:val="0"/>
        </w:rPr>
        <w:tab/>
        <w:t>Inquiries into, and striking off and suspension of, medical practitioner</w:t>
      </w:r>
      <w:bookmarkEnd w:id="78"/>
      <w:bookmarkEnd w:id="79"/>
    </w:p>
    <w:p>
      <w:pPr>
        <w:pStyle w:val="Subsection"/>
        <w:rPr>
          <w:snapToGrid w:val="0"/>
        </w:rPr>
      </w:pPr>
      <w:r>
        <w:rPr>
          <w:snapToGrid w:val="0"/>
        </w:rPr>
        <w:tab/>
        <w:t>(1)</w:t>
      </w:r>
      <w:r>
        <w:rPr>
          <w:snapToGrid w:val="0"/>
        </w:rPr>
        <w:tab/>
        <w:t>Where it appears to the Board that a medical practitioner, not being a body corporate, may be — </w:t>
      </w:r>
    </w:p>
    <w:p>
      <w:pPr>
        <w:pStyle w:val="Indenta"/>
        <w:rPr>
          <w:snapToGrid w:val="0"/>
        </w:rPr>
      </w:pPr>
      <w:r>
        <w:rPr>
          <w:snapToGrid w:val="0"/>
        </w:rPr>
        <w:tab/>
        <w:t>(a)</w:t>
      </w:r>
      <w:r>
        <w:rPr>
          <w:snapToGrid w:val="0"/>
        </w:rPr>
        <w:tab/>
        <w:t>guilty of infamous or improper conduct in a professional respect;</w:t>
      </w:r>
    </w:p>
    <w:p>
      <w:pPr>
        <w:pStyle w:val="Indenta"/>
        <w:rPr>
          <w:snapToGrid w:val="0"/>
        </w:rPr>
      </w:pPr>
      <w:r>
        <w:rPr>
          <w:snapToGrid w:val="0"/>
        </w:rPr>
        <w:tab/>
        <w:t>(b)</w:t>
      </w:r>
      <w:r>
        <w:rPr>
          <w:snapToGrid w:val="0"/>
        </w:rPr>
        <w:tab/>
        <w:t>affected by a dependence on alcohol or addiction to any deleterious drug;</w:t>
      </w:r>
    </w:p>
    <w:p>
      <w:pPr>
        <w:pStyle w:val="Indenta"/>
        <w:rPr>
          <w:snapToGrid w:val="0"/>
        </w:rPr>
      </w:pPr>
      <w:r>
        <w:rPr>
          <w:snapToGrid w:val="0"/>
        </w:rPr>
        <w:tab/>
        <w:t>(c)</w:t>
      </w:r>
      <w:r>
        <w:rPr>
          <w:snapToGrid w:val="0"/>
        </w:rPr>
        <w:tab/>
        <w:t>guilty of gross carelessness or incompetency;</w:t>
      </w:r>
    </w:p>
    <w:p>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pPr>
        <w:pStyle w:val="Subsection"/>
      </w:pPr>
      <w:r>
        <w:tab/>
        <w:t>(3)</w:t>
      </w:r>
      <w:r>
        <w:tab/>
        <w:t xml:space="preserve">The State Administrative Tribunal may, on dealing with an allegation under subsection (1)(a), (b), (c) or (d) — </w:t>
      </w:r>
    </w:p>
    <w:p>
      <w:pPr>
        <w:pStyle w:val="Indenta"/>
      </w:pPr>
      <w:r>
        <w:tab/>
        <w:t>(a)</w:t>
      </w:r>
      <w:r>
        <w:tab/>
        <w:t>order the removal of the name of the medical practitioner from the register;</w:t>
      </w:r>
    </w:p>
    <w:p>
      <w:pPr>
        <w:pStyle w:val="Indenta"/>
      </w:pPr>
      <w:r>
        <w:tab/>
        <w:t>(b)</w:t>
      </w:r>
      <w:r>
        <w:tab/>
        <w:t>order that the registration of the medical practitioner be suspended for such period not exceeding 12 months as is specified in the order;</w:t>
      </w:r>
    </w:p>
    <w:p>
      <w:pPr>
        <w:pStyle w:val="Indenta"/>
      </w:pPr>
      <w:r>
        <w:tab/>
        <w:t>(c)</w:t>
      </w:r>
      <w:r>
        <w:tab/>
        <w:t>impose a fine not exceeding $10 000;</w:t>
      </w:r>
    </w:p>
    <w:p>
      <w:pPr>
        <w:pStyle w:val="Indenta"/>
      </w:pPr>
      <w:r>
        <w:tab/>
        <w:t>(d)</w:t>
      </w:r>
      <w:r>
        <w:tab/>
        <w:t>reprimand the medical practitioner.</w:t>
      </w:r>
    </w:p>
    <w:p>
      <w:pPr>
        <w:pStyle w:val="Subsection"/>
        <w:rPr>
          <w:snapToGrid w:val="0"/>
        </w:rPr>
      </w:pPr>
      <w:r>
        <w:rPr>
          <w:snapToGrid w:val="0"/>
        </w:rPr>
        <w:tab/>
        <w:t>(3a)</w:t>
      </w:r>
      <w:r>
        <w:rPr>
          <w:snapToGrid w:val="0"/>
        </w:rPr>
        <w:tab/>
        <w:t xml:space="preserve">The State Administrative Tribunal may, on dealing with an allegation under subsection (1)(e) — </w:t>
      </w:r>
    </w:p>
    <w:p>
      <w:pPr>
        <w:pStyle w:val="Indenta"/>
        <w:rPr>
          <w:snapToGrid w:val="0"/>
        </w:rPr>
      </w:pPr>
      <w:r>
        <w:rPr>
          <w:snapToGrid w:val="0"/>
        </w:rPr>
        <w:tab/>
        <w:t>(a)</w:t>
      </w:r>
      <w:r>
        <w:rPr>
          <w:snapToGrid w:val="0"/>
        </w:rPr>
        <w:tab/>
        <w:t>order the removal of the name of the medical practitioner from the register;</w:t>
      </w:r>
    </w:p>
    <w:p>
      <w:pPr>
        <w:pStyle w:val="Indenta"/>
        <w:rPr>
          <w:snapToGrid w:val="0"/>
        </w:rPr>
      </w:pPr>
      <w:r>
        <w:rPr>
          <w:snapToGrid w:val="0"/>
        </w:rPr>
        <w:tab/>
        <w:t>(b)</w:t>
      </w:r>
      <w:r>
        <w:rPr>
          <w:snapToGrid w:val="0"/>
        </w:rPr>
        <w:tab/>
        <w:t>order that the registration of the medical practitioner be suspended; or</w:t>
      </w:r>
    </w:p>
    <w:p>
      <w:pPr>
        <w:pStyle w:val="Indenta"/>
        <w:rPr>
          <w:snapToGrid w:val="0"/>
        </w:rPr>
      </w:pPr>
      <w:r>
        <w:rPr>
          <w:snapToGrid w:val="0"/>
        </w:rPr>
        <w:tab/>
        <w:t>(c)</w:t>
      </w:r>
      <w:r>
        <w:rPr>
          <w:snapToGrid w:val="0"/>
        </w:rPr>
        <w:tab/>
        <w:t>impose restrictions or conditions or both on the practice of medicine by the medical practitioner.</w:t>
      </w:r>
    </w:p>
    <w:p>
      <w:pPr>
        <w:pStyle w:val="Subsection"/>
        <w:rPr>
          <w:snapToGrid w:val="0"/>
        </w:rPr>
      </w:pPr>
      <w:r>
        <w:rPr>
          <w:snapToGrid w:val="0"/>
        </w:rPr>
        <w:tab/>
        <w:t>(3b)</w:t>
      </w:r>
      <w:r>
        <w:rPr>
          <w:snapToGrid w:val="0"/>
        </w:rPr>
        <w:tab/>
        <w:t xml:space="preserve">The State Administrative Tribunal may, on dealing with an allegation under subsection (2) — </w:t>
      </w:r>
    </w:p>
    <w:p>
      <w:pPr>
        <w:pStyle w:val="Indenta"/>
        <w:rPr>
          <w:snapToGrid w:val="0"/>
        </w:rPr>
      </w:pPr>
      <w:r>
        <w:rPr>
          <w:snapToGrid w:val="0"/>
        </w:rPr>
        <w:tab/>
        <w:t>(a)</w:t>
      </w:r>
      <w:r>
        <w:rPr>
          <w:snapToGrid w:val="0"/>
        </w:rPr>
        <w:tab/>
        <w:t>order the removal of the name of the medical practitioner from the register; or</w:t>
      </w:r>
    </w:p>
    <w:p>
      <w:pPr>
        <w:pStyle w:val="Indenta"/>
        <w:rPr>
          <w:snapToGrid w:val="0"/>
        </w:rPr>
      </w:pPr>
      <w:r>
        <w:rPr>
          <w:snapToGrid w:val="0"/>
        </w:rPr>
        <w:tab/>
        <w:t>(b)</w:t>
      </w:r>
      <w:r>
        <w:rPr>
          <w:snapToGrid w:val="0"/>
        </w:rPr>
        <w:tab/>
        <w:t>order that the registration of the medical practitioner be suspended.</w:t>
      </w:r>
    </w:p>
    <w:p>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pPr>
        <w:pStyle w:val="Subsection"/>
      </w:pPr>
      <w:r>
        <w:tab/>
        <w:t>(5)</w:t>
      </w:r>
      <w:r>
        <w:tab/>
        <w:t xml:space="preserve">If, under subsection (2a), the Board sends a matter to the professional standards committee, the committee may, if — </w:t>
      </w:r>
    </w:p>
    <w:p>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pPr>
        <w:pStyle w:val="Indenta"/>
        <w:rPr>
          <w:snapToGrid w:val="0"/>
        </w:rPr>
      </w:pPr>
      <w:r>
        <w:rPr>
          <w:snapToGrid w:val="0"/>
        </w:rPr>
        <w:tab/>
        <w:t>(b)</w:t>
      </w:r>
      <w:r>
        <w:rPr>
          <w:snapToGrid w:val="0"/>
        </w:rPr>
        <w:tab/>
        <w:t>it has given the medical practitioner an opportunity to make submissions about the matter,</w:t>
      </w:r>
    </w:p>
    <w:p>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pPr>
        <w:pStyle w:val="Subsection"/>
      </w:pPr>
      <w:r>
        <w:tab/>
        <w:t>(6)</w:t>
      </w:r>
      <w:r>
        <w:tab/>
        <w:t xml:space="preserve">The orders that a professional standards committee may make are — </w:t>
      </w:r>
    </w:p>
    <w:p>
      <w:pPr>
        <w:pStyle w:val="Indenta"/>
      </w:pPr>
      <w:r>
        <w:tab/>
        <w:t>(a)</w:t>
      </w:r>
      <w:r>
        <w:tab/>
        <w:t>that the Board reprimand the medical practitioner;</w:t>
      </w:r>
    </w:p>
    <w:p>
      <w:pPr>
        <w:pStyle w:val="Indenta"/>
      </w:pPr>
      <w:r>
        <w:tab/>
        <w:t>(b)</w:t>
      </w:r>
      <w:r>
        <w:tab/>
        <w:t>that the medical practitioner pay to the Board a fine of an amount not exceeding $5 000 specified in the order;</w:t>
      </w:r>
    </w:p>
    <w:p>
      <w:pPr>
        <w:pStyle w:val="Indenta"/>
      </w:pPr>
      <w:r>
        <w:tab/>
        <w:t>(c)</w:t>
      </w:r>
      <w:r>
        <w:tab/>
        <w:t xml:space="preserve">that the Board impose restrictions or conditions or both on the practice of medicine by the medical practitioner; or </w:t>
      </w:r>
    </w:p>
    <w:p>
      <w:pPr>
        <w:pStyle w:val="Indenta"/>
      </w:pPr>
      <w:r>
        <w:tab/>
        <w:t>(d)</w:t>
      </w:r>
      <w:r>
        <w:tab/>
        <w:t>a combination of the orders described in paragraphs (a) to (c).</w:t>
      </w:r>
    </w:p>
    <w:p>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pPr>
        <w:pStyle w:val="Ednotesubsection"/>
      </w:pPr>
      <w:r>
        <w:tab/>
        <w:t>[(6b)</w:t>
      </w:r>
      <w:r>
        <w:noBreakHyphen/>
        <w:t>(6e)</w:t>
      </w:r>
      <w:r>
        <w:tab/>
        <w:t>repealed]</w:t>
      </w:r>
    </w:p>
    <w:p>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pPr>
        <w:pStyle w:val="Ednotesubsection"/>
        <w:tabs>
          <w:tab w:val="clear" w:pos="595"/>
          <w:tab w:val="clear" w:pos="879"/>
          <w:tab w:val="right" w:pos="709"/>
          <w:tab w:val="left" w:pos="851"/>
        </w:tabs>
        <w:ind w:left="1134"/>
      </w:pPr>
      <w:r>
        <w:tab/>
        <w:t>[(6g)</w:t>
      </w:r>
      <w:r>
        <w:tab/>
        <w:t>repealed]</w:t>
      </w:r>
    </w:p>
    <w:p>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pPr>
        <w:pStyle w:val="Indenta"/>
        <w:rPr>
          <w:snapToGrid w:val="0"/>
        </w:rPr>
      </w:pPr>
      <w:r>
        <w:rPr>
          <w:snapToGrid w:val="0"/>
        </w:rPr>
        <w:tab/>
        <w:t>(a)</w:t>
      </w:r>
      <w:r>
        <w:rPr>
          <w:snapToGrid w:val="0"/>
        </w:rPr>
        <w:tab/>
        <w:t>the medical practitioner submits himself or herself for examination as directed by the Board or the Tribunal; and</w:t>
      </w:r>
    </w:p>
    <w:p>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pPr>
        <w:pStyle w:val="Subsection"/>
        <w:spacing w:before="100"/>
        <w:rPr>
          <w:snapToGrid w:val="0"/>
        </w:rPr>
      </w:pPr>
      <w:r>
        <w:rPr>
          <w:snapToGrid w:val="0"/>
        </w:rPr>
        <w:tab/>
        <w:t>(9a)</w:t>
      </w:r>
      <w:r>
        <w:rPr>
          <w:snapToGrid w:val="0"/>
        </w:rPr>
        <w:tab/>
        <w:t>Where — </w:t>
      </w:r>
    </w:p>
    <w:p>
      <w:pPr>
        <w:pStyle w:val="Indenta"/>
        <w:rPr>
          <w:snapToGrid w:val="0"/>
        </w:rPr>
      </w:pPr>
      <w:r>
        <w:rPr>
          <w:snapToGrid w:val="0"/>
        </w:rPr>
        <w:tab/>
        <w:t>(a)</w:t>
      </w:r>
      <w:r>
        <w:rPr>
          <w:snapToGrid w:val="0"/>
        </w:rPr>
        <w:tab/>
        <w:t>the Board orders the restoration to the Register of the name of a person pursuant to subsection (9)(a) or subsection (9c); or</w:t>
      </w:r>
    </w:p>
    <w:p>
      <w:pPr>
        <w:pStyle w:val="Indenta"/>
        <w:rPr>
          <w:snapToGrid w:val="0"/>
        </w:rPr>
      </w:pPr>
      <w:r>
        <w:rPr>
          <w:snapToGrid w:val="0"/>
        </w:rPr>
        <w:tab/>
        <w:t>(b)</w:t>
      </w:r>
      <w:r>
        <w:rPr>
          <w:snapToGrid w:val="0"/>
        </w:rPr>
        <w:tab/>
        <w:t>the name of a person is deemed automatically to be restored to the Register pursuant to subsection (9)(b),</w:t>
      </w:r>
    </w:p>
    <w:p>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pPr>
        <w:pStyle w:val="Subsection"/>
        <w:spacing w:before="100"/>
        <w:rPr>
          <w:snapToGrid w:val="0"/>
        </w:rPr>
      </w:pPr>
      <w:r>
        <w:rPr>
          <w:snapToGrid w:val="0"/>
        </w:rPr>
        <w:tab/>
        <w:t>(9ba)</w:t>
      </w:r>
      <w:r>
        <w:rPr>
          <w:snapToGrid w:val="0"/>
        </w:rPr>
        <w:tab/>
        <w:t xml:space="preserve">If the Board makes an order under subsection (9b) (an </w:t>
      </w:r>
      <w:r>
        <w:rPr>
          <w:rStyle w:val="CharDefText"/>
        </w:rPr>
        <w:t>interim order</w:t>
      </w:r>
      <w:r>
        <w:rPr>
          <w:snapToGrid w:val="0"/>
        </w:rPr>
        <w:t>) it is required to refer the making of the order to the State Administrative Tribunal, within 14 days after the order is made, and the State Administrative Tribunal may affirm or revoke the interim order or order that — </w:t>
      </w:r>
    </w:p>
    <w:p>
      <w:pPr>
        <w:pStyle w:val="Indenta"/>
        <w:rPr>
          <w:snapToGrid w:val="0"/>
        </w:rPr>
      </w:pPr>
      <w:r>
        <w:rPr>
          <w:snapToGrid w:val="0"/>
        </w:rPr>
        <w:tab/>
        <w:t>(a)</w:t>
      </w:r>
      <w:r>
        <w:rPr>
          <w:snapToGrid w:val="0"/>
        </w:rPr>
        <w:tab/>
        <w:t>the period of suspension be extended for such further period not exceeding 12 months, as the Tribunal thinks fit; or</w:t>
      </w:r>
    </w:p>
    <w:p>
      <w:pPr>
        <w:pStyle w:val="Indenta"/>
        <w:rPr>
          <w:snapToGrid w:val="0"/>
        </w:rPr>
      </w:pPr>
      <w:r>
        <w:rPr>
          <w:snapToGrid w:val="0"/>
        </w:rPr>
        <w:tab/>
        <w:t>(b)</w:t>
      </w:r>
      <w:r>
        <w:rPr>
          <w:snapToGrid w:val="0"/>
        </w:rPr>
        <w:tab/>
        <w:t>the name of that person be removed from the Register immediately upon the expiration of the period of suspension.</w:t>
      </w:r>
    </w:p>
    <w:p>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pPr>
        <w:pStyle w:val="Footnotesection"/>
        <w:keepLines w:val="0"/>
      </w:pPr>
      <w:r>
        <w:tab/>
        <w:t>[Section 13 inserted by No. 22 of 1945 s. 10; amended by No. 10 of 1955 s. 3; No. 43 of 1966 s. 5; No. 70 of 1976 s. 6; No. 28 of 1981 s. 5; No. 28 of 1984 s. 61; No. 70 of 1985 s. 13; No. 55 of 2004 s. 729.]</w:t>
      </w:r>
    </w:p>
    <w:p>
      <w:pPr>
        <w:pStyle w:val="Heading5"/>
        <w:rPr>
          <w:snapToGrid w:val="0"/>
        </w:rPr>
      </w:pPr>
      <w:bookmarkStart w:id="80" w:name="_Toc377986161"/>
      <w:bookmarkStart w:id="81" w:name="_Toc425847991"/>
      <w:r>
        <w:rPr>
          <w:rStyle w:val="CharSectno"/>
        </w:rPr>
        <w:t>13A</w:t>
      </w:r>
      <w:r>
        <w:rPr>
          <w:snapToGrid w:val="0"/>
        </w:rPr>
        <w:t>.</w:t>
      </w:r>
      <w:r>
        <w:rPr>
          <w:snapToGrid w:val="0"/>
        </w:rPr>
        <w:tab/>
        <w:t>Medical practitioner struck off or suspended in another State or Territory</w:t>
      </w:r>
      <w:bookmarkEnd w:id="80"/>
      <w:bookmarkEnd w:id="81"/>
    </w:p>
    <w:p>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pPr>
        <w:pStyle w:val="Footnotesection"/>
      </w:pPr>
      <w:r>
        <w:tab/>
        <w:t>[Section 13A inserted by No. 70 of 1985 s. 14.]</w:t>
      </w:r>
    </w:p>
    <w:p>
      <w:pPr>
        <w:pStyle w:val="Heading5"/>
        <w:rPr>
          <w:snapToGrid w:val="0"/>
        </w:rPr>
      </w:pPr>
      <w:bookmarkStart w:id="82" w:name="_Toc377986162"/>
      <w:bookmarkStart w:id="83" w:name="_Toc425847992"/>
      <w:r>
        <w:rPr>
          <w:rStyle w:val="CharSectno"/>
        </w:rPr>
        <w:t>14</w:t>
      </w:r>
      <w:r>
        <w:rPr>
          <w:snapToGrid w:val="0"/>
        </w:rPr>
        <w:t>.</w:t>
      </w:r>
      <w:r>
        <w:rPr>
          <w:snapToGrid w:val="0"/>
        </w:rPr>
        <w:tab/>
        <w:t>Copy of register to be published</w:t>
      </w:r>
      <w:bookmarkEnd w:id="82"/>
      <w:bookmarkEnd w:id="83"/>
    </w:p>
    <w:p>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pPr>
        <w:pStyle w:val="Footnotesection"/>
      </w:pPr>
      <w:r>
        <w:tab/>
        <w:t>[Section 14 amended by No. 22 of 1945 s. 11; No. 70 of 1985 s. 15.]</w:t>
      </w:r>
    </w:p>
    <w:p>
      <w:pPr>
        <w:pStyle w:val="Heading5"/>
        <w:rPr>
          <w:snapToGrid w:val="0"/>
        </w:rPr>
      </w:pPr>
      <w:bookmarkStart w:id="84" w:name="_Toc377986163"/>
      <w:bookmarkStart w:id="85" w:name="_Toc425847993"/>
      <w:r>
        <w:rPr>
          <w:rStyle w:val="CharSectno"/>
        </w:rPr>
        <w:t>15</w:t>
      </w:r>
      <w:r>
        <w:rPr>
          <w:snapToGrid w:val="0"/>
        </w:rPr>
        <w:t>.</w:t>
      </w:r>
      <w:r>
        <w:rPr>
          <w:snapToGrid w:val="0"/>
        </w:rPr>
        <w:tab/>
        <w:t>Register may be altered to insert new or additional qualification</w:t>
      </w:r>
      <w:bookmarkEnd w:id="84"/>
      <w:bookmarkEnd w:id="85"/>
    </w:p>
    <w:p>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pPr>
        <w:pStyle w:val="Footnotesection"/>
      </w:pPr>
      <w:r>
        <w:tab/>
        <w:t>[Section 15 inserted by No. 22 of 1945 s. 12.]</w:t>
      </w:r>
    </w:p>
    <w:p>
      <w:pPr>
        <w:pStyle w:val="Heading5"/>
        <w:rPr>
          <w:snapToGrid w:val="0"/>
        </w:rPr>
      </w:pPr>
      <w:bookmarkStart w:id="86" w:name="_Toc377986164"/>
      <w:bookmarkStart w:id="87" w:name="_Toc425847994"/>
      <w:r>
        <w:rPr>
          <w:rStyle w:val="CharSectno"/>
        </w:rPr>
        <w:t>16</w:t>
      </w:r>
      <w:r>
        <w:rPr>
          <w:snapToGrid w:val="0"/>
        </w:rPr>
        <w:t>.</w:t>
      </w:r>
      <w:r>
        <w:rPr>
          <w:snapToGrid w:val="0"/>
        </w:rPr>
        <w:tab/>
        <w:t>Practitioner on registration entitled to certificate</w:t>
      </w:r>
      <w:bookmarkEnd w:id="86"/>
      <w:bookmarkEnd w:id="87"/>
    </w:p>
    <w:p>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pPr>
        <w:pStyle w:val="Heading5"/>
        <w:rPr>
          <w:snapToGrid w:val="0"/>
        </w:rPr>
      </w:pPr>
      <w:bookmarkStart w:id="88" w:name="_Toc377986165"/>
      <w:bookmarkStart w:id="89" w:name="_Toc425847995"/>
      <w:r>
        <w:rPr>
          <w:rStyle w:val="CharSectno"/>
        </w:rPr>
        <w:t>16A</w:t>
      </w:r>
      <w:r>
        <w:rPr>
          <w:snapToGrid w:val="0"/>
        </w:rPr>
        <w:t>.</w:t>
      </w:r>
      <w:r>
        <w:rPr>
          <w:snapToGrid w:val="0"/>
        </w:rPr>
        <w:tab/>
        <w:t>Annual practice fees</w:t>
      </w:r>
      <w:bookmarkEnd w:id="88"/>
      <w:bookmarkEnd w:id="89"/>
    </w:p>
    <w:p>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pPr>
        <w:pStyle w:val="Penstart"/>
      </w:pPr>
      <w:r>
        <w:rPr>
          <w:snapToGrid w:val="0"/>
        </w:rPr>
        <w:tab/>
      </w:r>
      <w:r>
        <w:tab/>
        <w:t>Penalty: For a first offence, $500.</w:t>
      </w:r>
    </w:p>
    <w:p>
      <w:pPr>
        <w:pStyle w:val="MiscellaneousBody"/>
        <w:tabs>
          <w:tab w:val="left" w:pos="2160"/>
        </w:tabs>
        <w:spacing w:before="80"/>
        <w:rPr>
          <w:snapToGrid w:val="0"/>
        </w:rPr>
      </w:pPr>
      <w:r>
        <w:tab/>
        <w:t>For a subsequent offence, $1 000.</w:t>
      </w:r>
    </w:p>
    <w:p>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pPr>
        <w:pStyle w:val="Indenta"/>
        <w:rPr>
          <w:snapToGrid w:val="0"/>
        </w:rPr>
      </w:pPr>
      <w:r>
        <w:rPr>
          <w:snapToGrid w:val="0"/>
        </w:rPr>
        <w:tab/>
        <w:t>(a)</w:t>
      </w:r>
      <w:r>
        <w:rPr>
          <w:snapToGrid w:val="0"/>
        </w:rPr>
        <w:tab/>
        <w:t>the nature of his or her practice;</w:t>
      </w:r>
    </w:p>
    <w:p>
      <w:pPr>
        <w:pStyle w:val="Indenta"/>
        <w:rPr>
          <w:snapToGrid w:val="0"/>
        </w:rPr>
      </w:pPr>
      <w:r>
        <w:rPr>
          <w:snapToGrid w:val="0"/>
        </w:rPr>
        <w:tab/>
        <w:t>(b)</w:t>
      </w:r>
      <w:r>
        <w:rPr>
          <w:snapToGrid w:val="0"/>
        </w:rPr>
        <w:tab/>
        <w:t>the place or places at which the medical practitioner conducts his or her practice;</w:t>
      </w:r>
    </w:p>
    <w:p>
      <w:pPr>
        <w:pStyle w:val="Indenta"/>
        <w:rPr>
          <w:snapToGrid w:val="0"/>
        </w:rPr>
      </w:pPr>
      <w:r>
        <w:rPr>
          <w:snapToGrid w:val="0"/>
        </w:rPr>
        <w:tab/>
        <w:t>(c)</w:t>
      </w:r>
      <w:r>
        <w:rPr>
          <w:snapToGrid w:val="0"/>
        </w:rPr>
        <w:tab/>
        <w:t>any additional qualifications which he or she has gained — </w:t>
      </w:r>
    </w:p>
    <w:p>
      <w:pPr>
        <w:pStyle w:val="Indenti"/>
        <w:rPr>
          <w:snapToGrid w:val="0"/>
        </w:rPr>
      </w:pPr>
      <w:r>
        <w:rPr>
          <w:snapToGrid w:val="0"/>
        </w:rPr>
        <w:tab/>
        <w:t>(i)</w:t>
      </w:r>
      <w:r>
        <w:rPr>
          <w:snapToGrid w:val="0"/>
        </w:rPr>
        <w:tab/>
        <w:t>since he or she was registered under this Act; or</w:t>
      </w:r>
    </w:p>
    <w:p>
      <w:pPr>
        <w:pStyle w:val="Indenti"/>
        <w:rPr>
          <w:snapToGrid w:val="0"/>
        </w:rPr>
      </w:pPr>
      <w:r>
        <w:rPr>
          <w:snapToGrid w:val="0"/>
        </w:rPr>
        <w:tab/>
        <w:t>(ii)</w:t>
      </w:r>
      <w:r>
        <w:rPr>
          <w:snapToGrid w:val="0"/>
        </w:rPr>
        <w:tab/>
        <w:t>since he or she last furnished particulars pursuant to this subsection,</w:t>
      </w:r>
    </w:p>
    <w:p>
      <w:pPr>
        <w:pStyle w:val="Indenta"/>
        <w:rPr>
          <w:snapToGrid w:val="0"/>
        </w:rPr>
      </w:pPr>
      <w:r>
        <w:rPr>
          <w:snapToGrid w:val="0"/>
        </w:rPr>
        <w:tab/>
      </w:r>
      <w:r>
        <w:rPr>
          <w:snapToGrid w:val="0"/>
        </w:rPr>
        <w:tab/>
        <w:t>whichever is the later; and</w:t>
      </w:r>
    </w:p>
    <w:p>
      <w:pPr>
        <w:pStyle w:val="Indenta"/>
        <w:rPr>
          <w:snapToGrid w:val="0"/>
        </w:rPr>
      </w:pPr>
      <w:r>
        <w:rPr>
          <w:snapToGrid w:val="0"/>
        </w:rPr>
        <w:tab/>
        <w:t>(d)</w:t>
      </w:r>
      <w:r>
        <w:rPr>
          <w:snapToGrid w:val="0"/>
        </w:rPr>
        <w:tab/>
        <w:t>any other particulars which the Board may require.</w:t>
      </w:r>
    </w:p>
    <w:p>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pPr>
        <w:pStyle w:val="Subsection"/>
        <w:keepNext/>
        <w:rPr>
          <w:snapToGrid w:val="0"/>
        </w:rPr>
      </w:pPr>
      <w:r>
        <w:rPr>
          <w:snapToGrid w:val="0"/>
        </w:rPr>
        <w:tab/>
        <w:t>(3)</w:t>
      </w:r>
      <w:r>
        <w:rPr>
          <w:snapToGrid w:val="0"/>
        </w:rPr>
        <w:tab/>
        <w:t>Notwithstanding anything to the contrary contained in this section, this section shall not apply — </w:t>
      </w:r>
    </w:p>
    <w:p>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pPr>
        <w:pStyle w:val="Subsection"/>
        <w:rPr>
          <w:snapToGrid w:val="0"/>
        </w:rPr>
      </w:pPr>
      <w:r>
        <w:rPr>
          <w:snapToGrid w:val="0"/>
        </w:rPr>
        <w:tab/>
        <w:t>(4)</w:t>
      </w:r>
      <w:r>
        <w:rPr>
          <w:snapToGrid w:val="0"/>
        </w:rPr>
        <w:tab/>
        <w:t>Where a person who desires the Board to grant an authorisation mentioned in subsection (1)(b) or mentioned in subsection (2) — </w:t>
      </w:r>
    </w:p>
    <w:p>
      <w:pPr>
        <w:pStyle w:val="Indenta"/>
        <w:rPr>
          <w:snapToGrid w:val="0"/>
        </w:rPr>
      </w:pPr>
      <w:r>
        <w:rPr>
          <w:snapToGrid w:val="0"/>
        </w:rPr>
        <w:tab/>
        <w:t>(a)</w:t>
      </w:r>
      <w:r>
        <w:rPr>
          <w:snapToGrid w:val="0"/>
        </w:rPr>
        <w:tab/>
        <w:t>makes application in the manner prescribed by the rules;</w:t>
      </w:r>
    </w:p>
    <w:p>
      <w:pPr>
        <w:pStyle w:val="Indenta"/>
        <w:rPr>
          <w:snapToGrid w:val="0"/>
        </w:rPr>
      </w:pPr>
      <w:r>
        <w:rPr>
          <w:snapToGrid w:val="0"/>
        </w:rPr>
        <w:tab/>
        <w:t>(b)</w:t>
      </w:r>
      <w:r>
        <w:rPr>
          <w:snapToGrid w:val="0"/>
        </w:rPr>
        <w:tab/>
        <w:t>pays at the time prescribed by the rules any fee prescribed for the purposes of subsection (1); and</w:t>
      </w:r>
    </w:p>
    <w:p>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pPr>
        <w:pStyle w:val="Subsection"/>
        <w:rPr>
          <w:snapToGrid w:val="0"/>
        </w:rPr>
      </w:pPr>
      <w:r>
        <w:rPr>
          <w:snapToGrid w:val="0"/>
        </w:rPr>
        <w:tab/>
      </w:r>
      <w:r>
        <w:rPr>
          <w:snapToGrid w:val="0"/>
        </w:rPr>
        <w:tab/>
        <w:t>the Board shall grant the authorisation.</w:t>
      </w:r>
    </w:p>
    <w:p>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pPr>
        <w:pStyle w:val="Heading2"/>
      </w:pPr>
      <w:bookmarkStart w:id="90" w:name="_Toc377985294"/>
      <w:bookmarkStart w:id="91" w:name="_Toc377986166"/>
      <w:bookmarkStart w:id="92" w:name="_Toc425847996"/>
      <w:r>
        <w:rPr>
          <w:rStyle w:val="CharPartNo"/>
        </w:rPr>
        <w:t>Part IV</w:t>
      </w:r>
      <w:r>
        <w:t> — </w:t>
      </w:r>
      <w:r>
        <w:rPr>
          <w:rStyle w:val="CharPartText"/>
        </w:rPr>
        <w:t>Miscellaneous</w:t>
      </w:r>
      <w:bookmarkEnd w:id="90"/>
      <w:bookmarkEnd w:id="91"/>
      <w:bookmarkEnd w:id="92"/>
    </w:p>
    <w:p>
      <w:pPr>
        <w:pStyle w:val="Heading5"/>
        <w:rPr>
          <w:snapToGrid w:val="0"/>
        </w:rPr>
      </w:pPr>
      <w:bookmarkStart w:id="93" w:name="_Toc377986167"/>
      <w:bookmarkStart w:id="94" w:name="_Toc425847997"/>
      <w:r>
        <w:rPr>
          <w:rStyle w:val="CharSectno"/>
        </w:rPr>
        <w:t>17</w:t>
      </w:r>
      <w:r>
        <w:rPr>
          <w:snapToGrid w:val="0"/>
        </w:rPr>
        <w:t>.</w:t>
      </w:r>
      <w:r>
        <w:rPr>
          <w:snapToGrid w:val="0"/>
        </w:rPr>
        <w:tab/>
        <w:t>Offences to do with registration</w:t>
      </w:r>
      <w:bookmarkEnd w:id="93"/>
      <w:bookmarkEnd w:id="94"/>
    </w:p>
    <w:p>
      <w:pPr>
        <w:pStyle w:val="Subsection"/>
        <w:rPr>
          <w:snapToGrid w:val="0"/>
        </w:rPr>
      </w:pPr>
      <w:r>
        <w:rPr>
          <w:rFonts w:ascii="Times" w:hAnsi="Times"/>
          <w:snapToGrid w:val="0"/>
        </w:rPr>
        <w:tab/>
      </w:r>
      <w:r>
        <w:rPr>
          <w:rFonts w:ascii="Times" w:hAnsi="Times"/>
          <w:snapToGrid w:val="0"/>
        </w:rPr>
        <w:tab/>
      </w:r>
      <w:r>
        <w:rPr>
          <w:snapToGrid w:val="0"/>
        </w:rPr>
        <w:t>Any person who — </w:t>
      </w:r>
    </w:p>
    <w:p>
      <w:pPr>
        <w:pStyle w:val="Indenta"/>
        <w:rPr>
          <w:snapToGrid w:val="0"/>
        </w:rPr>
      </w:pPr>
      <w:r>
        <w:rPr>
          <w:snapToGrid w:val="0"/>
        </w:rPr>
        <w:tab/>
        <w:t>(1)</w:t>
      </w:r>
      <w:r>
        <w:rPr>
          <w:snapToGrid w:val="0"/>
        </w:rPr>
        <w:tab/>
        <w:t>makes or causes to be made any falsification in any matter relating to the Register; or</w:t>
      </w:r>
    </w:p>
    <w:p>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pPr>
        <w:pStyle w:val="Subsection"/>
        <w:rPr>
          <w:snapToGrid w:val="0"/>
        </w:rPr>
      </w:pPr>
      <w:r>
        <w:rPr>
          <w:snapToGrid w:val="0"/>
        </w:rPr>
        <w:tab/>
      </w:r>
      <w:r>
        <w:rPr>
          <w:snapToGrid w:val="0"/>
        </w:rPr>
        <w:tab/>
        <w:t>shall be guilty of a crime, and shall, on conviction thereof, be liable to be imprisoned for any term not exceeding 3 years.</w:t>
      </w:r>
    </w:p>
    <w:p>
      <w:pPr>
        <w:pStyle w:val="Footnotesection"/>
      </w:pPr>
      <w:r>
        <w:tab/>
        <w:t>[Section 17 amended by No. 67 of 1994 s. 12; No. 55 of 2004 s. 731; No. 70 of 2004 s. 82.]</w:t>
      </w:r>
    </w:p>
    <w:p>
      <w:pPr>
        <w:pStyle w:val="Heading5"/>
      </w:pPr>
      <w:bookmarkStart w:id="95" w:name="_Toc377986168"/>
      <w:bookmarkStart w:id="96" w:name="_Toc425847998"/>
      <w:r>
        <w:rPr>
          <w:rStyle w:val="CharSectno"/>
        </w:rPr>
        <w:t>17A</w:t>
      </w:r>
      <w:r>
        <w:t>.</w:t>
      </w:r>
      <w:r>
        <w:tab/>
        <w:t>Making false statement to the professional standards committee</w:t>
      </w:r>
      <w:bookmarkEnd w:id="95"/>
      <w:bookmarkEnd w:id="96"/>
    </w:p>
    <w:p>
      <w:pPr>
        <w:pStyle w:val="Subsection"/>
      </w:pPr>
      <w:r>
        <w:tab/>
      </w:r>
      <w:r>
        <w:tab/>
        <w:t>A person who wilfully makes a false statement to the professional standards committee in relation to a matter being dealt with by the committee under this Act commits an offence.</w:t>
      </w:r>
    </w:p>
    <w:p>
      <w:pPr>
        <w:pStyle w:val="Penstart"/>
      </w:pPr>
      <w:r>
        <w:tab/>
        <w:t>Penalty: Imprisonment for 3 years.</w:t>
      </w:r>
    </w:p>
    <w:p>
      <w:pPr>
        <w:pStyle w:val="Footnotesection"/>
      </w:pPr>
      <w:r>
        <w:tab/>
        <w:t>[Section 17A inserted by No. 55 of 2004 s. 732.]</w:t>
      </w:r>
    </w:p>
    <w:p>
      <w:pPr>
        <w:pStyle w:val="Heading5"/>
        <w:rPr>
          <w:snapToGrid w:val="0"/>
        </w:rPr>
      </w:pPr>
      <w:bookmarkStart w:id="97" w:name="_Toc377986169"/>
      <w:bookmarkStart w:id="98" w:name="_Toc425847999"/>
      <w:r>
        <w:rPr>
          <w:rStyle w:val="CharSectno"/>
        </w:rPr>
        <w:t>18</w:t>
      </w:r>
      <w:r>
        <w:rPr>
          <w:snapToGrid w:val="0"/>
        </w:rPr>
        <w:t>.</w:t>
      </w:r>
      <w:r>
        <w:rPr>
          <w:snapToGrid w:val="0"/>
        </w:rPr>
        <w:tab/>
        <w:t>Only a medical practitioner to hold certain appointments</w:t>
      </w:r>
      <w:bookmarkEnd w:id="97"/>
      <w:bookmarkEnd w:id="98"/>
    </w:p>
    <w:p>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pPr>
        <w:pStyle w:val="Heading5"/>
        <w:rPr>
          <w:snapToGrid w:val="0"/>
        </w:rPr>
      </w:pPr>
      <w:bookmarkStart w:id="99" w:name="_Toc377986170"/>
      <w:bookmarkStart w:id="100" w:name="_Toc425848000"/>
      <w:r>
        <w:rPr>
          <w:rStyle w:val="CharSectno"/>
        </w:rPr>
        <w:t>19</w:t>
      </w:r>
      <w:r>
        <w:rPr>
          <w:snapToGrid w:val="0"/>
        </w:rPr>
        <w:t>.</w:t>
      </w:r>
      <w:r>
        <w:rPr>
          <w:snapToGrid w:val="0"/>
        </w:rPr>
        <w:tab/>
        <w:t>Only a medical practitioner to practise or profess to practise medicine</w:t>
      </w:r>
      <w:bookmarkEnd w:id="99"/>
      <w:bookmarkEnd w:id="100"/>
    </w:p>
    <w:p>
      <w:pPr>
        <w:pStyle w:val="Subsection"/>
        <w:rPr>
          <w:snapToGrid w:val="0"/>
        </w:rPr>
      </w:pPr>
      <w:r>
        <w:rPr>
          <w:snapToGrid w:val="0"/>
        </w:rPr>
        <w:tab/>
      </w:r>
      <w:r>
        <w:rPr>
          <w:snapToGrid w:val="0"/>
        </w:rPr>
        <w:tab/>
        <w:t>From and after the passing of this Act no person other than a medical practitioner shall be entitled to — </w:t>
      </w:r>
    </w:p>
    <w:p>
      <w:pPr>
        <w:pStyle w:val="Indenta"/>
        <w:rPr>
          <w:snapToGrid w:val="0"/>
        </w:rPr>
      </w:pPr>
      <w:r>
        <w:rPr>
          <w:snapToGrid w:val="0"/>
        </w:rPr>
        <w:tab/>
        <w:t>(1)</w:t>
      </w:r>
      <w:r>
        <w:rPr>
          <w:snapToGrid w:val="0"/>
        </w:rPr>
        <w:tab/>
        <w:t>practise medicine or surgery in all or any one or more of its branches; or to</w:t>
      </w:r>
    </w:p>
    <w:p>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Nurses and Midwives Act 2006</w:t>
      </w:r>
      <w:r>
        <w:rPr>
          <w:iCs/>
        </w:rPr>
        <w:t xml:space="preserve"> while</w:t>
      </w:r>
      <w:r>
        <w:t xml:space="preserve"> carrying out the functions of a nurse practitioner, or</w:t>
      </w:r>
      <w:r>
        <w:rPr>
          <w:snapToGrid w:val="0"/>
        </w:rPr>
        <w:t xml:space="preserve"> to a person practising as a dietitian or as a chiropractor </w:t>
      </w:r>
      <w:r>
        <w:t xml:space="preserve">registered under the </w:t>
      </w:r>
      <w:r>
        <w:rPr>
          <w:i/>
        </w:rPr>
        <w:t>Chiropractors Act 2005</w:t>
      </w:r>
      <w:r>
        <w:rPr>
          <w:iCs/>
        </w:rPr>
        <w:t xml:space="preserve"> </w:t>
      </w:r>
      <w:r>
        <w:rPr>
          <w:snapToGrid w:val="0"/>
        </w:rPr>
        <w:t>who gives advice or service to persons requiring dietetic or chiropractic advice or service.</w:t>
      </w:r>
    </w:p>
    <w:p>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pPr>
        <w:pStyle w:val="Penstart"/>
      </w:pPr>
      <w:r>
        <w:rPr>
          <w:snapToGrid w:val="0"/>
        </w:rPr>
        <w:tab/>
      </w:r>
      <w:r>
        <w:tab/>
        <w:t>Penalty: For a first offence, $1 000.</w:t>
      </w:r>
    </w:p>
    <w:p>
      <w:pPr>
        <w:pStyle w:val="MiscellaneousBody"/>
        <w:tabs>
          <w:tab w:val="left" w:pos="2160"/>
        </w:tabs>
        <w:spacing w:before="80"/>
        <w:rPr>
          <w:snapToGrid w:val="0"/>
        </w:rPr>
      </w:pPr>
      <w:r>
        <w:tab/>
        <w:t>For a subsequent offence, $5 000.</w:t>
      </w:r>
    </w:p>
    <w:p>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pPr>
        <w:pStyle w:val="Footnotesection"/>
      </w:pPr>
      <w:r>
        <w:tab/>
        <w:t>[Section 19 amended by No. 22 of 1945 s. 14; No. 113 of 1965 s. 8; No. 70 of 1985 s. 17; No. 9 of 2003 s. 25; No. 50 of 2003 s. 79(3); No. 31 of 2005 s. 109; No. 50 of 2006 s. 114.]</w:t>
      </w:r>
    </w:p>
    <w:p>
      <w:pPr>
        <w:pStyle w:val="Heading5"/>
        <w:rPr>
          <w:snapToGrid w:val="0"/>
        </w:rPr>
      </w:pPr>
      <w:bookmarkStart w:id="101" w:name="_Toc377986171"/>
      <w:bookmarkStart w:id="102" w:name="_Toc425848001"/>
      <w:r>
        <w:rPr>
          <w:rStyle w:val="CharSectno"/>
        </w:rPr>
        <w:t>20</w:t>
      </w:r>
      <w:r>
        <w:rPr>
          <w:snapToGrid w:val="0"/>
        </w:rPr>
        <w:t>.</w:t>
      </w:r>
      <w:r>
        <w:rPr>
          <w:snapToGrid w:val="0"/>
        </w:rPr>
        <w:tab/>
        <w:t>Offence of publishing prohibited advertisement</w:t>
      </w:r>
      <w:bookmarkEnd w:id="101"/>
      <w:bookmarkEnd w:id="102"/>
    </w:p>
    <w:p>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pPr>
        <w:pStyle w:val="Footnotesection"/>
      </w:pPr>
      <w:r>
        <w:tab/>
        <w:t>[Section 20 amended by No. 113 of 1965 s. 8; No. 70 of 1985 s. 18.]</w:t>
      </w:r>
    </w:p>
    <w:p>
      <w:pPr>
        <w:pStyle w:val="Heading5"/>
        <w:rPr>
          <w:snapToGrid w:val="0"/>
        </w:rPr>
      </w:pPr>
      <w:bookmarkStart w:id="103" w:name="_Toc377986172"/>
      <w:bookmarkStart w:id="104" w:name="_Toc425848002"/>
      <w:r>
        <w:rPr>
          <w:rStyle w:val="CharSectno"/>
        </w:rPr>
        <w:t>21</w:t>
      </w:r>
      <w:r>
        <w:rPr>
          <w:snapToGrid w:val="0"/>
        </w:rPr>
        <w:t>.</w:t>
      </w:r>
      <w:r>
        <w:rPr>
          <w:snapToGrid w:val="0"/>
        </w:rPr>
        <w:tab/>
        <w:t>Medical practitioner may sue for fees, etc.</w:t>
      </w:r>
      <w:bookmarkEnd w:id="103"/>
      <w:bookmarkEnd w:id="104"/>
    </w:p>
    <w:p>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pPr>
        <w:pStyle w:val="Heading5"/>
        <w:rPr>
          <w:snapToGrid w:val="0"/>
        </w:rPr>
      </w:pPr>
      <w:bookmarkStart w:id="105" w:name="_Toc377986173"/>
      <w:bookmarkStart w:id="106" w:name="_Toc425848003"/>
      <w:r>
        <w:rPr>
          <w:rStyle w:val="CharSectno"/>
        </w:rPr>
        <w:t>21A</w:t>
      </w:r>
      <w:r>
        <w:rPr>
          <w:snapToGrid w:val="0"/>
        </w:rPr>
        <w:t>.</w:t>
      </w:r>
      <w:r>
        <w:rPr>
          <w:snapToGrid w:val="0"/>
        </w:rPr>
        <w:tab/>
        <w:t>Treatment by means of radium or X</w:t>
      </w:r>
      <w:r>
        <w:rPr>
          <w:snapToGrid w:val="0"/>
        </w:rPr>
        <w:noBreakHyphen/>
        <w:t>ray</w:t>
      </w:r>
      <w:bookmarkEnd w:id="105"/>
      <w:bookmarkEnd w:id="106"/>
    </w:p>
    <w:p>
      <w:pPr>
        <w:pStyle w:val="Subsection"/>
        <w:rPr>
          <w:snapToGrid w:val="0"/>
        </w:rPr>
      </w:pPr>
      <w:r>
        <w:rPr>
          <w:snapToGrid w:val="0"/>
        </w:rPr>
        <w:tab/>
        <w:t>(1)</w:t>
      </w:r>
      <w:r>
        <w:rPr>
          <w:snapToGrid w:val="0"/>
        </w:rPr>
        <w:tab/>
        <w:t>Subject to</w:t>
      </w:r>
      <w:r>
        <w:t xml:space="preserve"> the provisions of the </w:t>
      </w:r>
      <w:r>
        <w:rPr>
          <w:i/>
        </w:rPr>
        <w:t>Radiation Safety Act 1975</w:t>
      </w:r>
      <w:r>
        <w:rPr>
          <w:snapToGrid w:val="0"/>
        </w:rPr>
        <w:t>,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pPr>
        <w:pStyle w:val="Penstart"/>
        <w:rPr>
          <w:snapToGrid w:val="0"/>
        </w:rPr>
      </w:pPr>
      <w:r>
        <w:rPr>
          <w:snapToGrid w:val="0"/>
        </w:rPr>
        <w:tab/>
      </w:r>
      <w:r>
        <w:t>Penalty: $1 000.</w:t>
      </w:r>
    </w:p>
    <w:p>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Nurses and Midwives Act 2006</w:t>
      </w:r>
      <w:r>
        <w:rPr>
          <w:iCs/>
        </w:rPr>
        <w:t xml:space="preserve"> while</w:t>
      </w:r>
      <w:r>
        <w:t xml:space="preserv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pPr>
        <w:pStyle w:val="Footnotesection"/>
      </w:pPr>
      <w:r>
        <w:tab/>
        <w:t>[Section 21A inserted by No. 22 of 1945 s. 15; amended by No. 113 of 1965 s. 8; No. 70 of 1985 s. 19; No. 9 of 2003 s. 26; No. 50 of 2003 s. 79(4); No. 31 of 2005 s. 109; No. 50 of 2006 s. 114.]</w:t>
      </w:r>
    </w:p>
    <w:p>
      <w:pPr>
        <w:pStyle w:val="Heading5"/>
        <w:rPr>
          <w:snapToGrid w:val="0"/>
        </w:rPr>
      </w:pPr>
      <w:bookmarkStart w:id="107" w:name="_Toc377986174"/>
      <w:bookmarkStart w:id="108" w:name="_Toc425848004"/>
      <w:r>
        <w:rPr>
          <w:rStyle w:val="CharSectno"/>
        </w:rPr>
        <w:t>21B</w:t>
      </w:r>
      <w:r>
        <w:rPr>
          <w:snapToGrid w:val="0"/>
        </w:rPr>
        <w:t>.</w:t>
      </w:r>
      <w:r>
        <w:rPr>
          <w:snapToGrid w:val="0"/>
        </w:rPr>
        <w:tab/>
        <w:t>Medical practitioners to arrange consultation in certain cases</w:t>
      </w:r>
      <w:bookmarkEnd w:id="107"/>
      <w:bookmarkEnd w:id="108"/>
    </w:p>
    <w:p>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pPr>
        <w:pStyle w:val="Subsection"/>
        <w:rPr>
          <w:snapToGrid w:val="0"/>
        </w:rPr>
      </w:pPr>
      <w:r>
        <w:rPr>
          <w:snapToGrid w:val="0"/>
        </w:rPr>
        <w:tab/>
        <w:t>(2)</w:t>
      </w:r>
      <w:r>
        <w:rPr>
          <w:snapToGrid w:val="0"/>
        </w:rPr>
        <w:tab/>
        <w:t>Any medical practitioner who without lawful excuse contravenes subsection (1) shall be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pPr>
        <w:pStyle w:val="Subsection"/>
      </w:pPr>
      <w:r>
        <w:tab/>
        <w:t>(4)</w:t>
      </w:r>
      <w:r>
        <w:tab/>
        <w:t xml:space="preserve">In subsection (1) — </w:t>
      </w:r>
    </w:p>
    <w:p>
      <w:pPr>
        <w:pStyle w:val="Defstart"/>
      </w:pPr>
      <w:r>
        <w:tab/>
      </w:r>
      <w:r>
        <w:rPr>
          <w:rStyle w:val="CharDefText"/>
        </w:rPr>
        <w:t>relative</w:t>
      </w:r>
      <w:r>
        <w:t>, in relation to a patient, includes a de facto partner of the patient.</w:t>
      </w:r>
    </w:p>
    <w:p>
      <w:pPr>
        <w:pStyle w:val="Footnotesection"/>
      </w:pPr>
      <w:r>
        <w:tab/>
        <w:t>[Section 21B inserted by No. 22 of 1945 s. 15; amended by No. 113 of 1965 s. 8; No. 70 of 1985 s. 20; No. 28 of 2003 s. 132.]</w:t>
      </w:r>
    </w:p>
    <w:p>
      <w:pPr>
        <w:pStyle w:val="Heading5"/>
        <w:rPr>
          <w:snapToGrid w:val="0"/>
        </w:rPr>
      </w:pPr>
      <w:bookmarkStart w:id="109" w:name="_Toc377986175"/>
      <w:bookmarkStart w:id="110" w:name="_Toc425848005"/>
      <w:r>
        <w:rPr>
          <w:rStyle w:val="CharSectno"/>
        </w:rPr>
        <w:t>21C</w:t>
      </w:r>
      <w:r>
        <w:rPr>
          <w:snapToGrid w:val="0"/>
        </w:rPr>
        <w:t>.</w:t>
      </w:r>
      <w:r>
        <w:rPr>
          <w:snapToGrid w:val="0"/>
        </w:rPr>
        <w:tab/>
        <w:t>Restriction on administration of anaesthetics in certain cases</w:t>
      </w:r>
      <w:bookmarkEnd w:id="109"/>
      <w:bookmarkEnd w:id="110"/>
    </w:p>
    <w:p>
      <w:pPr>
        <w:pStyle w:val="Subsection"/>
        <w:rPr>
          <w:snapToGrid w:val="0"/>
        </w:rPr>
      </w:pPr>
      <w:r>
        <w:rPr>
          <w:snapToGrid w:val="0"/>
        </w:rPr>
        <w:tab/>
      </w:r>
      <w:r>
        <w:rPr>
          <w:snapToGrid w:val="0"/>
        </w:rPr>
        <w:tab/>
        <w:t>Except in an emergency, a medical practitioner shall not — </w:t>
      </w:r>
    </w:p>
    <w:p>
      <w:pPr>
        <w:pStyle w:val="Indenta"/>
        <w:rPr>
          <w:snapToGrid w:val="0"/>
        </w:rPr>
      </w:pPr>
      <w:r>
        <w:rPr>
          <w:snapToGrid w:val="0"/>
        </w:rPr>
        <w:tab/>
        <w:t>(a)</w:t>
      </w:r>
      <w:r>
        <w:rPr>
          <w:snapToGrid w:val="0"/>
        </w:rPr>
        <w:tab/>
        <w:t>administer a general anaesthetic to a patient on whom the medical practitioner is operating; or</w:t>
      </w:r>
    </w:p>
    <w:p>
      <w:pPr>
        <w:pStyle w:val="Indenta"/>
        <w:rPr>
          <w:snapToGrid w:val="0"/>
        </w:rPr>
      </w:pPr>
      <w:r>
        <w:rPr>
          <w:snapToGrid w:val="0"/>
        </w:rPr>
        <w:tab/>
        <w:t>(b)</w:t>
      </w:r>
      <w:r>
        <w:rPr>
          <w:snapToGrid w:val="0"/>
        </w:rPr>
        <w:tab/>
        <w:t>cause or permit any person other than another medical practitioner to administer a general anaesthetic to such a patient.</w:t>
      </w:r>
    </w:p>
    <w:p>
      <w:pPr>
        <w:pStyle w:val="Penstart"/>
        <w:rPr>
          <w:snapToGrid w:val="0"/>
        </w:rPr>
      </w:pPr>
      <w:r>
        <w:rPr>
          <w:snapToGrid w:val="0"/>
        </w:rPr>
        <w:tab/>
        <w:t>Penalty: $1 000.</w:t>
      </w:r>
    </w:p>
    <w:p>
      <w:pPr>
        <w:pStyle w:val="Footnotesection"/>
      </w:pPr>
      <w:r>
        <w:tab/>
        <w:t>[Section 21C inserted by No. 70 of 1985 s. 21.]</w:t>
      </w:r>
    </w:p>
    <w:p>
      <w:pPr>
        <w:pStyle w:val="Heading5"/>
        <w:rPr>
          <w:snapToGrid w:val="0"/>
        </w:rPr>
      </w:pPr>
      <w:bookmarkStart w:id="111" w:name="_Toc377986176"/>
      <w:bookmarkStart w:id="112" w:name="_Toc425848006"/>
      <w:r>
        <w:rPr>
          <w:rStyle w:val="CharSectno"/>
        </w:rPr>
        <w:t>21CA</w:t>
      </w:r>
      <w:r>
        <w:rPr>
          <w:snapToGrid w:val="0"/>
        </w:rPr>
        <w:t>.</w:t>
      </w:r>
      <w:r>
        <w:rPr>
          <w:snapToGrid w:val="0"/>
        </w:rPr>
        <w:tab/>
        <w:t>Approval for medical call services</w:t>
      </w:r>
      <w:bookmarkEnd w:id="111"/>
      <w:bookmarkEnd w:id="112"/>
    </w:p>
    <w:p>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pPr>
        <w:pStyle w:val="Subsection"/>
        <w:rPr>
          <w:snapToGrid w:val="0"/>
        </w:rPr>
      </w:pPr>
      <w:r>
        <w:rPr>
          <w:snapToGrid w:val="0"/>
        </w:rPr>
        <w:tab/>
        <w:t>(3)</w:t>
      </w:r>
      <w:r>
        <w:rPr>
          <w:snapToGrid w:val="0"/>
        </w:rPr>
        <w:tab/>
        <w:t>The Board shall not issue a certificate of approval referred to in subsection (1) unless the Board is satisfied that — </w:t>
      </w:r>
    </w:p>
    <w:p>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pPr>
        <w:pStyle w:val="Indenta"/>
        <w:rPr>
          <w:snapToGrid w:val="0"/>
        </w:rPr>
      </w:pPr>
      <w:r>
        <w:rPr>
          <w:snapToGrid w:val="0"/>
        </w:rPr>
        <w:tab/>
        <w:t>(e)</w:t>
      </w:r>
      <w:r>
        <w:rPr>
          <w:snapToGrid w:val="0"/>
        </w:rPr>
        <w:tab/>
        <w:t>the medical services provided by the medical call service are provided only by a person who is a medical practitioner; and</w:t>
      </w:r>
    </w:p>
    <w:p>
      <w:pPr>
        <w:pStyle w:val="Indenta"/>
        <w:rPr>
          <w:snapToGrid w:val="0"/>
        </w:rPr>
      </w:pPr>
      <w:r>
        <w:rPr>
          <w:snapToGrid w:val="0"/>
        </w:rPr>
        <w:tab/>
        <w:t>(f)</w:t>
      </w:r>
      <w:r>
        <w:rPr>
          <w:snapToGrid w:val="0"/>
        </w:rPr>
        <w:tab/>
        <w:t>the prescribed fee has been paid.</w:t>
      </w:r>
    </w:p>
    <w:p>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pPr>
        <w:pStyle w:val="Subsection"/>
        <w:rPr>
          <w:snapToGrid w:val="0"/>
        </w:rPr>
      </w:pPr>
      <w:r>
        <w:rPr>
          <w:snapToGrid w:val="0"/>
        </w:rPr>
        <w:tab/>
        <w:t>(6)</w:t>
      </w:r>
      <w:r>
        <w:rPr>
          <w:snapToGrid w:val="0"/>
        </w:rPr>
        <w:tab/>
        <w:t>A person to whom an approval is granted may apply for the renewal of the approval in accordance with the rules.</w:t>
      </w:r>
    </w:p>
    <w:p>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pPr>
        <w:pStyle w:val="Subsection"/>
        <w:rPr>
          <w:snapToGrid w:val="0"/>
        </w:rPr>
      </w:pPr>
      <w:r>
        <w:rPr>
          <w:snapToGrid w:val="0"/>
        </w:rPr>
        <w:tab/>
        <w:t>(9)</w:t>
      </w:r>
      <w:r>
        <w:rPr>
          <w:snapToGrid w:val="0"/>
        </w:rPr>
        <w:tab/>
        <w:t>In subsection (1) — </w:t>
      </w:r>
    </w:p>
    <w:p>
      <w:pPr>
        <w:pStyle w:val="Defstart"/>
      </w:pPr>
      <w:r>
        <w:rPr>
          <w:b/>
        </w:rPr>
        <w:tab/>
      </w:r>
      <w:r>
        <w:rPr>
          <w:rStyle w:val="CharDefText"/>
        </w:rPr>
        <w:t>appointed day</w:t>
      </w:r>
      <w:r>
        <w:t xml:space="preserve"> means a day fixed by the Board by notice published in the </w:t>
      </w:r>
      <w:r>
        <w:rPr>
          <w:i/>
        </w:rPr>
        <w:t>Government Gazette</w:t>
      </w:r>
      <w:r>
        <w:t xml:space="preserve"> for the purposes of subsection (1).</w:t>
      </w:r>
    </w:p>
    <w:p>
      <w:pPr>
        <w:pStyle w:val="Footnotesection"/>
      </w:pPr>
      <w:r>
        <w:tab/>
        <w:t>[Section 21CA inserted by No. 70 of 1985 s. 22; amended by No. 55 of 2004 s. 733.]</w:t>
      </w:r>
    </w:p>
    <w:p>
      <w:pPr>
        <w:pStyle w:val="Heading5"/>
        <w:rPr>
          <w:snapToGrid w:val="0"/>
        </w:rPr>
      </w:pPr>
      <w:bookmarkStart w:id="113" w:name="_Toc377986177"/>
      <w:bookmarkStart w:id="114" w:name="_Toc425848007"/>
      <w:r>
        <w:rPr>
          <w:rStyle w:val="CharSectno"/>
        </w:rPr>
        <w:t>21CB</w:t>
      </w:r>
      <w:r>
        <w:rPr>
          <w:snapToGrid w:val="0"/>
        </w:rPr>
        <w:t>.</w:t>
      </w:r>
      <w:r>
        <w:rPr>
          <w:snapToGrid w:val="0"/>
        </w:rPr>
        <w:tab/>
        <w:t>Register of medical call services</w:t>
      </w:r>
      <w:bookmarkEnd w:id="113"/>
      <w:bookmarkEnd w:id="114"/>
    </w:p>
    <w:p>
      <w:pPr>
        <w:pStyle w:val="Subsection"/>
        <w:rPr>
          <w:snapToGrid w:val="0"/>
        </w:rPr>
      </w:pPr>
      <w:r>
        <w:rPr>
          <w:snapToGrid w:val="0"/>
        </w:rPr>
        <w:tab/>
      </w:r>
      <w:r>
        <w:rPr>
          <w:snapToGrid w:val="0"/>
        </w:rPr>
        <w:tab/>
        <w:t>The Board shall maintain a register of medical call services established and conducted under this Act.</w:t>
      </w:r>
    </w:p>
    <w:p>
      <w:pPr>
        <w:pStyle w:val="Footnotesection"/>
      </w:pPr>
      <w:r>
        <w:tab/>
        <w:t xml:space="preserve">[Section 21CB inserted by No. 70 of 1985 s. 22.] </w:t>
      </w:r>
    </w:p>
    <w:p>
      <w:pPr>
        <w:pStyle w:val="Heading5"/>
        <w:rPr>
          <w:snapToGrid w:val="0"/>
        </w:rPr>
      </w:pPr>
      <w:bookmarkStart w:id="115" w:name="_Toc377986178"/>
      <w:bookmarkStart w:id="116" w:name="_Toc425848008"/>
      <w:r>
        <w:rPr>
          <w:rStyle w:val="CharSectno"/>
        </w:rPr>
        <w:t>21CC</w:t>
      </w:r>
      <w:r>
        <w:rPr>
          <w:snapToGrid w:val="0"/>
        </w:rPr>
        <w:t>.</w:t>
      </w:r>
      <w:r>
        <w:rPr>
          <w:snapToGrid w:val="0"/>
        </w:rPr>
        <w:tab/>
        <w:t>Changes to be notified</w:t>
      </w:r>
      <w:bookmarkEnd w:id="115"/>
      <w:bookmarkEnd w:id="116"/>
    </w:p>
    <w:p>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Footnotesection"/>
      </w:pPr>
      <w:r>
        <w:tab/>
        <w:t>[Section 21CC inserted by No. 70 of 1985 s. 22.]</w:t>
      </w:r>
    </w:p>
    <w:p>
      <w:pPr>
        <w:pStyle w:val="Heading5"/>
        <w:rPr>
          <w:snapToGrid w:val="0"/>
        </w:rPr>
      </w:pPr>
      <w:bookmarkStart w:id="117" w:name="_Toc377986179"/>
      <w:bookmarkStart w:id="118" w:name="_Toc425848009"/>
      <w:r>
        <w:rPr>
          <w:rStyle w:val="CharSectno"/>
        </w:rPr>
        <w:t>21CD</w:t>
      </w:r>
      <w:r>
        <w:rPr>
          <w:snapToGrid w:val="0"/>
        </w:rPr>
        <w:t>.</w:t>
      </w:r>
      <w:r>
        <w:rPr>
          <w:snapToGrid w:val="0"/>
        </w:rPr>
        <w:tab/>
        <w:t>Cancellation and suspension of approval</w:t>
      </w:r>
      <w:bookmarkEnd w:id="117"/>
      <w:bookmarkEnd w:id="118"/>
    </w:p>
    <w:p>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pPr>
        <w:pStyle w:val="Indenta"/>
        <w:rPr>
          <w:snapToGrid w:val="0"/>
        </w:rPr>
      </w:pPr>
      <w:r>
        <w:rPr>
          <w:snapToGrid w:val="0"/>
        </w:rPr>
        <w:tab/>
        <w:t>(b)</w:t>
      </w:r>
      <w:r>
        <w:rPr>
          <w:snapToGrid w:val="0"/>
        </w:rPr>
        <w:tab/>
        <w:t>the medical call service is not provided in an efficient and reliable manner;</w:t>
      </w:r>
    </w:p>
    <w:p>
      <w:pPr>
        <w:pStyle w:val="Indenta"/>
        <w:rPr>
          <w:snapToGrid w:val="0"/>
        </w:rPr>
      </w:pPr>
      <w:r>
        <w:rPr>
          <w:snapToGrid w:val="0"/>
        </w:rPr>
        <w:tab/>
        <w:t>(c)</w:t>
      </w:r>
      <w:r>
        <w:rPr>
          <w:snapToGrid w:val="0"/>
        </w:rPr>
        <w:tab/>
        <w:t>the medical call service is provided in a manner that does not conform to, or that contravenes, the rules;</w:t>
      </w:r>
    </w:p>
    <w:p>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pPr>
        <w:pStyle w:val="Indenta"/>
        <w:rPr>
          <w:snapToGrid w:val="0"/>
        </w:rPr>
      </w:pPr>
      <w:r>
        <w:rPr>
          <w:snapToGrid w:val="0"/>
        </w:rPr>
        <w:tab/>
        <w:t>(e)</w:t>
      </w:r>
      <w:r>
        <w:rPr>
          <w:snapToGrid w:val="0"/>
        </w:rPr>
        <w:tab/>
        <w:t>any matter prescribed in the rules for the purposes of this paragraph has been proved,</w:t>
      </w:r>
    </w:p>
    <w:p>
      <w:pPr>
        <w:pStyle w:val="Subsection"/>
        <w:rPr>
          <w:snapToGrid w:val="0"/>
        </w:rPr>
      </w:pPr>
      <w:r>
        <w:tab/>
      </w:r>
      <w:r>
        <w:tab/>
        <w:t>the Board shall refer the matter to the State Administrative Tribunal which may suspend or cancel the certificate of approval.</w:t>
      </w:r>
    </w:p>
    <w:p>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pPr>
        <w:pStyle w:val="Penstart"/>
        <w:rPr>
          <w:snapToGrid w:val="0"/>
        </w:rPr>
      </w:pPr>
      <w:r>
        <w:rPr>
          <w:snapToGrid w:val="0"/>
        </w:rPr>
        <w:tab/>
        <w:t>Penalty: $1 000.</w:t>
      </w:r>
    </w:p>
    <w:p>
      <w:pPr>
        <w:pStyle w:val="Ednotesubsection"/>
      </w:pPr>
      <w:r>
        <w:tab/>
        <w:t>[(3)</w:t>
      </w:r>
      <w:r>
        <w:tab/>
        <w:t>repealed]</w:t>
      </w:r>
    </w:p>
    <w:p>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pPr>
        <w:pStyle w:val="Subsection"/>
        <w:keepNext/>
        <w:rPr>
          <w:snapToGrid w:val="0"/>
        </w:rPr>
      </w:pPr>
      <w:r>
        <w:rPr>
          <w:snapToGrid w:val="0"/>
        </w:rPr>
        <w:tab/>
        <w:t>(5)</w:t>
      </w:r>
      <w:r>
        <w:rPr>
          <w:snapToGrid w:val="0"/>
        </w:rPr>
        <w:tab/>
        <w:t>A person who fails to comply with subsection (4) commits an offence.</w:t>
      </w:r>
    </w:p>
    <w:p>
      <w:pPr>
        <w:pStyle w:val="Penstart"/>
        <w:rPr>
          <w:snapToGrid w:val="0"/>
        </w:rPr>
      </w:pPr>
      <w:r>
        <w:rPr>
          <w:snapToGrid w:val="0"/>
        </w:rPr>
        <w:tab/>
        <w:t>Penalty: $1 000.</w:t>
      </w:r>
    </w:p>
    <w:p>
      <w:pPr>
        <w:pStyle w:val="Footnotesection"/>
      </w:pPr>
      <w:r>
        <w:tab/>
        <w:t>[Section 21CD inserted by No. 70 of 1985 s. 22; amended by No. 55 of 2004 s. 734.]</w:t>
      </w:r>
    </w:p>
    <w:p>
      <w:pPr>
        <w:pStyle w:val="Heading5"/>
        <w:rPr>
          <w:snapToGrid w:val="0"/>
        </w:rPr>
      </w:pPr>
      <w:bookmarkStart w:id="119" w:name="_Toc377986180"/>
      <w:bookmarkStart w:id="120" w:name="_Toc425848010"/>
      <w:r>
        <w:rPr>
          <w:rStyle w:val="CharSectno"/>
        </w:rPr>
        <w:t>21D</w:t>
      </w:r>
      <w:r>
        <w:rPr>
          <w:snapToGrid w:val="0"/>
        </w:rPr>
        <w:t>.</w:t>
      </w:r>
      <w:r>
        <w:rPr>
          <w:snapToGrid w:val="0"/>
        </w:rPr>
        <w:tab/>
        <w:t>Application of funds of Board</w:t>
      </w:r>
      <w:bookmarkEnd w:id="119"/>
      <w:bookmarkEnd w:id="120"/>
    </w:p>
    <w:p>
      <w:pPr>
        <w:pStyle w:val="Subsection"/>
        <w:rPr>
          <w:snapToGrid w:val="0"/>
        </w:rPr>
      </w:pPr>
      <w:r>
        <w:rPr>
          <w:snapToGrid w:val="0"/>
        </w:rPr>
        <w:tab/>
      </w:r>
      <w:r>
        <w:rPr>
          <w:snapToGrid w:val="0"/>
        </w:rPr>
        <w:tab/>
        <w:t>The funds of the Board may be applied and used for all or any of the following purposes, namely — </w:t>
      </w:r>
    </w:p>
    <w:p>
      <w:pPr>
        <w:pStyle w:val="Indenta"/>
        <w:rPr>
          <w:snapToGrid w:val="0"/>
        </w:rPr>
      </w:pPr>
      <w:r>
        <w:rPr>
          <w:snapToGrid w:val="0"/>
        </w:rPr>
        <w:tab/>
        <w:t>(a)</w:t>
      </w:r>
      <w:r>
        <w:rPr>
          <w:snapToGrid w:val="0"/>
        </w:rPr>
        <w:tab/>
        <w:t>all purposes incidental to the administration and enforcement of this Act;</w:t>
      </w:r>
    </w:p>
    <w:p>
      <w:pPr>
        <w:pStyle w:val="Indenta"/>
        <w:rPr>
          <w:snapToGrid w:val="0"/>
        </w:rPr>
      </w:pPr>
      <w:r>
        <w:rPr>
          <w:snapToGrid w:val="0"/>
        </w:rPr>
        <w:tab/>
        <w:t>(b)</w:t>
      </w:r>
      <w:r>
        <w:rPr>
          <w:snapToGrid w:val="0"/>
        </w:rPr>
        <w:tab/>
        <w:t>the advancement of scientific and educational purposes relating to the practice of medicine and surgery; and</w:t>
      </w:r>
    </w:p>
    <w:p>
      <w:pPr>
        <w:pStyle w:val="Indenta"/>
        <w:rPr>
          <w:snapToGrid w:val="0"/>
        </w:rPr>
      </w:pPr>
      <w:r>
        <w:rPr>
          <w:snapToGrid w:val="0"/>
        </w:rPr>
        <w:tab/>
        <w:t>(c)</w:t>
      </w:r>
      <w:r>
        <w:rPr>
          <w:snapToGrid w:val="0"/>
        </w:rPr>
        <w:tab/>
        <w:t>such other purposes as the Board may recommend and the Minister approve.</w:t>
      </w:r>
    </w:p>
    <w:p>
      <w:pPr>
        <w:pStyle w:val="Footnotesection"/>
      </w:pPr>
      <w:r>
        <w:tab/>
        <w:t>[Section 21D inserted by No. 22 of 1945 s. 15.]</w:t>
      </w:r>
    </w:p>
    <w:p>
      <w:pPr>
        <w:pStyle w:val="Heading5"/>
        <w:rPr>
          <w:snapToGrid w:val="0"/>
        </w:rPr>
      </w:pPr>
      <w:bookmarkStart w:id="121" w:name="_Toc377986181"/>
      <w:bookmarkStart w:id="122" w:name="_Toc425848011"/>
      <w:r>
        <w:rPr>
          <w:rStyle w:val="CharSectno"/>
        </w:rPr>
        <w:t>21E</w:t>
      </w:r>
      <w:r>
        <w:rPr>
          <w:snapToGrid w:val="0"/>
        </w:rPr>
        <w:t>.</w:t>
      </w:r>
      <w:r>
        <w:rPr>
          <w:snapToGrid w:val="0"/>
        </w:rPr>
        <w:tab/>
        <w:t>Accounts</w:t>
      </w:r>
      <w:bookmarkEnd w:id="121"/>
      <w:bookmarkEnd w:id="12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21E inserted by No. 77 of 1987 s. 3.] </w:t>
      </w:r>
    </w:p>
    <w:p>
      <w:pPr>
        <w:pStyle w:val="Heading5"/>
        <w:rPr>
          <w:snapToGrid w:val="0"/>
        </w:rPr>
      </w:pPr>
      <w:bookmarkStart w:id="123" w:name="_Toc377986182"/>
      <w:bookmarkStart w:id="124" w:name="_Toc425848012"/>
      <w:r>
        <w:rPr>
          <w:rStyle w:val="CharSectno"/>
        </w:rPr>
        <w:t>21F</w:t>
      </w:r>
      <w:r>
        <w:rPr>
          <w:snapToGrid w:val="0"/>
        </w:rPr>
        <w:t>.</w:t>
      </w:r>
      <w:r>
        <w:rPr>
          <w:snapToGrid w:val="0"/>
        </w:rPr>
        <w:tab/>
        <w:t>Audit</w:t>
      </w:r>
      <w:bookmarkEnd w:id="123"/>
      <w:bookmarkEnd w:id="12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21F inserted by No. 77 of 1987 s. 3.]</w:t>
      </w:r>
    </w:p>
    <w:p>
      <w:pPr>
        <w:pStyle w:val="Heading5"/>
        <w:rPr>
          <w:snapToGrid w:val="0"/>
        </w:rPr>
      </w:pPr>
      <w:bookmarkStart w:id="125" w:name="_Toc377986183"/>
      <w:bookmarkStart w:id="126" w:name="_Toc425848013"/>
      <w:r>
        <w:rPr>
          <w:rStyle w:val="CharSectno"/>
        </w:rPr>
        <w:t>21G</w:t>
      </w:r>
      <w:r>
        <w:rPr>
          <w:snapToGrid w:val="0"/>
        </w:rPr>
        <w:t>.</w:t>
      </w:r>
      <w:r>
        <w:rPr>
          <w:snapToGrid w:val="0"/>
        </w:rPr>
        <w:tab/>
        <w:t>Annual report</w:t>
      </w:r>
      <w:bookmarkEnd w:id="125"/>
      <w:bookmarkEnd w:id="12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w:t>
      </w:r>
      <w:r>
        <w:rPr>
          <w:snapToGrid w:val="0"/>
        </w:rPr>
        <w:t>Board</w:t>
      </w:r>
      <w:r>
        <w:t xml:space="preserve">’s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w:t>
      </w:r>
    </w:p>
    <w:p>
      <w:pPr>
        <w:pStyle w:val="Indenti"/>
        <w:rPr>
          <w:snapToGrid w:val="0"/>
        </w:rPr>
      </w:pPr>
      <w:r>
        <w:rPr>
          <w:snapToGrid w:val="0"/>
        </w:rPr>
        <w:tab/>
        <w:t>(ii)</w:t>
      </w:r>
      <w:r>
        <w:rPr>
          <w:snapToGrid w:val="0"/>
        </w:rPr>
        <w:tab/>
        <w:t>matters that have been referred to the professional standards committee;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Board</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Board</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21G inserted by No. 77 of 1987 s. 3; amended by No. 55 of 2004 s. 735.]</w:t>
      </w:r>
    </w:p>
    <w:p>
      <w:pPr>
        <w:pStyle w:val="Heading5"/>
        <w:rPr>
          <w:snapToGrid w:val="0"/>
        </w:rPr>
      </w:pPr>
      <w:bookmarkStart w:id="127" w:name="_Toc377986184"/>
      <w:bookmarkStart w:id="128" w:name="_Toc425848014"/>
      <w:r>
        <w:rPr>
          <w:rStyle w:val="CharSectno"/>
        </w:rPr>
        <w:t>22</w:t>
      </w:r>
      <w:r>
        <w:rPr>
          <w:snapToGrid w:val="0"/>
        </w:rPr>
        <w:t>.</w:t>
      </w:r>
      <w:r>
        <w:rPr>
          <w:snapToGrid w:val="0"/>
        </w:rPr>
        <w:tab/>
        <w:t>Proceedings for offences etc.</w:t>
      </w:r>
      <w:bookmarkEnd w:id="127"/>
      <w:bookmarkEnd w:id="128"/>
    </w:p>
    <w:p>
      <w:pPr>
        <w:pStyle w:val="Subsection"/>
        <w:rPr>
          <w:snapToGrid w:val="0"/>
        </w:rPr>
      </w:pPr>
      <w:r>
        <w:rPr>
          <w:snapToGrid w:val="0"/>
        </w:rPr>
        <w:tab/>
        <w:t>(1)</w:t>
      </w:r>
      <w:r>
        <w:rPr>
          <w:snapToGrid w:val="0"/>
        </w:rPr>
        <w:tab/>
        <w:t>Proceedings for an offence against this Act or the rules shall be dealt with summarily in a court of summary jurisdiction.</w:t>
      </w:r>
    </w:p>
    <w:p>
      <w:pPr>
        <w:pStyle w:val="Ednotesubsection"/>
      </w:pPr>
      <w:r>
        <w:tab/>
        <w:t>[(2)</w:t>
      </w:r>
      <w:r>
        <w:tab/>
        <w:t>repealed]</w:t>
      </w:r>
    </w:p>
    <w:p>
      <w:pPr>
        <w:pStyle w:val="Subsection"/>
      </w:pPr>
      <w:r>
        <w:tab/>
        <w:t>(3)</w:t>
      </w:r>
      <w:r>
        <w:tab/>
        <w:t xml:space="preserve">All — </w:t>
      </w:r>
    </w:p>
    <w:p>
      <w:pPr>
        <w:pStyle w:val="Indenta"/>
      </w:pPr>
      <w:r>
        <w:tab/>
        <w:t>(a)</w:t>
      </w:r>
      <w:r>
        <w:tab/>
        <w:t>fees paid under this Act or the rules; and</w:t>
      </w:r>
    </w:p>
    <w:p>
      <w:pPr>
        <w:pStyle w:val="Indenta"/>
      </w:pPr>
      <w:r>
        <w:tab/>
        <w:t>(b)</w:t>
      </w:r>
      <w:r>
        <w:tab/>
        <w:t>fines imposed by the Board or the professional standards committee under this Act or the rules that are paid to or recovered by the Board,</w:t>
      </w:r>
    </w:p>
    <w:p>
      <w:pPr>
        <w:pStyle w:val="Subsection"/>
        <w:rPr>
          <w:snapToGrid w:val="0"/>
        </w:rPr>
      </w:pPr>
      <w:r>
        <w:tab/>
      </w:r>
      <w:r>
        <w:tab/>
        <w:t>shall be credited to the Board.</w:t>
      </w:r>
    </w:p>
    <w:p>
      <w:pPr>
        <w:pStyle w:val="Footnotesection"/>
      </w:pPr>
      <w:r>
        <w:tab/>
        <w:t>[Section 22 inserted by No. 92 of 1994 s. 25; amended by No. 55 of 2004 s. 736.]</w:t>
      </w:r>
    </w:p>
    <w:p>
      <w:pPr>
        <w:pStyle w:val="Heading5"/>
      </w:pPr>
      <w:bookmarkStart w:id="129" w:name="_Toc377986185"/>
      <w:bookmarkStart w:id="130" w:name="_Toc425848015"/>
      <w:r>
        <w:rPr>
          <w:rStyle w:val="CharSectno"/>
        </w:rPr>
        <w:t>22A</w:t>
      </w:r>
      <w:r>
        <w:t>.</w:t>
      </w:r>
      <w:r>
        <w:tab/>
        <w:t>Constitution of State Administrative Tribunal under this Act</w:t>
      </w:r>
      <w:bookmarkEnd w:id="129"/>
      <w:bookmarkEnd w:id="130"/>
    </w:p>
    <w:p>
      <w:pPr>
        <w:pStyle w:val="Subsection"/>
      </w:pPr>
      <w:r>
        <w:tab/>
        <w:t>(1)</w:t>
      </w:r>
      <w:r>
        <w:tab/>
        <w:t xml:space="preserve">For the purpose of exercising jurisdiction conferred by or under this Act, the State Administrative Tribunal is to be constituted by 4 members being — </w:t>
      </w:r>
    </w:p>
    <w:p>
      <w:pPr>
        <w:pStyle w:val="Indenta"/>
      </w:pPr>
      <w:r>
        <w:tab/>
        <w:t>(a)</w:t>
      </w:r>
      <w:r>
        <w:tab/>
        <w:t xml:space="preserve">one person who is a legally qualified member as defined in section 3(1) of the </w:t>
      </w:r>
      <w:r>
        <w:rPr>
          <w:i/>
        </w:rPr>
        <w:t>State Administrative Tribunal Act 2004</w:t>
      </w:r>
      <w:r>
        <w:t>;</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pPr>
        <w:pStyle w:val="Subsection"/>
      </w:pPr>
      <w:r>
        <w:tab/>
        <w:t>(3)</w:t>
      </w:r>
      <w:r>
        <w:tab/>
        <w:t>The member referred to in subsection (1)(a) is to be the presiding member.</w:t>
      </w:r>
    </w:p>
    <w:p>
      <w:pPr>
        <w:pStyle w:val="Subsection"/>
      </w:pPr>
      <w:r>
        <w:tab/>
        <w:t>(4)</w:t>
      </w:r>
      <w:r>
        <w:tab/>
        <w:t>Subsections (1), (2), and (3) do not apply when the Tribunal is holding a directions hearing or other procedural hearing.</w:t>
      </w:r>
    </w:p>
    <w:p>
      <w:pPr>
        <w:pStyle w:val="Footnotesection"/>
      </w:pPr>
      <w:r>
        <w:tab/>
        <w:t>[Section 22A inserted by No. 55 of 2004 s. 737.]</w:t>
      </w:r>
    </w:p>
    <w:p>
      <w:pPr>
        <w:pStyle w:val="Heading5"/>
        <w:rPr>
          <w:snapToGrid w:val="0"/>
        </w:rPr>
      </w:pPr>
      <w:bookmarkStart w:id="131" w:name="_Toc377986186"/>
      <w:bookmarkStart w:id="132" w:name="_Toc425848016"/>
      <w:r>
        <w:rPr>
          <w:rStyle w:val="CharSectno"/>
        </w:rPr>
        <w:t>23</w:t>
      </w:r>
      <w:r>
        <w:rPr>
          <w:snapToGrid w:val="0"/>
        </w:rPr>
        <w:t>.</w:t>
      </w:r>
      <w:r>
        <w:rPr>
          <w:snapToGrid w:val="0"/>
        </w:rPr>
        <w:tab/>
      </w:r>
      <w:r>
        <w:rPr>
          <w:i/>
          <w:snapToGrid w:val="0"/>
        </w:rPr>
        <w:t>Interpretation Act 1918</w:t>
      </w:r>
      <w:bookmarkEnd w:id="131"/>
      <w:bookmarkEnd w:id="132"/>
    </w:p>
    <w:p>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pPr>
        <w:pStyle w:val="Footnotesection"/>
      </w:pPr>
      <w:r>
        <w:tab/>
        <w:t>[Section 23 amended by No. 22 of 1945 s. 16; No. 59 of 2004 s. 141.]</w:t>
      </w:r>
    </w:p>
    <w:p>
      <w:pPr>
        <w:pStyle w:val="Heading5"/>
        <w:rPr>
          <w:snapToGrid w:val="0"/>
        </w:rPr>
      </w:pPr>
      <w:bookmarkStart w:id="133" w:name="_Toc377986187"/>
      <w:bookmarkStart w:id="134" w:name="_Toc425848017"/>
      <w:r>
        <w:rPr>
          <w:rStyle w:val="CharSectno"/>
        </w:rPr>
        <w:t>24</w:t>
      </w:r>
      <w:r>
        <w:rPr>
          <w:snapToGrid w:val="0"/>
        </w:rPr>
        <w:t>.</w:t>
      </w:r>
      <w:r>
        <w:rPr>
          <w:snapToGrid w:val="0"/>
        </w:rPr>
        <w:tab/>
        <w:t>Review of Act</w:t>
      </w:r>
      <w:bookmarkEnd w:id="133"/>
      <w:bookmarkEnd w:id="134"/>
    </w:p>
    <w:p>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Board;</w:t>
      </w:r>
    </w:p>
    <w:p>
      <w:pPr>
        <w:pStyle w:val="Indenta"/>
        <w:rPr>
          <w:snapToGrid w:val="0"/>
        </w:rPr>
      </w:pPr>
      <w:r>
        <w:rPr>
          <w:snapToGrid w:val="0"/>
        </w:rPr>
        <w:tab/>
        <w:t>(d)</w:t>
      </w:r>
      <w:r>
        <w:rPr>
          <w:snapToGrid w:val="0"/>
        </w:rPr>
        <w:tab/>
        <w:t>the need for the continuation of the Board; and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24 inserted by No. 70 of 1985 s. 23.]</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5" w:name="_Toc377985316"/>
      <w:bookmarkStart w:id="136" w:name="_Toc377986188"/>
      <w:bookmarkStart w:id="137" w:name="_Toc425848018"/>
      <w:r>
        <w:rPr>
          <w:rStyle w:val="CharSchNo"/>
        </w:rPr>
        <w:t>The Schedules</w:t>
      </w:r>
      <w:bookmarkEnd w:id="135"/>
      <w:bookmarkEnd w:id="136"/>
      <w:bookmarkEnd w:id="137"/>
    </w:p>
    <w:p>
      <w:pPr>
        <w:pStyle w:val="yEdnoteschedule"/>
      </w:pPr>
      <w:r>
        <w:t>[Schedule I omitted under the Reprints Act 1984 s. 7(4)(f).]</w:t>
      </w:r>
    </w:p>
    <w:p>
      <w:pPr>
        <w:pStyle w:val="yEdnoteschedule"/>
      </w:pPr>
      <w:r>
        <w:t>[Schedule II repealed by No. 56 of 1979 s. 5.]</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9" w:name="_Toc377985317"/>
      <w:bookmarkStart w:id="140" w:name="_Toc377986189"/>
      <w:bookmarkStart w:id="141" w:name="_Toc425848019"/>
      <w:r>
        <w:t>Notes</w:t>
      </w:r>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3, 4</w:t>
      </w:r>
      <w:r>
        <w:rPr>
          <w:snapToGrid w:val="0"/>
        </w:rPr>
        <w:t>.  The table also contains information about any reprint.</w:t>
      </w:r>
    </w:p>
    <w:p>
      <w:pPr>
        <w:pStyle w:val="nHeading3"/>
        <w:rPr>
          <w:snapToGrid w:val="0"/>
        </w:rPr>
      </w:pPr>
      <w:bookmarkStart w:id="142" w:name="_Toc377986190"/>
      <w:bookmarkStart w:id="143" w:name="_Toc425848020"/>
      <w:r>
        <w:rPr>
          <w:snapToGrid w:val="0"/>
        </w:rPr>
        <w:t>Compilation table</w:t>
      </w:r>
      <w:bookmarkEnd w:id="142"/>
      <w:bookmarkEnd w:id="143"/>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0" w:type="dxa"/>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Medical Act 1894</w:t>
            </w:r>
          </w:p>
        </w:tc>
        <w:tc>
          <w:tcPr>
            <w:tcW w:w="1133" w:type="dxa"/>
            <w:tcBorders>
              <w:top w:val="single" w:sz="8" w:space="0" w:color="auto"/>
            </w:tcBorders>
          </w:tcPr>
          <w:p>
            <w:pPr>
              <w:pStyle w:val="nTable"/>
              <w:spacing w:after="40"/>
            </w:pPr>
            <w:r>
              <w:t>58 Vict. No. 36</w:t>
            </w:r>
          </w:p>
        </w:tc>
        <w:tc>
          <w:tcPr>
            <w:tcW w:w="1133" w:type="dxa"/>
            <w:tcBorders>
              <w:top w:val="single" w:sz="8" w:space="0" w:color="auto"/>
            </w:tcBorders>
          </w:tcPr>
          <w:p>
            <w:pPr>
              <w:pStyle w:val="nTable"/>
              <w:spacing w:after="40"/>
            </w:pPr>
            <w:r>
              <w:t>28 Nov 1894</w:t>
            </w:r>
          </w:p>
        </w:tc>
        <w:tc>
          <w:tcPr>
            <w:tcW w:w="2550" w:type="dxa"/>
            <w:tcBorders>
              <w:top w:val="single" w:sz="8" w:space="0" w:color="auto"/>
            </w:tcBorders>
          </w:tcPr>
          <w:p>
            <w:pPr>
              <w:pStyle w:val="nTable"/>
              <w:spacing w:after="40"/>
            </w:pPr>
            <w:r>
              <w:t>1 Jan 1895 (see s. 1)</w:t>
            </w:r>
          </w:p>
        </w:tc>
      </w:tr>
      <w:tr>
        <w:trPr>
          <w:cantSplit/>
        </w:trPr>
        <w:tc>
          <w:tcPr>
            <w:tcW w:w="2267" w:type="dxa"/>
          </w:tcPr>
          <w:p>
            <w:pPr>
              <w:pStyle w:val="nTable"/>
              <w:spacing w:after="40"/>
              <w:ind w:right="170"/>
            </w:pPr>
            <w:r>
              <w:rPr>
                <w:i/>
              </w:rPr>
              <w:t>The Medical Act Amendment Act 1895</w:t>
            </w:r>
          </w:p>
        </w:tc>
        <w:tc>
          <w:tcPr>
            <w:tcW w:w="1133" w:type="dxa"/>
          </w:tcPr>
          <w:p>
            <w:pPr>
              <w:pStyle w:val="nTable"/>
              <w:spacing w:after="40"/>
            </w:pPr>
            <w:r>
              <w:t>59 Vict. No. 17</w:t>
            </w:r>
          </w:p>
        </w:tc>
        <w:tc>
          <w:tcPr>
            <w:tcW w:w="1133" w:type="dxa"/>
          </w:tcPr>
          <w:p>
            <w:pPr>
              <w:pStyle w:val="nTable"/>
              <w:spacing w:after="40"/>
            </w:pPr>
            <w:r>
              <w:t>11 Sep 1895</w:t>
            </w:r>
          </w:p>
        </w:tc>
        <w:tc>
          <w:tcPr>
            <w:tcW w:w="2550" w:type="dxa"/>
          </w:tcPr>
          <w:p>
            <w:pPr>
              <w:pStyle w:val="nTable"/>
              <w:spacing w:after="40"/>
            </w:pPr>
            <w:r>
              <w:t>11 Sep 1895</w:t>
            </w:r>
          </w:p>
        </w:tc>
      </w:tr>
      <w:tr>
        <w:trPr>
          <w:cantSplit/>
        </w:trPr>
        <w:tc>
          <w:tcPr>
            <w:tcW w:w="2267" w:type="dxa"/>
          </w:tcPr>
          <w:p>
            <w:pPr>
              <w:pStyle w:val="nTable"/>
              <w:spacing w:after="40"/>
            </w:pPr>
            <w:r>
              <w:rPr>
                <w:i/>
              </w:rPr>
              <w:t>Coroners Act 1920</w:t>
            </w:r>
            <w:r>
              <w:t xml:space="preserve"> s. 2</w:t>
            </w:r>
          </w:p>
        </w:tc>
        <w:tc>
          <w:tcPr>
            <w:tcW w:w="1133" w:type="dxa"/>
          </w:tcPr>
          <w:p>
            <w:pPr>
              <w:pStyle w:val="nTable"/>
              <w:spacing w:after="40"/>
            </w:pPr>
            <w:r>
              <w:t>24 of 1920</w:t>
            </w:r>
          </w:p>
        </w:tc>
        <w:tc>
          <w:tcPr>
            <w:tcW w:w="1133" w:type="dxa"/>
          </w:tcPr>
          <w:p>
            <w:pPr>
              <w:pStyle w:val="nTable"/>
              <w:spacing w:after="40"/>
            </w:pPr>
            <w:r>
              <w:t>31 Dec 1920</w:t>
            </w:r>
          </w:p>
        </w:tc>
        <w:tc>
          <w:tcPr>
            <w:tcW w:w="2550" w:type="dxa"/>
          </w:tcPr>
          <w:p>
            <w:pPr>
              <w:pStyle w:val="nTable"/>
              <w:spacing w:after="40"/>
            </w:pPr>
            <w:r>
              <w:t>1 Jan 1921 (see s. 1)</w:t>
            </w:r>
          </w:p>
        </w:tc>
      </w:tr>
      <w:tr>
        <w:trPr>
          <w:cantSplit/>
        </w:trPr>
        <w:tc>
          <w:tcPr>
            <w:tcW w:w="2267" w:type="dxa"/>
          </w:tcPr>
          <w:p>
            <w:pPr>
              <w:pStyle w:val="nTable"/>
              <w:spacing w:after="40"/>
              <w:ind w:right="170"/>
            </w:pPr>
            <w:r>
              <w:rPr>
                <w:i/>
              </w:rPr>
              <w:t>Medical Act Amendment Act 1940</w:t>
            </w:r>
          </w:p>
        </w:tc>
        <w:tc>
          <w:tcPr>
            <w:tcW w:w="1133" w:type="dxa"/>
          </w:tcPr>
          <w:p>
            <w:pPr>
              <w:pStyle w:val="nTable"/>
              <w:spacing w:after="40"/>
            </w:pPr>
            <w:r>
              <w:t>51 of 1940</w:t>
            </w:r>
          </w:p>
        </w:tc>
        <w:tc>
          <w:tcPr>
            <w:tcW w:w="1133" w:type="dxa"/>
          </w:tcPr>
          <w:p>
            <w:pPr>
              <w:pStyle w:val="nTable"/>
              <w:spacing w:after="40"/>
            </w:pPr>
            <w:r>
              <w:t>30 Dec 1940</w:t>
            </w:r>
          </w:p>
        </w:tc>
        <w:tc>
          <w:tcPr>
            <w:tcW w:w="2550" w:type="dxa"/>
          </w:tcPr>
          <w:p>
            <w:pPr>
              <w:pStyle w:val="nTable"/>
              <w:spacing w:after="40"/>
            </w:pPr>
            <w:r>
              <w:t>30 Dec 1940</w:t>
            </w:r>
          </w:p>
        </w:tc>
      </w:tr>
      <w:tr>
        <w:trPr>
          <w:cantSplit/>
        </w:trPr>
        <w:tc>
          <w:tcPr>
            <w:tcW w:w="7083" w:type="dxa"/>
            <w:gridSpan w:val="4"/>
          </w:tcPr>
          <w:p>
            <w:pPr>
              <w:pStyle w:val="nTable"/>
              <w:spacing w:after="40"/>
              <w:rPr>
                <w:b/>
                <w:bCs/>
              </w:rPr>
            </w:pPr>
            <w:r>
              <w:rPr>
                <w:b/>
                <w:bCs/>
              </w:rPr>
              <w:t xml:space="preserve">Reprint of the </w:t>
            </w:r>
            <w:r>
              <w:rPr>
                <w:b/>
                <w:bCs/>
                <w:i/>
                <w:iCs/>
              </w:rPr>
              <w:t>Medical Act 1894</w:t>
            </w:r>
            <w:r>
              <w:rPr>
                <w:b/>
                <w:bCs/>
              </w:rPr>
              <w:t xml:space="preserve"> in Volume 2 of Reprinted Acts </w:t>
            </w:r>
            <w:r>
              <w:t>(includes amendments listed above)</w:t>
            </w:r>
          </w:p>
        </w:tc>
      </w:tr>
      <w:tr>
        <w:trPr>
          <w:cantSplit/>
        </w:trPr>
        <w:tc>
          <w:tcPr>
            <w:tcW w:w="2267" w:type="dxa"/>
          </w:tcPr>
          <w:p>
            <w:pPr>
              <w:pStyle w:val="nTable"/>
              <w:spacing w:after="40"/>
              <w:ind w:right="170"/>
            </w:pPr>
            <w:r>
              <w:rPr>
                <w:i/>
              </w:rPr>
              <w:t>Medical Act Amendment Act 1945</w:t>
            </w:r>
          </w:p>
        </w:tc>
        <w:tc>
          <w:tcPr>
            <w:tcW w:w="1133" w:type="dxa"/>
          </w:tcPr>
          <w:p>
            <w:pPr>
              <w:pStyle w:val="nTable"/>
              <w:spacing w:after="40"/>
            </w:pPr>
            <w:r>
              <w:t>22 of 1945</w:t>
            </w:r>
          </w:p>
        </w:tc>
        <w:tc>
          <w:tcPr>
            <w:tcW w:w="1133" w:type="dxa"/>
          </w:tcPr>
          <w:p>
            <w:pPr>
              <w:pStyle w:val="nTable"/>
              <w:spacing w:after="40"/>
            </w:pPr>
            <w:r>
              <w:t>9 Jan 1946</w:t>
            </w:r>
          </w:p>
        </w:tc>
        <w:tc>
          <w:tcPr>
            <w:tcW w:w="2550" w:type="dxa"/>
          </w:tcPr>
          <w:p>
            <w:pPr>
              <w:pStyle w:val="nTable"/>
              <w:spacing w:after="40"/>
            </w:pPr>
            <w:r>
              <w:t>9 Jan 1946</w:t>
            </w:r>
          </w:p>
        </w:tc>
      </w:tr>
      <w:tr>
        <w:trPr>
          <w:cantSplit/>
        </w:trPr>
        <w:tc>
          <w:tcPr>
            <w:tcW w:w="2267" w:type="dxa"/>
          </w:tcPr>
          <w:p>
            <w:pPr>
              <w:pStyle w:val="nTable"/>
              <w:spacing w:after="40"/>
              <w:ind w:right="170"/>
            </w:pPr>
            <w:r>
              <w:rPr>
                <w:i/>
              </w:rPr>
              <w:t>Medical Act Amendment Act 1946</w:t>
            </w:r>
          </w:p>
        </w:tc>
        <w:tc>
          <w:tcPr>
            <w:tcW w:w="1133" w:type="dxa"/>
          </w:tcPr>
          <w:p>
            <w:pPr>
              <w:pStyle w:val="nTable"/>
              <w:spacing w:after="40"/>
            </w:pPr>
            <w:r>
              <w:t>8 of 1946</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7" w:type="dxa"/>
          </w:tcPr>
          <w:p>
            <w:pPr>
              <w:pStyle w:val="nTable"/>
              <w:spacing w:after="40"/>
              <w:ind w:right="170"/>
            </w:pPr>
            <w:r>
              <w:rPr>
                <w:i/>
              </w:rPr>
              <w:t>Medical Act Amendment Act 1950</w:t>
            </w:r>
          </w:p>
        </w:tc>
        <w:tc>
          <w:tcPr>
            <w:tcW w:w="1133" w:type="dxa"/>
          </w:tcPr>
          <w:p>
            <w:pPr>
              <w:pStyle w:val="nTable"/>
              <w:spacing w:after="40"/>
            </w:pPr>
            <w:r>
              <w:t>21 of 1950</w:t>
            </w:r>
          </w:p>
        </w:tc>
        <w:tc>
          <w:tcPr>
            <w:tcW w:w="1133" w:type="dxa"/>
          </w:tcPr>
          <w:p>
            <w:pPr>
              <w:pStyle w:val="nTable"/>
              <w:spacing w:after="40"/>
            </w:pPr>
            <w:r>
              <w:t>29 Nov 1950</w:t>
            </w:r>
          </w:p>
        </w:tc>
        <w:tc>
          <w:tcPr>
            <w:tcW w:w="2550" w:type="dxa"/>
          </w:tcPr>
          <w:p>
            <w:pPr>
              <w:pStyle w:val="nTable"/>
              <w:spacing w:after="40"/>
            </w:pPr>
            <w:r>
              <w:t>29 Nov 1950</w:t>
            </w:r>
          </w:p>
        </w:tc>
      </w:tr>
      <w:tr>
        <w:trPr>
          <w:cantSplit/>
        </w:trPr>
        <w:tc>
          <w:tcPr>
            <w:tcW w:w="2267" w:type="dxa"/>
          </w:tcPr>
          <w:p>
            <w:pPr>
              <w:pStyle w:val="nTable"/>
              <w:spacing w:after="40"/>
              <w:ind w:right="170"/>
            </w:pPr>
            <w:r>
              <w:rPr>
                <w:i/>
              </w:rPr>
              <w:t>Medical Act Amendment Act 1952</w:t>
            </w:r>
          </w:p>
        </w:tc>
        <w:tc>
          <w:tcPr>
            <w:tcW w:w="1133" w:type="dxa"/>
          </w:tcPr>
          <w:p>
            <w:pPr>
              <w:pStyle w:val="nTable"/>
              <w:spacing w:after="40"/>
            </w:pPr>
            <w:r>
              <w:t>65 of 1952</w:t>
            </w:r>
          </w:p>
        </w:tc>
        <w:tc>
          <w:tcPr>
            <w:tcW w:w="1133" w:type="dxa"/>
          </w:tcPr>
          <w:p>
            <w:pPr>
              <w:pStyle w:val="nTable"/>
              <w:spacing w:after="40"/>
            </w:pPr>
            <w:r>
              <w:t>7 Jan 1953</w:t>
            </w:r>
          </w:p>
        </w:tc>
        <w:tc>
          <w:tcPr>
            <w:tcW w:w="2550" w:type="dxa"/>
          </w:tcPr>
          <w:p>
            <w:pPr>
              <w:pStyle w:val="nTable"/>
              <w:spacing w:after="40"/>
            </w:pPr>
            <w:r>
              <w:t>7 Jan 1953</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approved 12 Feb 1954 in Volume 6 of Reprinted Acts</w:t>
            </w:r>
            <w:r>
              <w:t xml:space="preserve"> (includes amendments listed above)</w:t>
            </w:r>
          </w:p>
        </w:tc>
      </w:tr>
      <w:tr>
        <w:trPr>
          <w:cantSplit/>
        </w:trPr>
        <w:tc>
          <w:tcPr>
            <w:tcW w:w="2267" w:type="dxa"/>
          </w:tcPr>
          <w:p>
            <w:pPr>
              <w:pStyle w:val="nTable"/>
              <w:spacing w:after="40"/>
              <w:ind w:right="170"/>
            </w:pPr>
            <w:r>
              <w:rPr>
                <w:i/>
              </w:rPr>
              <w:t>Medical Act Amendment Act 1955</w:t>
            </w:r>
          </w:p>
        </w:tc>
        <w:tc>
          <w:tcPr>
            <w:tcW w:w="1133" w:type="dxa"/>
          </w:tcPr>
          <w:p>
            <w:pPr>
              <w:pStyle w:val="nTable"/>
              <w:spacing w:after="40"/>
            </w:pPr>
            <w:r>
              <w:t>10 of 1955</w:t>
            </w:r>
          </w:p>
        </w:tc>
        <w:tc>
          <w:tcPr>
            <w:tcW w:w="1133" w:type="dxa"/>
          </w:tcPr>
          <w:p>
            <w:pPr>
              <w:pStyle w:val="nTable"/>
              <w:spacing w:after="40"/>
            </w:pPr>
            <w:r>
              <w:t>21 Oct 1955</w:t>
            </w:r>
          </w:p>
        </w:tc>
        <w:tc>
          <w:tcPr>
            <w:tcW w:w="2550" w:type="dxa"/>
          </w:tcPr>
          <w:p>
            <w:pPr>
              <w:pStyle w:val="nTable"/>
              <w:spacing w:after="40"/>
            </w:pPr>
            <w:r>
              <w:t>21 Oct 1955</w:t>
            </w:r>
          </w:p>
        </w:tc>
      </w:tr>
      <w:tr>
        <w:trPr>
          <w:cantSplit/>
        </w:trPr>
        <w:tc>
          <w:tcPr>
            <w:tcW w:w="2267" w:type="dxa"/>
          </w:tcPr>
          <w:p>
            <w:pPr>
              <w:pStyle w:val="nTable"/>
              <w:spacing w:after="40"/>
            </w:pPr>
            <w:r>
              <w:rPr>
                <w:i/>
              </w:rPr>
              <w:t>Medical Act Amendment Act (No. 2) 1955</w:t>
            </w:r>
          </w:p>
        </w:tc>
        <w:tc>
          <w:tcPr>
            <w:tcW w:w="1133" w:type="dxa"/>
          </w:tcPr>
          <w:p>
            <w:pPr>
              <w:pStyle w:val="nTable"/>
              <w:keepNext/>
              <w:keepLines/>
              <w:spacing w:after="40"/>
            </w:pPr>
            <w:r>
              <w:t>18 of 1955</w:t>
            </w:r>
          </w:p>
        </w:tc>
        <w:tc>
          <w:tcPr>
            <w:tcW w:w="1133" w:type="dxa"/>
          </w:tcPr>
          <w:p>
            <w:pPr>
              <w:pStyle w:val="nTable"/>
              <w:spacing w:after="40"/>
            </w:pPr>
            <w:r>
              <w:t>1 Nov 1955</w:t>
            </w:r>
          </w:p>
        </w:tc>
        <w:tc>
          <w:tcPr>
            <w:tcW w:w="2550" w:type="dxa"/>
          </w:tcPr>
          <w:p>
            <w:pPr>
              <w:pStyle w:val="nTable"/>
              <w:spacing w:after="40"/>
            </w:pPr>
            <w:r>
              <w:t>1 Nov 1955</w:t>
            </w:r>
          </w:p>
        </w:tc>
      </w:tr>
      <w:tr>
        <w:trPr>
          <w:cantSplit/>
        </w:trPr>
        <w:tc>
          <w:tcPr>
            <w:tcW w:w="2267" w:type="dxa"/>
          </w:tcPr>
          <w:p>
            <w:pPr>
              <w:pStyle w:val="nTable"/>
              <w:spacing w:after="40"/>
              <w:ind w:right="170"/>
            </w:pPr>
            <w:r>
              <w:rPr>
                <w:i/>
              </w:rPr>
              <w:t>Medical Act Amendment Act 1956</w:t>
            </w:r>
          </w:p>
        </w:tc>
        <w:tc>
          <w:tcPr>
            <w:tcW w:w="1133" w:type="dxa"/>
          </w:tcPr>
          <w:p>
            <w:pPr>
              <w:pStyle w:val="nTable"/>
              <w:spacing w:after="40"/>
            </w:pPr>
            <w:r>
              <w:t>35 of 1956</w:t>
            </w:r>
          </w:p>
        </w:tc>
        <w:tc>
          <w:tcPr>
            <w:tcW w:w="1133" w:type="dxa"/>
          </w:tcPr>
          <w:p>
            <w:pPr>
              <w:pStyle w:val="nTable"/>
              <w:spacing w:after="40"/>
            </w:pPr>
            <w:r>
              <w:t>18 Dec 1956</w:t>
            </w:r>
          </w:p>
        </w:tc>
        <w:tc>
          <w:tcPr>
            <w:tcW w:w="2550" w:type="dxa"/>
          </w:tcPr>
          <w:p>
            <w:pPr>
              <w:pStyle w:val="nTable"/>
              <w:spacing w:after="40"/>
            </w:pPr>
            <w:r>
              <w:t xml:space="preserve">6 Nov 1959 (see s. 1(1) and </w:t>
            </w:r>
            <w:r>
              <w:rPr>
                <w:i/>
              </w:rPr>
              <w:t>Gazette</w:t>
            </w:r>
            <w:r>
              <w:t xml:space="preserve"> 6 Nov 1959 p. 2746)</w:t>
            </w:r>
          </w:p>
        </w:tc>
      </w:tr>
      <w:tr>
        <w:trPr>
          <w:cantSplit/>
        </w:trPr>
        <w:tc>
          <w:tcPr>
            <w:tcW w:w="2267" w:type="dxa"/>
          </w:tcPr>
          <w:p>
            <w:pPr>
              <w:pStyle w:val="nTable"/>
              <w:spacing w:after="40"/>
              <w:ind w:right="170"/>
            </w:pPr>
            <w:r>
              <w:rPr>
                <w:i/>
              </w:rPr>
              <w:t>Medical Act Amendment Act 1961</w:t>
            </w:r>
          </w:p>
        </w:tc>
        <w:tc>
          <w:tcPr>
            <w:tcW w:w="1133" w:type="dxa"/>
          </w:tcPr>
          <w:p>
            <w:pPr>
              <w:pStyle w:val="nTable"/>
              <w:spacing w:after="40"/>
            </w:pPr>
            <w:r>
              <w:t>42 of 1961</w:t>
            </w:r>
          </w:p>
        </w:tc>
        <w:tc>
          <w:tcPr>
            <w:tcW w:w="1133" w:type="dxa"/>
          </w:tcPr>
          <w:p>
            <w:pPr>
              <w:pStyle w:val="nTable"/>
              <w:spacing w:after="40"/>
            </w:pPr>
            <w:r>
              <w:t>16 Nov 1961</w:t>
            </w:r>
          </w:p>
        </w:tc>
        <w:tc>
          <w:tcPr>
            <w:tcW w:w="2550" w:type="dxa"/>
          </w:tcPr>
          <w:p>
            <w:pPr>
              <w:pStyle w:val="nTable"/>
              <w:spacing w:after="40"/>
            </w:pPr>
            <w:r>
              <w:t>16 Nov 1961</w:t>
            </w:r>
          </w:p>
        </w:tc>
      </w:tr>
      <w:tr>
        <w:trPr>
          <w:cantSplit/>
        </w:trPr>
        <w:tc>
          <w:tcPr>
            <w:tcW w:w="2267" w:type="dxa"/>
          </w:tcPr>
          <w:p>
            <w:pPr>
              <w:pStyle w:val="nTable"/>
              <w:spacing w:after="40"/>
              <w:ind w:right="170"/>
            </w:pPr>
            <w:r>
              <w:rPr>
                <w:i/>
              </w:rPr>
              <w:t>Medical Act Amendment Act 1966</w:t>
            </w:r>
          </w:p>
        </w:tc>
        <w:tc>
          <w:tcPr>
            <w:tcW w:w="1133" w:type="dxa"/>
          </w:tcPr>
          <w:p>
            <w:pPr>
              <w:pStyle w:val="nTable"/>
              <w:spacing w:after="40"/>
            </w:pPr>
            <w:r>
              <w:t>43 of 1966</w:t>
            </w:r>
          </w:p>
        </w:tc>
        <w:tc>
          <w:tcPr>
            <w:tcW w:w="1133" w:type="dxa"/>
          </w:tcPr>
          <w:p>
            <w:pPr>
              <w:pStyle w:val="nTable"/>
              <w:spacing w:after="40"/>
            </w:pPr>
            <w:r>
              <w:t>18 Nov 1966</w:t>
            </w:r>
          </w:p>
        </w:tc>
        <w:tc>
          <w:tcPr>
            <w:tcW w:w="2550" w:type="dxa"/>
          </w:tcPr>
          <w:p>
            <w:pPr>
              <w:pStyle w:val="nTable"/>
              <w:spacing w:after="40"/>
            </w:pPr>
            <w:r>
              <w:t xml:space="preserve">12 May 1967 (see s. 2 and </w:t>
            </w:r>
            <w:r>
              <w:rPr>
                <w:i/>
              </w:rPr>
              <w:t>Gazette</w:t>
            </w:r>
            <w:r>
              <w:t xml:space="preserve"> 12 May 1967 p. 1219)</w:t>
            </w:r>
          </w:p>
        </w:tc>
      </w:tr>
      <w:tr>
        <w:trPr>
          <w:cantSplit/>
        </w:trPr>
        <w:tc>
          <w:tcPr>
            <w:tcW w:w="2267" w:type="dxa"/>
          </w:tcPr>
          <w:p>
            <w:pPr>
              <w:pStyle w:val="nTable"/>
              <w:spacing w:after="40"/>
              <w:ind w:right="170"/>
            </w:pPr>
            <w:r>
              <w:rPr>
                <w:i/>
              </w:rPr>
              <w:t>Medical Act Amendment Act 1968</w:t>
            </w:r>
          </w:p>
        </w:tc>
        <w:tc>
          <w:tcPr>
            <w:tcW w:w="1133" w:type="dxa"/>
          </w:tcPr>
          <w:p>
            <w:pPr>
              <w:pStyle w:val="nTable"/>
              <w:spacing w:after="40"/>
            </w:pPr>
            <w:r>
              <w:t>19 of 1968</w:t>
            </w:r>
          </w:p>
        </w:tc>
        <w:tc>
          <w:tcPr>
            <w:tcW w:w="1133" w:type="dxa"/>
          </w:tcPr>
          <w:p>
            <w:pPr>
              <w:pStyle w:val="nTable"/>
              <w:spacing w:after="40"/>
            </w:pPr>
            <w:r>
              <w:t>16 Oct 1968</w:t>
            </w:r>
          </w:p>
        </w:tc>
        <w:tc>
          <w:tcPr>
            <w:tcW w:w="2550" w:type="dxa"/>
          </w:tcPr>
          <w:p>
            <w:pPr>
              <w:pStyle w:val="nTable"/>
              <w:spacing w:after="40"/>
            </w:pPr>
            <w:r>
              <w:t>16 Oct 1968</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approved 23 Jan 1969 in Volume 22 of Reprinted Acts</w:t>
            </w:r>
            <w:r>
              <w:t xml:space="preserve"> (includes amendments listed above)</w:t>
            </w:r>
          </w:p>
        </w:tc>
      </w:tr>
      <w:tr>
        <w:trPr>
          <w:cantSplit/>
        </w:trPr>
        <w:tc>
          <w:tcPr>
            <w:tcW w:w="2267" w:type="dxa"/>
          </w:tcPr>
          <w:p>
            <w:pPr>
              <w:pStyle w:val="nTable"/>
              <w:spacing w:after="40"/>
              <w:ind w:right="170"/>
            </w:pPr>
            <w:r>
              <w:rPr>
                <w:i/>
              </w:rPr>
              <w:t>Medical Act Amendment Act 1975</w:t>
            </w:r>
          </w:p>
        </w:tc>
        <w:tc>
          <w:tcPr>
            <w:tcW w:w="1133" w:type="dxa"/>
          </w:tcPr>
          <w:p>
            <w:pPr>
              <w:pStyle w:val="nTable"/>
              <w:spacing w:after="40"/>
            </w:pPr>
            <w:r>
              <w:t>75 of 1975</w:t>
            </w:r>
          </w:p>
        </w:tc>
        <w:tc>
          <w:tcPr>
            <w:tcW w:w="1133" w:type="dxa"/>
          </w:tcPr>
          <w:p>
            <w:pPr>
              <w:pStyle w:val="nTable"/>
              <w:spacing w:after="40"/>
            </w:pPr>
            <w:r>
              <w:t>14 Nov 1975</w:t>
            </w:r>
          </w:p>
        </w:tc>
        <w:tc>
          <w:tcPr>
            <w:tcW w:w="2550" w:type="dxa"/>
          </w:tcPr>
          <w:p>
            <w:pPr>
              <w:pStyle w:val="nTable"/>
              <w:spacing w:after="40"/>
            </w:pPr>
            <w:r>
              <w:t>14 Nov 1975</w:t>
            </w:r>
          </w:p>
        </w:tc>
      </w:tr>
      <w:tr>
        <w:trPr>
          <w:cantSplit/>
        </w:trPr>
        <w:tc>
          <w:tcPr>
            <w:tcW w:w="2267" w:type="dxa"/>
          </w:tcPr>
          <w:p>
            <w:pPr>
              <w:pStyle w:val="nTable"/>
              <w:spacing w:after="40"/>
              <w:ind w:right="170"/>
            </w:pPr>
            <w:r>
              <w:rPr>
                <w:i/>
              </w:rPr>
              <w:t>Medical Act Amendment Act 1976</w:t>
            </w:r>
          </w:p>
        </w:tc>
        <w:tc>
          <w:tcPr>
            <w:tcW w:w="1133" w:type="dxa"/>
          </w:tcPr>
          <w:p>
            <w:pPr>
              <w:pStyle w:val="nTable"/>
              <w:spacing w:after="40"/>
            </w:pPr>
            <w:r>
              <w:t>70 of 1976</w:t>
            </w:r>
          </w:p>
        </w:tc>
        <w:tc>
          <w:tcPr>
            <w:tcW w:w="1133" w:type="dxa"/>
          </w:tcPr>
          <w:p>
            <w:pPr>
              <w:pStyle w:val="nTable"/>
              <w:spacing w:after="40"/>
            </w:pPr>
            <w:r>
              <w:t>6 Oct 1976</w:t>
            </w:r>
          </w:p>
        </w:tc>
        <w:tc>
          <w:tcPr>
            <w:tcW w:w="2550" w:type="dxa"/>
          </w:tcPr>
          <w:p>
            <w:pPr>
              <w:pStyle w:val="nTable"/>
              <w:spacing w:after="40"/>
            </w:pPr>
            <w:r>
              <w:t xml:space="preserve">24 Dec 1976 (see s. 2 and </w:t>
            </w:r>
            <w:r>
              <w:rPr>
                <w:i/>
              </w:rPr>
              <w:t>Gazette</w:t>
            </w:r>
            <w:r>
              <w:t xml:space="preserve"> 24 Dec 1976 p. 5028)</w:t>
            </w:r>
          </w:p>
        </w:tc>
      </w:tr>
      <w:tr>
        <w:trPr>
          <w:cantSplit/>
        </w:trPr>
        <w:tc>
          <w:tcPr>
            <w:tcW w:w="2267" w:type="dxa"/>
          </w:tcPr>
          <w:p>
            <w:pPr>
              <w:pStyle w:val="nTable"/>
              <w:spacing w:after="40"/>
              <w:ind w:right="170"/>
            </w:pPr>
            <w:r>
              <w:rPr>
                <w:i/>
              </w:rPr>
              <w:t>Medical Act Amendment Act 1979</w:t>
            </w:r>
          </w:p>
        </w:tc>
        <w:tc>
          <w:tcPr>
            <w:tcW w:w="1133" w:type="dxa"/>
          </w:tcPr>
          <w:p>
            <w:pPr>
              <w:pStyle w:val="nTable"/>
              <w:spacing w:after="40"/>
            </w:pPr>
            <w:r>
              <w:t>56 of 1979</w:t>
            </w:r>
          </w:p>
        </w:tc>
        <w:tc>
          <w:tcPr>
            <w:tcW w:w="1133" w:type="dxa"/>
          </w:tcPr>
          <w:p>
            <w:pPr>
              <w:pStyle w:val="nTable"/>
              <w:spacing w:after="40"/>
            </w:pPr>
            <w:r>
              <w:t>12 Nov 1979</w:t>
            </w:r>
          </w:p>
        </w:tc>
        <w:tc>
          <w:tcPr>
            <w:tcW w:w="2550" w:type="dxa"/>
          </w:tcPr>
          <w:p>
            <w:pPr>
              <w:pStyle w:val="nTable"/>
              <w:spacing w:after="40"/>
            </w:pPr>
            <w:r>
              <w:t>12 Nov 1979</w:t>
            </w:r>
          </w:p>
        </w:tc>
      </w:tr>
      <w:tr>
        <w:trPr>
          <w:cantSplit/>
        </w:trPr>
        <w:tc>
          <w:tcPr>
            <w:tcW w:w="2267" w:type="dxa"/>
          </w:tcPr>
          <w:p>
            <w:pPr>
              <w:pStyle w:val="nTable"/>
              <w:spacing w:after="40"/>
              <w:ind w:right="170"/>
            </w:pPr>
            <w:r>
              <w:rPr>
                <w:i/>
              </w:rPr>
              <w:t>Medical Amendment Act 1981</w:t>
            </w:r>
          </w:p>
        </w:tc>
        <w:tc>
          <w:tcPr>
            <w:tcW w:w="1133" w:type="dxa"/>
          </w:tcPr>
          <w:p>
            <w:pPr>
              <w:pStyle w:val="nTable"/>
              <w:spacing w:after="40"/>
            </w:pPr>
            <w:r>
              <w:t>28 of 1981</w:t>
            </w:r>
          </w:p>
        </w:tc>
        <w:tc>
          <w:tcPr>
            <w:tcW w:w="1133" w:type="dxa"/>
          </w:tcPr>
          <w:p>
            <w:pPr>
              <w:pStyle w:val="nTable"/>
              <w:spacing w:after="40"/>
            </w:pPr>
            <w:r>
              <w:t>26 May 1981</w:t>
            </w:r>
          </w:p>
        </w:tc>
        <w:tc>
          <w:tcPr>
            <w:tcW w:w="2550" w:type="dxa"/>
          </w:tcPr>
          <w:p>
            <w:pPr>
              <w:pStyle w:val="nTable"/>
              <w:spacing w:after="40"/>
            </w:pPr>
            <w:r>
              <w:t xml:space="preserve">7 Aug 1981 (see s. 2 and </w:t>
            </w:r>
            <w:r>
              <w:rPr>
                <w:i/>
              </w:rPr>
              <w:t>Gazette</w:t>
            </w:r>
            <w:r>
              <w:t xml:space="preserve"> 7 Aug 1981 p. 3203)</w:t>
            </w:r>
          </w:p>
        </w:tc>
      </w:tr>
      <w:tr>
        <w:trPr>
          <w:cantSplit/>
        </w:trPr>
        <w:tc>
          <w:tcPr>
            <w:tcW w:w="2267" w:type="dxa"/>
          </w:tcPr>
          <w:p>
            <w:pPr>
              <w:pStyle w:val="nTable"/>
              <w:spacing w:after="40"/>
              <w:ind w:right="170"/>
            </w:pPr>
            <w:r>
              <w:rPr>
                <w:i/>
              </w:rPr>
              <w:t>Health Legislation Amendment Act 1984</w:t>
            </w:r>
            <w:r>
              <w:t xml:space="preserve"> Pt. XII</w:t>
            </w:r>
          </w:p>
        </w:tc>
        <w:tc>
          <w:tcPr>
            <w:tcW w:w="1133" w:type="dxa"/>
          </w:tcPr>
          <w:p>
            <w:pPr>
              <w:pStyle w:val="nTable"/>
              <w:spacing w:after="40"/>
            </w:pPr>
            <w:r>
              <w:t>28 of 1984</w:t>
            </w:r>
          </w:p>
        </w:tc>
        <w:tc>
          <w:tcPr>
            <w:tcW w:w="1133" w:type="dxa"/>
          </w:tcPr>
          <w:p>
            <w:pPr>
              <w:pStyle w:val="nTable"/>
              <w:spacing w:after="40"/>
            </w:pPr>
            <w:r>
              <w:t>31 May 1984</w:t>
            </w:r>
          </w:p>
        </w:tc>
        <w:tc>
          <w:tcPr>
            <w:tcW w:w="2550" w:type="dxa"/>
          </w:tcPr>
          <w:p>
            <w:pPr>
              <w:pStyle w:val="nTable"/>
              <w:spacing w:after="40"/>
            </w:pPr>
            <w:r>
              <w:t xml:space="preserve">1 Jul 1984 (see s. 2 and </w:t>
            </w:r>
            <w:r>
              <w:rPr>
                <w:i/>
                <w:iCs/>
              </w:rPr>
              <w:t>Gazette</w:t>
            </w:r>
            <w:r>
              <w:t xml:space="preserve"> 15 Jun 1984 p. 1629)</w:t>
            </w:r>
          </w:p>
        </w:tc>
      </w:tr>
      <w:tr>
        <w:trPr>
          <w:cantSplit/>
        </w:trPr>
        <w:tc>
          <w:tcPr>
            <w:tcW w:w="2267" w:type="dxa"/>
          </w:tcPr>
          <w:p>
            <w:pPr>
              <w:pStyle w:val="nTable"/>
              <w:spacing w:after="40"/>
              <w:ind w:right="170"/>
            </w:pPr>
            <w:r>
              <w:rPr>
                <w:i/>
              </w:rPr>
              <w:t>Medical Amendment Act 1985</w:t>
            </w:r>
            <w:r>
              <w:rPr>
                <w:rFonts w:ascii="Times" w:hAnsi="Times"/>
                <w:vertAlign w:val="superscript"/>
              </w:rPr>
              <w:t> 5</w:t>
            </w:r>
          </w:p>
        </w:tc>
        <w:tc>
          <w:tcPr>
            <w:tcW w:w="1133" w:type="dxa"/>
          </w:tcPr>
          <w:p>
            <w:pPr>
              <w:pStyle w:val="nTable"/>
              <w:keepNext/>
              <w:keepLines/>
              <w:spacing w:after="40"/>
            </w:pPr>
            <w:r>
              <w:t>70 of 1985</w:t>
            </w:r>
            <w:r>
              <w:br/>
              <w:t>(as amended by No. 45 of 1988 s. 3)</w:t>
            </w:r>
          </w:p>
        </w:tc>
        <w:tc>
          <w:tcPr>
            <w:tcW w:w="1133" w:type="dxa"/>
          </w:tcPr>
          <w:p>
            <w:pPr>
              <w:pStyle w:val="nTable"/>
              <w:spacing w:after="40"/>
            </w:pPr>
            <w:r>
              <w:t>15 Nov 1985</w:t>
            </w:r>
          </w:p>
        </w:tc>
        <w:tc>
          <w:tcPr>
            <w:tcW w:w="2550" w:type="dxa"/>
          </w:tcPr>
          <w:p>
            <w:pPr>
              <w:pStyle w:val="nTable"/>
              <w:spacing w:after="40"/>
            </w:pPr>
            <w:r>
              <w:t xml:space="preserve">s. 16(a): 1 Jan 1986 (see s. 2 and </w:t>
            </w:r>
            <w:r>
              <w:rPr>
                <w:i/>
              </w:rPr>
              <w:t>Gazette</w:t>
            </w:r>
            <w:r>
              <w:t xml:space="preserve"> 29 Nov 1985 p. 4447);</w:t>
            </w:r>
            <w:r>
              <w:br/>
              <w:t xml:space="preserve">Act other than s. 9(d) and 16(a): 1 Jan 1988 (see s. 2 and </w:t>
            </w:r>
            <w:r>
              <w:rPr>
                <w:i/>
              </w:rPr>
              <w:t>Gazette</w:t>
            </w:r>
            <w:r>
              <w:t xml:space="preserve"> 31 Dec 1987 p. 4567);</w:t>
            </w:r>
            <w:r>
              <w:br/>
              <w:t>s. 9(d): 17 Nov 1989 (see s. 2 and </w:t>
            </w:r>
            <w:r>
              <w:rPr>
                <w:i/>
              </w:rPr>
              <w:t>Gazette</w:t>
            </w:r>
            <w:r>
              <w:t xml:space="preserve"> 17 Nov 1989 p. 4090)</w:t>
            </w:r>
          </w:p>
        </w:tc>
      </w:tr>
      <w:tr>
        <w:trPr>
          <w:cantSplit/>
        </w:trPr>
        <w:tc>
          <w:tcPr>
            <w:tcW w:w="2267" w:type="dxa"/>
          </w:tcPr>
          <w:p>
            <w:pPr>
              <w:pStyle w:val="nTable"/>
              <w:spacing w:after="40"/>
            </w:pPr>
            <w:r>
              <w:rPr>
                <w:i/>
              </w:rPr>
              <w:t>Acts Amendment (Financial provisions of regulatory bodies) Act 1987</w:t>
            </w:r>
            <w:r>
              <w:t xml:space="preserve"> s. 3</w:t>
            </w:r>
          </w:p>
        </w:tc>
        <w:tc>
          <w:tcPr>
            <w:tcW w:w="1133" w:type="dxa"/>
          </w:tcPr>
          <w:p>
            <w:pPr>
              <w:pStyle w:val="nTable"/>
              <w:spacing w:after="40"/>
            </w:pPr>
            <w:r>
              <w:t>77 of 1987</w:t>
            </w:r>
          </w:p>
        </w:tc>
        <w:tc>
          <w:tcPr>
            <w:tcW w:w="1133" w:type="dxa"/>
          </w:tcPr>
          <w:p>
            <w:pPr>
              <w:pStyle w:val="nTable"/>
              <w:spacing w:after="40"/>
            </w:pPr>
            <w:r>
              <w:t>26 Nov 1987</w:t>
            </w:r>
          </w:p>
        </w:tc>
        <w:tc>
          <w:tcPr>
            <w:tcW w:w="2550" w:type="dxa"/>
          </w:tcPr>
          <w:p>
            <w:pPr>
              <w:pStyle w:val="nTable"/>
              <w:spacing w:after="40"/>
            </w:pPr>
            <w:r>
              <w:t>1 Jan 1988 (see s. 2)</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as at 10 Mar 1988</w:t>
            </w:r>
            <w:r>
              <w:t xml:space="preserve"> (includes amendments listed above except those in the </w:t>
            </w:r>
            <w:r>
              <w:rPr>
                <w:i/>
              </w:rPr>
              <w:t>Medical Amendment Act 1985</w:t>
            </w:r>
            <w:r>
              <w:rPr>
                <w:iCs/>
              </w:rPr>
              <w:t xml:space="preserve"> s. 9(d)</w:t>
            </w:r>
            <w:r>
              <w:t>)</w:t>
            </w:r>
          </w:p>
        </w:tc>
      </w:tr>
      <w:tr>
        <w:trPr>
          <w:cantSplit/>
        </w:trPr>
        <w:tc>
          <w:tcPr>
            <w:tcW w:w="2267" w:type="dxa"/>
          </w:tcPr>
          <w:p>
            <w:pPr>
              <w:pStyle w:val="nTable"/>
              <w:spacing w:after="40"/>
              <w:ind w:right="170"/>
            </w:pPr>
            <w:r>
              <w:rPr>
                <w:i/>
              </w:rPr>
              <w:t>Medical Amendment Act 1991</w:t>
            </w:r>
          </w:p>
        </w:tc>
        <w:tc>
          <w:tcPr>
            <w:tcW w:w="1133" w:type="dxa"/>
          </w:tcPr>
          <w:p>
            <w:pPr>
              <w:pStyle w:val="nTable"/>
              <w:spacing w:after="40"/>
            </w:pPr>
            <w:r>
              <w:t>29 of 1991</w:t>
            </w:r>
          </w:p>
        </w:tc>
        <w:tc>
          <w:tcPr>
            <w:tcW w:w="1133" w:type="dxa"/>
          </w:tcPr>
          <w:p>
            <w:pPr>
              <w:pStyle w:val="nTable"/>
              <w:spacing w:after="40"/>
            </w:pPr>
            <w:r>
              <w:t>23 Nov 1991</w:t>
            </w:r>
          </w:p>
        </w:tc>
        <w:tc>
          <w:tcPr>
            <w:tcW w:w="2550" w:type="dxa"/>
          </w:tcPr>
          <w:p>
            <w:pPr>
              <w:pStyle w:val="nTable"/>
              <w:spacing w:after="40"/>
            </w:pPr>
            <w:r>
              <w:t>12 Nov 1979 (see s. 2)</w:t>
            </w:r>
          </w:p>
        </w:tc>
      </w:tr>
      <w:tr>
        <w:trPr>
          <w:cantSplit/>
        </w:trPr>
        <w:tc>
          <w:tcPr>
            <w:tcW w:w="2267" w:type="dxa"/>
          </w:tcPr>
          <w:p>
            <w:pPr>
              <w:pStyle w:val="nTable"/>
              <w:spacing w:after="40"/>
              <w:ind w:right="170"/>
            </w:pPr>
            <w:r>
              <w:rPr>
                <w:i/>
              </w:rPr>
              <w:t>Medical Amendment Act 1994</w:t>
            </w:r>
            <w:r>
              <w:rPr>
                <w:rFonts w:ascii="Times" w:hAnsi="Times"/>
                <w:vertAlign w:val="superscript"/>
              </w:rPr>
              <w:t> 6</w:t>
            </w:r>
          </w:p>
        </w:tc>
        <w:tc>
          <w:tcPr>
            <w:tcW w:w="1133" w:type="dxa"/>
          </w:tcPr>
          <w:p>
            <w:pPr>
              <w:pStyle w:val="nTable"/>
              <w:spacing w:after="40"/>
            </w:pPr>
            <w:r>
              <w:t>67 of 1994</w:t>
            </w:r>
            <w:r>
              <w:br/>
              <w:t>(as amended by No. 38 of 1996 s. 4)</w:t>
            </w:r>
          </w:p>
        </w:tc>
        <w:tc>
          <w:tcPr>
            <w:tcW w:w="1133" w:type="dxa"/>
          </w:tcPr>
          <w:p>
            <w:pPr>
              <w:pStyle w:val="nTable"/>
              <w:spacing w:after="40"/>
            </w:pPr>
            <w:r>
              <w:t>30 Nov 1994</w:t>
            </w:r>
          </w:p>
        </w:tc>
        <w:tc>
          <w:tcPr>
            <w:tcW w:w="2550" w:type="dxa"/>
          </w:tcPr>
          <w:p>
            <w:pPr>
              <w:pStyle w:val="nTable"/>
              <w:spacing w:after="40"/>
            </w:pPr>
            <w:r>
              <w:t>Act other than s. 4 and 7-12: 1 Feb 1992 (see s. 2(1));</w:t>
            </w:r>
            <w:r>
              <w:br/>
              <w:t>s. 7</w:t>
            </w:r>
            <w:r>
              <w:noBreakHyphen/>
              <w:t>12: 28 Dec 1994 (see s. 2(2));</w:t>
            </w:r>
            <w:r>
              <w:br/>
              <w:t xml:space="preserve">s. 4: 19 Aug 1995 (see s. 2(3) and </w:t>
            </w:r>
            <w:r>
              <w:rPr>
                <w:i/>
              </w:rPr>
              <w:t>Gazette</w:t>
            </w:r>
            <w:r>
              <w:t xml:space="preserve"> 18 Aug 1995 p. 3729)</w:t>
            </w:r>
          </w:p>
        </w:tc>
      </w:tr>
      <w:tr>
        <w:trPr>
          <w:cantSplit/>
        </w:trPr>
        <w:tc>
          <w:tcPr>
            <w:tcW w:w="2267" w:type="dxa"/>
          </w:tcPr>
          <w:p>
            <w:pPr>
              <w:pStyle w:val="nTable"/>
              <w:spacing w:after="40"/>
              <w:ind w:right="170"/>
            </w:pPr>
            <w:r>
              <w:rPr>
                <w:i/>
              </w:rPr>
              <w:t>Acts Amendment (Fines, Penalties and Infringement Notices) Act 1994</w:t>
            </w:r>
            <w:r>
              <w:t xml:space="preserve"> Pt. 14</w:t>
            </w:r>
          </w:p>
        </w:tc>
        <w:tc>
          <w:tcPr>
            <w:tcW w:w="1133" w:type="dxa"/>
          </w:tcPr>
          <w:p>
            <w:pPr>
              <w:pStyle w:val="nTable"/>
              <w:keepNext/>
              <w:keepLines/>
              <w:spacing w:after="40"/>
            </w:pPr>
            <w:r>
              <w:t>92 of 1994</w:t>
            </w:r>
          </w:p>
        </w:tc>
        <w:tc>
          <w:tcPr>
            <w:tcW w:w="1133" w:type="dxa"/>
          </w:tcPr>
          <w:p>
            <w:pPr>
              <w:pStyle w:val="nTable"/>
              <w:spacing w:after="40"/>
            </w:pPr>
            <w:r>
              <w:t>23 Dec 1994</w:t>
            </w:r>
          </w:p>
        </w:tc>
        <w:tc>
          <w:tcPr>
            <w:tcW w:w="2550" w:type="dxa"/>
          </w:tcPr>
          <w:p>
            <w:pPr>
              <w:pStyle w:val="nTable"/>
              <w:spacing w:after="40"/>
            </w:pPr>
            <w:r>
              <w:t xml:space="preserve">1 Jan 1995 (see s. 2(1) and </w:t>
            </w:r>
            <w:r>
              <w:rPr>
                <w:i/>
                <w:iCs/>
              </w:rPr>
              <w:t>Gazette</w:t>
            </w:r>
            <w:r>
              <w:t xml:space="preserve"> 30 Dec 1994 p. 7211)</w:t>
            </w:r>
          </w:p>
        </w:tc>
      </w:tr>
      <w:tr>
        <w:trPr>
          <w:cantSplit/>
        </w:trPr>
        <w:tc>
          <w:tcPr>
            <w:tcW w:w="2267" w:type="dxa"/>
          </w:tcPr>
          <w:p>
            <w:pPr>
              <w:pStyle w:val="nTable"/>
              <w:spacing w:after="40"/>
            </w:pPr>
            <w:r>
              <w:rPr>
                <w:i/>
              </w:rPr>
              <w:t>Medical Amendment Act 1996</w:t>
            </w:r>
            <w:r>
              <w:t xml:space="preserve"> s. 3</w:t>
            </w:r>
          </w:p>
        </w:tc>
        <w:tc>
          <w:tcPr>
            <w:tcW w:w="1133" w:type="dxa"/>
          </w:tcPr>
          <w:p>
            <w:pPr>
              <w:pStyle w:val="nTable"/>
              <w:keepNext/>
              <w:keepLines/>
              <w:spacing w:after="40"/>
            </w:pPr>
            <w:r>
              <w:t>38 of 1996</w:t>
            </w:r>
          </w:p>
        </w:tc>
        <w:tc>
          <w:tcPr>
            <w:tcW w:w="1133" w:type="dxa"/>
          </w:tcPr>
          <w:p>
            <w:pPr>
              <w:pStyle w:val="nTable"/>
              <w:spacing w:after="40"/>
            </w:pPr>
            <w:r>
              <w:t>27 Sep 1996</w:t>
            </w:r>
          </w:p>
        </w:tc>
        <w:tc>
          <w:tcPr>
            <w:tcW w:w="2550" w:type="dxa"/>
          </w:tcPr>
          <w:p>
            <w:pPr>
              <w:pStyle w:val="nTable"/>
              <w:spacing w:after="40"/>
            </w:pPr>
            <w:r>
              <w:t>2 Jul 1997 (see s. 2 and </w:t>
            </w:r>
            <w:r>
              <w:rPr>
                <w:i/>
              </w:rPr>
              <w:t>Gazette</w:t>
            </w:r>
            <w:r>
              <w:t xml:space="preserve"> 1 Jul 1997 p. 3250)</w:t>
            </w:r>
          </w:p>
        </w:tc>
      </w:tr>
      <w:tr>
        <w:trPr>
          <w:cantSplit/>
        </w:trPr>
        <w:tc>
          <w:tcPr>
            <w:tcW w:w="2267" w:type="dxa"/>
          </w:tcPr>
          <w:p>
            <w:pPr>
              <w:pStyle w:val="nTable"/>
              <w:spacing w:after="40"/>
            </w:pPr>
            <w:r>
              <w:rPr>
                <w:i/>
              </w:rPr>
              <w:t>Statutes (Repeals and Minor Amendments) Act (No. 2) 1998</w:t>
            </w:r>
            <w:r>
              <w:t xml:space="preserve"> s. 47</w:t>
            </w:r>
          </w:p>
        </w:tc>
        <w:tc>
          <w:tcPr>
            <w:tcW w:w="1133" w:type="dxa"/>
          </w:tcPr>
          <w:p>
            <w:pPr>
              <w:pStyle w:val="nTable"/>
              <w:keepNext/>
              <w:keepLines/>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as at 25 Feb 2000</w:t>
            </w:r>
            <w:r>
              <w:t xml:space="preserve"> (includes amendments listed above)</w:t>
            </w:r>
          </w:p>
        </w:tc>
      </w:tr>
      <w:tr>
        <w:trPr>
          <w:cantSplit/>
        </w:trPr>
        <w:tc>
          <w:tcPr>
            <w:tcW w:w="2267" w:type="dxa"/>
          </w:tcPr>
          <w:p>
            <w:pPr>
              <w:pStyle w:val="nTable"/>
              <w:spacing w:after="40"/>
            </w:pPr>
            <w:r>
              <w:rPr>
                <w:i/>
              </w:rPr>
              <w:t>Medical Amendment Act 2000</w:t>
            </w:r>
            <w:r>
              <w:rPr>
                <w:rFonts w:ascii="Times" w:hAnsi="Times"/>
                <w:vertAlign w:val="superscript"/>
              </w:rPr>
              <w:t> 7</w:t>
            </w:r>
          </w:p>
        </w:tc>
        <w:tc>
          <w:tcPr>
            <w:tcW w:w="1133" w:type="dxa"/>
          </w:tcPr>
          <w:p>
            <w:pPr>
              <w:pStyle w:val="nTable"/>
              <w:keepNext/>
              <w:keepLines/>
              <w:spacing w:after="40"/>
            </w:pPr>
            <w:r>
              <w:t>48 of 2000</w:t>
            </w:r>
          </w:p>
        </w:tc>
        <w:tc>
          <w:tcPr>
            <w:tcW w:w="1133" w:type="dxa"/>
          </w:tcPr>
          <w:p>
            <w:pPr>
              <w:pStyle w:val="nTable"/>
              <w:spacing w:after="40"/>
            </w:pPr>
            <w:r>
              <w:t>17 Nov 2000</w:t>
            </w:r>
          </w:p>
        </w:tc>
        <w:tc>
          <w:tcPr>
            <w:tcW w:w="2550" w:type="dxa"/>
          </w:tcPr>
          <w:p>
            <w:pPr>
              <w:pStyle w:val="nTable"/>
              <w:spacing w:after="40"/>
            </w:pPr>
            <w:r>
              <w:t>s. 1</w:t>
            </w:r>
            <w:r>
              <w:noBreakHyphen/>
              <w:t xml:space="preserve">4: 17 Nov 2000 (see s. 2(1)); </w:t>
            </w:r>
            <w:r>
              <w:br/>
              <w:t>s. 5</w:t>
            </w:r>
            <w:r>
              <w:noBreakHyphen/>
              <w:t xml:space="preserve">10: 31 Jan 2001 (see s. 2(2) and </w:t>
            </w:r>
            <w:r>
              <w:rPr>
                <w:i/>
              </w:rPr>
              <w:t>Gazette</w:t>
            </w:r>
            <w:r>
              <w:t xml:space="preserve"> 30 Jan 2001 p. 616)</w:t>
            </w:r>
          </w:p>
        </w:tc>
      </w:tr>
      <w:tr>
        <w:trPr>
          <w:cantSplit/>
        </w:trPr>
        <w:tc>
          <w:tcPr>
            <w:tcW w:w="2267" w:type="dxa"/>
          </w:tcPr>
          <w:p>
            <w:pPr>
              <w:pStyle w:val="nTable"/>
              <w:spacing w:after="40"/>
              <w:rPr>
                <w:i/>
              </w:rPr>
            </w:pPr>
            <w:r>
              <w:rPr>
                <w:i/>
              </w:rPr>
              <w:t>Nurses Amendment Act 2003</w:t>
            </w:r>
            <w:r>
              <w:t xml:space="preserve"> Pt. 3 Div. 1</w:t>
            </w:r>
          </w:p>
        </w:tc>
        <w:tc>
          <w:tcPr>
            <w:tcW w:w="1133" w:type="dxa"/>
          </w:tcPr>
          <w:p>
            <w:pPr>
              <w:pStyle w:val="nTable"/>
              <w:keepNext/>
              <w:keepLines/>
              <w:spacing w:after="40"/>
            </w:pPr>
            <w:r>
              <w:t>9 of 2003</w:t>
            </w:r>
          </w:p>
        </w:tc>
        <w:tc>
          <w:tcPr>
            <w:tcW w:w="1133" w:type="dxa"/>
          </w:tcPr>
          <w:p>
            <w:pPr>
              <w:pStyle w:val="nTable"/>
              <w:spacing w:after="40"/>
            </w:pPr>
            <w:r>
              <w:t>9 Apr 2003</w:t>
            </w:r>
          </w:p>
        </w:tc>
        <w:tc>
          <w:tcPr>
            <w:tcW w:w="2550" w:type="dxa"/>
          </w:tcPr>
          <w:p>
            <w:pPr>
              <w:pStyle w:val="nTable"/>
              <w:spacing w:after="40"/>
            </w:pPr>
            <w:r>
              <w:t>9 Apr 2003 (see s. 2)</w:t>
            </w:r>
          </w:p>
        </w:tc>
      </w:tr>
      <w:tr>
        <w:trPr>
          <w:cantSplit/>
        </w:trPr>
        <w:tc>
          <w:tcPr>
            <w:tcW w:w="2267" w:type="dxa"/>
          </w:tcPr>
          <w:p>
            <w:pPr>
              <w:pStyle w:val="nTable"/>
              <w:spacing w:after="40"/>
            </w:pPr>
            <w:r>
              <w:rPr>
                <w:i/>
              </w:rPr>
              <w:t>Acts Amendment (Equality of Status) Act 2003</w:t>
            </w:r>
            <w:r>
              <w:t xml:space="preserve"> Pt. 40</w:t>
            </w:r>
          </w:p>
        </w:tc>
        <w:tc>
          <w:tcPr>
            <w:tcW w:w="1133" w:type="dxa"/>
          </w:tcPr>
          <w:p>
            <w:pPr>
              <w:pStyle w:val="nTable"/>
              <w:keepNext/>
              <w:keepLines/>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rPr>
                <w:i/>
              </w:rPr>
            </w:pPr>
            <w:r>
              <w:rPr>
                <w:i/>
              </w:rPr>
              <w:t xml:space="preserve">Sentencing Legislation Amendment and Repeal Act 2003 </w:t>
            </w:r>
            <w:r>
              <w:t>s. 79</w:t>
            </w:r>
          </w:p>
        </w:tc>
        <w:tc>
          <w:tcPr>
            <w:tcW w:w="1133" w:type="dxa"/>
          </w:tcPr>
          <w:p>
            <w:pPr>
              <w:pStyle w:val="nTable"/>
              <w:keepNext/>
              <w:keepLines/>
              <w:spacing w:after="40"/>
            </w:pPr>
            <w:r>
              <w:t>50 of 2003</w:t>
            </w:r>
          </w:p>
        </w:tc>
        <w:tc>
          <w:tcPr>
            <w:tcW w:w="1133" w:type="dxa"/>
          </w:tcPr>
          <w:p>
            <w:pPr>
              <w:pStyle w:val="nTable"/>
              <w:spacing w:after="40"/>
            </w:pPr>
            <w:r>
              <w:t>9 Jul 2003</w:t>
            </w:r>
          </w:p>
        </w:tc>
        <w:tc>
          <w:tcPr>
            <w:tcW w:w="2550"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rPr>
                <w:i/>
              </w:rPr>
            </w:pPr>
            <w:r>
              <w:rPr>
                <w:i/>
                <w:iCs/>
                <w:snapToGrid w:val="0"/>
              </w:rPr>
              <w:t>Courts Legislation Amendment and Repeal Act 2004</w:t>
            </w:r>
            <w:r>
              <w:rPr>
                <w:snapToGrid w:val="0"/>
              </w:rPr>
              <w:t xml:space="preserve"> s. 141</w:t>
            </w:r>
          </w:p>
        </w:tc>
        <w:tc>
          <w:tcPr>
            <w:tcW w:w="1133" w:type="dxa"/>
          </w:tcPr>
          <w:p>
            <w:pPr>
              <w:pStyle w:val="nTable"/>
              <w:keepNext/>
              <w:keepLines/>
              <w:spacing w:after="40"/>
            </w:pPr>
            <w:r>
              <w:rPr>
                <w:snapToGrid w:val="0"/>
              </w:rPr>
              <w:t>59 of 2004</w:t>
            </w:r>
          </w:p>
        </w:tc>
        <w:tc>
          <w:tcPr>
            <w:tcW w:w="1133" w:type="dxa"/>
          </w:tcPr>
          <w:p>
            <w:pPr>
              <w:pStyle w:val="nTable"/>
              <w:spacing w:after="40"/>
            </w:pPr>
            <w:r>
              <w:t>23 Nov 2004</w:t>
            </w:r>
          </w:p>
        </w:tc>
        <w:tc>
          <w:tcPr>
            <w:tcW w:w="2550"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80</w:t>
            </w:r>
            <w:r>
              <w:rPr>
                <w:rFonts w:ascii="Times" w:hAnsi="Times"/>
                <w:vertAlign w:val="superscript"/>
              </w:rPr>
              <w:t> 8</w:t>
            </w:r>
          </w:p>
        </w:tc>
        <w:tc>
          <w:tcPr>
            <w:tcW w:w="1133" w:type="dxa"/>
          </w:tcPr>
          <w:p>
            <w:pPr>
              <w:pStyle w:val="nTable"/>
              <w:keepNext/>
              <w:keepLines/>
              <w:spacing w:after="40"/>
            </w:pPr>
            <w:r>
              <w:rPr>
                <w:rFonts w:ascii="Times" w:hAnsi="Times"/>
              </w:rPr>
              <w:t>55 of 2004</w:t>
            </w:r>
          </w:p>
        </w:tc>
        <w:tc>
          <w:tcPr>
            <w:tcW w:w="1133" w:type="dxa"/>
          </w:tcPr>
          <w:p>
            <w:pPr>
              <w:pStyle w:val="nTable"/>
              <w:spacing w:after="40"/>
            </w:pPr>
            <w:r>
              <w:rPr>
                <w:rFonts w:ascii="Times" w:hAnsi="Times"/>
              </w:rPr>
              <w:t>24 Nov 2004</w:t>
            </w:r>
          </w:p>
        </w:tc>
        <w:tc>
          <w:tcPr>
            <w:tcW w:w="2550"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rPr>
                <w:rFonts w:ascii="Times" w:hAnsi="Times"/>
                <w:i/>
                <w:iCs/>
              </w:rPr>
            </w:pPr>
            <w:r>
              <w:rPr>
                <w:rFonts w:ascii="Times" w:hAnsi="Times"/>
                <w:i/>
                <w:iCs/>
                <w:snapToGrid w:val="0"/>
              </w:rPr>
              <w:t xml:space="preserve">Criminal Law Amendment (Simple Offences) Act 2004 </w:t>
            </w:r>
            <w:r>
              <w:rPr>
                <w:rFonts w:ascii="Times" w:hAnsi="Times"/>
                <w:snapToGrid w:val="0"/>
              </w:rPr>
              <w:t>s. 82</w:t>
            </w:r>
          </w:p>
        </w:tc>
        <w:tc>
          <w:tcPr>
            <w:tcW w:w="1133" w:type="dxa"/>
          </w:tcPr>
          <w:p>
            <w:pPr>
              <w:pStyle w:val="nTable"/>
              <w:keepNext/>
              <w:keepLines/>
              <w:spacing w:after="40"/>
              <w:rPr>
                <w:rFonts w:ascii="Times" w:hAnsi="Times"/>
              </w:rPr>
            </w:pPr>
            <w:r>
              <w:rPr>
                <w:rFonts w:ascii="Times" w:hAnsi="Times"/>
                <w:snapToGrid w:val="0"/>
              </w:rPr>
              <w:t>70 of 2004</w:t>
            </w:r>
          </w:p>
        </w:tc>
        <w:tc>
          <w:tcPr>
            <w:tcW w:w="1133" w:type="dxa"/>
          </w:tcPr>
          <w:p>
            <w:pPr>
              <w:pStyle w:val="nTable"/>
              <w:spacing w:after="40"/>
              <w:rPr>
                <w:rFonts w:ascii="Times" w:hAnsi="Times"/>
              </w:rPr>
            </w:pPr>
            <w:r>
              <w:rPr>
                <w:rFonts w:ascii="Times" w:hAnsi="Times"/>
                <w:snapToGrid w:val="0"/>
              </w:rPr>
              <w:t>8 Dec 2004</w:t>
            </w:r>
          </w:p>
        </w:tc>
        <w:tc>
          <w:tcPr>
            <w:tcW w:w="2550"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7"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3" w:type="dxa"/>
          </w:tcPr>
          <w:p>
            <w:pPr>
              <w:pStyle w:val="nTable"/>
              <w:keepNext/>
              <w:keepLines/>
              <w:spacing w:after="40"/>
              <w:rPr>
                <w:rFonts w:ascii="Times" w:hAnsi="Times"/>
              </w:rPr>
            </w:pPr>
            <w:r>
              <w:rPr>
                <w:snapToGrid w:val="0"/>
              </w:rPr>
              <w:t>84 of 2004</w:t>
            </w:r>
          </w:p>
        </w:tc>
        <w:tc>
          <w:tcPr>
            <w:tcW w:w="1133" w:type="dxa"/>
          </w:tcPr>
          <w:p>
            <w:pPr>
              <w:pStyle w:val="nTable"/>
              <w:spacing w:after="40"/>
              <w:rPr>
                <w:rFonts w:ascii="Times" w:hAnsi="Times"/>
              </w:rPr>
            </w:pPr>
            <w:r>
              <w:t>16 Dec 2004</w:t>
            </w:r>
          </w:p>
        </w:tc>
        <w:tc>
          <w:tcPr>
            <w:tcW w:w="255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3" w:type="dxa"/>
            <w:gridSpan w:val="4"/>
          </w:tcPr>
          <w:p>
            <w:pPr>
              <w:pStyle w:val="nTable"/>
              <w:spacing w:after="40"/>
              <w:rPr>
                <w:snapToGrid w:val="0"/>
              </w:rPr>
            </w:pPr>
            <w:r>
              <w:rPr>
                <w:b/>
                <w:bCs/>
              </w:rPr>
              <w:t xml:space="preserve">Reprint 6: The </w:t>
            </w:r>
            <w:r>
              <w:rPr>
                <w:b/>
                <w:bCs/>
                <w:i/>
                <w:iCs/>
              </w:rPr>
              <w:t>Medical Act 1894</w:t>
            </w:r>
            <w:r>
              <w:rPr>
                <w:b/>
                <w:bCs/>
              </w:rPr>
              <w:t xml:space="preserve"> as at 12 Aug 2005</w:t>
            </w:r>
            <w:r>
              <w:t xml:space="preserve"> (includes amendments listed above)</w:t>
            </w:r>
          </w:p>
        </w:tc>
      </w:tr>
      <w:tr>
        <w:trPr>
          <w:cantSplit/>
        </w:trPr>
        <w:tc>
          <w:tcPr>
            <w:tcW w:w="2267" w:type="dxa"/>
          </w:tcPr>
          <w:p>
            <w:pPr>
              <w:pStyle w:val="nTable"/>
              <w:spacing w:after="40"/>
              <w:ind w:left="-28"/>
              <w:rPr>
                <w:iCs/>
                <w:snapToGrid w:val="0"/>
              </w:rPr>
            </w:pPr>
            <w:r>
              <w:rPr>
                <w:i/>
                <w:snapToGrid w:val="0"/>
              </w:rPr>
              <w:t>Chiropractors Act 2005</w:t>
            </w:r>
            <w:r>
              <w:rPr>
                <w:iCs/>
                <w:snapToGrid w:val="0"/>
              </w:rPr>
              <w:t xml:space="preserve"> s. 109</w:t>
            </w:r>
          </w:p>
        </w:tc>
        <w:tc>
          <w:tcPr>
            <w:tcW w:w="1133" w:type="dxa"/>
          </w:tcPr>
          <w:p>
            <w:pPr>
              <w:pStyle w:val="nTable"/>
              <w:spacing w:after="40"/>
              <w:rPr>
                <w:snapToGrid w:val="0"/>
              </w:rPr>
            </w:pPr>
            <w:r>
              <w:rPr>
                <w:snapToGrid w:val="0"/>
              </w:rPr>
              <w:t>31 of 2005</w:t>
            </w:r>
          </w:p>
        </w:tc>
        <w:tc>
          <w:tcPr>
            <w:tcW w:w="1133" w:type="dxa"/>
          </w:tcPr>
          <w:p>
            <w:pPr>
              <w:pStyle w:val="nTable"/>
              <w:spacing w:after="40"/>
            </w:pPr>
            <w:r>
              <w:t>12 Dec 2005</w:t>
            </w:r>
          </w:p>
        </w:tc>
        <w:tc>
          <w:tcPr>
            <w:tcW w:w="2550" w:type="dxa"/>
          </w:tcPr>
          <w:p>
            <w:pPr>
              <w:pStyle w:val="nTable"/>
              <w:spacing w:after="40"/>
            </w:pPr>
            <w:r>
              <w:t xml:space="preserve">1 Aug 2007 (see s. 2 and </w:t>
            </w:r>
            <w:r>
              <w:rPr>
                <w:i/>
                <w:iCs/>
              </w:rPr>
              <w:t>Gazette</w:t>
            </w:r>
            <w:r>
              <w:t xml:space="preserve"> 31 Jul 2007 p. 3789)</w:t>
            </w:r>
          </w:p>
        </w:tc>
      </w:tr>
      <w:tr>
        <w:trPr>
          <w:cantSplit/>
        </w:trPr>
        <w:tc>
          <w:tcPr>
            <w:tcW w:w="2267"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8 </w:t>
            </w:r>
          </w:p>
        </w:tc>
        <w:tc>
          <w:tcPr>
            <w:tcW w:w="1133" w:type="dxa"/>
          </w:tcPr>
          <w:p>
            <w:pPr>
              <w:pStyle w:val="nTable"/>
              <w:spacing w:after="40"/>
              <w:rPr>
                <w:snapToGrid w:val="0"/>
              </w:rPr>
            </w:pPr>
            <w:r>
              <w:rPr>
                <w:snapToGrid w:val="0"/>
              </w:rPr>
              <w:t>28 of 2006</w:t>
            </w:r>
          </w:p>
        </w:tc>
        <w:tc>
          <w:tcPr>
            <w:tcW w:w="1133" w:type="dxa"/>
          </w:tcPr>
          <w:p>
            <w:pPr>
              <w:pStyle w:val="nTable"/>
              <w:spacing w:after="40"/>
            </w:pPr>
            <w:r>
              <w:t>26 Jun 2006</w:t>
            </w:r>
          </w:p>
        </w:tc>
        <w:tc>
          <w:tcPr>
            <w:tcW w:w="2550" w:type="dxa"/>
          </w:tcPr>
          <w:p>
            <w:pPr>
              <w:pStyle w:val="nTable"/>
              <w:spacing w:after="40"/>
            </w:pPr>
            <w:r>
              <w:t xml:space="preserve">1 Jul 2006 (see s. 2 and </w:t>
            </w:r>
            <w:r>
              <w:rPr>
                <w:i/>
                <w:iCs/>
              </w:rPr>
              <w:t>Gazette</w:t>
            </w:r>
            <w:r>
              <w:t xml:space="preserve">  27 Jun 2006 p. 2347)</w:t>
            </w:r>
          </w:p>
        </w:tc>
      </w:tr>
      <w:tr>
        <w:trPr>
          <w:cantSplit/>
        </w:trPr>
        <w:tc>
          <w:tcPr>
            <w:tcW w:w="2267" w:type="dxa"/>
          </w:tcPr>
          <w:p>
            <w:pPr>
              <w:pStyle w:val="nTable"/>
              <w:spacing w:after="40"/>
              <w:ind w:left="-28"/>
              <w:rPr>
                <w:i/>
                <w:snapToGrid w:val="0"/>
              </w:rPr>
            </w:pPr>
            <w:r>
              <w:rPr>
                <w:i/>
                <w:snapToGrid w:val="0"/>
              </w:rPr>
              <w:t>Medical Amendment Act 2006</w:t>
            </w:r>
          </w:p>
        </w:tc>
        <w:tc>
          <w:tcPr>
            <w:tcW w:w="1133" w:type="dxa"/>
          </w:tcPr>
          <w:p>
            <w:pPr>
              <w:pStyle w:val="nTable"/>
              <w:spacing w:after="40"/>
              <w:rPr>
                <w:snapToGrid w:val="0"/>
              </w:rPr>
            </w:pPr>
            <w:r>
              <w:rPr>
                <w:snapToGrid w:val="0"/>
              </w:rPr>
              <w:t>49 of 2006</w:t>
            </w:r>
          </w:p>
        </w:tc>
        <w:tc>
          <w:tcPr>
            <w:tcW w:w="1133" w:type="dxa"/>
          </w:tcPr>
          <w:p>
            <w:pPr>
              <w:pStyle w:val="nTable"/>
              <w:spacing w:after="40"/>
            </w:pPr>
            <w:r>
              <w:t>6 Oct 2006</w:t>
            </w:r>
          </w:p>
        </w:tc>
        <w:tc>
          <w:tcPr>
            <w:tcW w:w="2550" w:type="dxa"/>
          </w:tcPr>
          <w:p>
            <w:pPr>
              <w:pStyle w:val="nTable"/>
              <w:spacing w:after="40"/>
            </w:pPr>
            <w:r>
              <w:t>6 Oct 2006 (see s. 2)</w:t>
            </w:r>
          </w:p>
        </w:tc>
      </w:tr>
      <w:tr>
        <w:trPr>
          <w:cantSplit/>
        </w:trPr>
        <w:tc>
          <w:tcPr>
            <w:tcW w:w="2267" w:type="dxa"/>
          </w:tcPr>
          <w:p>
            <w:pPr>
              <w:pStyle w:val="nTable"/>
              <w:spacing w:after="40"/>
              <w:ind w:left="-28"/>
              <w:rPr>
                <w:i/>
                <w:snapToGrid w:val="0"/>
              </w:rPr>
            </w:pPr>
            <w:r>
              <w:rPr>
                <w:i/>
                <w:snapToGrid w:val="0"/>
              </w:rPr>
              <w:t>Nurses and Midwives Act 2006</w:t>
            </w:r>
            <w:r>
              <w:rPr>
                <w:snapToGrid w:val="0"/>
              </w:rPr>
              <w:t xml:space="preserve"> s. 114</w:t>
            </w:r>
          </w:p>
        </w:tc>
        <w:tc>
          <w:tcPr>
            <w:tcW w:w="1133"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0" w:type="dxa"/>
          </w:tcPr>
          <w:p>
            <w:pPr>
              <w:pStyle w:val="nTable"/>
              <w:spacing w:after="40"/>
            </w:pPr>
            <w:r>
              <w:t xml:space="preserve">19 Sep 2007 (see s. 2 and </w:t>
            </w:r>
            <w:r>
              <w:rPr>
                <w:i/>
                <w:iCs/>
              </w:rPr>
              <w:t>Gazette</w:t>
            </w:r>
            <w:r>
              <w:t xml:space="preserve"> 18 Sep 2007 p. 4711)</w:t>
            </w:r>
          </w:p>
        </w:tc>
      </w:tr>
      <w:tr>
        <w:trPr>
          <w:cantSplit/>
        </w:trPr>
        <w:tc>
          <w:tcPr>
            <w:tcW w:w="7083"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Medical Practitioners Act 2008</w:t>
            </w:r>
            <w:r>
              <w:rPr>
                <w:b/>
                <w:bCs/>
                <w:color w:val="FF0000"/>
              </w:rPr>
              <w:t xml:space="preserve"> s. 160(1) (No. 22 of 2008) as at 1 Dec 2008 (see s. 2 and </w:t>
            </w:r>
            <w:r>
              <w:rPr>
                <w:b/>
                <w:bCs/>
                <w:i/>
                <w:iCs/>
                <w:color w:val="FF0000"/>
              </w:rPr>
              <w:t>Gazette</w:t>
            </w:r>
            <w:r>
              <w:rPr>
                <w:b/>
                <w:bCs/>
                <w:color w:val="FF0000"/>
              </w:rPr>
              <w:t xml:space="preserve"> 25 Nov 2008 p. 4989)</w:t>
            </w:r>
          </w:p>
        </w:tc>
      </w:tr>
    </w:tbl>
    <w:p>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pPr>
        <w:pStyle w:val="MiscOpen"/>
        <w:spacing w:before="0"/>
        <w:rPr>
          <w:snapToGrid w:val="0"/>
        </w:rPr>
      </w:pPr>
      <w:r>
        <w:rPr>
          <w:snapToGrid w:val="0"/>
        </w:rPr>
        <w:t>“</w:t>
      </w:r>
    </w:p>
    <w:p>
      <w:pPr>
        <w:pStyle w:val="nzHeading2"/>
        <w:keepLines/>
        <w:spacing w:before="0"/>
      </w:pPr>
      <w:r>
        <w:t xml:space="preserve">Schedule 1 </w:t>
      </w:r>
    </w:p>
    <w:p>
      <w:pPr>
        <w:pStyle w:val="MiscellaneousHeading"/>
        <w:keepLines/>
        <w:spacing w:before="60"/>
        <w:ind w:left="5041" w:firstLine="720"/>
        <w:jc w:val="right"/>
        <w:rPr>
          <w:snapToGrid w:val="0"/>
          <w:sz w:val="20"/>
        </w:rPr>
      </w:pPr>
      <w:r>
        <w:rPr>
          <w:snapToGrid w:val="0"/>
          <w:sz w:val="20"/>
        </w:rPr>
        <w:t>[Section 13]</w:t>
      </w:r>
    </w:p>
    <w:p>
      <w:pPr>
        <w:pStyle w:val="MiscellaneousHeading"/>
        <w:keepLines/>
        <w:spacing w:before="0"/>
        <w:rPr>
          <w:b/>
          <w:snapToGrid w:val="0"/>
        </w:rPr>
      </w:pPr>
      <w:r>
        <w:rPr>
          <w:b/>
          <w:snapToGrid w:val="0"/>
        </w:rPr>
        <w:t>Savings and transitional provisions</w:t>
      </w:r>
    </w:p>
    <w:p>
      <w:pPr>
        <w:pStyle w:val="nzHeading5"/>
        <w:spacing w:before="80"/>
        <w:rPr>
          <w:snapToGrid w:val="0"/>
        </w:rPr>
      </w:pPr>
      <w:r>
        <w:rPr>
          <w:snapToGrid w:val="0"/>
        </w:rPr>
        <w:t>1.</w:t>
      </w:r>
      <w:r>
        <w:rPr>
          <w:snapToGrid w:val="0"/>
        </w:rPr>
        <w:tab/>
        <w:t xml:space="preserve">Interpretation </w:t>
      </w:r>
    </w:p>
    <w:p>
      <w:pPr>
        <w:pStyle w:val="nzSubsection"/>
        <w:keepNext/>
        <w:keepLines/>
        <w:rPr>
          <w:snapToGrid w:val="0"/>
        </w:rPr>
      </w:pPr>
      <w:r>
        <w:rPr>
          <w:snapToGrid w:val="0"/>
        </w:rPr>
        <w:tab/>
      </w:r>
      <w:r>
        <w:rPr>
          <w:snapToGrid w:val="0"/>
        </w:rPr>
        <w:tab/>
        <w:t>In this Schedule — </w:t>
      </w:r>
    </w:p>
    <w:p>
      <w:pPr>
        <w:pStyle w:val="nzDefstart"/>
      </w:pPr>
      <w:r>
        <w:rPr>
          <w:b/>
        </w:rPr>
        <w:tab/>
      </w:r>
      <w:r>
        <w:rPr>
          <w:rStyle w:val="CharDefText"/>
        </w:rPr>
        <w:t>assent day</w:t>
      </w:r>
      <w:r>
        <w:t xml:space="preserve"> means the day on which this Act receives the Royal Assent;</w:t>
      </w:r>
    </w:p>
    <w:p>
      <w:pPr>
        <w:pStyle w:val="nzDefstart"/>
      </w:pPr>
      <w:r>
        <w:rPr>
          <w:b/>
        </w:rPr>
        <w:tab/>
      </w:r>
      <w:r>
        <w:rPr>
          <w:rStyle w:val="CharDefText"/>
        </w:rPr>
        <w:t>Board</w:t>
      </w:r>
      <w:r>
        <w:t xml:space="preserve"> means the Board as defined in section 3 of the principal Act;</w:t>
      </w:r>
    </w:p>
    <w:p>
      <w:pPr>
        <w:pStyle w:val="nzDefstart"/>
      </w:pPr>
      <w:r>
        <w:rPr>
          <w:b/>
        </w:rPr>
        <w:tab/>
      </w:r>
      <w:r>
        <w:rPr>
          <w:rStyle w:val="CharDefText"/>
        </w:rPr>
        <w:t>Separate Register</w:t>
      </w:r>
      <w:r>
        <w:t xml:space="preserve"> means the Separate Register referred to in clause 2(1).</w:t>
      </w:r>
    </w:p>
    <w:p>
      <w:pPr>
        <w:pStyle w:val="nzHeading5"/>
        <w:spacing w:before="80"/>
        <w:rPr>
          <w:snapToGrid w:val="0"/>
        </w:rPr>
      </w:pPr>
      <w:r>
        <w:rPr>
          <w:snapToGrid w:val="0"/>
        </w:rPr>
        <w:t>2.</w:t>
      </w:r>
      <w:r>
        <w:rPr>
          <w:snapToGrid w:val="0"/>
        </w:rPr>
        <w:tab/>
        <w:t xml:space="preserve">Certain medical practitioners transferred to a Separate Register </w:t>
      </w:r>
    </w:p>
    <w:p>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pPr>
        <w:pStyle w:val="nzSubsection"/>
        <w:spacing w:before="60"/>
        <w:rPr>
          <w:snapToGrid w:val="0"/>
        </w:rPr>
      </w:pPr>
      <w:r>
        <w:rPr>
          <w:snapToGrid w:val="0"/>
        </w:rPr>
        <w:tab/>
        <w:t>(2)</w:t>
      </w:r>
      <w:r>
        <w:rPr>
          <w:snapToGrid w:val="0"/>
        </w:rPr>
        <w:tab/>
        <w:t>Notwithstanding anything in this Act, a medical practitioner — </w:t>
      </w:r>
    </w:p>
    <w:p>
      <w:pPr>
        <w:pStyle w:val="nzIndenta"/>
        <w:rPr>
          <w:snapToGrid w:val="0"/>
        </w:rPr>
      </w:pPr>
      <w:r>
        <w:rPr>
          <w:snapToGrid w:val="0"/>
        </w:rPr>
        <w:tab/>
        <w:t>(a)</w:t>
      </w:r>
      <w:r>
        <w:rPr>
          <w:snapToGrid w:val="0"/>
        </w:rPr>
        <w:tab/>
        <w:t>whose name appears on the Separate Register; and</w:t>
      </w:r>
    </w:p>
    <w:p>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pPr>
        <w:pStyle w:val="nzSubsection"/>
        <w:spacing w:before="60"/>
        <w:rPr>
          <w:snapToGrid w:val="0"/>
        </w:rPr>
      </w:pPr>
      <w:r>
        <w:rPr>
          <w:snapToGrid w:val="0"/>
        </w:rPr>
        <w:tab/>
      </w:r>
      <w:r>
        <w:rPr>
          <w:snapToGrid w:val="0"/>
        </w:rPr>
        <w:tab/>
        <w:t>is entitled to general registration.</w:t>
      </w:r>
    </w:p>
    <w:p>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pPr>
        <w:pStyle w:val="nzHeading5"/>
        <w:rPr>
          <w:snapToGrid w:val="0"/>
        </w:rPr>
      </w:pPr>
      <w:r>
        <w:rPr>
          <w:snapToGrid w:val="0"/>
        </w:rPr>
        <w:t>4.</w:t>
      </w:r>
      <w:r>
        <w:rPr>
          <w:snapToGrid w:val="0"/>
        </w:rPr>
        <w:tab/>
        <w:t xml:space="preserve">Medical practitioner entitled to continuing special conditional registration </w:t>
      </w:r>
    </w:p>
    <w:p>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pPr>
        <w:pStyle w:val="nzIndenta"/>
        <w:rPr>
          <w:snapToGrid w:val="0"/>
        </w:rPr>
      </w:pPr>
      <w:r>
        <w:rPr>
          <w:snapToGrid w:val="0"/>
        </w:rPr>
        <w:tab/>
        <w:t>(a)</w:t>
      </w:r>
      <w:r>
        <w:rPr>
          <w:snapToGrid w:val="0"/>
        </w:rPr>
        <w:tab/>
        <w:t>is a permanent resident in Australia; and</w:t>
      </w:r>
    </w:p>
    <w:p>
      <w:pPr>
        <w:pStyle w:val="nzIndenta"/>
        <w:rPr>
          <w:snapToGrid w:val="0"/>
        </w:rPr>
      </w:pPr>
      <w:r>
        <w:rPr>
          <w:snapToGrid w:val="0"/>
        </w:rPr>
        <w:tab/>
        <w:t>(b)</w:t>
      </w:r>
      <w:r>
        <w:rPr>
          <w:snapToGrid w:val="0"/>
        </w:rPr>
        <w:tab/>
        <w:t>has practised medicine in Australia for not less than 2 years,</w:t>
      </w:r>
    </w:p>
    <w:p>
      <w:pPr>
        <w:pStyle w:val="nzSubsection"/>
        <w:rPr>
          <w:snapToGrid w:val="0"/>
        </w:rPr>
      </w:pPr>
      <w:r>
        <w:rPr>
          <w:snapToGrid w:val="0"/>
        </w:rPr>
        <w:tab/>
      </w:r>
      <w:r>
        <w:rPr>
          <w:snapToGrid w:val="0"/>
        </w:rPr>
        <w:tab/>
        <w:t>is entitled to general registration under the principal Act as amended by this Act.</w:t>
      </w:r>
    </w:p>
    <w:p>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pPr>
        <w:pStyle w:val="nzHeading5"/>
        <w:rPr>
          <w:snapToGrid w:val="0"/>
        </w:rPr>
      </w:pPr>
      <w:r>
        <w:rPr>
          <w:snapToGrid w:val="0"/>
        </w:rPr>
        <w:t>6.</w:t>
      </w:r>
      <w:r>
        <w:rPr>
          <w:snapToGrid w:val="0"/>
        </w:rPr>
        <w:tab/>
        <w:t xml:space="preserve">Board may remove the name of a medical practitioner from the Separate Register </w:t>
      </w:r>
    </w:p>
    <w:p>
      <w:pPr>
        <w:pStyle w:val="nzSubsection"/>
        <w:rPr>
          <w:snapToGrid w:val="0"/>
        </w:rPr>
      </w:pPr>
      <w:r>
        <w:rPr>
          <w:snapToGrid w:val="0"/>
        </w:rPr>
        <w:tab/>
      </w:r>
      <w:r>
        <w:rPr>
          <w:snapToGrid w:val="0"/>
        </w:rPr>
        <w:tab/>
        <w:t>A medical practitioner whose name appears on the Separate Register who — </w:t>
      </w:r>
    </w:p>
    <w:p>
      <w:pPr>
        <w:pStyle w:val="nzIndenta"/>
        <w:rPr>
          <w:snapToGrid w:val="0"/>
        </w:rPr>
      </w:pPr>
      <w:r>
        <w:rPr>
          <w:snapToGrid w:val="0"/>
        </w:rPr>
        <w:tab/>
        <w:t>(a)</w:t>
      </w:r>
      <w:r>
        <w:rPr>
          <w:snapToGrid w:val="0"/>
        </w:rPr>
        <w:tab/>
        <w:t>does not apply to the Board under clause 4(1) or 5(1);</w:t>
      </w:r>
    </w:p>
    <w:p>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pPr>
        <w:pStyle w:val="nzIndenta"/>
        <w:rPr>
          <w:snapToGrid w:val="0"/>
        </w:rPr>
      </w:pPr>
      <w:r>
        <w:rPr>
          <w:snapToGrid w:val="0"/>
        </w:rPr>
        <w:tab/>
        <w:t>(c)</w:t>
      </w:r>
      <w:r>
        <w:rPr>
          <w:snapToGrid w:val="0"/>
        </w:rPr>
        <w:tab/>
        <w:t>is not a medical practitioner to whom clause 4(2) applies; or</w:t>
      </w:r>
    </w:p>
    <w:p>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pPr>
        <w:pStyle w:val="nzSubsection"/>
        <w:rPr>
          <w:snapToGrid w:val="0"/>
        </w:rPr>
      </w:pPr>
      <w:r>
        <w:rPr>
          <w:snapToGrid w:val="0"/>
        </w:rPr>
        <w:tab/>
      </w:r>
      <w:r>
        <w:rPr>
          <w:snapToGrid w:val="0"/>
        </w:rPr>
        <w:tab/>
        <w:t>is not entitled to practise medicine and the Board shall remove his or her name from the Separate Register.</w:t>
      </w:r>
    </w:p>
    <w:p>
      <w:pPr>
        <w:pStyle w:val="nzHeading2"/>
      </w:pPr>
      <w:r>
        <w:t>Schedule 2</w:t>
      </w:r>
    </w:p>
    <w:p>
      <w:pPr>
        <w:pStyle w:val="MiscellaneousHeading"/>
        <w:rPr>
          <w:b/>
          <w:snapToGrid w:val="0"/>
        </w:rPr>
      </w:pPr>
      <w:r>
        <w:rPr>
          <w:b/>
          <w:snapToGrid w:val="0"/>
        </w:rPr>
        <w:t>Further transitional provisions</w:t>
      </w:r>
    </w:p>
    <w:p>
      <w:pPr>
        <w:pStyle w:val="nzHeading5"/>
        <w:rPr>
          <w:snapToGrid w:val="0"/>
        </w:rPr>
      </w:pPr>
      <w:r>
        <w:rPr>
          <w:snapToGrid w:val="0"/>
        </w:rPr>
        <w:t>1.</w:t>
      </w:r>
      <w:r>
        <w:rPr>
          <w:snapToGrid w:val="0"/>
        </w:rPr>
        <w:tab/>
        <w:t xml:space="preserve">Persons whose names removed from Separate Register may obtain general registration in certain circumstances </w:t>
      </w:r>
    </w:p>
    <w:p>
      <w:pPr>
        <w:pStyle w:val="nzSubsection"/>
        <w:rPr>
          <w:snapToGrid w:val="0"/>
        </w:rPr>
      </w:pPr>
      <w:r>
        <w:rPr>
          <w:snapToGrid w:val="0"/>
        </w:rPr>
        <w:tab/>
        <w:t>(1)</w:t>
      </w:r>
      <w:r>
        <w:rPr>
          <w:snapToGrid w:val="0"/>
        </w:rPr>
        <w:tab/>
        <w:t>This clause applies to a person if his or her name — </w:t>
      </w:r>
    </w:p>
    <w:p>
      <w:pPr>
        <w:pStyle w:val="nzIndenta"/>
        <w:rPr>
          <w:snapToGrid w:val="0"/>
        </w:rPr>
      </w:pPr>
      <w:r>
        <w:rPr>
          <w:snapToGrid w:val="0"/>
        </w:rPr>
        <w:tab/>
        <w:t>(a)</w:t>
      </w:r>
      <w:r>
        <w:rPr>
          <w:snapToGrid w:val="0"/>
        </w:rPr>
        <w:tab/>
        <w:t>was transferred to the Separate Register under clause 2(1) of Schedule 1; and</w:t>
      </w:r>
    </w:p>
    <w:p>
      <w:pPr>
        <w:pStyle w:val="nzIndenta"/>
        <w:rPr>
          <w:snapToGrid w:val="0"/>
        </w:rPr>
      </w:pPr>
      <w:r>
        <w:rPr>
          <w:snapToGrid w:val="0"/>
        </w:rPr>
        <w:tab/>
        <w:t>(b)</w:t>
      </w:r>
      <w:r>
        <w:rPr>
          <w:snapToGrid w:val="0"/>
        </w:rPr>
        <w:tab/>
        <w:t>was removed from that Register under clause 6 of that Schedule.</w:t>
      </w:r>
    </w:p>
    <w:p>
      <w:pPr>
        <w:pStyle w:val="nzSubsection"/>
        <w:rPr>
          <w:snapToGrid w:val="0"/>
        </w:rPr>
      </w:pPr>
      <w:r>
        <w:rPr>
          <w:snapToGrid w:val="0"/>
        </w:rPr>
        <w:tab/>
        <w:t>(2)</w:t>
      </w:r>
      <w:r>
        <w:rPr>
          <w:snapToGrid w:val="0"/>
        </w:rPr>
        <w:tab/>
        <w:t>A person is entitled to general registration under the principal Act if he or she — </w:t>
      </w:r>
    </w:p>
    <w:p>
      <w:pPr>
        <w:pStyle w:val="nzIndenta"/>
        <w:rPr>
          <w:snapToGrid w:val="0"/>
        </w:rPr>
      </w:pPr>
      <w:r>
        <w:rPr>
          <w:snapToGrid w:val="0"/>
        </w:rPr>
        <w:tab/>
        <w:t>(a)</w:t>
      </w:r>
      <w:r>
        <w:rPr>
          <w:snapToGrid w:val="0"/>
        </w:rPr>
        <w:tab/>
        <w:t>is a person to whom this clause applies; and</w:t>
      </w:r>
    </w:p>
    <w:p>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pPr>
        <w:pStyle w:val="nzHeading5"/>
        <w:rPr>
          <w:snapToGrid w:val="0"/>
        </w:rPr>
      </w:pPr>
      <w:r>
        <w:rPr>
          <w:snapToGrid w:val="0"/>
        </w:rPr>
        <w:t>2.</w:t>
      </w:r>
      <w:r>
        <w:rPr>
          <w:snapToGrid w:val="0"/>
        </w:rPr>
        <w:tab/>
        <w:t xml:space="preserve">Board may register persons who formerly held regional or auxiliary registration </w:t>
      </w:r>
    </w:p>
    <w:p>
      <w:pPr>
        <w:pStyle w:val="nzSubsection"/>
        <w:rPr>
          <w:snapToGrid w:val="0"/>
        </w:rPr>
      </w:pPr>
      <w:r>
        <w:rPr>
          <w:snapToGrid w:val="0"/>
        </w:rPr>
        <w:tab/>
        <w:t>(1)</w:t>
      </w:r>
      <w:r>
        <w:rPr>
          <w:snapToGrid w:val="0"/>
        </w:rPr>
        <w:tab/>
        <w:t>This clause applies to a person who immediately before the assent day referred to in Schedule 1 was — </w:t>
      </w:r>
    </w:p>
    <w:p>
      <w:pPr>
        <w:pStyle w:val="nzIndenta"/>
        <w:rPr>
          <w:snapToGrid w:val="0"/>
        </w:rPr>
      </w:pPr>
      <w:r>
        <w:rPr>
          <w:snapToGrid w:val="0"/>
        </w:rPr>
        <w:tab/>
        <w:t>(a)</w:t>
      </w:r>
      <w:r>
        <w:rPr>
          <w:snapToGrid w:val="0"/>
        </w:rPr>
        <w:tab/>
        <w:t>the holder of a certificate of regional registration under section 12; or</w:t>
      </w:r>
    </w:p>
    <w:p>
      <w:pPr>
        <w:pStyle w:val="nzIndenta"/>
        <w:rPr>
          <w:snapToGrid w:val="0"/>
        </w:rPr>
      </w:pPr>
      <w:r>
        <w:rPr>
          <w:snapToGrid w:val="0"/>
        </w:rPr>
        <w:tab/>
        <w:t>(b)</w:t>
      </w:r>
      <w:r>
        <w:rPr>
          <w:snapToGrid w:val="0"/>
        </w:rPr>
        <w:tab/>
        <w:t>the holder of a certificate of auxiliary registration under section 12A,</w:t>
      </w:r>
    </w:p>
    <w:p>
      <w:pPr>
        <w:pStyle w:val="nzSubsection"/>
        <w:rPr>
          <w:snapToGrid w:val="0"/>
        </w:rPr>
      </w:pPr>
      <w:r>
        <w:rPr>
          <w:snapToGrid w:val="0"/>
        </w:rPr>
        <w:tab/>
      </w:r>
      <w:r>
        <w:rPr>
          <w:snapToGrid w:val="0"/>
        </w:rPr>
        <w:tab/>
        <w:t>of the principal Act as in force immediately before the commencement of section 9 of this Act.</w:t>
      </w:r>
    </w:p>
    <w:p>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pPr>
        <w:pStyle w:val="nzSubsection"/>
        <w:rPr>
          <w:snapToGrid w:val="0"/>
        </w:rPr>
      </w:pPr>
      <w:r>
        <w:rPr>
          <w:snapToGrid w:val="0"/>
        </w:rPr>
        <w:tab/>
        <w:t>(3)</w:t>
      </w:r>
      <w:r>
        <w:rPr>
          <w:snapToGrid w:val="0"/>
        </w:rPr>
        <w:tab/>
        <w:t>Despite section 11 of the principal Act the Board may under this clause — </w:t>
      </w:r>
    </w:p>
    <w:p>
      <w:pPr>
        <w:pStyle w:val="nzIndenta"/>
        <w:rPr>
          <w:snapToGrid w:val="0"/>
        </w:rPr>
      </w:pPr>
      <w:r>
        <w:rPr>
          <w:snapToGrid w:val="0"/>
        </w:rPr>
        <w:tab/>
        <w:t>(a)</w:t>
      </w:r>
      <w:r>
        <w:rPr>
          <w:snapToGrid w:val="0"/>
        </w:rPr>
        <w:tab/>
        <w:t>grant general registration for the purposes of that section; and</w:t>
      </w:r>
    </w:p>
    <w:p>
      <w:pPr>
        <w:pStyle w:val="nzIndenta"/>
        <w:rPr>
          <w:snapToGrid w:val="0"/>
        </w:rPr>
      </w:pPr>
      <w:r>
        <w:rPr>
          <w:snapToGrid w:val="0"/>
        </w:rPr>
        <w:tab/>
        <w:t>(b)</w:t>
      </w:r>
      <w:r>
        <w:rPr>
          <w:snapToGrid w:val="0"/>
        </w:rPr>
        <w:tab/>
        <w:t>impose such conditions on the registration as it thinks appropriate.</w:t>
      </w:r>
    </w:p>
    <w:p>
      <w:pPr>
        <w:pStyle w:val="nzHeading5"/>
        <w:spacing w:before="60"/>
        <w:rPr>
          <w:snapToGrid w:val="0"/>
        </w:rPr>
      </w:pPr>
      <w:r>
        <w:rPr>
          <w:snapToGrid w:val="0"/>
        </w:rPr>
        <w:t>3.</w:t>
      </w:r>
      <w:r>
        <w:rPr>
          <w:snapToGrid w:val="0"/>
        </w:rPr>
        <w:tab/>
        <w:t>Fees</w:t>
      </w:r>
    </w:p>
    <w:p>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pPr>
        <w:pStyle w:val="MiscClose"/>
        <w:rPr>
          <w:snapToGrid w:val="0"/>
        </w:rPr>
      </w:pPr>
      <w:r>
        <w:rPr>
          <w:snapToGrid w:val="0"/>
        </w:rPr>
        <w:t>”.</w:t>
      </w:r>
    </w:p>
    <w:p>
      <w:pPr>
        <w:pStyle w:val="nSubsection"/>
      </w:pPr>
      <w:r>
        <w:rPr>
          <w:vertAlign w:val="superscript"/>
        </w:rPr>
        <w:t>7</w:t>
      </w:r>
      <w:r>
        <w:tab/>
        <w:t xml:space="preserve">The </w:t>
      </w:r>
      <w:r>
        <w:rPr>
          <w:i/>
        </w:rPr>
        <w:t>Medical Amendment Act 2000</w:t>
      </w:r>
      <w:r>
        <w:t xml:space="preserve"> s. 10 reads as follows:</w:t>
      </w:r>
    </w:p>
    <w:p>
      <w:pPr>
        <w:pStyle w:val="MiscOpen"/>
      </w:pPr>
      <w:r>
        <w:t>“</w:t>
      </w:r>
    </w:p>
    <w:p>
      <w:pPr>
        <w:pStyle w:val="nzHeading5"/>
        <w:spacing w:before="0"/>
      </w:pPr>
      <w:r>
        <w:t>10.</w:t>
      </w:r>
      <w:r>
        <w:tab/>
        <w:t xml:space="preserve">Transfer of certain existing registrations </w:t>
      </w:r>
    </w:p>
    <w:p>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pPr>
        <w:pStyle w:val="nzSubsection"/>
      </w:pPr>
      <w:r>
        <w:tab/>
        <w:t>(3)</w:t>
      </w:r>
      <w:r>
        <w:tab/>
        <w:t xml:space="preserve">In this </w:t>
      </w:r>
      <w:r>
        <w:rPr>
          <w:snapToGrid w:val="0"/>
        </w:rPr>
        <w:t>section</w:t>
      </w:r>
      <w:r>
        <w:t> —</w:t>
      </w:r>
    </w:p>
    <w:p>
      <w:pPr>
        <w:pStyle w:val="nzDefstart"/>
        <w:spacing w:before="80"/>
      </w:pPr>
      <w:r>
        <w:tab/>
      </w:r>
      <w:r>
        <w:rPr>
          <w:rStyle w:val="CharDefText"/>
        </w:rPr>
        <w:t>eligible person</w:t>
      </w:r>
      <w:r>
        <w:t xml:space="preserve"> means a person —</w:t>
      </w:r>
    </w:p>
    <w:p>
      <w:pPr>
        <w:pStyle w:val="nzDefpara"/>
        <w:spacing w:before="60"/>
      </w:pPr>
      <w:r>
        <w:tab/>
        <w:t>(a)</w:t>
      </w:r>
      <w:r>
        <w:tab/>
        <w:t xml:space="preserve">who is registered as a medical practitioner under section 11AF; </w:t>
      </w:r>
    </w:p>
    <w:p>
      <w:pPr>
        <w:pStyle w:val="nzDefpara"/>
        <w:spacing w:before="60"/>
      </w:pPr>
      <w:r>
        <w:tab/>
        <w:t>(b)</w:t>
      </w:r>
      <w:r>
        <w:tab/>
        <w:t xml:space="preserve">who was so registered on or after 26 April 1999 but before the commencement of this Act; and </w:t>
      </w:r>
    </w:p>
    <w:p>
      <w:pPr>
        <w:pStyle w:val="nzDefpara"/>
        <w:spacing w:before="60"/>
      </w:pPr>
      <w:r>
        <w:tab/>
        <w:t>(c)</w:t>
      </w:r>
      <w:r>
        <w:tab/>
        <w:t>who has been assessed by the State Interview Panel as being suitable to be a general practitioner in remote and rural WA;</w:t>
      </w:r>
    </w:p>
    <w:p>
      <w:pPr>
        <w:pStyle w:val="nzDefstart"/>
        <w:spacing w:before="80"/>
      </w:pPr>
      <w:r>
        <w:tab/>
      </w:r>
      <w:r>
        <w:rPr>
          <w:rStyle w:val="CharDefText"/>
        </w:rPr>
        <w:t>remote and rural WA</w:t>
      </w:r>
      <w:r>
        <w:t xml:space="preserve"> has the same meaning as in section 11AG;</w:t>
      </w:r>
    </w:p>
    <w:p>
      <w:pPr>
        <w:pStyle w:val="nzDefstart"/>
        <w:spacing w:before="80"/>
      </w:pPr>
      <w:r>
        <w:tab/>
      </w:r>
      <w:r>
        <w:rPr>
          <w:rStyle w:val="CharDefText"/>
        </w:rPr>
        <w:t>section</w:t>
      </w:r>
      <w:r>
        <w:t xml:space="preserve"> means a section of the </w:t>
      </w:r>
      <w:r>
        <w:rPr>
          <w:i/>
        </w:rPr>
        <w:t>Medical Act 1894</w:t>
      </w:r>
      <w:r>
        <w:t xml:space="preserve">; </w:t>
      </w:r>
    </w:p>
    <w:p>
      <w:pPr>
        <w:pStyle w:val="nzDefstart"/>
        <w:spacing w:before="80"/>
      </w:pPr>
      <w:r>
        <w:tab/>
      </w:r>
      <w:r>
        <w:rPr>
          <w:rStyle w:val="CharDefText"/>
        </w:rPr>
        <w:t>State Interview Panel</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pPr>
        <w:pStyle w:val="MiscClose"/>
      </w:pPr>
      <w: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unmet area of need</w:t>
      </w:r>
      <w:r>
        <w:tab/>
        <w:t>11AF(2)</w:t>
      </w:r>
    </w:p>
    <w:p>
      <w:pPr>
        <w:pStyle w:val="DefinedTerms"/>
      </w:pPr>
      <w:r>
        <w:t>appointed day</w:t>
      </w:r>
      <w:r>
        <w:tab/>
        <w:t>21CA(9)</w:t>
      </w:r>
    </w:p>
    <w:p>
      <w:pPr>
        <w:pStyle w:val="DefinedTerms"/>
      </w:pPr>
      <w:r>
        <w:t>appropriate conditions</w:t>
      </w:r>
      <w:r>
        <w:tab/>
        <w:t>11AC(2), 11AD(2)</w:t>
      </w:r>
    </w:p>
    <w:p>
      <w:pPr>
        <w:pStyle w:val="DefinedTerms"/>
      </w:pPr>
      <w:r>
        <w:t>Board</w:t>
      </w:r>
      <w:r>
        <w:tab/>
        <w:t>3(1)</w:t>
      </w:r>
    </w:p>
    <w:p>
      <w:pPr>
        <w:pStyle w:val="DefinedTerms"/>
      </w:pPr>
      <w:r>
        <w:t>force</w:t>
      </w:r>
      <w:r>
        <w:tab/>
        <w:t>11AB(3)</w:t>
      </w:r>
    </w:p>
    <w:p>
      <w:pPr>
        <w:pStyle w:val="DefinedTerms"/>
      </w:pPr>
      <w:r>
        <w:t>interim order</w:t>
      </w:r>
      <w:r>
        <w:tab/>
        <w:t>13(9ba)</w:t>
      </w:r>
    </w:p>
    <w:p>
      <w:pPr>
        <w:pStyle w:val="DefinedTerms"/>
      </w:pPr>
      <w:r>
        <w:t>medical call service</w:t>
      </w:r>
      <w:r>
        <w:tab/>
        <w:t>3(1)</w:t>
      </w:r>
    </w:p>
    <w:p>
      <w:pPr>
        <w:pStyle w:val="DefinedTerms"/>
      </w:pPr>
      <w:r>
        <w:t>medical practitioner</w:t>
      </w:r>
      <w:r>
        <w:tab/>
        <w:t>3(1)</w:t>
      </w:r>
    </w:p>
    <w:p>
      <w:pPr>
        <w:pStyle w:val="DefinedTerms"/>
      </w:pPr>
      <w:r>
        <w:t>member</w:t>
      </w:r>
      <w:r>
        <w:tab/>
        <w:t>3(1)</w:t>
      </w:r>
    </w:p>
    <w:p>
      <w:pPr>
        <w:pStyle w:val="DefinedTerms"/>
      </w:pPr>
      <w:r>
        <w:t>practise as a general practitioner</w:t>
      </w:r>
      <w:r>
        <w:tab/>
        <w:t>11AG(7)</w:t>
      </w:r>
    </w:p>
    <w:p>
      <w:pPr>
        <w:pStyle w:val="DefinedTerms"/>
      </w:pPr>
      <w:r>
        <w:t>professional standards committee</w:t>
      </w:r>
      <w:r>
        <w:tab/>
        <w:t>3(1)</w:t>
      </w:r>
    </w:p>
    <w:p>
      <w:pPr>
        <w:pStyle w:val="DefinedTerms"/>
      </w:pPr>
      <w:r>
        <w:t>recognised medical qualifications</w:t>
      </w:r>
      <w:r>
        <w:tab/>
        <w:t>11(2a)</w:t>
      </w:r>
    </w:p>
    <w:p>
      <w:pPr>
        <w:pStyle w:val="DefinedTerms"/>
      </w:pPr>
      <w:r>
        <w:t>Register</w:t>
      </w:r>
      <w:r>
        <w:tab/>
        <w:t>3(1)</w:t>
      </w:r>
    </w:p>
    <w:p>
      <w:pPr>
        <w:pStyle w:val="DefinedTerms"/>
      </w:pPr>
      <w:r>
        <w:t>Registrar</w:t>
      </w:r>
      <w:r>
        <w:tab/>
        <w:t>3(1)</w:t>
      </w:r>
    </w:p>
    <w:p>
      <w:pPr>
        <w:pStyle w:val="DefinedTerms"/>
      </w:pPr>
      <w:r>
        <w:t>relative</w:t>
      </w:r>
      <w:r>
        <w:tab/>
        <w:t>21B(4)</w:t>
      </w:r>
    </w:p>
    <w:p>
      <w:pPr>
        <w:pStyle w:val="DefinedTerms"/>
      </w:pPr>
      <w:r>
        <w:t>remote and rural WA</w:t>
      </w:r>
      <w:r>
        <w:tab/>
        <w:t>11AG(7)</w:t>
      </w:r>
    </w:p>
    <w:p>
      <w:pPr>
        <w:pStyle w:val="DefinedTerms"/>
      </w:pPr>
      <w:r>
        <w:t>Rules</w:t>
      </w:r>
      <w:r>
        <w:tab/>
        <w:t>3(1)</w:t>
      </w:r>
    </w:p>
    <w:p>
      <w:pPr>
        <w:pStyle w:val="DefinedTerms"/>
      </w:pPr>
      <w:r>
        <w:t>visiting force</w:t>
      </w:r>
      <w:r>
        <w:tab/>
        <w:t>11AB(3)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Act 1894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Act 1894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Medical Act 1894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Medical Act 1894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E2BE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35"/>
    <w:docVar w:name="WAFER_20140120122231" w:val="RemoveTocBookmarks,RemoveUnusedBookmarks,RemoveLanguageTags,UsedStyles,ResetPageSize,UpdateArrangement"/>
    <w:docVar w:name="WAFER_20140120122231_GUID" w:val="07df1411-0579-4a7f-8394-aac3337d992c"/>
    <w:docVar w:name="WAFER_20150728114911" w:val="ResetPageSize,UpdateArrangement,UpdateNTable"/>
    <w:docVar w:name="WAFER_20150728114911_GUID" w:val="8ccf3438-eeca-4ced-9e7c-0c9098677f20"/>
    <w:docVar w:name="WAFER_20151116123835" w:val="UpdateStyles,UsedStyles"/>
    <w:docVar w:name="WAFER_20151116123835_GUID" w:val="d8ac2674-3a4c-4d17-9367-83201e1e45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36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17178</Words>
  <Characters>81255</Characters>
  <Application>Microsoft Office Word</Application>
  <DocSecurity>0</DocSecurity>
  <Lines>2257</Lines>
  <Paragraphs>1171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1894 - 06-g0-04</dc:title>
  <dc:subject/>
  <dc:creator/>
  <cp:keywords/>
  <dc:description/>
  <cp:lastModifiedBy>svcMRProcess</cp:lastModifiedBy>
  <cp:revision>4</cp:revision>
  <cp:lastPrinted>2005-08-17T06:34:00Z</cp:lastPrinted>
  <dcterms:created xsi:type="dcterms:W3CDTF">2015-11-16T04:45:00Z</dcterms:created>
  <dcterms:modified xsi:type="dcterms:W3CDTF">2015-11-16T04:45:00Z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486</vt:i4>
  </property>
  <property fmtid="{D5CDD505-2E9C-101B-9397-08002B2CF9AE}" pid="6" name="AsAtDate">
    <vt:lpwstr>01 Dec 2008</vt:lpwstr>
  </property>
  <property fmtid="{D5CDD505-2E9C-101B-9397-08002B2CF9AE}" pid="7" name="Suffix">
    <vt:lpwstr>06-g0-04</vt:lpwstr>
  </property>
  <property fmtid="{D5CDD505-2E9C-101B-9397-08002B2CF9AE}" pid="8" name="Status">
    <vt:lpwstr>NIF</vt:lpwstr>
  </property>
</Properties>
</file>