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_Toc389745345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_Toc389745346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_Toc389745347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_Toc389745348 \h </w:instrText>
      </w:r>
      <w:r>
        <w:fldChar w:fldCharType="separate"/>
      </w:r>
      <w:r>
        <w:t>5</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_Toc389745349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_Toc389745350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_Toc389745351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_Toc389745353 \h </w:instrText>
      </w:r>
      <w:r>
        <w:fldChar w:fldCharType="separate"/>
      </w:r>
      <w:r>
        <w:t>7</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_Toc389745354 \h </w:instrText>
      </w:r>
      <w:r>
        <w:fldChar w:fldCharType="separate"/>
      </w:r>
      <w:r>
        <w:t>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_Toc389745355 \h </w:instrText>
      </w:r>
      <w:r>
        <w:fldChar w:fldCharType="separate"/>
      </w:r>
      <w:r>
        <w:t>9</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_Toc389745356 \h </w:instrText>
      </w:r>
      <w:r>
        <w:fldChar w:fldCharType="separate"/>
      </w:r>
      <w:r>
        <w:t>10</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_Toc389745357 \h </w:instrText>
      </w:r>
      <w:r>
        <w:fldChar w:fldCharType="separate"/>
      </w:r>
      <w:r>
        <w:t>10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_Toc389745358 \h </w:instrText>
      </w:r>
      <w:r>
        <w:fldChar w:fldCharType="separate"/>
      </w:r>
      <w:r>
        <w:t>11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_Toc389745359 \h </w:instrText>
      </w:r>
      <w:r>
        <w:fldChar w:fldCharType="separate"/>
      </w:r>
      <w:r>
        <w:t>11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_Toc389745360 \h </w:instrText>
      </w:r>
      <w:r>
        <w:fldChar w:fldCharType="separate"/>
      </w:r>
      <w:r>
        <w:t>11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_Toc389745361 \h </w:instrText>
      </w:r>
      <w:r>
        <w:fldChar w:fldCharType="separate"/>
      </w:r>
      <w:r>
        <w:t>11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_Toc389745362 \h </w:instrText>
      </w:r>
      <w:r>
        <w:fldChar w:fldCharType="separate"/>
      </w:r>
      <w:r>
        <w:t>12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_Toc389745363 \h </w:instrText>
      </w:r>
      <w:r>
        <w:fldChar w:fldCharType="separate"/>
      </w:r>
      <w:r>
        <w:t>12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_Toc389745364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_Toc389745367 \h </w:instrText>
      </w:r>
      <w:r>
        <w:fldChar w:fldCharType="separate"/>
      </w:r>
      <w:r>
        <w:t>14</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_Toc389745368 \h </w:instrText>
      </w:r>
      <w:r>
        <w:fldChar w:fldCharType="separate"/>
      </w:r>
      <w:r>
        <w:t>15</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_Toc389745369 \h </w:instrText>
      </w:r>
      <w:r>
        <w:fldChar w:fldCharType="separate"/>
      </w:r>
      <w:r>
        <w:t>16</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_Toc389745370 \h </w:instrText>
      </w:r>
      <w:r>
        <w:fldChar w:fldCharType="separate"/>
      </w:r>
      <w:r>
        <w:t>16</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_Toc389745371 \h </w:instrText>
      </w:r>
      <w:r>
        <w:fldChar w:fldCharType="separate"/>
      </w:r>
      <w:r>
        <w:t>17</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_Toc389745372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_Toc389745374 \h </w:instrText>
      </w:r>
      <w:r>
        <w:fldChar w:fldCharType="separate"/>
      </w:r>
      <w:r>
        <w:t>17</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_Toc389745375 \h </w:instrText>
      </w:r>
      <w:r>
        <w:fldChar w:fldCharType="separate"/>
      </w:r>
      <w:r>
        <w:t>19</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_Toc389745376 \h </w:instrText>
      </w:r>
      <w:r>
        <w:fldChar w:fldCharType="separate"/>
      </w:r>
      <w:r>
        <w:t>21</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_Toc389745377 \h </w:instrText>
      </w:r>
      <w:r>
        <w:fldChar w:fldCharType="separate"/>
      </w:r>
      <w:r>
        <w:t>21</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_Toc389745378 \h </w:instrText>
      </w:r>
      <w:r>
        <w:fldChar w:fldCharType="separate"/>
      </w:r>
      <w:r>
        <w:t>22</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_Toc389745379 \h </w:instrText>
      </w:r>
      <w:r>
        <w:fldChar w:fldCharType="separate"/>
      </w:r>
      <w:r>
        <w:t>22</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_Toc389745380 \h </w:instrText>
      </w:r>
      <w:r>
        <w:fldChar w:fldCharType="separate"/>
      </w:r>
      <w:r>
        <w:t>23</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_Toc389745381 \h </w:instrText>
      </w:r>
      <w:r>
        <w:fldChar w:fldCharType="separate"/>
      </w:r>
      <w:r>
        <w:t>23</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_Toc389745382 \h </w:instrText>
      </w:r>
      <w:r>
        <w:fldChar w:fldCharType="separate"/>
      </w:r>
      <w:r>
        <w:t>23</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_Toc389745383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_Toc389745385 \h </w:instrText>
      </w:r>
      <w:r>
        <w:fldChar w:fldCharType="separate"/>
      </w:r>
      <w:r>
        <w:t>24</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_Toc389745386 \h </w:instrText>
      </w:r>
      <w:r>
        <w:fldChar w:fldCharType="separate"/>
      </w:r>
      <w:r>
        <w:t>25</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_Toc389745387 \h </w:instrText>
      </w:r>
      <w:r>
        <w:fldChar w:fldCharType="separate"/>
      </w:r>
      <w:r>
        <w:t>25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_Toc389745388 \h </w:instrText>
      </w:r>
      <w:r>
        <w:fldChar w:fldCharType="separate"/>
      </w:r>
      <w:r>
        <w:t>26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_Toc389745389 \h </w:instrText>
      </w:r>
      <w:r>
        <w:fldChar w:fldCharType="separate"/>
      </w:r>
      <w:r>
        <w:t>26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_Toc389745390 \h </w:instrText>
      </w:r>
      <w:r>
        <w:fldChar w:fldCharType="separate"/>
      </w:r>
      <w:r>
        <w:t>26</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_Toc389745391 \h </w:instrText>
      </w:r>
      <w:r>
        <w:fldChar w:fldCharType="separate"/>
      </w:r>
      <w:r>
        <w:t>27</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_Toc389745392 \h </w:instrText>
      </w:r>
      <w:r>
        <w:fldChar w:fldCharType="separate"/>
      </w:r>
      <w:r>
        <w:t>27</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_Toc389745394 \h </w:instrText>
      </w:r>
      <w:r>
        <w:fldChar w:fldCharType="separate"/>
      </w:r>
      <w:r>
        <w:t>29</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_Toc389745395 \h </w:instrText>
      </w:r>
      <w:r>
        <w:fldChar w:fldCharType="separate"/>
      </w:r>
      <w:r>
        <w:t>29</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_Toc389745396 \h </w:instrText>
      </w:r>
      <w:r>
        <w:fldChar w:fldCharType="separate"/>
      </w:r>
      <w:r>
        <w:t>30</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_Toc389745397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_Toc389745399 \h </w:instrText>
      </w:r>
      <w:r>
        <w:fldChar w:fldCharType="separate"/>
      </w:r>
      <w:r>
        <w:t>32</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_Toc389745400 \h </w:instrText>
      </w:r>
      <w:r>
        <w:fldChar w:fldCharType="separate"/>
      </w:r>
      <w:r>
        <w:t>32</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_Toc389745401 \h </w:instrText>
      </w:r>
      <w:r>
        <w:fldChar w:fldCharType="separate"/>
      </w:r>
      <w:r>
        <w:t>32</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_Toc389745402 \h </w:instrText>
      </w:r>
      <w:r>
        <w:fldChar w:fldCharType="separate"/>
      </w:r>
      <w:r>
        <w:t>33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_Toc389745403 \h </w:instrText>
      </w:r>
      <w:r>
        <w:fldChar w:fldCharType="separate"/>
      </w:r>
      <w:r>
        <w:t>34</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_Toc389745405 \h </w:instrText>
      </w:r>
      <w:r>
        <w:fldChar w:fldCharType="separate"/>
      </w:r>
      <w:r>
        <w:t>35</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_Toc389745406 \h </w:instrText>
      </w:r>
      <w:r>
        <w:fldChar w:fldCharType="separate"/>
      </w:r>
      <w:r>
        <w:t>35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_Toc389745407 \h </w:instrText>
      </w:r>
      <w:r>
        <w:fldChar w:fldCharType="separate"/>
      </w:r>
      <w:r>
        <w:t>35</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_Toc389745408 \h </w:instrText>
      </w:r>
      <w:r>
        <w:fldChar w:fldCharType="separate"/>
      </w:r>
      <w:r>
        <w:t>36</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_Toc389745409 \h </w:instrText>
      </w:r>
      <w:r>
        <w:fldChar w:fldCharType="separate"/>
      </w:r>
      <w:r>
        <w:t>37</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_Toc389745410 \h </w:instrText>
      </w:r>
      <w:r>
        <w:fldChar w:fldCharType="separate"/>
      </w:r>
      <w:r>
        <w:t>38</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_Toc389745411 \h </w:instrText>
      </w:r>
      <w:r>
        <w:fldChar w:fldCharType="separate"/>
      </w:r>
      <w:r>
        <w:t>38</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_Toc389745412 \h </w:instrText>
      </w:r>
      <w:r>
        <w:fldChar w:fldCharType="separate"/>
      </w:r>
      <w:r>
        <w:t>39</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_Toc389745413 \h </w:instrText>
      </w:r>
      <w:r>
        <w:fldChar w:fldCharType="separate"/>
      </w:r>
      <w:r>
        <w:t>39</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_Toc389745414 \h </w:instrText>
      </w:r>
      <w:r>
        <w:fldChar w:fldCharType="separate"/>
      </w:r>
      <w:r>
        <w:t>39</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_Toc389745415 \h </w:instrText>
      </w:r>
      <w:r>
        <w:fldChar w:fldCharType="separate"/>
      </w:r>
      <w:r>
        <w:t>40</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_Toc389745416 \h </w:instrText>
      </w:r>
      <w:r>
        <w:fldChar w:fldCharType="separate"/>
      </w:r>
      <w:r>
        <w:t>40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_Toc389745417 \h </w:instrText>
      </w:r>
      <w:r>
        <w:fldChar w:fldCharType="separate"/>
      </w:r>
      <w:r>
        <w:t>42</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_Toc389745418 \h </w:instrText>
      </w:r>
      <w:r>
        <w:fldChar w:fldCharType="separate"/>
      </w:r>
      <w:r>
        <w:t>42</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_Toc389745419 \h </w:instrText>
      </w:r>
      <w:r>
        <w:fldChar w:fldCharType="separate"/>
      </w:r>
      <w:r>
        <w:t>43</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_Toc389745420 \h </w:instrText>
      </w:r>
      <w:r>
        <w:fldChar w:fldCharType="separate"/>
      </w:r>
      <w:r>
        <w:t>44</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_Toc389745421 \h </w:instrText>
      </w:r>
      <w:r>
        <w:fldChar w:fldCharType="separate"/>
      </w:r>
      <w:r>
        <w:t>45</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_Toc389745422 \h </w:instrText>
      </w:r>
      <w:r>
        <w:fldChar w:fldCharType="separate"/>
      </w:r>
      <w:r>
        <w:t>45</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_Toc389745423 \h </w:instrText>
      </w:r>
      <w:r>
        <w:fldChar w:fldCharType="separate"/>
      </w:r>
      <w:r>
        <w:t>45</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_Toc389745424 \h </w:instrText>
      </w:r>
      <w:r>
        <w:fldChar w:fldCharType="separate"/>
      </w:r>
      <w:r>
        <w:t>46</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_Toc389745425 \h </w:instrText>
      </w:r>
      <w:r>
        <w:fldChar w:fldCharType="separate"/>
      </w:r>
      <w:r>
        <w:t>46</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_Toc389745426 \h </w:instrText>
      </w:r>
      <w:r>
        <w:fldChar w:fldCharType="separate"/>
      </w:r>
      <w:r>
        <w:t>51</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_Toc389745427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_Toc389745429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_Toc389745442 \h </w:instrText>
      </w:r>
      <w:r>
        <w:fldChar w:fldCharType="separate"/>
      </w:r>
      <w:r>
        <w:t>65</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_Toc389745443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344"/>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345"/>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346"/>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347"/>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No. 22 of 2008 s. 162.] </w:t>
      </w:r>
    </w:p>
    <w:p>
      <w:pPr>
        <w:pStyle w:val="Heading5"/>
        <w:spacing w:before="180"/>
        <w:rPr>
          <w:snapToGrid w:val="0"/>
        </w:rPr>
      </w:pPr>
      <w:bookmarkStart w:id="5" w:name="_Toc389745348"/>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349"/>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350"/>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351"/>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352"/>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353"/>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1" w:name="_Toc389745354"/>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355"/>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356"/>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357"/>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358"/>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359"/>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360"/>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361"/>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362"/>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363"/>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364"/>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365"/>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366"/>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367"/>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368"/>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369"/>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370"/>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371"/>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372"/>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373"/>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374"/>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375"/>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376"/>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377"/>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378"/>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379"/>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380"/>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381"/>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382"/>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383"/>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384"/>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385"/>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386"/>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387"/>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388"/>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389"/>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390"/>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391"/>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392"/>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393"/>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394"/>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395"/>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396"/>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397"/>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398"/>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399"/>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400"/>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401"/>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402"/>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403"/>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404"/>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405"/>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406"/>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407"/>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408"/>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409"/>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410"/>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411"/>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412"/>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413"/>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414"/>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415"/>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416"/>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417"/>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418"/>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419"/>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420"/>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No. 22 of 2008 s. 162.] </w:t>
      </w:r>
    </w:p>
    <w:p>
      <w:pPr>
        <w:pStyle w:val="Heading5"/>
        <w:rPr>
          <w:snapToGrid w:val="0"/>
        </w:rPr>
      </w:pPr>
      <w:bookmarkStart w:id="78" w:name="_Toc389745421"/>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422"/>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423"/>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424"/>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425"/>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426"/>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427"/>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428"/>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429"/>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430"/>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431"/>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432"/>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433"/>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434"/>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435"/>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436"/>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437"/>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438"/>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439"/>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440"/>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441"/>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442"/>
      <w:r>
        <w:rPr>
          <w:snapToGrid w:val="0"/>
        </w:rPr>
        <w:t>Compilation table</w:t>
      </w:r>
      <w:bookmarkEnd w:id="99"/>
    </w:p>
    <w:tbl>
      <w:tblPr>
        <w:tblW w:w="7099" w:type="dxa"/>
        <w:tblInd w:w="28" w:type="dxa"/>
        <w:tblLayout w:type="fixed"/>
        <w:tblCellMar>
          <w:left w:w="56" w:type="dxa"/>
          <w:right w:w="56" w:type="dxa"/>
        </w:tblCellMar>
        <w:tblLook w:val="0000" w:firstRow="0" w:lastRow="0" w:firstColumn="0" w:lastColumn="0" w:noHBand="0" w:noVBand="0"/>
      </w:tblPr>
      <w:tblGrid>
        <w:gridCol w:w="2200"/>
        <w:gridCol w:w="18"/>
        <w:gridCol w:w="7"/>
        <w:gridCol w:w="11"/>
        <w:gridCol w:w="29"/>
        <w:gridCol w:w="1079"/>
        <w:gridCol w:w="7"/>
        <w:gridCol w:w="15"/>
        <w:gridCol w:w="33"/>
        <w:gridCol w:w="1086"/>
        <w:gridCol w:w="48"/>
        <w:gridCol w:w="2488"/>
        <w:gridCol w:w="63"/>
        <w:gridCol w:w="15"/>
      </w:tblGrid>
      <w:tr>
        <w:trPr>
          <w:gridAfter w:val="2"/>
          <w:wAfter w:w="78" w:type="dxa"/>
          <w:cantSplit/>
          <w:tblHeader/>
        </w:trPr>
        <w:tc>
          <w:tcPr>
            <w:tcW w:w="2200" w:type="dxa"/>
            <w:tcBorders>
              <w:top w:val="single" w:sz="8" w:space="0" w:color="auto"/>
              <w:bottom w:val="single" w:sz="8" w:space="0" w:color="auto"/>
            </w:tcBorders>
          </w:tcPr>
          <w:p>
            <w:pPr>
              <w:pStyle w:val="nTable"/>
              <w:spacing w:after="40"/>
              <w:rPr>
                <w:b/>
                <w:sz w:val="19"/>
              </w:rPr>
            </w:pPr>
            <w:r>
              <w:rPr>
                <w:b/>
                <w:sz w:val="19"/>
              </w:rPr>
              <w:t>Short title</w:t>
            </w:r>
          </w:p>
        </w:tc>
        <w:tc>
          <w:tcPr>
            <w:tcW w:w="1144" w:type="dxa"/>
            <w:gridSpan w:val="5"/>
            <w:tcBorders>
              <w:top w:val="single" w:sz="8" w:space="0" w:color="auto"/>
              <w:bottom w:val="single" w:sz="8" w:space="0" w:color="auto"/>
            </w:tcBorders>
          </w:tcPr>
          <w:p>
            <w:pPr>
              <w:pStyle w:val="nTable"/>
              <w:spacing w:after="40"/>
              <w:rPr>
                <w:b/>
                <w:sz w:val="19"/>
              </w:rPr>
            </w:pPr>
            <w:r>
              <w:rPr>
                <w:b/>
                <w:sz w:val="19"/>
              </w:rPr>
              <w:t>Number and year</w:t>
            </w:r>
          </w:p>
        </w:tc>
        <w:tc>
          <w:tcPr>
            <w:tcW w:w="1141" w:type="dxa"/>
            <w:gridSpan w:val="4"/>
            <w:tcBorders>
              <w:top w:val="single" w:sz="8" w:space="0" w:color="auto"/>
              <w:bottom w:val="single" w:sz="8" w:space="0" w:color="auto"/>
            </w:tcBorders>
          </w:tcPr>
          <w:p>
            <w:pPr>
              <w:pStyle w:val="nTable"/>
              <w:spacing w:after="40"/>
              <w:rPr>
                <w:b/>
                <w:sz w:val="19"/>
              </w:rPr>
            </w:pPr>
            <w:r>
              <w:rPr>
                <w:b/>
                <w:sz w:val="19"/>
              </w:rPr>
              <w:t>Assent</w:t>
            </w:r>
          </w:p>
        </w:tc>
        <w:tc>
          <w:tcPr>
            <w:tcW w:w="2536"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78" w:type="dxa"/>
          <w:cantSplit/>
        </w:trPr>
        <w:tc>
          <w:tcPr>
            <w:tcW w:w="2200" w:type="dxa"/>
            <w:tcBorders>
              <w:top w:val="single" w:sz="8" w:space="0" w:color="auto"/>
            </w:tcBorders>
          </w:tcPr>
          <w:p>
            <w:pPr>
              <w:pStyle w:val="nTable"/>
              <w:spacing w:after="40"/>
              <w:rPr>
                <w:sz w:val="19"/>
              </w:rPr>
            </w:pPr>
            <w:r>
              <w:rPr>
                <w:i/>
                <w:sz w:val="19"/>
              </w:rPr>
              <w:t>Poisons Act 1964</w:t>
            </w:r>
          </w:p>
        </w:tc>
        <w:tc>
          <w:tcPr>
            <w:tcW w:w="1144" w:type="dxa"/>
            <w:gridSpan w:val="5"/>
            <w:tcBorders>
              <w:top w:val="single" w:sz="8" w:space="0" w:color="auto"/>
            </w:tcBorders>
          </w:tcPr>
          <w:p>
            <w:pPr>
              <w:pStyle w:val="nTable"/>
              <w:spacing w:after="40"/>
              <w:rPr>
                <w:sz w:val="19"/>
              </w:rPr>
            </w:pPr>
            <w:r>
              <w:rPr>
                <w:sz w:val="19"/>
              </w:rPr>
              <w:t>70 of 1964 (13 Eliz. II No. 70)</w:t>
            </w:r>
          </w:p>
        </w:tc>
        <w:tc>
          <w:tcPr>
            <w:tcW w:w="1141" w:type="dxa"/>
            <w:gridSpan w:val="4"/>
            <w:tcBorders>
              <w:top w:val="single" w:sz="8" w:space="0" w:color="auto"/>
            </w:tcBorders>
          </w:tcPr>
          <w:p>
            <w:pPr>
              <w:pStyle w:val="nTable"/>
              <w:spacing w:after="40"/>
              <w:rPr>
                <w:sz w:val="19"/>
              </w:rPr>
            </w:pPr>
            <w:r>
              <w:rPr>
                <w:sz w:val="19"/>
              </w:rPr>
              <w:t>11 Dec 1964</w:t>
            </w:r>
          </w:p>
        </w:tc>
        <w:tc>
          <w:tcPr>
            <w:tcW w:w="2536"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78" w:type="dxa"/>
          <w:cantSplit/>
        </w:trPr>
        <w:tc>
          <w:tcPr>
            <w:tcW w:w="2200" w:type="dxa"/>
          </w:tcPr>
          <w:p>
            <w:pPr>
              <w:pStyle w:val="nTable"/>
              <w:spacing w:after="40"/>
              <w:rPr>
                <w:sz w:val="19"/>
              </w:rPr>
            </w:pPr>
            <w:r>
              <w:rPr>
                <w:i/>
                <w:sz w:val="19"/>
              </w:rPr>
              <w:t>Poisons Act Amendment Act 1966</w:t>
            </w:r>
          </w:p>
        </w:tc>
        <w:tc>
          <w:tcPr>
            <w:tcW w:w="1144" w:type="dxa"/>
            <w:gridSpan w:val="5"/>
          </w:tcPr>
          <w:p>
            <w:pPr>
              <w:pStyle w:val="nTable"/>
              <w:spacing w:after="40"/>
              <w:rPr>
                <w:sz w:val="19"/>
              </w:rPr>
            </w:pPr>
            <w:r>
              <w:rPr>
                <w:sz w:val="19"/>
              </w:rPr>
              <w:t>23 of 1966</w:t>
            </w:r>
          </w:p>
        </w:tc>
        <w:tc>
          <w:tcPr>
            <w:tcW w:w="1141" w:type="dxa"/>
            <w:gridSpan w:val="4"/>
          </w:tcPr>
          <w:p>
            <w:pPr>
              <w:pStyle w:val="nTable"/>
              <w:spacing w:after="40"/>
              <w:rPr>
                <w:sz w:val="19"/>
              </w:rPr>
            </w:pPr>
            <w:r>
              <w:rPr>
                <w:sz w:val="19"/>
              </w:rPr>
              <w:t>27 Oct 1966</w:t>
            </w:r>
          </w:p>
        </w:tc>
        <w:tc>
          <w:tcPr>
            <w:tcW w:w="2536" w:type="dxa"/>
            <w:gridSpan w:val="2"/>
          </w:tcPr>
          <w:p>
            <w:pPr>
              <w:pStyle w:val="nTable"/>
              <w:spacing w:after="40"/>
              <w:rPr>
                <w:sz w:val="19"/>
              </w:rPr>
            </w:pPr>
            <w:r>
              <w:rPr>
                <w:sz w:val="19"/>
              </w:rPr>
              <w:t>27 Oct 1966</w:t>
            </w:r>
          </w:p>
        </w:tc>
      </w:tr>
      <w:tr>
        <w:trPr>
          <w:gridAfter w:val="2"/>
          <w:wAfter w:w="78" w:type="dxa"/>
          <w:cantSplit/>
        </w:trPr>
        <w:tc>
          <w:tcPr>
            <w:tcW w:w="2200" w:type="dxa"/>
          </w:tcPr>
          <w:p>
            <w:pPr>
              <w:pStyle w:val="nTable"/>
              <w:spacing w:after="40"/>
              <w:rPr>
                <w:sz w:val="19"/>
              </w:rPr>
            </w:pPr>
            <w:r>
              <w:rPr>
                <w:i/>
                <w:sz w:val="19"/>
              </w:rPr>
              <w:t>Poisons Act Amendment Act 1967</w:t>
            </w:r>
          </w:p>
        </w:tc>
        <w:tc>
          <w:tcPr>
            <w:tcW w:w="1144" w:type="dxa"/>
            <w:gridSpan w:val="5"/>
          </w:tcPr>
          <w:p>
            <w:pPr>
              <w:pStyle w:val="nTable"/>
              <w:spacing w:after="40"/>
              <w:rPr>
                <w:sz w:val="19"/>
              </w:rPr>
            </w:pPr>
            <w:r>
              <w:rPr>
                <w:sz w:val="19"/>
              </w:rPr>
              <w:t>28 of 1967</w:t>
            </w:r>
          </w:p>
        </w:tc>
        <w:tc>
          <w:tcPr>
            <w:tcW w:w="1141" w:type="dxa"/>
            <w:gridSpan w:val="4"/>
          </w:tcPr>
          <w:p>
            <w:pPr>
              <w:pStyle w:val="nTable"/>
              <w:spacing w:after="40"/>
              <w:rPr>
                <w:sz w:val="19"/>
              </w:rPr>
            </w:pPr>
            <w:r>
              <w:rPr>
                <w:sz w:val="19"/>
              </w:rPr>
              <w:t>17 Nov 1967</w:t>
            </w:r>
          </w:p>
        </w:tc>
        <w:tc>
          <w:tcPr>
            <w:tcW w:w="2536" w:type="dxa"/>
            <w:gridSpan w:val="2"/>
          </w:tcPr>
          <w:p>
            <w:pPr>
              <w:pStyle w:val="nTable"/>
              <w:spacing w:after="40"/>
              <w:rPr>
                <w:sz w:val="19"/>
              </w:rPr>
            </w:pPr>
            <w:r>
              <w:rPr>
                <w:sz w:val="19"/>
              </w:rPr>
              <w:t>17 Nov 1967</w:t>
            </w:r>
          </w:p>
        </w:tc>
      </w:tr>
      <w:tr>
        <w:trPr>
          <w:gridAfter w:val="2"/>
          <w:wAfter w:w="78" w:type="dxa"/>
          <w:cantSplit/>
        </w:trPr>
        <w:tc>
          <w:tcPr>
            <w:tcW w:w="2200" w:type="dxa"/>
          </w:tcPr>
          <w:p>
            <w:pPr>
              <w:pStyle w:val="nTable"/>
              <w:spacing w:after="40"/>
              <w:rPr>
                <w:sz w:val="19"/>
              </w:rPr>
            </w:pPr>
            <w:r>
              <w:rPr>
                <w:i/>
                <w:sz w:val="19"/>
              </w:rPr>
              <w:t>Poisons Act Amendment Act (No. 2) 1967</w:t>
            </w:r>
          </w:p>
        </w:tc>
        <w:tc>
          <w:tcPr>
            <w:tcW w:w="1144" w:type="dxa"/>
            <w:gridSpan w:val="5"/>
          </w:tcPr>
          <w:p>
            <w:pPr>
              <w:pStyle w:val="nTable"/>
              <w:spacing w:after="40"/>
              <w:rPr>
                <w:sz w:val="19"/>
              </w:rPr>
            </w:pPr>
            <w:r>
              <w:rPr>
                <w:sz w:val="19"/>
              </w:rPr>
              <w:t>51 of 1967</w:t>
            </w:r>
          </w:p>
        </w:tc>
        <w:tc>
          <w:tcPr>
            <w:tcW w:w="1141" w:type="dxa"/>
            <w:gridSpan w:val="4"/>
          </w:tcPr>
          <w:p>
            <w:pPr>
              <w:pStyle w:val="nTable"/>
              <w:spacing w:after="40"/>
              <w:rPr>
                <w:sz w:val="19"/>
              </w:rPr>
            </w:pPr>
            <w:r>
              <w:rPr>
                <w:sz w:val="19"/>
              </w:rPr>
              <w:t>5 Dec 1967</w:t>
            </w:r>
          </w:p>
        </w:tc>
        <w:tc>
          <w:tcPr>
            <w:tcW w:w="2536" w:type="dxa"/>
            <w:gridSpan w:val="2"/>
          </w:tcPr>
          <w:p>
            <w:pPr>
              <w:pStyle w:val="nTable"/>
              <w:spacing w:after="40"/>
              <w:rPr>
                <w:sz w:val="19"/>
              </w:rPr>
            </w:pPr>
            <w:r>
              <w:rPr>
                <w:sz w:val="19"/>
              </w:rPr>
              <w:t>5 Dec 1967</w:t>
            </w:r>
          </w:p>
        </w:tc>
      </w:tr>
      <w:tr>
        <w:trPr>
          <w:gridAfter w:val="2"/>
          <w:wAfter w:w="78" w:type="dxa"/>
          <w:cantSplit/>
        </w:trPr>
        <w:tc>
          <w:tcPr>
            <w:tcW w:w="2200" w:type="dxa"/>
          </w:tcPr>
          <w:p>
            <w:pPr>
              <w:pStyle w:val="nTable"/>
              <w:spacing w:after="40"/>
              <w:rPr>
                <w:sz w:val="19"/>
              </w:rPr>
            </w:pPr>
            <w:r>
              <w:rPr>
                <w:i/>
                <w:sz w:val="19"/>
              </w:rPr>
              <w:t>Poisons Act Amendment Act 1969</w:t>
            </w:r>
          </w:p>
        </w:tc>
        <w:tc>
          <w:tcPr>
            <w:tcW w:w="1144" w:type="dxa"/>
            <w:gridSpan w:val="5"/>
          </w:tcPr>
          <w:p>
            <w:pPr>
              <w:pStyle w:val="nTable"/>
              <w:spacing w:after="40"/>
              <w:rPr>
                <w:sz w:val="19"/>
              </w:rPr>
            </w:pPr>
            <w:r>
              <w:rPr>
                <w:sz w:val="19"/>
              </w:rPr>
              <w:t>6 of 1969</w:t>
            </w:r>
          </w:p>
        </w:tc>
        <w:tc>
          <w:tcPr>
            <w:tcW w:w="1141" w:type="dxa"/>
            <w:gridSpan w:val="4"/>
          </w:tcPr>
          <w:p>
            <w:pPr>
              <w:pStyle w:val="nTable"/>
              <w:spacing w:after="40"/>
              <w:rPr>
                <w:sz w:val="19"/>
              </w:rPr>
            </w:pPr>
            <w:r>
              <w:rPr>
                <w:sz w:val="19"/>
              </w:rPr>
              <w:t>21 Apr 1969</w:t>
            </w:r>
          </w:p>
        </w:tc>
        <w:tc>
          <w:tcPr>
            <w:tcW w:w="2536"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78" w:type="dxa"/>
          <w:cantSplit/>
        </w:trPr>
        <w:tc>
          <w:tcPr>
            <w:tcW w:w="2200" w:type="dxa"/>
          </w:tcPr>
          <w:p>
            <w:pPr>
              <w:pStyle w:val="nTable"/>
              <w:spacing w:after="40"/>
              <w:rPr>
                <w:sz w:val="19"/>
              </w:rPr>
            </w:pPr>
            <w:r>
              <w:rPr>
                <w:i/>
                <w:sz w:val="19"/>
              </w:rPr>
              <w:t>Poisons Act Amendment Act 1970</w:t>
            </w:r>
          </w:p>
        </w:tc>
        <w:tc>
          <w:tcPr>
            <w:tcW w:w="1144" w:type="dxa"/>
            <w:gridSpan w:val="5"/>
          </w:tcPr>
          <w:p>
            <w:pPr>
              <w:pStyle w:val="nTable"/>
              <w:spacing w:after="40"/>
              <w:rPr>
                <w:sz w:val="19"/>
              </w:rPr>
            </w:pPr>
            <w:r>
              <w:rPr>
                <w:sz w:val="19"/>
              </w:rPr>
              <w:t>87 of 1970</w:t>
            </w:r>
          </w:p>
        </w:tc>
        <w:tc>
          <w:tcPr>
            <w:tcW w:w="1141" w:type="dxa"/>
            <w:gridSpan w:val="4"/>
          </w:tcPr>
          <w:p>
            <w:pPr>
              <w:pStyle w:val="nTable"/>
              <w:spacing w:after="40"/>
              <w:rPr>
                <w:sz w:val="19"/>
              </w:rPr>
            </w:pPr>
            <w:r>
              <w:rPr>
                <w:sz w:val="19"/>
              </w:rPr>
              <w:t>30 Nov 1970</w:t>
            </w:r>
          </w:p>
        </w:tc>
        <w:tc>
          <w:tcPr>
            <w:tcW w:w="2536"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78" w:type="dxa"/>
          <w:cantSplit/>
        </w:trPr>
        <w:tc>
          <w:tcPr>
            <w:tcW w:w="7021" w:type="dxa"/>
            <w:gridSpan w:val="12"/>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78" w:type="dxa"/>
          <w:cantSplit/>
        </w:trPr>
        <w:tc>
          <w:tcPr>
            <w:tcW w:w="2200" w:type="dxa"/>
          </w:tcPr>
          <w:p>
            <w:pPr>
              <w:pStyle w:val="nTable"/>
              <w:spacing w:after="40"/>
              <w:rPr>
                <w:sz w:val="19"/>
              </w:rPr>
            </w:pPr>
            <w:r>
              <w:rPr>
                <w:i/>
                <w:sz w:val="19"/>
              </w:rPr>
              <w:t>Poisons Act Amendment Act 1978</w:t>
            </w:r>
          </w:p>
        </w:tc>
        <w:tc>
          <w:tcPr>
            <w:tcW w:w="1144" w:type="dxa"/>
            <w:gridSpan w:val="5"/>
          </w:tcPr>
          <w:p>
            <w:pPr>
              <w:pStyle w:val="nTable"/>
              <w:spacing w:after="40"/>
              <w:rPr>
                <w:sz w:val="19"/>
              </w:rPr>
            </w:pPr>
            <w:r>
              <w:rPr>
                <w:sz w:val="19"/>
              </w:rPr>
              <w:t>43 of 1978</w:t>
            </w:r>
          </w:p>
        </w:tc>
        <w:tc>
          <w:tcPr>
            <w:tcW w:w="1141" w:type="dxa"/>
            <w:gridSpan w:val="4"/>
          </w:tcPr>
          <w:p>
            <w:pPr>
              <w:pStyle w:val="nTable"/>
              <w:spacing w:after="40"/>
              <w:rPr>
                <w:sz w:val="19"/>
              </w:rPr>
            </w:pPr>
            <w:r>
              <w:rPr>
                <w:sz w:val="19"/>
              </w:rPr>
              <w:t>29 Aug 1978</w:t>
            </w:r>
          </w:p>
        </w:tc>
        <w:tc>
          <w:tcPr>
            <w:tcW w:w="2536"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78" w:type="dxa"/>
          <w:cantSplit/>
        </w:trPr>
        <w:tc>
          <w:tcPr>
            <w:tcW w:w="2218" w:type="dxa"/>
            <w:gridSpan w:val="2"/>
          </w:tcPr>
          <w:p>
            <w:pPr>
              <w:pStyle w:val="nTable"/>
              <w:spacing w:after="40"/>
              <w:rPr>
                <w:sz w:val="19"/>
              </w:rPr>
            </w:pPr>
            <w:r>
              <w:rPr>
                <w:i/>
                <w:sz w:val="19"/>
              </w:rPr>
              <w:t>Acts Amendment (Misuse of Drugs) Act 1981</w:t>
            </w:r>
            <w:r>
              <w:rPr>
                <w:sz w:val="19"/>
              </w:rPr>
              <w:t xml:space="preserve"> Pt. IV</w:t>
            </w:r>
          </w:p>
        </w:tc>
        <w:tc>
          <w:tcPr>
            <w:tcW w:w="1126" w:type="dxa"/>
            <w:gridSpan w:val="4"/>
          </w:tcPr>
          <w:p>
            <w:pPr>
              <w:pStyle w:val="nTable"/>
              <w:keepNext/>
              <w:spacing w:after="40"/>
              <w:rPr>
                <w:sz w:val="19"/>
              </w:rPr>
            </w:pPr>
            <w:r>
              <w:rPr>
                <w:sz w:val="19"/>
              </w:rPr>
              <w:t>57 of 1981</w:t>
            </w:r>
          </w:p>
        </w:tc>
        <w:tc>
          <w:tcPr>
            <w:tcW w:w="1141" w:type="dxa"/>
            <w:gridSpan w:val="4"/>
          </w:tcPr>
          <w:p>
            <w:pPr>
              <w:pStyle w:val="nTable"/>
              <w:spacing w:after="40"/>
              <w:rPr>
                <w:sz w:val="19"/>
              </w:rPr>
            </w:pPr>
            <w:r>
              <w:rPr>
                <w:sz w:val="19"/>
              </w:rPr>
              <w:t>13 Oct 1981</w:t>
            </w:r>
          </w:p>
        </w:tc>
        <w:tc>
          <w:tcPr>
            <w:tcW w:w="2536"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78" w:type="dxa"/>
          <w:cantSplit/>
        </w:trPr>
        <w:tc>
          <w:tcPr>
            <w:tcW w:w="2218" w:type="dxa"/>
            <w:gridSpan w:val="2"/>
          </w:tcPr>
          <w:p>
            <w:pPr>
              <w:pStyle w:val="nTable"/>
              <w:spacing w:after="40"/>
              <w:rPr>
                <w:sz w:val="19"/>
              </w:rPr>
            </w:pPr>
            <w:r>
              <w:rPr>
                <w:i/>
                <w:sz w:val="19"/>
              </w:rPr>
              <w:t>Acts Amendment (Statutory Designations) and Validation Act 1981</w:t>
            </w:r>
            <w:r>
              <w:rPr>
                <w:sz w:val="19"/>
              </w:rPr>
              <w:t xml:space="preserve"> s. 4</w:t>
            </w:r>
          </w:p>
        </w:tc>
        <w:tc>
          <w:tcPr>
            <w:tcW w:w="1126" w:type="dxa"/>
            <w:gridSpan w:val="4"/>
          </w:tcPr>
          <w:p>
            <w:pPr>
              <w:pStyle w:val="nTable"/>
              <w:keepNext/>
              <w:keepLines/>
              <w:spacing w:after="40"/>
              <w:rPr>
                <w:sz w:val="19"/>
              </w:rPr>
            </w:pPr>
            <w:r>
              <w:rPr>
                <w:sz w:val="19"/>
              </w:rPr>
              <w:t>63 of 1981</w:t>
            </w:r>
          </w:p>
        </w:tc>
        <w:tc>
          <w:tcPr>
            <w:tcW w:w="1141" w:type="dxa"/>
            <w:gridSpan w:val="4"/>
          </w:tcPr>
          <w:p>
            <w:pPr>
              <w:pStyle w:val="nTable"/>
              <w:spacing w:after="40"/>
              <w:rPr>
                <w:sz w:val="19"/>
              </w:rPr>
            </w:pPr>
            <w:r>
              <w:rPr>
                <w:sz w:val="19"/>
              </w:rPr>
              <w:t>13 Oct 1981</w:t>
            </w:r>
          </w:p>
        </w:tc>
        <w:tc>
          <w:tcPr>
            <w:tcW w:w="2536" w:type="dxa"/>
            <w:gridSpan w:val="2"/>
          </w:tcPr>
          <w:p>
            <w:pPr>
              <w:pStyle w:val="nTable"/>
              <w:spacing w:after="40"/>
              <w:rPr>
                <w:sz w:val="19"/>
              </w:rPr>
            </w:pPr>
            <w:r>
              <w:rPr>
                <w:sz w:val="19"/>
              </w:rPr>
              <w:t>13 Oct 1981</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78" w:type="dxa"/>
          <w:cantSplit/>
        </w:trPr>
        <w:tc>
          <w:tcPr>
            <w:tcW w:w="2218" w:type="dxa"/>
            <w:gridSpan w:val="2"/>
          </w:tcPr>
          <w:p>
            <w:pPr>
              <w:pStyle w:val="nTable"/>
              <w:spacing w:after="40"/>
              <w:rPr>
                <w:sz w:val="19"/>
              </w:rPr>
            </w:pPr>
            <w:r>
              <w:rPr>
                <w:i/>
                <w:sz w:val="19"/>
              </w:rPr>
              <w:t>Health Legislation Amendment Act 1984</w:t>
            </w:r>
            <w:r>
              <w:rPr>
                <w:sz w:val="19"/>
              </w:rPr>
              <w:t xml:space="preserve"> Pt. XX</w:t>
            </w:r>
          </w:p>
        </w:tc>
        <w:tc>
          <w:tcPr>
            <w:tcW w:w="1126" w:type="dxa"/>
            <w:gridSpan w:val="4"/>
          </w:tcPr>
          <w:p>
            <w:pPr>
              <w:pStyle w:val="nTable"/>
              <w:spacing w:after="40"/>
              <w:rPr>
                <w:sz w:val="19"/>
              </w:rPr>
            </w:pPr>
            <w:r>
              <w:rPr>
                <w:sz w:val="19"/>
              </w:rPr>
              <w:t>28 of 1984</w:t>
            </w:r>
          </w:p>
        </w:tc>
        <w:tc>
          <w:tcPr>
            <w:tcW w:w="1141" w:type="dxa"/>
            <w:gridSpan w:val="4"/>
          </w:tcPr>
          <w:p>
            <w:pPr>
              <w:pStyle w:val="nTable"/>
              <w:spacing w:after="40"/>
              <w:rPr>
                <w:sz w:val="19"/>
              </w:rPr>
            </w:pPr>
            <w:r>
              <w:rPr>
                <w:sz w:val="19"/>
              </w:rPr>
              <w:t>31 May 1984</w:t>
            </w:r>
          </w:p>
        </w:tc>
        <w:tc>
          <w:tcPr>
            <w:tcW w:w="2536"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18" w:type="dxa"/>
            <w:gridSpan w:val="2"/>
          </w:tcPr>
          <w:p>
            <w:pPr>
              <w:pStyle w:val="nTable"/>
              <w:keepNext/>
              <w:spacing w:after="40"/>
              <w:rPr>
                <w:sz w:val="19"/>
              </w:rPr>
            </w:pPr>
            <w:r>
              <w:rPr>
                <w:i/>
                <w:sz w:val="19"/>
              </w:rPr>
              <w:t>Poisons Amendment Act 1994</w:t>
            </w:r>
          </w:p>
        </w:tc>
        <w:tc>
          <w:tcPr>
            <w:tcW w:w="1126" w:type="dxa"/>
            <w:gridSpan w:val="4"/>
          </w:tcPr>
          <w:p>
            <w:pPr>
              <w:pStyle w:val="nTable"/>
              <w:keepNext/>
              <w:spacing w:after="40"/>
              <w:rPr>
                <w:sz w:val="19"/>
              </w:rPr>
            </w:pPr>
            <w:r>
              <w:rPr>
                <w:sz w:val="19"/>
              </w:rPr>
              <w:t>12 of 1994</w:t>
            </w:r>
          </w:p>
        </w:tc>
        <w:tc>
          <w:tcPr>
            <w:tcW w:w="1141" w:type="dxa"/>
            <w:gridSpan w:val="4"/>
          </w:tcPr>
          <w:p>
            <w:pPr>
              <w:pStyle w:val="nTable"/>
              <w:keepNext/>
              <w:spacing w:after="40"/>
              <w:rPr>
                <w:sz w:val="19"/>
              </w:rPr>
            </w:pPr>
            <w:r>
              <w:rPr>
                <w:sz w:val="19"/>
              </w:rPr>
              <w:t>15 Apr 1994</w:t>
            </w:r>
          </w:p>
        </w:tc>
        <w:tc>
          <w:tcPr>
            <w:tcW w:w="2614" w:type="dxa"/>
            <w:gridSpan w:val="4"/>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25" w:type="dxa"/>
            <w:gridSpan w:val="3"/>
          </w:tcPr>
          <w:p>
            <w:pPr>
              <w:pStyle w:val="nTable"/>
              <w:spacing w:after="40"/>
              <w:rPr>
                <w:sz w:val="19"/>
              </w:rPr>
            </w:pPr>
            <w:r>
              <w:rPr>
                <w:i/>
                <w:sz w:val="19"/>
              </w:rPr>
              <w:t>Acts Amendment (Public Sector Management) Act 1994</w:t>
            </w:r>
            <w:r>
              <w:rPr>
                <w:sz w:val="19"/>
              </w:rPr>
              <w:t xml:space="preserve"> s. 3(2)</w:t>
            </w:r>
          </w:p>
        </w:tc>
        <w:tc>
          <w:tcPr>
            <w:tcW w:w="1126" w:type="dxa"/>
            <w:gridSpan w:val="4"/>
          </w:tcPr>
          <w:p>
            <w:pPr>
              <w:pStyle w:val="nTable"/>
              <w:spacing w:after="40"/>
              <w:rPr>
                <w:sz w:val="19"/>
              </w:rPr>
            </w:pPr>
            <w:r>
              <w:rPr>
                <w:sz w:val="19"/>
              </w:rPr>
              <w:t>32 of 1994</w:t>
            </w:r>
          </w:p>
        </w:tc>
        <w:tc>
          <w:tcPr>
            <w:tcW w:w="1182" w:type="dxa"/>
            <w:gridSpan w:val="4"/>
          </w:tcPr>
          <w:p>
            <w:pPr>
              <w:pStyle w:val="nTable"/>
              <w:spacing w:after="40"/>
              <w:rPr>
                <w:sz w:val="19"/>
              </w:rPr>
            </w:pPr>
            <w:r>
              <w:rPr>
                <w:sz w:val="19"/>
              </w:rPr>
              <w:t>29 Jun 1994</w:t>
            </w:r>
          </w:p>
        </w:tc>
        <w:tc>
          <w:tcPr>
            <w:tcW w:w="2566"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25" w:type="dxa"/>
            <w:gridSpan w:val="3"/>
          </w:tcPr>
          <w:p>
            <w:pPr>
              <w:pStyle w:val="nTable"/>
              <w:spacing w:after="40"/>
              <w:rPr>
                <w:sz w:val="19"/>
              </w:rPr>
            </w:pPr>
            <w:r>
              <w:rPr>
                <w:i/>
                <w:sz w:val="19"/>
              </w:rPr>
              <w:t>Poisons Amendment Act 1995</w:t>
            </w:r>
          </w:p>
        </w:tc>
        <w:tc>
          <w:tcPr>
            <w:tcW w:w="1126" w:type="dxa"/>
            <w:gridSpan w:val="4"/>
          </w:tcPr>
          <w:p>
            <w:pPr>
              <w:pStyle w:val="nTable"/>
              <w:spacing w:after="40"/>
              <w:rPr>
                <w:sz w:val="19"/>
              </w:rPr>
            </w:pPr>
            <w:r>
              <w:rPr>
                <w:sz w:val="19"/>
              </w:rPr>
              <w:t>48 of 1995</w:t>
            </w:r>
          </w:p>
        </w:tc>
        <w:tc>
          <w:tcPr>
            <w:tcW w:w="1182" w:type="dxa"/>
            <w:gridSpan w:val="4"/>
          </w:tcPr>
          <w:p>
            <w:pPr>
              <w:pStyle w:val="nTable"/>
              <w:spacing w:after="40"/>
              <w:rPr>
                <w:sz w:val="19"/>
              </w:rPr>
            </w:pPr>
            <w:r>
              <w:rPr>
                <w:sz w:val="19"/>
              </w:rPr>
              <w:t>6 Nov 1995</w:t>
            </w:r>
          </w:p>
        </w:tc>
        <w:tc>
          <w:tcPr>
            <w:tcW w:w="2566" w:type="dxa"/>
            <w:gridSpan w:val="3"/>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33" w:type="dxa"/>
            <w:gridSpan w:val="1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66"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25" w:type="dxa"/>
            <w:gridSpan w:val="3"/>
          </w:tcPr>
          <w:p>
            <w:pPr>
              <w:pStyle w:val="nTable"/>
              <w:spacing w:after="40"/>
              <w:rPr>
                <w:sz w:val="19"/>
              </w:rPr>
            </w:pPr>
            <w:r>
              <w:rPr>
                <w:i/>
                <w:sz w:val="19"/>
              </w:rPr>
              <w:t>Local Government (Consequential Amendments) Act 1996</w:t>
            </w:r>
            <w:r>
              <w:rPr>
                <w:sz w:val="19"/>
              </w:rPr>
              <w:t xml:space="preserve"> s. 4</w:t>
            </w:r>
          </w:p>
        </w:tc>
        <w:tc>
          <w:tcPr>
            <w:tcW w:w="1126" w:type="dxa"/>
            <w:gridSpan w:val="4"/>
          </w:tcPr>
          <w:p>
            <w:pPr>
              <w:pStyle w:val="nTable"/>
              <w:keepNext/>
              <w:spacing w:after="40"/>
              <w:rPr>
                <w:sz w:val="19"/>
              </w:rPr>
            </w:pPr>
            <w:r>
              <w:rPr>
                <w:sz w:val="19"/>
              </w:rPr>
              <w:t>14 of 1996</w:t>
            </w:r>
          </w:p>
        </w:tc>
        <w:tc>
          <w:tcPr>
            <w:tcW w:w="1182" w:type="dxa"/>
            <w:gridSpan w:val="4"/>
          </w:tcPr>
          <w:p>
            <w:pPr>
              <w:pStyle w:val="nTable"/>
              <w:spacing w:after="40"/>
              <w:rPr>
                <w:sz w:val="19"/>
              </w:rPr>
            </w:pPr>
            <w:r>
              <w:rPr>
                <w:sz w:val="19"/>
              </w:rPr>
              <w:t>28 Jun 1996</w:t>
            </w:r>
          </w:p>
        </w:tc>
        <w:tc>
          <w:tcPr>
            <w:tcW w:w="2566" w:type="dxa"/>
            <w:gridSpan w:val="3"/>
          </w:tcPr>
          <w:p>
            <w:pPr>
              <w:pStyle w:val="nTable"/>
              <w:spacing w:after="40"/>
              <w:rPr>
                <w:sz w:val="19"/>
              </w:rPr>
            </w:pPr>
            <w:r>
              <w:rPr>
                <w:sz w:val="19"/>
              </w:rPr>
              <w:t>1 Jul 1996 (see s. 2)</w:t>
            </w:r>
          </w:p>
        </w:tc>
      </w:tr>
      <w:tr>
        <w:trPr>
          <w:cantSplit/>
        </w:trPr>
        <w:tc>
          <w:tcPr>
            <w:tcW w:w="4533" w:type="dxa"/>
            <w:gridSpan w:val="11"/>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66" w:type="dxa"/>
            <w:gridSpan w:val="3"/>
          </w:tcPr>
          <w:p>
            <w:pPr>
              <w:pStyle w:val="nTable"/>
              <w:spacing w:after="40"/>
              <w:rPr>
                <w:sz w:val="19"/>
              </w:rPr>
            </w:pPr>
            <w:r>
              <w:rPr>
                <w:sz w:val="19"/>
              </w:rPr>
              <w:t>24 Sep 1996 (see cl. 2)</w:t>
            </w:r>
          </w:p>
        </w:tc>
      </w:tr>
      <w:tr>
        <w:trPr>
          <w:cantSplit/>
        </w:trPr>
        <w:tc>
          <w:tcPr>
            <w:tcW w:w="4533" w:type="dxa"/>
            <w:gridSpan w:val="11"/>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66" w:type="dxa"/>
            <w:gridSpan w:val="3"/>
          </w:tcPr>
          <w:p>
            <w:pPr>
              <w:pStyle w:val="nTable"/>
              <w:spacing w:after="40"/>
              <w:rPr>
                <w:sz w:val="19"/>
              </w:rPr>
            </w:pPr>
            <w:r>
              <w:rPr>
                <w:sz w:val="19"/>
              </w:rPr>
              <w:t>10 Feb 1998 (see cl. 2)</w:t>
            </w:r>
          </w:p>
        </w:tc>
      </w:tr>
      <w:tr>
        <w:trPr>
          <w:cantSplit/>
        </w:trPr>
        <w:tc>
          <w:tcPr>
            <w:tcW w:w="2236" w:type="dxa"/>
            <w:gridSpan w:val="4"/>
          </w:tcPr>
          <w:p>
            <w:pPr>
              <w:pStyle w:val="nTable"/>
              <w:spacing w:after="40"/>
              <w:rPr>
                <w:sz w:val="19"/>
              </w:rPr>
            </w:pPr>
            <w:r>
              <w:rPr>
                <w:i/>
                <w:sz w:val="19"/>
              </w:rPr>
              <w:t>Statutes (Repeals and Minor Amendments) Act (No. 2) 1998</w:t>
            </w:r>
            <w:r>
              <w:rPr>
                <w:sz w:val="19"/>
              </w:rPr>
              <w:t xml:space="preserve"> s. 76</w:t>
            </w:r>
          </w:p>
        </w:tc>
        <w:tc>
          <w:tcPr>
            <w:tcW w:w="1130" w:type="dxa"/>
            <w:gridSpan w:val="4"/>
          </w:tcPr>
          <w:p>
            <w:pPr>
              <w:pStyle w:val="nTable"/>
              <w:keepNext/>
              <w:spacing w:after="40"/>
              <w:rPr>
                <w:sz w:val="19"/>
              </w:rPr>
            </w:pPr>
            <w:r>
              <w:rPr>
                <w:sz w:val="19"/>
              </w:rPr>
              <w:t>10 of 1998</w:t>
            </w:r>
          </w:p>
        </w:tc>
        <w:tc>
          <w:tcPr>
            <w:tcW w:w="1167" w:type="dxa"/>
            <w:gridSpan w:val="3"/>
          </w:tcPr>
          <w:p>
            <w:pPr>
              <w:pStyle w:val="nTable"/>
              <w:spacing w:after="40"/>
              <w:rPr>
                <w:sz w:val="19"/>
              </w:rPr>
            </w:pPr>
            <w:r>
              <w:rPr>
                <w:sz w:val="19"/>
              </w:rPr>
              <w:t>30 Apr 1998</w:t>
            </w:r>
          </w:p>
        </w:tc>
        <w:tc>
          <w:tcPr>
            <w:tcW w:w="2566" w:type="dxa"/>
            <w:gridSpan w:val="3"/>
          </w:tcPr>
          <w:p>
            <w:pPr>
              <w:pStyle w:val="nTable"/>
              <w:spacing w:after="40"/>
              <w:rPr>
                <w:sz w:val="19"/>
              </w:rPr>
            </w:pPr>
            <w:r>
              <w:rPr>
                <w:sz w:val="19"/>
              </w:rPr>
              <w:t>30 Apr 1998 (see s. 2(1))</w:t>
            </w:r>
          </w:p>
        </w:tc>
      </w:tr>
      <w:tr>
        <w:trPr>
          <w:cantSplit/>
        </w:trPr>
        <w:tc>
          <w:tcPr>
            <w:tcW w:w="4533" w:type="dxa"/>
            <w:gridSpan w:val="11"/>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66" w:type="dxa"/>
            <w:gridSpan w:val="3"/>
          </w:tcPr>
          <w:p>
            <w:pPr>
              <w:pStyle w:val="nTable"/>
              <w:spacing w:after="40"/>
              <w:rPr>
                <w:sz w:val="19"/>
              </w:rPr>
            </w:pPr>
            <w:r>
              <w:rPr>
                <w:sz w:val="19"/>
              </w:rPr>
              <w:t>22 Sep 1998 (see cl. 2)</w:t>
            </w:r>
          </w:p>
        </w:tc>
      </w:tr>
      <w:tr>
        <w:trPr>
          <w:cantSplit/>
        </w:trPr>
        <w:tc>
          <w:tcPr>
            <w:tcW w:w="7099" w:type="dxa"/>
            <w:gridSpan w:val="1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36" w:type="dxa"/>
            <w:gridSpan w:val="4"/>
          </w:tcPr>
          <w:p>
            <w:pPr>
              <w:pStyle w:val="nTable"/>
              <w:spacing w:after="40"/>
              <w:rPr>
                <w:sz w:val="19"/>
              </w:rPr>
            </w:pPr>
            <w:r>
              <w:rPr>
                <w:i/>
                <w:sz w:val="19"/>
              </w:rPr>
              <w:t>Acts Amendment and Repeal (Financial Sector Reform) Act 1999</w:t>
            </w:r>
            <w:r>
              <w:rPr>
                <w:sz w:val="19"/>
              </w:rPr>
              <w:t xml:space="preserve"> s. 96</w:t>
            </w:r>
          </w:p>
        </w:tc>
        <w:tc>
          <w:tcPr>
            <w:tcW w:w="1130" w:type="dxa"/>
            <w:gridSpan w:val="4"/>
          </w:tcPr>
          <w:p>
            <w:pPr>
              <w:pStyle w:val="nTable"/>
              <w:keepNext/>
              <w:spacing w:after="40"/>
              <w:rPr>
                <w:sz w:val="19"/>
              </w:rPr>
            </w:pPr>
            <w:r>
              <w:rPr>
                <w:sz w:val="19"/>
              </w:rPr>
              <w:t>26 of 1999</w:t>
            </w:r>
          </w:p>
        </w:tc>
        <w:tc>
          <w:tcPr>
            <w:tcW w:w="1167" w:type="dxa"/>
            <w:gridSpan w:val="3"/>
          </w:tcPr>
          <w:p>
            <w:pPr>
              <w:pStyle w:val="nTable"/>
              <w:spacing w:after="40"/>
              <w:rPr>
                <w:sz w:val="19"/>
              </w:rPr>
            </w:pPr>
            <w:r>
              <w:rPr>
                <w:sz w:val="19"/>
              </w:rPr>
              <w:t>29 Jun 1999</w:t>
            </w:r>
          </w:p>
        </w:tc>
        <w:tc>
          <w:tcPr>
            <w:tcW w:w="2566"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3" w:type="dxa"/>
            <w:gridSpan w:val="11"/>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66" w:type="dxa"/>
            <w:gridSpan w:val="3"/>
          </w:tcPr>
          <w:p>
            <w:pPr>
              <w:pStyle w:val="nTable"/>
              <w:spacing w:after="40"/>
              <w:rPr>
                <w:sz w:val="19"/>
              </w:rPr>
            </w:pPr>
            <w:r>
              <w:rPr>
                <w:sz w:val="19"/>
              </w:rPr>
              <w:t>8 Oct 1999</w:t>
            </w:r>
          </w:p>
        </w:tc>
      </w:tr>
      <w:tr>
        <w:trPr>
          <w:cantSplit/>
        </w:trPr>
        <w:tc>
          <w:tcPr>
            <w:tcW w:w="4533" w:type="dxa"/>
            <w:gridSpan w:val="11"/>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66" w:type="dxa"/>
            <w:gridSpan w:val="3"/>
          </w:tcPr>
          <w:p>
            <w:pPr>
              <w:pStyle w:val="nTable"/>
              <w:spacing w:after="40"/>
              <w:rPr>
                <w:sz w:val="19"/>
              </w:rPr>
            </w:pPr>
            <w:r>
              <w:rPr>
                <w:sz w:val="19"/>
              </w:rPr>
              <w:t>14 Sep 2001</w:t>
            </w:r>
          </w:p>
        </w:tc>
      </w:tr>
      <w:tr>
        <w:trPr>
          <w:cantSplit/>
        </w:trPr>
        <w:tc>
          <w:tcPr>
            <w:tcW w:w="4533" w:type="dxa"/>
            <w:gridSpan w:val="11"/>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66" w:type="dxa"/>
            <w:gridSpan w:val="3"/>
          </w:tcPr>
          <w:p>
            <w:pPr>
              <w:pStyle w:val="nTable"/>
              <w:spacing w:after="40"/>
              <w:rPr>
                <w:sz w:val="19"/>
              </w:rPr>
            </w:pPr>
            <w:r>
              <w:rPr>
                <w:sz w:val="19"/>
              </w:rPr>
              <w:t>8 Nov 2002 (see cl. 2)</w:t>
            </w:r>
          </w:p>
        </w:tc>
      </w:tr>
      <w:tr>
        <w:trPr>
          <w:cantSplit/>
        </w:trPr>
        <w:tc>
          <w:tcPr>
            <w:tcW w:w="2265" w:type="dxa"/>
            <w:gridSpan w:val="5"/>
          </w:tcPr>
          <w:p>
            <w:pPr>
              <w:pStyle w:val="nTable"/>
              <w:spacing w:after="40"/>
              <w:rPr>
                <w:i/>
                <w:sz w:val="19"/>
              </w:rPr>
            </w:pPr>
            <w:r>
              <w:rPr>
                <w:i/>
                <w:sz w:val="19"/>
              </w:rPr>
              <w:t>Nurses Amendment Act 2003</w:t>
            </w:r>
            <w:r>
              <w:rPr>
                <w:sz w:val="19"/>
              </w:rPr>
              <w:t xml:space="preserve"> Pt. 3 Div. 4</w:t>
            </w:r>
          </w:p>
        </w:tc>
        <w:tc>
          <w:tcPr>
            <w:tcW w:w="1134" w:type="dxa"/>
            <w:gridSpan w:val="4"/>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66" w:type="dxa"/>
            <w:gridSpan w:val="3"/>
          </w:tcPr>
          <w:p>
            <w:pPr>
              <w:pStyle w:val="nTable"/>
              <w:spacing w:after="40"/>
              <w:rPr>
                <w:sz w:val="19"/>
              </w:rPr>
            </w:pPr>
            <w:r>
              <w:rPr>
                <w:sz w:val="19"/>
              </w:rPr>
              <w:t>9 Apr 2003 (see s. 2)</w:t>
            </w:r>
          </w:p>
        </w:tc>
      </w:tr>
      <w:tr>
        <w:trPr>
          <w:cantSplit/>
        </w:trPr>
        <w:tc>
          <w:tcPr>
            <w:tcW w:w="2265" w:type="dxa"/>
            <w:gridSpan w:val="5"/>
          </w:tcPr>
          <w:p>
            <w:pPr>
              <w:pStyle w:val="nTable"/>
              <w:spacing w:after="40"/>
              <w:rPr>
                <w:i/>
                <w:sz w:val="19"/>
              </w:rPr>
            </w:pPr>
            <w:r>
              <w:rPr>
                <w:i/>
                <w:sz w:val="19"/>
              </w:rPr>
              <w:t xml:space="preserve">Sentencing Legislation Amendment and Repeal Act 2003 </w:t>
            </w:r>
            <w:r>
              <w:rPr>
                <w:sz w:val="19"/>
              </w:rPr>
              <w:t>s. 84</w:t>
            </w:r>
          </w:p>
        </w:tc>
        <w:tc>
          <w:tcPr>
            <w:tcW w:w="1134" w:type="dxa"/>
            <w:gridSpan w:val="4"/>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66"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3" w:type="dxa"/>
            <w:gridSpan w:val="11"/>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66" w:type="dxa"/>
            <w:gridSpan w:val="3"/>
          </w:tcPr>
          <w:p>
            <w:pPr>
              <w:pStyle w:val="nTable"/>
              <w:spacing w:after="40"/>
              <w:rPr>
                <w:sz w:val="19"/>
              </w:rPr>
            </w:pPr>
            <w:r>
              <w:rPr>
                <w:sz w:val="19"/>
              </w:rPr>
              <w:t>10 Oct 2003 (see cl. 2)</w:t>
            </w:r>
          </w:p>
        </w:tc>
      </w:tr>
      <w:tr>
        <w:trPr>
          <w:cantSplit/>
        </w:trPr>
        <w:tc>
          <w:tcPr>
            <w:tcW w:w="4533" w:type="dxa"/>
            <w:gridSpan w:val="11"/>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66" w:type="dxa"/>
            <w:gridSpan w:val="3"/>
          </w:tcPr>
          <w:p>
            <w:pPr>
              <w:pStyle w:val="nTable"/>
              <w:spacing w:after="40"/>
              <w:rPr>
                <w:sz w:val="19"/>
              </w:rPr>
            </w:pPr>
            <w:r>
              <w:rPr>
                <w:sz w:val="19"/>
              </w:rPr>
              <w:t>1 Jan 2004 (see cl. 2)</w:t>
            </w:r>
          </w:p>
        </w:tc>
      </w:tr>
      <w:tr>
        <w:trPr>
          <w:cantSplit/>
        </w:trPr>
        <w:tc>
          <w:tcPr>
            <w:tcW w:w="2265" w:type="dxa"/>
            <w:gridSpan w:val="5"/>
          </w:tcPr>
          <w:p>
            <w:pPr>
              <w:pStyle w:val="nTable"/>
              <w:spacing w:after="40"/>
              <w:rPr>
                <w:sz w:val="19"/>
              </w:rPr>
            </w:pPr>
            <w:r>
              <w:rPr>
                <w:i/>
                <w:sz w:val="19"/>
              </w:rPr>
              <w:t>Industrial Hemp Act 2004</w:t>
            </w:r>
            <w:r>
              <w:rPr>
                <w:sz w:val="19"/>
              </w:rPr>
              <w:t xml:space="preserve"> Pt. 8</w:t>
            </w:r>
          </w:p>
        </w:tc>
        <w:tc>
          <w:tcPr>
            <w:tcW w:w="1134" w:type="dxa"/>
            <w:gridSpan w:val="4"/>
          </w:tcPr>
          <w:p>
            <w:pPr>
              <w:pStyle w:val="nTable"/>
              <w:keepNext/>
              <w:spacing w:after="40"/>
              <w:rPr>
                <w:sz w:val="19"/>
              </w:rPr>
            </w:pPr>
            <w:r>
              <w:rPr>
                <w:sz w:val="19"/>
              </w:rPr>
              <w:t>1 of 2004</w:t>
            </w:r>
          </w:p>
        </w:tc>
        <w:tc>
          <w:tcPr>
            <w:tcW w:w="1134" w:type="dxa"/>
            <w:gridSpan w:val="2"/>
          </w:tcPr>
          <w:p>
            <w:pPr>
              <w:pStyle w:val="nTable"/>
              <w:spacing w:after="40"/>
              <w:rPr>
                <w:sz w:val="19"/>
              </w:rPr>
            </w:pPr>
            <w:r>
              <w:rPr>
                <w:sz w:val="19"/>
              </w:rPr>
              <w:t>12 Mar 2004</w:t>
            </w:r>
          </w:p>
        </w:tc>
        <w:tc>
          <w:tcPr>
            <w:tcW w:w="2566"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99" w:type="dxa"/>
            <w:gridSpan w:val="14"/>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6</w:t>
            </w:r>
          </w:p>
        </w:tc>
        <w:tc>
          <w:tcPr>
            <w:tcW w:w="1134" w:type="dxa"/>
            <w:gridSpan w:val="4"/>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gridSpan w:val="2"/>
            <w:tcBorders>
              <w:top w:val="nil"/>
              <w:bottom w:val="nil"/>
            </w:tcBorders>
          </w:tcPr>
          <w:p>
            <w:pPr>
              <w:pStyle w:val="nTable"/>
              <w:spacing w:after="40"/>
              <w:rPr>
                <w:sz w:val="19"/>
              </w:rPr>
            </w:pPr>
            <w:r>
              <w:rPr>
                <w:sz w:val="19"/>
              </w:rPr>
              <w:t>23 Nov 2004</w:t>
            </w:r>
          </w:p>
        </w:tc>
        <w:tc>
          <w:tcPr>
            <w:tcW w:w="2566" w:type="dxa"/>
            <w:gridSpan w:val="3"/>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4"/>
            <w:tcBorders>
              <w:top w:val="nil"/>
              <w:bottom w:val="nil"/>
            </w:tcBorders>
          </w:tcPr>
          <w:p>
            <w:pPr>
              <w:pStyle w:val="nTable"/>
              <w:spacing w:after="40"/>
              <w:rPr>
                <w:sz w:val="19"/>
              </w:rPr>
            </w:pPr>
            <w:r>
              <w:rPr>
                <w:sz w:val="19"/>
              </w:rPr>
              <w:t>55 of 2004</w:t>
            </w:r>
          </w:p>
        </w:tc>
        <w:tc>
          <w:tcPr>
            <w:tcW w:w="1134" w:type="dxa"/>
            <w:gridSpan w:val="2"/>
            <w:tcBorders>
              <w:top w:val="nil"/>
              <w:bottom w:val="nil"/>
            </w:tcBorders>
          </w:tcPr>
          <w:p>
            <w:pPr>
              <w:pStyle w:val="nTable"/>
              <w:spacing w:after="40"/>
              <w:rPr>
                <w:sz w:val="19"/>
              </w:rPr>
            </w:pPr>
            <w:r>
              <w:rPr>
                <w:sz w:val="19"/>
              </w:rPr>
              <w:t>24 Nov 2004</w:t>
            </w:r>
          </w:p>
        </w:tc>
        <w:tc>
          <w:tcPr>
            <w:tcW w:w="2566"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5" w:type="dxa"/>
            <w:gridSpan w:val="5"/>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4"/>
            <w:tcBorders>
              <w:top w:val="nil"/>
              <w:bottom w:val="nil"/>
            </w:tcBorders>
          </w:tcPr>
          <w:p>
            <w:pPr>
              <w:pStyle w:val="nTable"/>
              <w:spacing w:after="40"/>
              <w:rPr>
                <w:sz w:val="19"/>
              </w:rPr>
            </w:pPr>
            <w:r>
              <w:rPr>
                <w:snapToGrid w:val="0"/>
                <w:sz w:val="19"/>
              </w:rPr>
              <w:t>84 of 2004</w:t>
            </w:r>
          </w:p>
        </w:tc>
        <w:tc>
          <w:tcPr>
            <w:tcW w:w="1134" w:type="dxa"/>
            <w:gridSpan w:val="2"/>
            <w:tcBorders>
              <w:top w:val="nil"/>
              <w:bottom w:val="nil"/>
            </w:tcBorders>
          </w:tcPr>
          <w:p>
            <w:pPr>
              <w:pStyle w:val="nTable"/>
              <w:spacing w:after="40"/>
              <w:rPr>
                <w:sz w:val="19"/>
              </w:rPr>
            </w:pPr>
            <w:r>
              <w:rPr>
                <w:sz w:val="19"/>
              </w:rPr>
              <w:t>16 Dec 2004</w:t>
            </w:r>
          </w:p>
        </w:tc>
        <w:tc>
          <w:tcPr>
            <w:tcW w:w="2566" w:type="dxa"/>
            <w:gridSpan w:val="3"/>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After w:val="1"/>
          <w:wAfter w:w="15" w:type="dxa"/>
          <w:cantSplit/>
        </w:trPr>
        <w:tc>
          <w:tcPr>
            <w:tcW w:w="2265" w:type="dxa"/>
            <w:gridSpan w:val="5"/>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4"/>
          </w:tcPr>
          <w:p>
            <w:pPr>
              <w:pStyle w:val="nTable"/>
              <w:spacing w:after="40"/>
              <w:rPr>
                <w:snapToGrid w:val="0"/>
                <w:sz w:val="19"/>
              </w:rPr>
            </w:pPr>
            <w:r>
              <w:rPr>
                <w:snapToGrid w:val="0"/>
                <w:sz w:val="19"/>
              </w:rPr>
              <w:t>28 of 2006</w:t>
            </w:r>
          </w:p>
        </w:tc>
        <w:tc>
          <w:tcPr>
            <w:tcW w:w="1134" w:type="dxa"/>
            <w:gridSpan w:val="2"/>
          </w:tcPr>
          <w:p>
            <w:pPr>
              <w:pStyle w:val="nTable"/>
              <w:spacing w:after="40"/>
              <w:rPr>
                <w:sz w:val="19"/>
              </w:rPr>
            </w:pPr>
            <w:r>
              <w:rPr>
                <w:sz w:val="19"/>
              </w:rPr>
              <w:t>26 Jun 2006</w:t>
            </w:r>
          </w:p>
        </w:tc>
        <w:tc>
          <w:tcPr>
            <w:tcW w:w="2551" w:type="dxa"/>
            <w:gridSpan w:val="2"/>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5" w:type="dxa"/>
          <w:cantSplit/>
        </w:trPr>
        <w:tc>
          <w:tcPr>
            <w:tcW w:w="7084" w:type="dxa"/>
            <w:gridSpan w:val="13"/>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5" w:type="dxa"/>
          <w:cantSplit/>
        </w:trPr>
        <w:tc>
          <w:tcPr>
            <w:tcW w:w="2265" w:type="dxa"/>
            <w:gridSpan w:val="5"/>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4"/>
          </w:tcPr>
          <w:p>
            <w:pPr>
              <w:pStyle w:val="nTable"/>
              <w:spacing w:after="40"/>
              <w:rPr>
                <w:snapToGrid w:val="0"/>
                <w:sz w:val="19"/>
              </w:rPr>
            </w:pPr>
            <w:r>
              <w:rPr>
                <w:snapToGrid w:val="0"/>
                <w:sz w:val="19"/>
              </w:rPr>
              <w:t>59 of 2006</w:t>
            </w:r>
          </w:p>
        </w:tc>
        <w:tc>
          <w:tcPr>
            <w:tcW w:w="1134" w:type="dxa"/>
            <w:gridSpan w:val="2"/>
          </w:tcPr>
          <w:p>
            <w:pPr>
              <w:pStyle w:val="nTable"/>
              <w:spacing w:after="40"/>
              <w:rPr>
                <w:sz w:val="19"/>
              </w:rPr>
            </w:pPr>
            <w:r>
              <w:rPr>
                <w:sz w:val="19"/>
              </w:rPr>
              <w:t>16 Nov 2006</w:t>
            </w:r>
          </w:p>
        </w:tc>
        <w:tc>
          <w:tcPr>
            <w:tcW w:w="2551" w:type="dxa"/>
            <w:gridSpan w:val="2"/>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After w:val="1"/>
          <w:wAfter w:w="15" w:type="dxa"/>
          <w:cantSplit/>
        </w:trPr>
        <w:tc>
          <w:tcPr>
            <w:tcW w:w="2265" w:type="dxa"/>
            <w:gridSpan w:val="5"/>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4"/>
          </w:tcPr>
          <w:p>
            <w:pPr>
              <w:pStyle w:val="nTable"/>
              <w:spacing w:after="40"/>
              <w:rPr>
                <w:snapToGrid w:val="0"/>
                <w:sz w:val="19"/>
              </w:rPr>
            </w:pPr>
            <w:r>
              <w:rPr>
                <w:snapToGrid w:val="0"/>
                <w:sz w:val="19"/>
              </w:rPr>
              <w:t>10 of 2007</w:t>
            </w:r>
          </w:p>
        </w:tc>
        <w:tc>
          <w:tcPr>
            <w:tcW w:w="1134" w:type="dxa"/>
            <w:gridSpan w:val="2"/>
          </w:tcPr>
          <w:p>
            <w:pPr>
              <w:pStyle w:val="nTable"/>
              <w:spacing w:after="40"/>
              <w:rPr>
                <w:sz w:val="19"/>
              </w:rPr>
            </w:pPr>
            <w:r>
              <w:rPr>
                <w:sz w:val="19"/>
              </w:rPr>
              <w:t>29 Jun 2007</w:t>
            </w:r>
          </w:p>
        </w:tc>
        <w:tc>
          <w:tcPr>
            <w:tcW w:w="2551" w:type="dxa"/>
            <w:gridSpan w:val="2"/>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After w:val="1"/>
          <w:wAfter w:w="15" w:type="dxa"/>
          <w:cantSplit/>
        </w:trPr>
        <w:tc>
          <w:tcPr>
            <w:tcW w:w="2265" w:type="dxa"/>
            <w:gridSpan w:val="5"/>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4"/>
          </w:tcPr>
          <w:p>
            <w:pPr>
              <w:pStyle w:val="nTable"/>
              <w:spacing w:after="40"/>
              <w:rPr>
                <w:snapToGrid w:val="0"/>
                <w:sz w:val="19"/>
              </w:rPr>
            </w:pPr>
            <w:r>
              <w:rPr>
                <w:snapToGrid w:val="0"/>
                <w:sz w:val="19"/>
              </w:rPr>
              <w:t>50 of 2006</w:t>
            </w:r>
          </w:p>
        </w:tc>
        <w:tc>
          <w:tcPr>
            <w:tcW w:w="1134" w:type="dxa"/>
            <w:gridSpan w:val="2"/>
          </w:tcPr>
          <w:p>
            <w:pPr>
              <w:pStyle w:val="nTable"/>
              <w:spacing w:after="40"/>
              <w:rPr>
                <w:sz w:val="19"/>
              </w:rPr>
            </w:pPr>
            <w:r>
              <w:rPr>
                <w:sz w:val="19"/>
              </w:rPr>
              <w:t>6 Oct 2006</w:t>
            </w:r>
          </w:p>
        </w:tc>
        <w:tc>
          <w:tcPr>
            <w:tcW w:w="2551" w:type="dxa"/>
            <w:gridSpan w:val="2"/>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blPrEx>
          <w:tblBorders>
            <w:top w:val="single" w:sz="8" w:space="0" w:color="auto"/>
            <w:bottom w:val="single" w:sz="8" w:space="0" w:color="auto"/>
            <w:insideH w:val="single" w:sz="8" w:space="0" w:color="auto"/>
          </w:tblBorders>
        </w:tblPrEx>
        <w:trPr>
          <w:gridAfter w:val="1"/>
          <w:wAfter w:w="15" w:type="dxa"/>
        </w:trPr>
        <w:tc>
          <w:tcPr>
            <w:tcW w:w="2265" w:type="dxa"/>
            <w:gridSpan w:val="5"/>
            <w:tcBorders>
              <w:top w:val="nil"/>
              <w:bottom w:val="single" w:sz="4" w:space="0" w:color="auto"/>
            </w:tcBorders>
          </w:tcPr>
          <w:p>
            <w:pPr>
              <w:pStyle w:val="nTable"/>
              <w:spacing w:after="40"/>
              <w:rPr>
                <w:sz w:val="19"/>
              </w:rPr>
            </w:pPr>
            <w:r>
              <w:rPr>
                <w:i/>
                <w:snapToGrid w:val="0"/>
                <w:sz w:val="19"/>
              </w:rPr>
              <w:t>Medical Practitioners Act 2008</w:t>
            </w:r>
            <w:r>
              <w:rPr>
                <w:sz w:val="19"/>
              </w:rPr>
              <w:t xml:space="preserve"> s. 162</w:t>
            </w:r>
          </w:p>
        </w:tc>
        <w:tc>
          <w:tcPr>
            <w:tcW w:w="1134" w:type="dxa"/>
            <w:gridSpan w:val="4"/>
            <w:tcBorders>
              <w:top w:val="nil"/>
              <w:bottom w:val="single" w:sz="4" w:space="0" w:color="auto"/>
            </w:tcBorders>
          </w:tcPr>
          <w:p>
            <w:pPr>
              <w:pStyle w:val="nTable"/>
              <w:spacing w:after="40"/>
              <w:rPr>
                <w:sz w:val="19"/>
              </w:rPr>
            </w:pPr>
            <w:r>
              <w:rPr>
                <w:sz w:val="19"/>
              </w:rPr>
              <w:t>22 of 2008</w:t>
            </w:r>
          </w:p>
        </w:tc>
        <w:tc>
          <w:tcPr>
            <w:tcW w:w="1134" w:type="dxa"/>
            <w:gridSpan w:val="2"/>
            <w:tcBorders>
              <w:top w:val="nil"/>
              <w:bottom w:val="single" w:sz="4" w:space="0" w:color="auto"/>
            </w:tcBorders>
          </w:tcPr>
          <w:p>
            <w:pPr>
              <w:pStyle w:val="nTable"/>
              <w:spacing w:after="40"/>
              <w:rPr>
                <w:sz w:val="19"/>
              </w:rPr>
            </w:pPr>
            <w:r>
              <w:rPr>
                <w:sz w:val="19"/>
              </w:rPr>
              <w:t>27 May 2008</w:t>
            </w:r>
          </w:p>
        </w:tc>
        <w:tc>
          <w:tcPr>
            <w:tcW w:w="2551" w:type="dxa"/>
            <w:gridSpan w:val="2"/>
            <w:tcBorders>
              <w:top w:val="nil"/>
              <w:bottom w:val="single" w:sz="4" w:space="0" w:color="auto"/>
            </w:tcBorders>
          </w:tcPr>
          <w:p>
            <w:pPr>
              <w:pStyle w:val="nTable"/>
              <w:spacing w:after="40"/>
              <w:rPr>
                <w:snapToGrid w:val="0"/>
                <w:sz w:val="19"/>
              </w:rPr>
            </w:pPr>
            <w:r>
              <w:rPr>
                <w:snapToGrid w:val="0"/>
                <w:sz w:val="19"/>
              </w:rPr>
              <w:t xml:space="preserve">1 Dec 2008 (see s. 2 and </w:t>
            </w:r>
            <w:r>
              <w:rPr>
                <w:i/>
                <w:iCs/>
                <w:snapToGrid w:val="0"/>
                <w:sz w:val="19"/>
              </w:rPr>
              <w:t>Gazette</w:t>
            </w:r>
            <w:r>
              <w:rPr>
                <w:snapToGrid w:val="0"/>
                <w:sz w:val="19"/>
              </w:rPr>
              <w:t xml:space="preserve"> 25 Nov 2008 p. 4989)</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443"/>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blPrEx>
          <w:tblBorders>
            <w:top w:val="none" w:sz="0" w:space="0" w:color="auto"/>
            <w:bottom w:val="none" w:sz="0" w:space="0" w:color="auto"/>
            <w:insideH w:val="none" w:sz="0" w:space="0" w:color="auto"/>
          </w:tblBorders>
        </w:tblPrEx>
        <w:tc>
          <w:tcPr>
            <w:tcW w:w="2223" w:type="dxa"/>
            <w:tcBorders>
              <w:top w:val="single" w:sz="4" w:space="0" w:color="auto"/>
              <w:bottom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bottom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bottom w:val="single" w:sz="4" w:space="0" w:color="auto"/>
            </w:tcBorders>
          </w:tcPr>
          <w:p>
            <w:pPr>
              <w:pStyle w:val="nTable"/>
              <w:spacing w:before="100"/>
              <w:rPr>
                <w:sz w:val="19"/>
              </w:rPr>
            </w:pPr>
            <w:r>
              <w:rPr>
                <w:snapToGrid w:val="0"/>
                <w:sz w:val="19"/>
              </w:rPr>
              <w:t>12 Oct 2007</w:t>
            </w:r>
          </w:p>
        </w:tc>
        <w:tc>
          <w:tcPr>
            <w:tcW w:w="2520" w:type="dxa"/>
            <w:tcBorders>
              <w:top w:val="single" w:sz="4" w:space="0" w:color="auto"/>
              <w:bottom w:val="single" w:sz="4" w:space="0" w:color="auto"/>
            </w:tcBorders>
          </w:tcPr>
          <w:p>
            <w:pPr>
              <w:pStyle w:val="nTable"/>
              <w:spacing w:before="100"/>
              <w:rPr>
                <w:snapToGrid w:val="0"/>
                <w:sz w:val="19"/>
              </w:rPr>
            </w:pPr>
            <w:r>
              <w:rPr>
                <w:snapToGrid w:val="0"/>
                <w:sz w:val="19"/>
              </w:rPr>
              <w:t>To be proclaimed (s. 2(2))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rPr>
          <w:snapToGrid w:val="0"/>
        </w:rPr>
      </w:pPr>
      <w:r>
        <w:rPr>
          <w:snapToGrid w:val="0"/>
          <w:vertAlign w:val="superscript"/>
        </w:rPr>
        <w:t>7</w:t>
      </w:r>
      <w:r>
        <w:rPr>
          <w:snapToGrid w:val="0"/>
        </w:rPr>
        <w:tab/>
        <w:t>Footnote no longer applicable.</w:t>
      </w:r>
    </w:p>
    <w:p>
      <w:pPr>
        <w:pStyle w:val="nSubsection"/>
        <w:keepLines/>
        <w:rPr>
          <w:snapToGrid w:val="0"/>
        </w:rPr>
      </w:pPr>
      <w:bookmarkStart w:id="101" w:name="AutoSch"/>
      <w:bookmarkEnd w:id="10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Dec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07-k0-02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115"/>
    <w:docVar w:name="WAFER_20140605151115" w:val="RemoveTocBookmarks,RemoveUnusedBookmarks,RemoveLanguageTags,UsedStyles,ResetPageSize"/>
    <w:docVar w:name="WAFER_20140605151115_GUID" w:val="0aad00c4-05e2-4775-a1a7-0f21cb7f01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16728</Words>
  <Characters>78291</Characters>
  <Application>Microsoft Office Word</Application>
  <DocSecurity>0</DocSecurity>
  <Lines>2174</Lines>
  <Paragraphs>1234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1964 - 07-k0-02</dc:title>
  <dc:subject/>
  <dc:creator/>
  <cp:keywords/>
  <dc:description/>
  <cp:lastModifiedBy>svcMRProcess</cp:lastModifiedBy>
  <cp:revision>4</cp:revision>
  <cp:lastPrinted>2006-09-06T01:41:00Z</cp:lastPrinted>
  <dcterms:created xsi:type="dcterms:W3CDTF">2018-09-06T20:53:00Z</dcterms:created>
  <dcterms:modified xsi:type="dcterms:W3CDTF">2018-09-06T20:53:00Z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20081201</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01 Dec 2008</vt:lpwstr>
  </property>
  <property fmtid="{D5CDD505-2E9C-101B-9397-08002B2CF9AE}" pid="8" name="Suffix">
    <vt:lpwstr>07-k0-02</vt:lpwstr>
  </property>
</Properties>
</file>