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Long Service Leave Act 1958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 September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_Toc145990792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_Toc145990793 \h </w:instrText>
      </w:r>
      <w:r>
        <w:fldChar w:fldCharType="separate"/>
      </w:r>
      <w:r>
        <w:t>2</w:t>
      </w:r>
      <w:r>
        <w:fldChar w:fldCharType="end"/>
      </w:r>
    </w:p>
    <w:p>
      <w:pPr>
        <w:pStyle w:val="TOC2"/>
        <w:tabs>
          <w:tab w:val="right" w:leader="dot" w:pos="7086"/>
        </w:tabs>
        <w:rPr>
          <w:b w:val="0"/>
          <w:sz w:val="24"/>
          <w:szCs w:val="24"/>
        </w:rPr>
      </w:pPr>
      <w:r>
        <w:rPr>
          <w:szCs w:val="30"/>
        </w:rPr>
        <w:t>Part II — Construction and application of this Act</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_Toc145990795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Limited contracting</w:t>
      </w:r>
      <w:r>
        <w:rPr>
          <w:snapToGrid w:val="0"/>
          <w:szCs w:val="24"/>
        </w:rPr>
        <w:noBreakHyphen/>
        <w:t>out of long service leave</w:t>
      </w:r>
      <w:r>
        <w:tab/>
      </w:r>
      <w:r>
        <w:fldChar w:fldCharType="begin"/>
      </w:r>
      <w:r>
        <w:instrText xml:space="preserve"> PAGEREF _Toc145990796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What constitutes continuous employment</w:t>
      </w:r>
      <w:r>
        <w:tab/>
      </w:r>
      <w:r>
        <w:fldChar w:fldCharType="begin"/>
      </w:r>
      <w:r>
        <w:instrText xml:space="preserve"> PAGEREF _Toc145990797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Employment before commencement of this Act</w:t>
      </w:r>
      <w:r>
        <w:tab/>
      </w:r>
      <w:r>
        <w:fldChar w:fldCharType="begin"/>
      </w:r>
      <w:r>
        <w:instrText xml:space="preserve"> PAGEREF _Toc145990798 \h </w:instrText>
      </w:r>
      <w:r>
        <w:fldChar w:fldCharType="separate"/>
      </w:r>
      <w:r>
        <w:t>9</w:t>
      </w:r>
      <w:r>
        <w:fldChar w:fldCharType="end"/>
      </w:r>
    </w:p>
    <w:p>
      <w:pPr>
        <w:pStyle w:val="TOC2"/>
        <w:tabs>
          <w:tab w:val="right" w:leader="dot" w:pos="7086"/>
        </w:tabs>
        <w:rPr>
          <w:b w:val="0"/>
          <w:sz w:val="24"/>
          <w:szCs w:val="24"/>
        </w:rPr>
      </w:pPr>
      <w:r>
        <w:rPr>
          <w:szCs w:val="30"/>
        </w:rPr>
        <w:t>Part III — Entitlements to long service leave or to payment in lieu thereof</w:t>
      </w:r>
    </w:p>
    <w:p>
      <w:pPr>
        <w:pStyle w:val="TOC8"/>
        <w:rPr>
          <w:sz w:val="24"/>
          <w:szCs w:val="24"/>
        </w:rPr>
      </w:pPr>
      <w:r>
        <w:rPr>
          <w:szCs w:val="24"/>
        </w:rPr>
        <w:t>8</w:t>
      </w:r>
      <w:r>
        <w:rPr>
          <w:snapToGrid w:val="0"/>
          <w:szCs w:val="24"/>
        </w:rPr>
        <w:t>.</w:t>
      </w:r>
      <w:r>
        <w:rPr>
          <w:snapToGrid w:val="0"/>
          <w:szCs w:val="24"/>
        </w:rPr>
        <w:tab/>
        <w:t>Long service leave</w:t>
      </w:r>
      <w:r>
        <w:tab/>
      </w:r>
      <w:r>
        <w:fldChar w:fldCharType="begin"/>
      </w:r>
      <w:r>
        <w:instrText xml:space="preserve"> PAGEREF _Toc145990800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Commencement of long service leave</w:t>
      </w:r>
      <w:r>
        <w:tab/>
      </w:r>
      <w:r>
        <w:fldChar w:fldCharType="begin"/>
      </w:r>
      <w:r>
        <w:instrText xml:space="preserve"> PAGEREF _Toc145990801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Taking leave in advance</w:t>
      </w:r>
      <w:r>
        <w:tab/>
      </w:r>
      <w:r>
        <w:fldChar w:fldCharType="begin"/>
      </w:r>
      <w:r>
        <w:instrText xml:space="preserve"> PAGEREF _Toc145990802 \h </w:instrText>
      </w:r>
      <w:r>
        <w:fldChar w:fldCharType="separate"/>
      </w:r>
      <w:r>
        <w:t>14</w:t>
      </w:r>
      <w:r>
        <w:fldChar w:fldCharType="end"/>
      </w:r>
    </w:p>
    <w:p>
      <w:pPr>
        <w:pStyle w:val="TOC2"/>
        <w:tabs>
          <w:tab w:val="right" w:leader="dot" w:pos="7086"/>
        </w:tabs>
        <w:rPr>
          <w:b w:val="0"/>
          <w:sz w:val="24"/>
          <w:szCs w:val="24"/>
        </w:rPr>
      </w:pPr>
      <w:r>
        <w:rPr>
          <w:szCs w:val="30"/>
        </w:rPr>
        <w:t>Part IV — Enforcement of the provisions of the Act</w:t>
      </w:r>
    </w:p>
    <w:p>
      <w:pPr>
        <w:pStyle w:val="TOC8"/>
        <w:rPr>
          <w:sz w:val="24"/>
          <w:szCs w:val="24"/>
        </w:rPr>
      </w:pPr>
      <w:r>
        <w:rPr>
          <w:szCs w:val="24"/>
        </w:rPr>
        <w:t>11</w:t>
      </w:r>
      <w:r>
        <w:rPr>
          <w:snapToGrid w:val="0"/>
          <w:szCs w:val="24"/>
        </w:rPr>
        <w:t>.</w:t>
      </w:r>
      <w:r>
        <w:rPr>
          <w:snapToGrid w:val="0"/>
          <w:szCs w:val="24"/>
        </w:rPr>
        <w:tab/>
        <w:t>Industrial magistrate’s courts</w:t>
      </w:r>
      <w:r>
        <w:tab/>
      </w:r>
      <w:r>
        <w:fldChar w:fldCharType="begin"/>
      </w:r>
      <w:r>
        <w:instrText xml:space="preserve"> PAGEREF _Toc145990804 \h </w:instrText>
      </w:r>
      <w:r>
        <w:fldChar w:fldCharType="separate"/>
      </w:r>
      <w:r>
        <w:t>16</w:t>
      </w:r>
      <w:r>
        <w:fldChar w:fldCharType="end"/>
      </w:r>
    </w:p>
    <w:p>
      <w:pPr>
        <w:pStyle w:val="TOC8"/>
        <w:rPr>
          <w:sz w:val="24"/>
          <w:szCs w:val="24"/>
        </w:rPr>
      </w:pPr>
      <w:r>
        <w:rPr>
          <w:szCs w:val="24"/>
        </w:rPr>
        <w:t>12.</w:t>
      </w:r>
      <w:r>
        <w:rPr>
          <w:szCs w:val="24"/>
        </w:rPr>
        <w:tab/>
        <w:t>Industrial inspectors may institute proceedings</w:t>
      </w:r>
      <w:r>
        <w:tab/>
      </w:r>
      <w:r>
        <w:fldChar w:fldCharType="begin"/>
      </w:r>
      <w:r>
        <w:instrText xml:space="preserve"> PAGEREF _Toc145990805 \h </w:instrText>
      </w:r>
      <w:r>
        <w:fldChar w:fldCharType="separate"/>
      </w:r>
      <w:r>
        <w:t>16</w:t>
      </w:r>
      <w:r>
        <w:fldChar w:fldCharType="end"/>
      </w:r>
    </w:p>
    <w:p>
      <w:pPr>
        <w:pStyle w:val="TOC2"/>
        <w:tabs>
          <w:tab w:val="right" w:leader="dot" w:pos="7086"/>
        </w:tabs>
        <w:rPr>
          <w:b w:val="0"/>
          <w:sz w:val="24"/>
          <w:szCs w:val="24"/>
        </w:rPr>
      </w:pPr>
      <w:r>
        <w:rPr>
          <w:szCs w:val="30"/>
        </w:rPr>
        <w:t>Part VII — Miscellaneous provisions</w:t>
      </w:r>
    </w:p>
    <w:p>
      <w:pPr>
        <w:pStyle w:val="TOC4"/>
        <w:tabs>
          <w:tab w:val="right" w:leader="dot" w:pos="7086"/>
        </w:tabs>
        <w:rPr>
          <w:b w:val="0"/>
          <w:sz w:val="24"/>
          <w:szCs w:val="24"/>
        </w:rPr>
      </w:pPr>
      <w:r>
        <w:rPr>
          <w:szCs w:val="26"/>
        </w:rPr>
        <w:t>Division 2</w:t>
      </w:r>
      <w:r>
        <w:rPr>
          <w:snapToGrid w:val="0"/>
          <w:szCs w:val="26"/>
        </w:rPr>
        <w:t> — </w:t>
      </w:r>
      <w:r>
        <w:rPr>
          <w:szCs w:val="26"/>
        </w:rPr>
        <w:t>Records of employment</w:t>
      </w:r>
    </w:p>
    <w:p>
      <w:pPr>
        <w:pStyle w:val="TOC8"/>
        <w:rPr>
          <w:sz w:val="24"/>
          <w:szCs w:val="24"/>
        </w:rPr>
      </w:pPr>
      <w:r>
        <w:rPr>
          <w:szCs w:val="24"/>
        </w:rPr>
        <w:t>26</w:t>
      </w:r>
      <w:r>
        <w:rPr>
          <w:snapToGrid w:val="0"/>
          <w:szCs w:val="24"/>
        </w:rPr>
        <w:t>.</w:t>
      </w:r>
      <w:r>
        <w:rPr>
          <w:snapToGrid w:val="0"/>
          <w:szCs w:val="24"/>
        </w:rPr>
        <w:tab/>
        <w:t>Keeping of employment records</w:t>
      </w:r>
      <w:r>
        <w:tab/>
      </w:r>
      <w:r>
        <w:fldChar w:fldCharType="begin"/>
      </w:r>
      <w:r>
        <w:instrText xml:space="preserve"> PAGEREF _Toc145990808 \h </w:instrText>
      </w:r>
      <w:r>
        <w:fldChar w:fldCharType="separate"/>
      </w:r>
      <w:r>
        <w:t>17</w:t>
      </w:r>
      <w:r>
        <w:fldChar w:fldCharType="end"/>
      </w:r>
    </w:p>
    <w:p>
      <w:pPr>
        <w:pStyle w:val="TOC8"/>
        <w:rPr>
          <w:sz w:val="24"/>
          <w:szCs w:val="24"/>
        </w:rPr>
      </w:pPr>
      <w:r>
        <w:rPr>
          <w:szCs w:val="24"/>
        </w:rPr>
        <w:t>26A</w:t>
      </w:r>
      <w:r>
        <w:rPr>
          <w:snapToGrid w:val="0"/>
          <w:szCs w:val="24"/>
        </w:rPr>
        <w:t>.</w:t>
      </w:r>
      <w:r>
        <w:rPr>
          <w:snapToGrid w:val="0"/>
          <w:szCs w:val="24"/>
        </w:rPr>
        <w:tab/>
        <w:t>Access to records kept by employer</w:t>
      </w:r>
      <w:r>
        <w:tab/>
      </w:r>
      <w:r>
        <w:fldChar w:fldCharType="begin"/>
      </w:r>
      <w:r>
        <w:instrText xml:space="preserve"> PAGEREF _Toc145990809 \h </w:instrText>
      </w:r>
      <w:r>
        <w:fldChar w:fldCharType="separate"/>
      </w:r>
      <w:r>
        <w:t>18</w:t>
      </w:r>
      <w:r>
        <w:fldChar w:fldCharType="end"/>
      </w:r>
    </w:p>
    <w:p>
      <w:pPr>
        <w:pStyle w:val="TOC4"/>
        <w:tabs>
          <w:tab w:val="right" w:leader="dot" w:pos="7086"/>
        </w:tabs>
        <w:rPr>
          <w:b w:val="0"/>
          <w:sz w:val="24"/>
          <w:szCs w:val="24"/>
        </w:rPr>
      </w:pPr>
      <w:r>
        <w:rPr>
          <w:szCs w:val="26"/>
        </w:rPr>
        <w:t>Division 3 — Prohibition of employment during long service leave</w:t>
      </w:r>
    </w:p>
    <w:p>
      <w:pPr>
        <w:pStyle w:val="TOC8"/>
        <w:rPr>
          <w:sz w:val="24"/>
          <w:szCs w:val="24"/>
        </w:rPr>
      </w:pPr>
      <w:r>
        <w:rPr>
          <w:szCs w:val="24"/>
        </w:rPr>
        <w:t>27</w:t>
      </w:r>
      <w:r>
        <w:rPr>
          <w:snapToGrid w:val="0"/>
          <w:szCs w:val="24"/>
        </w:rPr>
        <w:t>.</w:t>
      </w:r>
      <w:r>
        <w:rPr>
          <w:snapToGrid w:val="0"/>
          <w:szCs w:val="24"/>
        </w:rPr>
        <w:tab/>
        <w:t>Prohibition of employment during long service leave</w:t>
      </w:r>
      <w:r>
        <w:tab/>
      </w:r>
      <w:r>
        <w:fldChar w:fldCharType="begin"/>
      </w:r>
      <w:r>
        <w:instrText xml:space="preserve"> PAGEREF _Toc145990811 \h </w:instrText>
      </w:r>
      <w:r>
        <w:fldChar w:fldCharType="separate"/>
      </w:r>
      <w:r>
        <w:t>19</w:t>
      </w:r>
      <w:r>
        <w:fldChar w:fldCharType="end"/>
      </w:r>
    </w:p>
    <w:p>
      <w:pPr>
        <w:pStyle w:val="TOC4"/>
        <w:tabs>
          <w:tab w:val="right" w:leader="dot" w:pos="7086"/>
        </w:tabs>
        <w:rPr>
          <w:b w:val="0"/>
          <w:sz w:val="24"/>
          <w:szCs w:val="24"/>
        </w:rPr>
      </w:pPr>
      <w:r>
        <w:rPr>
          <w:szCs w:val="26"/>
        </w:rPr>
        <w:t>Division 6 — Representation of parties in proceedings under this Act</w:t>
      </w:r>
    </w:p>
    <w:p>
      <w:pPr>
        <w:pStyle w:val="TOC8"/>
        <w:rPr>
          <w:sz w:val="24"/>
          <w:szCs w:val="24"/>
        </w:rPr>
      </w:pPr>
      <w:r>
        <w:rPr>
          <w:szCs w:val="24"/>
        </w:rPr>
        <w:t>37</w:t>
      </w:r>
      <w:r>
        <w:rPr>
          <w:snapToGrid w:val="0"/>
          <w:szCs w:val="24"/>
        </w:rPr>
        <w:t>.</w:t>
      </w:r>
      <w:r>
        <w:rPr>
          <w:snapToGrid w:val="0"/>
          <w:szCs w:val="24"/>
        </w:rPr>
        <w:tab/>
        <w:t>Representation of parties in proceedings under this Act</w:t>
      </w:r>
      <w:r>
        <w:tab/>
      </w:r>
      <w:r>
        <w:fldChar w:fldCharType="begin"/>
      </w:r>
      <w:r>
        <w:instrText xml:space="preserve"> PAGEREF _Toc145990813 \h </w:instrText>
      </w:r>
      <w:r>
        <w:fldChar w:fldCharType="separate"/>
      </w:r>
      <w:r>
        <w:t>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Regulations</w:t>
      </w:r>
    </w:p>
    <w:p>
      <w:pPr>
        <w:pStyle w:val="TOC8"/>
        <w:rPr>
          <w:sz w:val="24"/>
          <w:szCs w:val="24"/>
        </w:rPr>
      </w:pPr>
      <w:r>
        <w:rPr>
          <w:szCs w:val="24"/>
        </w:rPr>
        <w:t>38</w:t>
      </w:r>
      <w:r>
        <w:rPr>
          <w:snapToGrid w:val="0"/>
          <w:szCs w:val="24"/>
        </w:rPr>
        <w:t>.</w:t>
      </w:r>
      <w:r>
        <w:rPr>
          <w:snapToGrid w:val="0"/>
          <w:szCs w:val="24"/>
        </w:rPr>
        <w:tab/>
        <w:t>Regulation making power</w:t>
      </w:r>
      <w:r>
        <w:tab/>
      </w:r>
      <w:r>
        <w:fldChar w:fldCharType="begin"/>
      </w:r>
      <w:r>
        <w:instrText xml:space="preserve"> PAGEREF _Toc145990815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 xml:space="preserve">Application to this Act of certain of the regulations made under the </w:t>
      </w:r>
      <w:r>
        <w:rPr>
          <w:i/>
          <w:snapToGrid w:val="0"/>
          <w:szCs w:val="24"/>
        </w:rPr>
        <w:t>Industrial Relations Act 1979</w:t>
      </w:r>
      <w:r>
        <w:tab/>
      </w:r>
      <w:r>
        <w:fldChar w:fldCharType="begin"/>
      </w:r>
      <w:r>
        <w:instrText xml:space="preserve"> PAGEREF _Toc145990816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_Toc145990818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September 2006</w:t>
            </w:r>
          </w:p>
        </w:tc>
      </w:tr>
    </w:tbl>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 w:name="_Toc89155436"/>
      <w:bookmarkStart w:id="2" w:name="_Toc89155473"/>
      <w:bookmarkStart w:id="3" w:name="_Toc89508250"/>
      <w:bookmarkStart w:id="4" w:name="_Toc102384927"/>
      <w:bookmarkStart w:id="5" w:name="_Toc139862954"/>
      <w:bookmarkStart w:id="6" w:name="_Toc140027976"/>
      <w:bookmarkStart w:id="7" w:name="_Toc142711157"/>
      <w:bookmarkStart w:id="8" w:name="_Toc142715179"/>
      <w:bookmarkStart w:id="9" w:name="_Toc144096971"/>
      <w:bookmarkStart w:id="10" w:name="_Toc145990791"/>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314612"/>
      <w:bookmarkStart w:id="12" w:name="_Toc38865844"/>
      <w:bookmarkStart w:id="13" w:name="_Toc102384928"/>
      <w:bookmarkStart w:id="14" w:name="_Toc145990792"/>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5" w:name="_Toc411314613"/>
      <w:bookmarkStart w:id="16" w:name="_Toc38865845"/>
      <w:bookmarkStart w:id="17" w:name="_Toc102384929"/>
      <w:bookmarkStart w:id="18" w:name="_Toc145990793"/>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19" w:name="_Toc89155439"/>
      <w:bookmarkStart w:id="20" w:name="_Toc89155476"/>
      <w:bookmarkStart w:id="21" w:name="_Toc89508253"/>
      <w:bookmarkStart w:id="22" w:name="_Toc102384930"/>
      <w:bookmarkStart w:id="23" w:name="_Toc139862957"/>
      <w:bookmarkStart w:id="24" w:name="_Toc140027979"/>
      <w:bookmarkStart w:id="25" w:name="_Toc142711160"/>
      <w:bookmarkStart w:id="26" w:name="_Toc142715182"/>
      <w:bookmarkStart w:id="27" w:name="_Toc144096974"/>
      <w:bookmarkStart w:id="28" w:name="_Toc145990794"/>
      <w:r>
        <w:rPr>
          <w:rStyle w:val="CharPartNo"/>
        </w:rPr>
        <w:t>Part II</w:t>
      </w:r>
      <w:r>
        <w:rPr>
          <w:rStyle w:val="CharDivNo"/>
        </w:rPr>
        <w:t> </w:t>
      </w:r>
      <w:r>
        <w:t>—</w:t>
      </w:r>
      <w:r>
        <w:rPr>
          <w:rStyle w:val="CharDivText"/>
        </w:rPr>
        <w:t> </w:t>
      </w:r>
      <w:r>
        <w:rPr>
          <w:rStyle w:val="CharPartText"/>
        </w:rPr>
        <w:t>Construction and application of this Act</w:t>
      </w:r>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1314614"/>
      <w:bookmarkStart w:id="30" w:name="_Toc38865846"/>
      <w:bookmarkStart w:id="31" w:name="_Toc102384931"/>
      <w:bookmarkStart w:id="32" w:name="_Toc145990795"/>
      <w:r>
        <w:rPr>
          <w:rStyle w:val="CharSectno"/>
        </w:rPr>
        <w:t>4</w:t>
      </w:r>
      <w:r>
        <w:rPr>
          <w:snapToGrid w:val="0"/>
        </w:rPr>
        <w:t>.</w:t>
      </w:r>
      <w:r>
        <w:rPr>
          <w:snapToGrid w:val="0"/>
        </w:rPr>
        <w:tab/>
        <w:t>Interpretation</w:t>
      </w:r>
      <w:bookmarkEnd w:id="29"/>
      <w:bookmarkEnd w:id="30"/>
      <w:bookmarkEnd w:id="31"/>
      <w:bookmarkEnd w:id="32"/>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t>“</w:t>
      </w:r>
      <w:r>
        <w:rPr>
          <w:rStyle w:val="CharDefText"/>
        </w:rPr>
        <w:t>apprentice</w:t>
      </w:r>
      <w:r>
        <w:rPr>
          <w:b/>
        </w:rPr>
        <w:t>”</w:t>
      </w:r>
      <w:r>
        <w:t xml:space="preserve"> means an apprentice under the </w:t>
      </w:r>
      <w:r>
        <w:rPr>
          <w:i/>
        </w:rPr>
        <w:t>Industrial Training Act 1975</w:t>
      </w:r>
      <w:r>
        <w:t>;</w:t>
      </w:r>
    </w:p>
    <w:p>
      <w:pPr>
        <w:pStyle w:val="Defstart"/>
      </w:pPr>
      <w:r>
        <w:rPr>
          <w:b/>
        </w:rPr>
        <w:tab/>
        <w:t>“</w:t>
      </w:r>
      <w:r>
        <w:rPr>
          <w:rStyle w:val="CharDefText"/>
        </w:rPr>
        <w:t>award</w:t>
      </w:r>
      <w:r>
        <w:rPr>
          <w:b/>
        </w:rPr>
        <w:t>”</w:t>
      </w:r>
      <w:r>
        <w:t xml:space="preserve"> means an award in force under the </w:t>
      </w:r>
      <w:r>
        <w:rPr>
          <w:i/>
        </w:rPr>
        <w:t>Industrial Relations Act 1979</w:t>
      </w:r>
      <w:r>
        <w:t>;</w:t>
      </w:r>
    </w:p>
    <w:p>
      <w:pPr>
        <w:pStyle w:val="Defstart"/>
      </w:pPr>
      <w:r>
        <w:rPr>
          <w:b/>
        </w:rPr>
        <w:tab/>
        <w:t>“</w:t>
      </w:r>
      <w:r>
        <w:rPr>
          <w:rStyle w:val="CharDefText"/>
        </w:rPr>
        <w:t>business</w:t>
      </w:r>
      <w:r>
        <w:rPr>
          <w:b/>
        </w:rPr>
        <w:t>”</w:t>
      </w:r>
      <w:r>
        <w:t xml:space="preserve"> includes any trade, process, profession, or occupation, and any part thereof;</w:t>
      </w:r>
    </w:p>
    <w:p>
      <w:pPr>
        <w:pStyle w:val="Defstart"/>
      </w:pPr>
      <w:r>
        <w:rPr>
          <w:b/>
        </w:rPr>
        <w:tab/>
        <w:t>“</w:t>
      </w:r>
      <w:r>
        <w:rPr>
          <w:rStyle w:val="CharDefText"/>
        </w:rPr>
        <w:t>employee</w:t>
      </w:r>
      <w:r>
        <w:rPr>
          <w:b/>
        </w:rPr>
        <w:t>”</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t>“</w:t>
      </w:r>
      <w:r>
        <w:rPr>
          <w:rStyle w:val="CharDefText"/>
        </w:rPr>
        <w:t>employer</w:t>
      </w:r>
      <w:r>
        <w:rPr>
          <w:b/>
        </w:rPr>
        <w:t>”</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r>
      <w:r>
        <w:tab/>
        <w:t>employing one or more employees;</w:t>
      </w:r>
    </w:p>
    <w:p>
      <w:pPr>
        <w:pStyle w:val="Defstart"/>
      </w:pPr>
      <w:r>
        <w:rPr>
          <w:b/>
        </w:rPr>
        <w:tab/>
        <w:t>“</w:t>
      </w:r>
      <w:r>
        <w:rPr>
          <w:rStyle w:val="CharDefText"/>
        </w:rPr>
        <w:t>industrial agreement</w:t>
      </w:r>
      <w:r>
        <w:rPr>
          <w:b/>
        </w:rPr>
        <w:t>”</w:t>
      </w:r>
      <w:r>
        <w:t xml:space="preserve"> means an industrial agreement in force under the </w:t>
      </w:r>
      <w:r>
        <w:rPr>
          <w:i/>
        </w:rPr>
        <w:t>Industrial Relations Act 1979</w:t>
      </w:r>
      <w:r>
        <w:t>;</w:t>
      </w:r>
    </w:p>
    <w:p>
      <w:pPr>
        <w:pStyle w:val="Defstart"/>
        <w:keepNext/>
        <w:keepLines/>
      </w:pPr>
      <w:r>
        <w:rPr>
          <w:b/>
        </w:rPr>
        <w:tab/>
        <w:t>“</w:t>
      </w:r>
      <w:r>
        <w:rPr>
          <w:rStyle w:val="CharDefText"/>
        </w:rPr>
        <w:t>industrial inspector</w:t>
      </w:r>
      <w:r>
        <w:rPr>
          <w:b/>
        </w:rPr>
        <w:t>”</w:t>
      </w:r>
      <w:r>
        <w:t xml:space="preserve"> means an Industrial Inspector as defined in the </w:t>
      </w:r>
      <w:r>
        <w:rPr>
          <w:i/>
        </w:rPr>
        <w:t>Industrial Relations Act 1979</w:t>
      </w:r>
      <w:r>
        <w:t>;</w:t>
      </w:r>
    </w:p>
    <w:p>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pPr>
        <w:pStyle w:val="Defstart"/>
      </w:pPr>
      <w:r>
        <w:rPr>
          <w:b/>
        </w:rPr>
        <w:tab/>
        <w:t>“</w:t>
      </w:r>
      <w:r>
        <w:rPr>
          <w:rStyle w:val="CharDefText"/>
        </w:rPr>
        <w:t>industrial trainee</w:t>
      </w:r>
      <w:r>
        <w:rPr>
          <w:b/>
        </w:rPr>
        <w:t>”</w:t>
      </w:r>
      <w:r>
        <w:t xml:space="preserve"> means an industrial trainee under the </w:t>
      </w:r>
      <w:r>
        <w:rPr>
          <w:i/>
        </w:rPr>
        <w:t>Industrial Training Act 1975</w:t>
      </w:r>
      <w:r>
        <w:t>;</w:t>
      </w:r>
    </w:p>
    <w:p>
      <w:pPr>
        <w:pStyle w:val="Defstart"/>
      </w:pPr>
      <w:r>
        <w:rPr>
          <w:b/>
        </w:rPr>
        <w:tab/>
        <w:t>“</w:t>
      </w:r>
      <w:r>
        <w:rPr>
          <w:rStyle w:val="CharDefText"/>
        </w:rPr>
        <w:t>ordinary pay</w:t>
      </w:r>
      <w:r>
        <w:rPr>
          <w:b/>
        </w:rPr>
        <w:t>”</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33" w:name="_Toc411314615"/>
      <w:bookmarkStart w:id="34" w:name="_Toc38865847"/>
      <w:bookmarkStart w:id="35" w:name="_Toc102384932"/>
      <w:bookmarkStart w:id="36" w:name="_Toc145990796"/>
      <w:r>
        <w:rPr>
          <w:rStyle w:val="CharSectno"/>
        </w:rPr>
        <w:t>5</w:t>
      </w:r>
      <w:r>
        <w:rPr>
          <w:snapToGrid w:val="0"/>
        </w:rPr>
        <w:t>.</w:t>
      </w:r>
      <w:r>
        <w:rPr>
          <w:snapToGrid w:val="0"/>
        </w:rPr>
        <w:tab/>
        <w:t>Limited contracting</w:t>
      </w:r>
      <w:r>
        <w:rPr>
          <w:snapToGrid w:val="0"/>
        </w:rPr>
        <w:noBreakHyphen/>
        <w:t>out of long service leave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37" w:name="_Toc411314616"/>
      <w:bookmarkStart w:id="38" w:name="_Toc38865848"/>
      <w:bookmarkStart w:id="39" w:name="_Toc102384933"/>
      <w:bookmarkStart w:id="40" w:name="_Toc145990797"/>
      <w:r>
        <w:rPr>
          <w:rStyle w:val="CharSectno"/>
        </w:rPr>
        <w:t>6</w:t>
      </w:r>
      <w:r>
        <w:rPr>
          <w:snapToGrid w:val="0"/>
        </w:rPr>
        <w:t>.</w:t>
      </w:r>
      <w:r>
        <w:rPr>
          <w:snapToGrid w:val="0"/>
        </w:rPr>
        <w:tab/>
        <w:t>What constitutes continuous employment</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b/>
          <w:snapToGrid w:val="0"/>
        </w:rPr>
        <w:t>“</w:t>
      </w:r>
      <w:r>
        <w:rPr>
          <w:rStyle w:val="CharDefText"/>
        </w:rPr>
        <w:t>the transmittor</w:t>
      </w:r>
      <w:r>
        <w:rPr>
          <w:b/>
          <w:snapToGrid w:val="0"/>
        </w:rPr>
        <w:t>”</w:t>
      </w:r>
      <w:r>
        <w:rPr>
          <w:snapToGrid w:val="0"/>
        </w:rPr>
        <w:t xml:space="preserve">) to another employer (herein called </w:t>
      </w:r>
      <w:r>
        <w:rPr>
          <w:b/>
          <w:snapToGrid w:val="0"/>
        </w:rPr>
        <w:t>“</w:t>
      </w:r>
      <w:r>
        <w:rPr>
          <w:rStyle w:val="CharDefText"/>
        </w:rPr>
        <w:t>the transmittee</w:t>
      </w:r>
      <w:r>
        <w:rPr>
          <w:b/>
          <w:snapToGrid w:val="0"/>
        </w:rPr>
        <w:t>”</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b/>
          <w:snapToGrid w:val="0"/>
        </w:rPr>
        <w:t>“</w:t>
      </w:r>
      <w:r>
        <w:rPr>
          <w:rStyle w:val="CharDefText"/>
        </w:rPr>
        <w:t>transmission</w:t>
      </w:r>
      <w:r>
        <w:rPr>
          <w:b/>
          <w:snapToGrid w:val="0"/>
        </w:rPr>
        <w:t>”</w:t>
      </w:r>
      <w:r>
        <w:rPr>
          <w:snapToGrid w:val="0"/>
        </w:rPr>
        <w:t xml:space="preserve"> includes transfer, conveyance, assignment or succession, whether voluntary or by agreement or by operation of law, and </w:t>
      </w:r>
      <w:r>
        <w:rPr>
          <w:b/>
          <w:snapToGrid w:val="0"/>
        </w:rPr>
        <w:t>“</w:t>
      </w:r>
      <w:r>
        <w:rPr>
          <w:rStyle w:val="CharDefText"/>
        </w:rPr>
        <w:t>transmitted</w:t>
      </w:r>
      <w:r>
        <w:rPr>
          <w:b/>
          <w:snapToGrid w:val="0"/>
        </w:rPr>
        <w:t>”</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41" w:name="_Toc411314617"/>
      <w:bookmarkStart w:id="42" w:name="_Toc38865849"/>
      <w:bookmarkStart w:id="43" w:name="_Toc102384934"/>
      <w:bookmarkStart w:id="44" w:name="_Toc145990798"/>
      <w:r>
        <w:rPr>
          <w:rStyle w:val="CharSectno"/>
        </w:rPr>
        <w:t>7</w:t>
      </w:r>
      <w:r>
        <w:rPr>
          <w:snapToGrid w:val="0"/>
        </w:rPr>
        <w:t>.</w:t>
      </w:r>
      <w:r>
        <w:rPr>
          <w:snapToGrid w:val="0"/>
        </w:rPr>
        <w:tab/>
        <w:t>Employment before commencement of this Act</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45" w:name="_Toc89155444"/>
      <w:bookmarkStart w:id="46" w:name="_Toc89155481"/>
      <w:bookmarkStart w:id="47" w:name="_Toc89508258"/>
      <w:bookmarkStart w:id="48" w:name="_Toc102384935"/>
      <w:bookmarkStart w:id="49" w:name="_Toc139862962"/>
      <w:bookmarkStart w:id="50" w:name="_Toc140027984"/>
      <w:bookmarkStart w:id="51" w:name="_Toc142711165"/>
      <w:bookmarkStart w:id="52" w:name="_Toc142715187"/>
      <w:bookmarkStart w:id="53" w:name="_Toc144096979"/>
      <w:bookmarkStart w:id="54" w:name="_Toc145990799"/>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1314618"/>
      <w:bookmarkStart w:id="56" w:name="_Toc38865850"/>
      <w:bookmarkStart w:id="57" w:name="_Toc102384936"/>
      <w:bookmarkStart w:id="58" w:name="_Toc145990800"/>
      <w:r>
        <w:rPr>
          <w:rStyle w:val="CharSectno"/>
        </w:rPr>
        <w:t>8</w:t>
      </w:r>
      <w:r>
        <w:rPr>
          <w:snapToGrid w:val="0"/>
        </w:rPr>
        <w:t>.</w:t>
      </w:r>
      <w:r>
        <w:rPr>
          <w:snapToGrid w:val="0"/>
        </w:rPr>
        <w:tab/>
        <w:t>Long service leave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t>“</w:t>
      </w:r>
      <w:r>
        <w:rPr>
          <w:rStyle w:val="CharDefText"/>
        </w:rPr>
        <w:t>commencement day</w:t>
      </w:r>
      <w:r>
        <w:rPr>
          <w:b/>
        </w:rPr>
        <w:t>”</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59" w:name="_Toc411314620"/>
      <w:bookmarkStart w:id="60" w:name="_Toc38865852"/>
      <w:bookmarkStart w:id="61" w:name="_Toc102384938"/>
      <w:bookmarkStart w:id="62" w:name="_Toc145990801"/>
      <w:r>
        <w:rPr>
          <w:rStyle w:val="CharSectno"/>
        </w:rPr>
        <w:t>9</w:t>
      </w:r>
      <w:r>
        <w:rPr>
          <w:snapToGrid w:val="0"/>
        </w:rPr>
        <w:t>.</w:t>
      </w:r>
      <w:r>
        <w:rPr>
          <w:snapToGrid w:val="0"/>
        </w:rPr>
        <w:tab/>
        <w:t>Commencement of long service leave</w:t>
      </w:r>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63" w:name="_Toc411314621"/>
      <w:bookmarkStart w:id="64" w:name="_Toc38865853"/>
      <w:bookmarkStart w:id="65" w:name="_Toc102384939"/>
      <w:bookmarkStart w:id="66" w:name="_Toc145990802"/>
      <w:r>
        <w:rPr>
          <w:rStyle w:val="CharSectno"/>
        </w:rPr>
        <w:t>10</w:t>
      </w:r>
      <w:r>
        <w:rPr>
          <w:snapToGrid w:val="0"/>
        </w:rPr>
        <w:t>.</w:t>
      </w:r>
      <w:r>
        <w:rPr>
          <w:snapToGrid w:val="0"/>
        </w:rPr>
        <w:tab/>
        <w:t>Taking leave in advance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67" w:name="_Toc89155449"/>
      <w:bookmarkStart w:id="68" w:name="_Toc89155486"/>
      <w:bookmarkStart w:id="69" w:name="_Toc89508263"/>
      <w:bookmarkStart w:id="70" w:name="_Toc102384940"/>
      <w:bookmarkStart w:id="71" w:name="_Toc139862967"/>
      <w:bookmarkStart w:id="72" w:name="_Toc140027988"/>
      <w:bookmarkStart w:id="73" w:name="_Toc142711169"/>
      <w:bookmarkStart w:id="74" w:name="_Toc142715191"/>
      <w:bookmarkStart w:id="75" w:name="_Toc144096983"/>
      <w:bookmarkStart w:id="76" w:name="_Toc145990803"/>
      <w:r>
        <w:rPr>
          <w:rStyle w:val="CharPartNo"/>
        </w:rPr>
        <w:t>Part IV</w:t>
      </w:r>
      <w:r>
        <w:rPr>
          <w:rStyle w:val="CharDivNo"/>
        </w:rPr>
        <w:t> </w:t>
      </w:r>
      <w:r>
        <w:t>—</w:t>
      </w:r>
      <w:r>
        <w:rPr>
          <w:rStyle w:val="CharDivText"/>
        </w:rPr>
        <w:t> </w:t>
      </w:r>
      <w:r>
        <w:rPr>
          <w:rStyle w:val="CharPartText"/>
        </w:rPr>
        <w:t>Enforcement of the provisions of the Act</w:t>
      </w:r>
      <w:bookmarkEnd w:id="67"/>
      <w:bookmarkEnd w:id="68"/>
      <w:bookmarkEnd w:id="69"/>
      <w:bookmarkEnd w:id="70"/>
      <w:bookmarkEnd w:id="71"/>
      <w:bookmarkEnd w:id="72"/>
      <w:bookmarkEnd w:id="73"/>
      <w:bookmarkEnd w:id="74"/>
      <w:bookmarkEnd w:id="75"/>
      <w:bookmarkEnd w:id="76"/>
    </w:p>
    <w:p>
      <w:pPr>
        <w:pStyle w:val="Footnoteheading"/>
        <w:rPr>
          <w:snapToGrid w:val="0"/>
        </w:rPr>
      </w:pPr>
      <w:r>
        <w:rPr>
          <w:snapToGrid w:val="0"/>
        </w:rPr>
        <w:tab/>
        <w:t>[Heading inserted by No. 79 of 1995 s. 52.]</w:t>
      </w:r>
    </w:p>
    <w:p>
      <w:pPr>
        <w:pStyle w:val="Heading5"/>
        <w:rPr>
          <w:snapToGrid w:val="0"/>
        </w:rPr>
      </w:pPr>
      <w:bookmarkStart w:id="77" w:name="_Toc411314622"/>
      <w:bookmarkStart w:id="78" w:name="_Toc38865854"/>
      <w:bookmarkStart w:id="79" w:name="_Toc102384941"/>
      <w:bookmarkStart w:id="80" w:name="_Toc145990804"/>
      <w:r>
        <w:rPr>
          <w:rStyle w:val="CharSectno"/>
        </w:rPr>
        <w:t>11</w:t>
      </w:r>
      <w:r>
        <w:rPr>
          <w:snapToGrid w:val="0"/>
        </w:rPr>
        <w:t>.</w:t>
      </w:r>
      <w:r>
        <w:rPr>
          <w:snapToGrid w:val="0"/>
        </w:rPr>
        <w:tab/>
        <w:t>Industrial magistrate’s courts</w:t>
      </w:r>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81" w:name="_Toc129769400"/>
      <w:bookmarkStart w:id="82" w:name="_Toc129771230"/>
      <w:bookmarkStart w:id="83" w:name="_Toc139360824"/>
      <w:bookmarkStart w:id="84" w:name="_Toc139792911"/>
      <w:bookmarkStart w:id="85" w:name="_Toc139797375"/>
      <w:bookmarkStart w:id="86" w:name="_Toc145990805"/>
      <w:r>
        <w:rPr>
          <w:rStyle w:val="CharSectno"/>
        </w:rPr>
        <w:t>12</w:t>
      </w:r>
      <w:r>
        <w:t>.</w:t>
      </w:r>
      <w:r>
        <w:tab/>
        <w:t>Industrial inspectors may institute proceedings</w:t>
      </w:r>
      <w:bookmarkEnd w:id="81"/>
      <w:bookmarkEnd w:id="82"/>
      <w:bookmarkEnd w:id="83"/>
      <w:bookmarkEnd w:id="84"/>
      <w:bookmarkEnd w:id="85"/>
      <w:bookmarkEnd w:id="86"/>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Repealed by No. 79 of 1995 s. 52.]</w:t>
      </w:r>
    </w:p>
    <w:p>
      <w:pPr>
        <w:pStyle w:val="Ednotepart"/>
        <w:spacing w:before="180"/>
      </w:pPr>
      <w:r>
        <w:t>[Part V (s. 18-19) repealed by No. 79 of 1995 s. 52.]</w:t>
      </w:r>
    </w:p>
    <w:p>
      <w:pPr>
        <w:pStyle w:val="Ednotepart"/>
        <w:spacing w:before="180"/>
        <w:ind w:left="1202" w:hanging="1202"/>
      </w:pPr>
      <w:r>
        <w:t>[Part VI:</w:t>
      </w:r>
      <w:r>
        <w:tab/>
        <w:t>s. 23 repealed by No. 37 of 1964 s. 14;</w:t>
      </w:r>
      <w:r>
        <w:br/>
        <w:t>s. 20-22, 24 repealed by No. 79 of 1995 s. 52.]</w:t>
      </w:r>
    </w:p>
    <w:p>
      <w:pPr>
        <w:pStyle w:val="Heading2"/>
      </w:pPr>
      <w:bookmarkStart w:id="87" w:name="_Toc89155451"/>
      <w:bookmarkStart w:id="88" w:name="_Toc89155488"/>
      <w:bookmarkStart w:id="89" w:name="_Toc89508265"/>
      <w:bookmarkStart w:id="90" w:name="_Toc102384942"/>
      <w:bookmarkStart w:id="91" w:name="_Toc139862970"/>
      <w:bookmarkStart w:id="92" w:name="_Toc140027991"/>
      <w:bookmarkStart w:id="93" w:name="_Toc142711172"/>
      <w:bookmarkStart w:id="94" w:name="_Toc142715194"/>
      <w:bookmarkStart w:id="95" w:name="_Toc144096986"/>
      <w:bookmarkStart w:id="96" w:name="_Toc145990806"/>
      <w:r>
        <w:rPr>
          <w:rStyle w:val="CharPartNo"/>
        </w:rPr>
        <w:t>Part VII</w:t>
      </w:r>
      <w:r>
        <w:t> — </w:t>
      </w:r>
      <w:r>
        <w:rPr>
          <w:rStyle w:val="CharPartText"/>
        </w:rPr>
        <w:t>Miscellaneous provisions</w:t>
      </w:r>
      <w:bookmarkEnd w:id="87"/>
      <w:bookmarkEnd w:id="88"/>
      <w:bookmarkEnd w:id="89"/>
      <w:bookmarkEnd w:id="90"/>
      <w:bookmarkEnd w:id="91"/>
      <w:bookmarkEnd w:id="92"/>
      <w:bookmarkEnd w:id="93"/>
      <w:bookmarkEnd w:id="94"/>
      <w:bookmarkEnd w:id="95"/>
      <w:bookmarkEnd w:id="96"/>
      <w:r>
        <w:rPr>
          <w:rStyle w:val="CharPartText"/>
        </w:rPr>
        <w:t xml:space="preserve"> </w:t>
      </w:r>
    </w:p>
    <w:p>
      <w:pPr>
        <w:pStyle w:val="Ednotedivision"/>
      </w:pPr>
      <w:r>
        <w:t>[Division 1 (s. 25) repealed by No. 79 of 1995 s. 53.]</w:t>
      </w:r>
    </w:p>
    <w:p>
      <w:pPr>
        <w:pStyle w:val="Heading3"/>
        <w:rPr>
          <w:snapToGrid w:val="0"/>
        </w:rPr>
      </w:pPr>
      <w:bookmarkStart w:id="97" w:name="_Toc89155452"/>
      <w:bookmarkStart w:id="98" w:name="_Toc89155489"/>
      <w:bookmarkStart w:id="99" w:name="_Toc89508266"/>
      <w:bookmarkStart w:id="100" w:name="_Toc102384943"/>
      <w:bookmarkStart w:id="101" w:name="_Toc139862971"/>
      <w:bookmarkStart w:id="102" w:name="_Toc140027992"/>
      <w:bookmarkStart w:id="103" w:name="_Toc142711173"/>
      <w:bookmarkStart w:id="104" w:name="_Toc142715195"/>
      <w:bookmarkStart w:id="105" w:name="_Toc144096987"/>
      <w:bookmarkStart w:id="106" w:name="_Toc145990807"/>
      <w:r>
        <w:rPr>
          <w:rStyle w:val="CharDivNo"/>
        </w:rPr>
        <w:t>Division 2</w:t>
      </w:r>
      <w:r>
        <w:rPr>
          <w:snapToGrid w:val="0"/>
        </w:rPr>
        <w:t> — </w:t>
      </w:r>
      <w:r>
        <w:rPr>
          <w:rStyle w:val="CharDivText"/>
        </w:rPr>
        <w:t>Records of employment</w:t>
      </w:r>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11314623"/>
      <w:bookmarkStart w:id="108" w:name="_Toc38865855"/>
      <w:bookmarkStart w:id="109" w:name="_Toc102384944"/>
      <w:bookmarkStart w:id="110" w:name="_Toc145990808"/>
      <w:r>
        <w:rPr>
          <w:rStyle w:val="CharSectno"/>
        </w:rPr>
        <w:t>26</w:t>
      </w:r>
      <w:r>
        <w:rPr>
          <w:snapToGrid w:val="0"/>
        </w:rPr>
        <w:t>.</w:t>
      </w:r>
      <w:r>
        <w:rPr>
          <w:snapToGrid w:val="0"/>
        </w:rPr>
        <w:tab/>
        <w:t>Keeping of employment records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11" w:name="_Toc411314624"/>
      <w:bookmarkStart w:id="112" w:name="_Toc38865856"/>
      <w:bookmarkStart w:id="113" w:name="_Toc102384945"/>
      <w:bookmarkStart w:id="114" w:name="_Toc145990809"/>
      <w:r>
        <w:rPr>
          <w:rStyle w:val="CharSectno"/>
        </w:rPr>
        <w:t>26A</w:t>
      </w:r>
      <w:r>
        <w:rPr>
          <w:snapToGrid w:val="0"/>
        </w:rPr>
        <w:t>.</w:t>
      </w:r>
      <w:r>
        <w:rPr>
          <w:snapToGrid w:val="0"/>
        </w:rPr>
        <w:tab/>
        <w:t>Access to records kept by employer</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15" w:name="_Toc89155455"/>
      <w:bookmarkStart w:id="116" w:name="_Toc89155492"/>
      <w:bookmarkStart w:id="117" w:name="_Toc89508269"/>
      <w:bookmarkStart w:id="118" w:name="_Toc102384946"/>
      <w:bookmarkStart w:id="119" w:name="_Toc139862974"/>
      <w:bookmarkStart w:id="120" w:name="_Toc140027995"/>
      <w:bookmarkStart w:id="121" w:name="_Toc142711176"/>
      <w:bookmarkStart w:id="122" w:name="_Toc142715198"/>
      <w:bookmarkStart w:id="123" w:name="_Toc144096990"/>
      <w:bookmarkStart w:id="124" w:name="_Toc145990810"/>
      <w:r>
        <w:rPr>
          <w:rStyle w:val="CharDivNo"/>
        </w:rPr>
        <w:t>Division 3</w:t>
      </w:r>
      <w:r>
        <w:t> — </w:t>
      </w:r>
      <w:r>
        <w:rPr>
          <w:rStyle w:val="CharDivText"/>
        </w:rPr>
        <w:t>Prohibition of employment during long service leave</w:t>
      </w:r>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11314625"/>
      <w:bookmarkStart w:id="126" w:name="_Toc38865857"/>
      <w:bookmarkStart w:id="127" w:name="_Toc102384947"/>
      <w:bookmarkStart w:id="128" w:name="_Toc145990811"/>
      <w:r>
        <w:rPr>
          <w:rStyle w:val="CharSectno"/>
        </w:rPr>
        <w:t>27</w:t>
      </w:r>
      <w:r>
        <w:rPr>
          <w:snapToGrid w:val="0"/>
        </w:rPr>
        <w:t>.</w:t>
      </w:r>
      <w:r>
        <w:rPr>
          <w:snapToGrid w:val="0"/>
        </w:rPr>
        <w:tab/>
        <w:t>Prohibition of employment during long service leave</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29" w:name="_Toc89155460"/>
      <w:bookmarkStart w:id="130" w:name="_Toc89155497"/>
      <w:bookmarkStart w:id="131" w:name="_Toc89508274"/>
      <w:bookmarkStart w:id="132" w:name="_Toc102384952"/>
      <w:bookmarkStart w:id="133" w:name="_Toc139862979"/>
      <w:bookmarkStart w:id="134" w:name="_Toc140027997"/>
      <w:bookmarkStart w:id="135" w:name="_Toc142711178"/>
      <w:bookmarkStart w:id="136" w:name="_Toc142715200"/>
      <w:bookmarkStart w:id="137" w:name="_Toc144096992"/>
      <w:bookmarkStart w:id="138" w:name="_Toc145990812"/>
      <w:r>
        <w:rPr>
          <w:rStyle w:val="CharDivNo"/>
        </w:rPr>
        <w:t>Division 6</w:t>
      </w:r>
      <w:r>
        <w:t> — </w:t>
      </w:r>
      <w:r>
        <w:rPr>
          <w:rStyle w:val="CharDivText"/>
        </w:rPr>
        <w:t>Representation of parties in proceedings under this Act</w:t>
      </w:r>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11314628"/>
      <w:bookmarkStart w:id="140" w:name="_Toc38865860"/>
      <w:bookmarkStart w:id="141" w:name="_Toc102384953"/>
      <w:bookmarkStart w:id="142" w:name="_Toc145990813"/>
      <w:r>
        <w:rPr>
          <w:rStyle w:val="CharSectno"/>
        </w:rPr>
        <w:t>37</w:t>
      </w:r>
      <w:r>
        <w:rPr>
          <w:snapToGrid w:val="0"/>
        </w:rPr>
        <w:t>.</w:t>
      </w:r>
      <w:r>
        <w:rPr>
          <w:snapToGrid w:val="0"/>
        </w:rPr>
        <w:tab/>
        <w:t>Representation of parties in proceedings under this Act</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143" w:name="_Toc89155462"/>
      <w:bookmarkStart w:id="144" w:name="_Toc89155499"/>
      <w:bookmarkStart w:id="145" w:name="_Toc89508276"/>
      <w:bookmarkStart w:id="146" w:name="_Toc102384954"/>
      <w:bookmarkStart w:id="147" w:name="_Toc139862981"/>
      <w:bookmarkStart w:id="148" w:name="_Toc140027999"/>
      <w:bookmarkStart w:id="149" w:name="_Toc142711180"/>
      <w:bookmarkStart w:id="150" w:name="_Toc142715202"/>
      <w:bookmarkStart w:id="151" w:name="_Toc144096994"/>
      <w:bookmarkStart w:id="152" w:name="_Toc145990814"/>
      <w:r>
        <w:rPr>
          <w:rStyle w:val="CharDivNo"/>
        </w:rPr>
        <w:t>Division 7</w:t>
      </w:r>
      <w:r>
        <w:rPr>
          <w:snapToGrid w:val="0"/>
        </w:rPr>
        <w:t> — </w:t>
      </w:r>
      <w:r>
        <w:rPr>
          <w:rStyle w:val="CharDivText"/>
        </w:rPr>
        <w:t>Regulations</w:t>
      </w:r>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11314629"/>
      <w:bookmarkStart w:id="154" w:name="_Toc38865861"/>
      <w:bookmarkStart w:id="155" w:name="_Toc102384955"/>
      <w:bookmarkStart w:id="156" w:name="_Toc145990815"/>
      <w:r>
        <w:rPr>
          <w:rStyle w:val="CharSectno"/>
        </w:rPr>
        <w:t>38</w:t>
      </w:r>
      <w:r>
        <w:rPr>
          <w:snapToGrid w:val="0"/>
        </w:rPr>
        <w:t>.</w:t>
      </w:r>
      <w:r>
        <w:rPr>
          <w:snapToGrid w:val="0"/>
        </w:rPr>
        <w:tab/>
        <w:t>Regulation making power</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57" w:name="_Toc411314630"/>
      <w:bookmarkStart w:id="158" w:name="_Toc38865862"/>
      <w:bookmarkStart w:id="159" w:name="_Toc102384956"/>
      <w:bookmarkStart w:id="160" w:name="_Toc145990816"/>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61" w:name="_Toc89155465"/>
      <w:bookmarkStart w:id="162" w:name="_Toc89155502"/>
      <w:bookmarkStart w:id="163" w:name="_Toc89508279"/>
      <w:bookmarkStart w:id="164" w:name="_Toc102384957"/>
      <w:bookmarkStart w:id="165" w:name="_Toc139862984"/>
      <w:bookmarkStart w:id="166" w:name="_Toc140028002"/>
      <w:bookmarkStart w:id="167" w:name="_Toc142711183"/>
      <w:bookmarkStart w:id="168" w:name="_Toc142715205"/>
      <w:bookmarkStart w:id="169" w:name="_Toc144096997"/>
      <w:bookmarkStart w:id="170" w:name="_Toc145990817"/>
      <w:r>
        <w:t>Notes</w:t>
      </w:r>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September 2006</w:t>
      </w:r>
      <w:r>
        <w:rPr>
          <w:snapToGrid w:val="0"/>
        </w:rPr>
        <w:fldChar w:fldCharType="end"/>
      </w:r>
      <w:r>
        <w:rPr>
          <w:snapToGrid w:val="0"/>
        </w:rPr>
        <w:t xml:space="preserve"> of the </w:t>
      </w:r>
      <w:r>
        <w:rPr>
          <w:i/>
          <w:noProof/>
          <w:snapToGrid w:val="0"/>
        </w:rPr>
        <w:t>Long Service Leave Act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145990818"/>
      <w:r>
        <w:rPr>
          <w:snapToGrid w:val="0"/>
        </w:rPr>
        <w:t>Compilation table</w:t>
      </w:r>
      <w:bookmarkEnd w:id="1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r>
              <w:rPr>
                <w:sz w:val="19"/>
              </w:rPr>
              <w:br/>
              <w:t>(7 Eliz. II No. 44)</w:t>
            </w:r>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r>
              <w:rPr>
                <w:sz w:val="19"/>
              </w:rPr>
              <w:br/>
              <w:t>(13 Eliz. II No. 37)</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Acts Amendment and Repeal (Courts and Legal Practice) Act 2003</w:t>
            </w:r>
            <w:r>
              <w:rPr>
                <w:sz w:val="19"/>
              </w:rPr>
              <w:t xml:space="preserve"> s. 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172" w:name="_Toc125348944"/>
      <w:bookmarkStart w:id="173" w:name="_Toc125349964"/>
      <w:bookmarkStart w:id="174" w:name="_Toc125360873"/>
      <w:bookmarkStart w:id="175" w:name="_Toc125361022"/>
      <w:bookmarkStart w:id="176" w:name="_Toc125367414"/>
      <w:bookmarkStart w:id="177" w:name="_Toc125431363"/>
      <w:bookmarkStart w:id="178" w:name="_Toc125438932"/>
      <w:bookmarkStart w:id="179" w:name="_Toc125439046"/>
      <w:bookmarkStart w:id="180" w:name="_Toc125443223"/>
      <w:bookmarkStart w:id="181" w:name="_Toc125443251"/>
      <w:bookmarkStart w:id="182" w:name="_Toc125443589"/>
      <w:bookmarkStart w:id="183" w:name="_Toc125536619"/>
      <w:bookmarkStart w:id="184" w:name="_Toc125800656"/>
      <w:bookmarkStart w:id="185" w:name="_Toc125878573"/>
      <w:bookmarkStart w:id="186" w:name="_Toc125878718"/>
      <w:bookmarkStart w:id="187" w:name="_Toc125961339"/>
      <w:bookmarkStart w:id="188" w:name="_Toc126398800"/>
      <w:bookmarkStart w:id="189" w:name="_Toc126404207"/>
      <w:bookmarkStart w:id="190" w:name="_Toc126480414"/>
      <w:bookmarkStart w:id="191" w:name="_Toc126480891"/>
      <w:bookmarkStart w:id="192" w:name="_Toc126481022"/>
      <w:bookmarkStart w:id="193" w:name="_Toc126481375"/>
      <w:bookmarkStart w:id="194" w:name="_Toc126489902"/>
      <w:bookmarkStart w:id="195" w:name="_Toc126577407"/>
      <w:bookmarkStart w:id="196" w:name="_Toc126993820"/>
      <w:bookmarkStart w:id="197" w:name="_Toc127077632"/>
      <w:bookmarkStart w:id="198" w:name="_Toc127156372"/>
      <w:bookmarkStart w:id="199" w:name="_Toc127157450"/>
      <w:bookmarkStart w:id="200" w:name="_Toc127166065"/>
      <w:bookmarkStart w:id="201" w:name="_Toc127166308"/>
      <w:bookmarkStart w:id="202" w:name="_Toc127172414"/>
      <w:bookmarkStart w:id="203" w:name="_Toc127173965"/>
      <w:bookmarkStart w:id="204" w:name="_Toc127173997"/>
      <w:bookmarkStart w:id="205" w:name="_Toc127179823"/>
      <w:bookmarkStart w:id="206" w:name="_Toc127182319"/>
      <w:bookmarkStart w:id="207" w:name="_Toc127262156"/>
      <w:bookmarkStart w:id="208" w:name="_Toc127266400"/>
      <w:bookmarkStart w:id="209" w:name="_Toc127266445"/>
      <w:bookmarkStart w:id="210" w:name="_Toc127268507"/>
      <w:bookmarkStart w:id="211" w:name="_Toc127770944"/>
      <w:bookmarkStart w:id="212" w:name="_Toc127787452"/>
      <w:bookmarkStart w:id="213" w:name="_Toc127864036"/>
      <w:bookmarkStart w:id="214" w:name="_Toc127869928"/>
      <w:bookmarkStart w:id="215" w:name="_Toc127873875"/>
      <w:bookmarkStart w:id="216" w:name="_Toc127934569"/>
      <w:bookmarkStart w:id="217" w:name="_Toc127934603"/>
      <w:bookmarkStart w:id="218" w:name="_Toc127936633"/>
      <w:bookmarkStart w:id="219" w:name="_Toc128361814"/>
      <w:bookmarkStart w:id="220" w:name="_Toc128385177"/>
      <w:bookmarkStart w:id="221" w:name="_Toc128388941"/>
      <w:bookmarkStart w:id="222" w:name="_Toc128389505"/>
      <w:bookmarkStart w:id="223" w:name="_Toc128392544"/>
      <w:bookmarkStart w:id="224" w:name="_Toc128475240"/>
      <w:bookmarkStart w:id="225" w:name="_Toc128475512"/>
      <w:bookmarkStart w:id="226" w:name="_Toc128475547"/>
      <w:bookmarkStart w:id="227" w:name="_Toc128480879"/>
      <w:bookmarkStart w:id="228" w:name="_Toc129602793"/>
      <w:bookmarkStart w:id="229" w:name="_Toc129668327"/>
      <w:bookmarkStart w:id="230" w:name="_Toc129669082"/>
      <w:bookmarkStart w:id="231" w:name="_Toc129669124"/>
      <w:bookmarkStart w:id="232" w:name="_Toc129677900"/>
      <w:bookmarkStart w:id="233" w:name="_Toc129681354"/>
      <w:bookmarkStart w:id="234" w:name="_Toc129681521"/>
      <w:bookmarkStart w:id="235" w:name="_Toc129687327"/>
      <w:bookmarkStart w:id="236" w:name="_Toc129688349"/>
      <w:bookmarkStart w:id="237" w:name="_Toc129748639"/>
      <w:bookmarkStart w:id="238" w:name="_Toc129748707"/>
      <w:bookmarkStart w:id="239" w:name="_Toc129755121"/>
      <w:bookmarkStart w:id="240" w:name="_Toc129766995"/>
      <w:bookmarkStart w:id="241" w:name="_Toc129768971"/>
      <w:bookmarkStart w:id="242" w:name="_Toc129769404"/>
      <w:bookmarkStart w:id="243" w:name="_Toc129769800"/>
      <w:bookmarkStart w:id="244" w:name="_Toc129770432"/>
      <w:bookmarkStart w:id="245" w:name="_Toc129770805"/>
      <w:bookmarkStart w:id="246" w:name="_Toc129771031"/>
      <w:bookmarkStart w:id="247" w:name="_Toc129771234"/>
      <w:bookmarkStart w:id="248" w:name="_Toc129772707"/>
      <w:bookmarkStart w:id="249" w:name="_Toc129773082"/>
      <w:bookmarkStart w:id="250" w:name="_Toc129773188"/>
      <w:bookmarkStart w:id="251" w:name="_Toc129773349"/>
      <w:bookmarkStart w:id="252" w:name="_Toc129773502"/>
      <w:bookmarkStart w:id="253" w:name="_Toc130370011"/>
      <w:bookmarkStart w:id="254" w:name="_Toc130372095"/>
      <w:bookmarkStart w:id="255" w:name="_Toc130372653"/>
      <w:bookmarkStart w:id="256" w:name="_Toc130373001"/>
      <w:bookmarkStart w:id="257" w:name="_Toc130375622"/>
      <w:bookmarkStart w:id="258" w:name="_Toc131244467"/>
      <w:bookmarkStart w:id="259" w:name="_Toc131301963"/>
      <w:bookmarkStart w:id="260" w:name="_Toc131302073"/>
      <w:bookmarkStart w:id="261" w:name="_Toc131304328"/>
      <w:bookmarkStart w:id="262" w:name="_Toc131306339"/>
      <w:bookmarkStart w:id="263" w:name="_Toc131306449"/>
      <w:bookmarkStart w:id="264" w:name="_Toc131312789"/>
      <w:bookmarkStart w:id="265" w:name="_Toc131312921"/>
      <w:bookmarkStart w:id="266" w:name="_Toc131317209"/>
      <w:bookmarkStart w:id="267" w:name="_Toc131389267"/>
      <w:bookmarkStart w:id="268" w:name="_Toc139342461"/>
      <w:bookmarkStart w:id="269" w:name="_Toc139360828"/>
      <w:bookmarkStart w:id="270" w:name="_Toc139792915"/>
      <w:bookmarkStart w:id="271" w:name="_Toc139797379"/>
      <w:r>
        <w:rPr>
          <w:rStyle w:val="CharDivNo"/>
        </w:rPr>
        <w:t>Division 3</w:t>
      </w:r>
      <w:r>
        <w:t> — </w:t>
      </w:r>
      <w:r>
        <w:rPr>
          <w:rStyle w:val="CharDivText"/>
        </w:rPr>
        <w:t>Repeal of the LSL General Order</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zHeading5"/>
      </w:pPr>
      <w:bookmarkStart w:id="272" w:name="_Toc129769405"/>
      <w:bookmarkStart w:id="273" w:name="_Toc129771235"/>
      <w:bookmarkStart w:id="274" w:name="_Toc139360829"/>
      <w:bookmarkStart w:id="275" w:name="_Toc139792916"/>
      <w:bookmarkStart w:id="276" w:name="_Toc139797380"/>
      <w:r>
        <w:rPr>
          <w:rStyle w:val="CharSectno"/>
        </w:rPr>
        <w:t>63</w:t>
      </w:r>
      <w:r>
        <w:t>.</w:t>
      </w:r>
      <w:r>
        <w:tab/>
        <w:t>Meaning of terms used in this Division</w:t>
      </w:r>
      <w:bookmarkEnd w:id="272"/>
      <w:bookmarkEnd w:id="273"/>
      <w:bookmarkEnd w:id="274"/>
      <w:bookmarkEnd w:id="275"/>
      <w:bookmarkEnd w:id="276"/>
    </w:p>
    <w:p>
      <w:pPr>
        <w:pStyle w:val="nzSubsection"/>
      </w:pPr>
      <w:r>
        <w:tab/>
      </w:r>
      <w:r>
        <w:tab/>
        <w:t xml:space="preserve">In this Division — </w:t>
      </w:r>
    </w:p>
    <w:p>
      <w:pPr>
        <w:pStyle w:val="nzDefstart"/>
      </w:pPr>
      <w:r>
        <w:rPr>
          <w:b/>
        </w:rPr>
        <w:tab/>
        <w:t>“</w:t>
      </w:r>
      <w:r>
        <w:rPr>
          <w:b/>
          <w:bCs/>
        </w:rPr>
        <w:t>Commission</w:t>
      </w:r>
      <w:r>
        <w:rPr>
          <w:b/>
        </w:rPr>
        <w:t>”</w:t>
      </w:r>
      <w:r>
        <w:t xml:space="preserve"> means The Western Australian Industrial Relations Commission;</w:t>
      </w:r>
    </w:p>
    <w:p>
      <w:pPr>
        <w:pStyle w:val="nzDefstart"/>
      </w:pPr>
      <w:r>
        <w:rPr>
          <w:b/>
        </w:rPr>
        <w:tab/>
        <w:t>“</w:t>
      </w:r>
      <w:r>
        <w:rPr>
          <w:b/>
          <w:bCs/>
        </w:rPr>
        <w:t>employer</w:t>
      </w:r>
      <w:r>
        <w:rPr>
          <w:b/>
        </w:rPr>
        <w:t>”</w:t>
      </w:r>
      <w:r>
        <w:t xml:space="preserve"> has the meaning given to that term in the </w:t>
      </w:r>
      <w:r>
        <w:rPr>
          <w:i/>
        </w:rPr>
        <w:t>Long Service Leave Act 1958</w:t>
      </w:r>
      <w:r>
        <w:t xml:space="preserve"> section 4;</w:t>
      </w:r>
    </w:p>
    <w:p>
      <w:pPr>
        <w:pStyle w:val="nzDefstart"/>
      </w:pPr>
      <w:r>
        <w:rPr>
          <w:b/>
        </w:rPr>
        <w:tab/>
        <w:t>“</w:t>
      </w:r>
      <w:r>
        <w:rPr>
          <w:b/>
          <w:bCs/>
        </w:rPr>
        <w:t>industrial instrument</w:t>
      </w:r>
      <w:r>
        <w:rPr>
          <w:b/>
        </w:rPr>
        <w: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b/>
        </w:rPr>
        <w:t>“</w:t>
      </w:r>
      <w:r>
        <w:rPr>
          <w:b/>
          <w:bCs/>
        </w:rPr>
        <w:t>LSL General Order</w:t>
      </w:r>
      <w:r>
        <w:rPr>
          <w:b/>
        </w:rPr>
        <w:t>”</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277" w:name="_Toc129769406"/>
      <w:bookmarkStart w:id="278" w:name="_Toc129771236"/>
      <w:bookmarkStart w:id="279" w:name="_Toc139360830"/>
      <w:bookmarkStart w:id="280" w:name="_Toc139792917"/>
      <w:bookmarkStart w:id="281" w:name="_Toc139797381"/>
      <w:r>
        <w:rPr>
          <w:rStyle w:val="CharSectno"/>
        </w:rPr>
        <w:t>64</w:t>
      </w:r>
      <w:r>
        <w:t>.</w:t>
      </w:r>
      <w:r>
        <w:tab/>
        <w:t>LSL General Order repealed</w:t>
      </w:r>
      <w:bookmarkEnd w:id="277"/>
      <w:bookmarkEnd w:id="278"/>
      <w:bookmarkEnd w:id="279"/>
      <w:bookmarkEnd w:id="280"/>
      <w:bookmarkEnd w:id="281"/>
    </w:p>
    <w:p>
      <w:pPr>
        <w:pStyle w:val="nzSubsection"/>
      </w:pPr>
      <w:r>
        <w:tab/>
      </w:r>
      <w:r>
        <w:tab/>
        <w:t>The LSL General Order is repealed.</w:t>
      </w:r>
    </w:p>
    <w:p>
      <w:pPr>
        <w:pStyle w:val="nzHeading5"/>
      </w:pPr>
      <w:bookmarkStart w:id="282" w:name="_Toc129769407"/>
      <w:bookmarkStart w:id="283" w:name="_Toc129771237"/>
      <w:bookmarkStart w:id="284" w:name="_Toc139360831"/>
      <w:bookmarkStart w:id="285" w:name="_Toc139792918"/>
      <w:bookmarkStart w:id="286" w:name="_Toc139797382"/>
      <w:r>
        <w:rPr>
          <w:rStyle w:val="CharSectno"/>
        </w:rPr>
        <w:t>65</w:t>
      </w:r>
      <w:r>
        <w:t>.</w:t>
      </w:r>
      <w:r>
        <w:tab/>
        <w:t>Transitional provision — references to the LSL General Order</w:t>
      </w:r>
      <w:bookmarkEnd w:id="282"/>
      <w:bookmarkEnd w:id="283"/>
      <w:bookmarkEnd w:id="284"/>
      <w:bookmarkEnd w:id="285"/>
      <w:bookmarkEnd w:id="286"/>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t>“</w:t>
      </w:r>
      <w:r>
        <w:rPr>
          <w:b/>
          <w:bCs/>
        </w:rPr>
        <w:t>commencement</w:t>
      </w:r>
      <w:r>
        <w:rPr>
          <w:b/>
        </w:rPr>
        <w: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5959</Words>
  <Characters>28251</Characters>
  <Application>Microsoft Office Word</Application>
  <DocSecurity>0</DocSecurity>
  <Lines>807</Lines>
  <Paragraphs>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33808</CharactersWithSpaces>
  <SharedDoc>false</SharedDoc>
  <HLinks>
    <vt:vector size="18" baseType="variant">
      <vt:variant>
        <vt:i4>3014716</vt:i4>
      </vt:variant>
      <vt:variant>
        <vt:i4>3313</vt:i4>
      </vt:variant>
      <vt:variant>
        <vt:i4>1025</vt:i4>
      </vt:variant>
      <vt:variant>
        <vt:i4>1</vt:i4>
      </vt:variant>
      <vt:variant>
        <vt:lpwstr>C:\Program Files\PCO DLL\Support\Crest.wpg</vt:lpwstr>
      </vt:variant>
      <vt:variant>
        <vt:lpwstr/>
      </vt:variant>
      <vt:variant>
        <vt:i4>5439608</vt:i4>
      </vt:variant>
      <vt:variant>
        <vt:i4>29990</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1958 - 04-a0-03</dc:title>
  <dc:subject/>
  <dc:creator/>
  <cp:keywords/>
  <dc:description/>
  <cp:lastModifiedBy>svcMRProcess</cp:lastModifiedBy>
  <cp:revision>4</cp:revision>
  <cp:lastPrinted>2006-08-23T05:21:00Z</cp:lastPrinted>
  <dcterms:created xsi:type="dcterms:W3CDTF">2018-09-04T06:42:00Z</dcterms:created>
  <dcterms:modified xsi:type="dcterms:W3CDTF">2018-09-04T06:42:00Z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20060901</vt:lpwstr>
  </property>
  <property fmtid="{D5CDD505-2E9C-101B-9397-08002B2CF9AE}" pid="4" name="DocumentType">
    <vt:lpwstr>Act</vt:lpwstr>
  </property>
  <property fmtid="{D5CDD505-2E9C-101B-9397-08002B2CF9AE}" pid="5" name="OwlsUID">
    <vt:i4>468</vt:i4>
  </property>
  <property fmtid="{D5CDD505-2E9C-101B-9397-08002B2CF9AE}" pid="6" name="ReprintedAsAt">
    <vt:filetime>2006-08-31T16:00:00Z</vt:filetime>
  </property>
  <property fmtid="{D5CDD505-2E9C-101B-9397-08002B2CF9AE}" pid="7" name="ReprintNo">
    <vt:lpwstr>4</vt:lpwstr>
  </property>
  <property fmtid="{D5CDD505-2E9C-101B-9397-08002B2CF9AE}" pid="8" name="AsAtDate">
    <vt:lpwstr>01 Sep 2006</vt:lpwstr>
  </property>
  <property fmtid="{D5CDD505-2E9C-101B-9397-08002B2CF9AE}" pid="9" name="Suffix">
    <vt:lpwstr>04-a0-03</vt:lpwstr>
  </property>
</Properties>
</file>