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_Toc217355379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Scales of fees — medical specialists and other medical practitioners</w:t>
      </w:r>
      <w:r>
        <w:tab/>
      </w:r>
      <w:r>
        <w:fldChar w:fldCharType="begin"/>
      </w:r>
      <w:r>
        <w:instrText xml:space="preserve"> PAGEREF _Toc217355380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Scale of fees — physiotherapists</w:t>
      </w:r>
      <w:r>
        <w:tab/>
      </w:r>
      <w:r>
        <w:fldChar w:fldCharType="begin"/>
      </w:r>
      <w:r>
        <w:instrText xml:space="preserve"> PAGEREF _Toc217355381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Scale of fees — chiropractors</w:t>
      </w:r>
      <w:r>
        <w:tab/>
      </w:r>
      <w:r>
        <w:fldChar w:fldCharType="begin"/>
      </w:r>
      <w:r>
        <w:instrText xml:space="preserve"> PAGEREF _Toc217355382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Scale of fees — occupational therapists</w:t>
      </w:r>
      <w:r>
        <w:tab/>
      </w:r>
      <w:r>
        <w:fldChar w:fldCharType="begin"/>
      </w:r>
      <w:r>
        <w:instrText xml:space="preserve"> PAGEREF _Toc217355383 \h </w:instrText>
      </w:r>
      <w:r>
        <w:fldChar w:fldCharType="separate"/>
      </w:r>
      <w:r>
        <w:t>2</w:t>
      </w:r>
      <w:r>
        <w:fldChar w:fldCharType="end"/>
      </w:r>
    </w:p>
    <w:p>
      <w:pPr>
        <w:pStyle w:val="TOC8"/>
        <w:rPr>
          <w:sz w:val="24"/>
          <w:szCs w:val="24"/>
        </w:rPr>
      </w:pPr>
      <w:r>
        <w:rPr>
          <w:szCs w:val="24"/>
        </w:rPr>
        <w:t>6.</w:t>
      </w:r>
      <w:r>
        <w:rPr>
          <w:szCs w:val="24"/>
        </w:rPr>
        <w:tab/>
        <w:t>Scale of fees — clinical psychologists</w:t>
      </w:r>
      <w:r>
        <w:tab/>
      </w:r>
      <w:r>
        <w:fldChar w:fldCharType="begin"/>
      </w:r>
      <w:r>
        <w:instrText xml:space="preserve"> PAGEREF _Toc217355384 \h </w:instrText>
      </w:r>
      <w:r>
        <w:fldChar w:fldCharType="separate"/>
      </w:r>
      <w:r>
        <w:t>2</w:t>
      </w:r>
      <w:r>
        <w:fldChar w:fldCharType="end"/>
      </w:r>
    </w:p>
    <w:p>
      <w:pPr>
        <w:pStyle w:val="TOC8"/>
        <w:rPr>
          <w:sz w:val="24"/>
          <w:szCs w:val="24"/>
        </w:rPr>
      </w:pPr>
      <w:r>
        <w:rPr>
          <w:szCs w:val="24"/>
        </w:rPr>
        <w:t>6A.</w:t>
      </w:r>
      <w:r>
        <w:rPr>
          <w:szCs w:val="24"/>
        </w:rPr>
        <w:tab/>
        <w:t>Scale of fees — counselling psychology</w:t>
      </w:r>
      <w:r>
        <w:tab/>
      </w:r>
      <w:r>
        <w:fldChar w:fldCharType="begin"/>
      </w:r>
      <w:r>
        <w:instrText xml:space="preserve"> PAGEREF _Toc217355385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Scale of fees — speech therapists</w:t>
      </w:r>
      <w:r>
        <w:tab/>
      </w:r>
      <w:r>
        <w:fldChar w:fldCharType="begin"/>
      </w:r>
      <w:r>
        <w:instrText xml:space="preserve"> PAGEREF _Toc217355386 \h </w:instrText>
      </w:r>
      <w:r>
        <w:fldChar w:fldCharType="separate"/>
      </w:r>
      <w:r>
        <w:t>3</w:t>
      </w:r>
      <w:r>
        <w:fldChar w:fldCharType="end"/>
      </w:r>
    </w:p>
    <w:p>
      <w:pPr>
        <w:pStyle w:val="TOC8"/>
        <w:rPr>
          <w:sz w:val="24"/>
          <w:szCs w:val="24"/>
        </w:rPr>
      </w:pPr>
      <w:r>
        <w:rPr>
          <w:szCs w:val="24"/>
        </w:rPr>
        <w:t>7A.</w:t>
      </w:r>
      <w:r>
        <w:rPr>
          <w:szCs w:val="24"/>
        </w:rPr>
        <w:tab/>
        <w:t>Scale of fees — osteopaths</w:t>
      </w:r>
      <w:r>
        <w:tab/>
      </w:r>
      <w:r>
        <w:fldChar w:fldCharType="begin"/>
      </w:r>
      <w:r>
        <w:instrText xml:space="preserve"> PAGEREF _Toc217355387 \h </w:instrText>
      </w:r>
      <w:r>
        <w:fldChar w:fldCharType="separate"/>
      </w:r>
      <w:r>
        <w:t>3</w:t>
      </w:r>
      <w:r>
        <w:fldChar w:fldCharType="end"/>
      </w:r>
    </w:p>
    <w:p>
      <w:pPr>
        <w:pStyle w:val="TOC8"/>
        <w:rPr>
          <w:sz w:val="24"/>
          <w:szCs w:val="24"/>
        </w:rPr>
      </w:pPr>
      <w:r>
        <w:rPr>
          <w:szCs w:val="24"/>
        </w:rPr>
        <w:t>7B.</w:t>
      </w:r>
      <w:r>
        <w:rPr>
          <w:szCs w:val="24"/>
        </w:rPr>
        <w:tab/>
        <w:t>Scale of fees — exercise physiologists</w:t>
      </w:r>
      <w:r>
        <w:tab/>
      </w:r>
      <w:r>
        <w:fldChar w:fldCharType="begin"/>
      </w:r>
      <w:r>
        <w:instrText xml:space="preserve"> PAGEREF _Toc217355388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Scale of fees — vocational rehabilitation providers</w:t>
      </w:r>
      <w:r>
        <w:tab/>
      </w:r>
      <w:r>
        <w:fldChar w:fldCharType="begin"/>
      </w:r>
      <w:r>
        <w:instrText xml:space="preserve"> PAGEREF _Toc217355389 \h </w:instrText>
      </w:r>
      <w:r>
        <w:fldChar w:fldCharType="separate"/>
      </w:r>
      <w:r>
        <w:t>4</w:t>
      </w:r>
      <w:r>
        <w:fldChar w:fldCharType="end"/>
      </w:r>
    </w:p>
    <w:p>
      <w:pPr>
        <w:pStyle w:val="TOC8"/>
        <w:rPr>
          <w:sz w:val="24"/>
          <w:szCs w:val="24"/>
        </w:rPr>
      </w:pPr>
      <w:r>
        <w:rPr>
          <w:szCs w:val="24"/>
        </w:rPr>
        <w:t>9.</w:t>
      </w:r>
      <w:r>
        <w:rPr>
          <w:szCs w:val="24"/>
        </w:rPr>
        <w:tab/>
        <w:t>Scale of maximum fees — approved medical specialists</w:t>
      </w:r>
      <w:r>
        <w:tab/>
      </w:r>
      <w:r>
        <w:fldChar w:fldCharType="begin"/>
      </w:r>
      <w:r>
        <w:instrText xml:space="preserve"> PAGEREF _Toc217355390 \h </w:instrText>
      </w:r>
      <w:r>
        <w:fldChar w:fldCharType="separate"/>
      </w:r>
      <w:r>
        <w:t>4</w:t>
      </w:r>
      <w:r>
        <w:fldChar w:fldCharType="end"/>
      </w:r>
    </w:p>
    <w:p>
      <w:pPr>
        <w:pStyle w:val="TOC8"/>
        <w:rPr>
          <w:sz w:val="24"/>
          <w:szCs w:val="24"/>
        </w:rPr>
      </w:pPr>
      <w:r>
        <w:rPr>
          <w:szCs w:val="24"/>
        </w:rPr>
        <w:t>10.</w:t>
      </w:r>
      <w:r>
        <w:rPr>
          <w:szCs w:val="24"/>
        </w:rPr>
        <w:tab/>
        <w:t>Effect of GST</w:t>
      </w:r>
      <w:r>
        <w:tab/>
      </w:r>
      <w:r>
        <w:fldChar w:fldCharType="begin"/>
      </w:r>
      <w:r>
        <w:instrText xml:space="preserve"> PAGEREF _Toc217355391 \h </w:instrText>
      </w:r>
      <w:r>
        <w:fldChar w:fldCharType="separate"/>
      </w:r>
      <w:r>
        <w:t>4</w:t>
      </w:r>
      <w:r>
        <w:fldChar w:fldCharType="end"/>
      </w:r>
    </w:p>
    <w:p>
      <w:pPr>
        <w:pStyle w:val="TOC2"/>
        <w:tabs>
          <w:tab w:val="right" w:leader="dot" w:pos="7078"/>
        </w:tabs>
        <w:rPr>
          <w:b w:val="0"/>
          <w:sz w:val="24"/>
          <w:szCs w:val="24"/>
        </w:rPr>
      </w:pPr>
      <w:r>
        <w:rPr>
          <w:szCs w:val="28"/>
        </w:rPr>
        <w:t>Schedule 1</w:t>
      </w:r>
    </w:p>
    <w:p>
      <w:pPr>
        <w:pStyle w:val="TOC2"/>
        <w:tabs>
          <w:tab w:val="right" w:leader="dot" w:pos="7078"/>
        </w:tabs>
        <w:rPr>
          <w:b w:val="0"/>
          <w:sz w:val="24"/>
          <w:szCs w:val="24"/>
        </w:rPr>
      </w:pPr>
      <w:r>
        <w:rPr>
          <w:szCs w:val="28"/>
        </w:rPr>
        <w:t>Scales of fees — medical specialists and other medical practitioners</w:t>
      </w:r>
    </w:p>
    <w:p>
      <w:pPr>
        <w:pStyle w:val="TOC4"/>
        <w:tabs>
          <w:tab w:val="right" w:leader="dot" w:pos="7078"/>
        </w:tabs>
        <w:rPr>
          <w:b w:val="0"/>
          <w:sz w:val="24"/>
          <w:szCs w:val="24"/>
        </w:rPr>
      </w:pPr>
      <w:r>
        <w:rPr>
          <w:szCs w:val="24"/>
        </w:rPr>
        <w:t>Part 1 — Medical specialists and other medical practitioners</w:t>
      </w:r>
    </w:p>
    <w:p>
      <w:pPr>
        <w:pStyle w:val="TOC4"/>
        <w:tabs>
          <w:tab w:val="right" w:leader="dot" w:pos="7078"/>
        </w:tabs>
        <w:rPr>
          <w:b w:val="0"/>
          <w:sz w:val="24"/>
          <w:szCs w:val="24"/>
        </w:rPr>
      </w:pPr>
      <w:r>
        <w:rPr>
          <w:szCs w:val="24"/>
        </w:rPr>
        <w:t>Part 2 — Medical procedures</w:t>
      </w:r>
    </w:p>
    <w:p>
      <w:pPr>
        <w:pStyle w:val="TOC4"/>
        <w:tabs>
          <w:tab w:val="right" w:leader="dot" w:pos="7078"/>
        </w:tabs>
        <w:rPr>
          <w:b w:val="0"/>
          <w:sz w:val="24"/>
          <w:szCs w:val="24"/>
        </w:rPr>
      </w:pPr>
      <w:r>
        <w:rPr>
          <w:szCs w:val="24"/>
        </w:rPr>
        <w:t>Part 3 — Diagnostic Imaging Services</w:t>
      </w:r>
    </w:p>
    <w:p>
      <w:pPr>
        <w:pStyle w:val="TOC2"/>
        <w:tabs>
          <w:tab w:val="right" w:leader="dot" w:pos="7078"/>
        </w:tabs>
        <w:rPr>
          <w:b w:val="0"/>
          <w:sz w:val="24"/>
          <w:szCs w:val="24"/>
        </w:rPr>
      </w:pPr>
      <w:r>
        <w:rPr>
          <w:szCs w:val="28"/>
        </w:rPr>
        <w:t>Schedule 2 — Scale of fees — physiotherapists</w:t>
      </w:r>
    </w:p>
    <w:p>
      <w:pPr>
        <w:pStyle w:val="TOC4"/>
        <w:tabs>
          <w:tab w:val="right" w:leader="dot" w:pos="7078"/>
        </w:tabs>
        <w:rPr>
          <w:b w:val="0"/>
          <w:sz w:val="24"/>
          <w:szCs w:val="24"/>
        </w:rPr>
      </w:pPr>
      <w:r>
        <w:rPr>
          <w:szCs w:val="24"/>
        </w:rPr>
        <w:t>Part 1</w:t>
      </w:r>
      <w:r>
        <w:rPr>
          <w:b w:val="0"/>
          <w:szCs w:val="24"/>
        </w:rPr>
        <w:t> — </w:t>
      </w:r>
      <w:r>
        <w:rPr>
          <w:szCs w:val="24"/>
        </w:rPr>
        <w:t>General</w:t>
      </w:r>
    </w:p>
    <w:p>
      <w:pPr>
        <w:pStyle w:val="TOC4"/>
        <w:tabs>
          <w:tab w:val="right" w:leader="dot" w:pos="7078"/>
        </w:tabs>
        <w:rPr>
          <w:b w:val="0"/>
          <w:sz w:val="24"/>
          <w:szCs w:val="24"/>
        </w:rPr>
      </w:pPr>
      <w:r>
        <w:rPr>
          <w:szCs w:val="24"/>
        </w:rPr>
        <w:t>Part 2 — Exercise</w:t>
      </w:r>
      <w:r>
        <w:rPr>
          <w:szCs w:val="24"/>
        </w:rPr>
        <w:noBreakHyphen/>
        <w:t>based programs</w:t>
      </w:r>
    </w:p>
    <w:p>
      <w:pPr>
        <w:pStyle w:val="TOC2"/>
        <w:tabs>
          <w:tab w:val="right" w:leader="dot" w:pos="7078"/>
        </w:tabs>
        <w:rPr>
          <w:b w:val="0"/>
          <w:sz w:val="24"/>
          <w:szCs w:val="24"/>
        </w:rPr>
      </w:pPr>
      <w:r>
        <w:rPr>
          <w:szCs w:val="28"/>
        </w:rPr>
        <w:t>Schedule 3</w:t>
      </w:r>
      <w:r>
        <w:rPr>
          <w:sz w:val="24"/>
          <w:szCs w:val="28"/>
        </w:rPr>
        <w:t> </w:t>
      </w:r>
      <w:r>
        <w:rPr>
          <w:szCs w:val="28"/>
        </w:rPr>
        <w:t>—</w:t>
      </w:r>
      <w:r>
        <w:rPr>
          <w:sz w:val="24"/>
          <w:szCs w:val="28"/>
        </w:rPr>
        <w:t xml:space="preserve"> </w:t>
      </w:r>
      <w:r>
        <w:rPr>
          <w:szCs w:val="28"/>
        </w:rPr>
        <w:t>Scale of fees — chiropractors</w:t>
      </w:r>
    </w:p>
    <w:p>
      <w:pPr>
        <w:pStyle w:val="TOC2"/>
        <w:tabs>
          <w:tab w:val="right" w:leader="dot" w:pos="7078"/>
        </w:tabs>
        <w:rPr>
          <w:b w:val="0"/>
          <w:sz w:val="24"/>
          <w:szCs w:val="24"/>
        </w:rPr>
      </w:pPr>
      <w:r>
        <w:rPr>
          <w:szCs w:val="28"/>
        </w:rPr>
        <w:t>Schedule 4 — Scale of fees — occupational therapists</w:t>
      </w:r>
    </w:p>
    <w:p>
      <w:pPr>
        <w:pStyle w:val="TOC2"/>
        <w:tabs>
          <w:tab w:val="right" w:leader="dot" w:pos="7078"/>
        </w:tabs>
        <w:rPr>
          <w:b w:val="0"/>
          <w:sz w:val="24"/>
          <w:szCs w:val="24"/>
        </w:rPr>
      </w:pPr>
      <w:r>
        <w:rPr>
          <w:szCs w:val="28"/>
        </w:rPr>
        <w:t>Schedule 5 — Scale of fees — speech pathologists</w:t>
      </w:r>
    </w:p>
    <w:p>
      <w:pPr>
        <w:pStyle w:val="TOC2"/>
        <w:tabs>
          <w:tab w:val="right" w:leader="dot" w:pos="7078"/>
        </w:tabs>
        <w:rPr>
          <w:b w:val="0"/>
          <w:sz w:val="24"/>
          <w:szCs w:val="24"/>
        </w:rPr>
      </w:pPr>
      <w:r>
        <w:rPr>
          <w:szCs w:val="28"/>
        </w:rPr>
        <w:t>Schedule 5A — Scale of fees — exercise physiologists</w:t>
      </w:r>
    </w:p>
    <w:p>
      <w:pPr>
        <w:pStyle w:val="TOC2"/>
        <w:tabs>
          <w:tab w:val="right" w:leader="dot" w:pos="7078"/>
        </w:tabs>
        <w:rPr>
          <w:b w:val="0"/>
          <w:sz w:val="24"/>
          <w:szCs w:val="24"/>
        </w:rPr>
      </w:pPr>
      <w:r>
        <w:rPr>
          <w:szCs w:val="28"/>
        </w:rPr>
        <w:t>Schedule 6 — Scale of maximum fees — approved medical specialists</w:t>
      </w:r>
    </w:p>
    <w:p>
      <w:pPr>
        <w:pStyle w:val="TOC4"/>
        <w:tabs>
          <w:tab w:val="right" w:leader="dot" w:pos="7078"/>
        </w:tabs>
        <w:rPr>
          <w:b w:val="0"/>
          <w:sz w:val="24"/>
          <w:szCs w:val="24"/>
        </w:rPr>
      </w:pPr>
      <w:r>
        <w:rPr>
          <w:szCs w:val="24"/>
        </w:rPr>
        <w:t>Part 1 — Assessments</w:t>
      </w:r>
    </w:p>
    <w:p>
      <w:pPr>
        <w:pStyle w:val="TOC4"/>
        <w:tabs>
          <w:tab w:val="right" w:leader="dot" w:pos="7078"/>
        </w:tabs>
        <w:rPr>
          <w:b w:val="0"/>
          <w:sz w:val="24"/>
          <w:szCs w:val="24"/>
        </w:rPr>
      </w:pPr>
      <w:r>
        <w:rPr>
          <w:szCs w:val="24"/>
        </w:rPr>
        <w:t>Part 2 — Attempted assessments</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_Toc217355408 \h </w:instrText>
      </w:r>
      <w:r>
        <w:fldChar w:fldCharType="separate"/>
      </w:r>
      <w:r>
        <w:t>76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Workers’ Compensation and Injury Management Act 1981</w:t>
      </w:r>
    </w:p>
    <w:p>
      <w:pPr>
        <w:pStyle w:val="NameofActReg"/>
      </w:pPr>
      <w:r>
        <w:t>Workers’ Compensation and Injury Management (Scales of Fees) Regulations 1998</w:t>
      </w:r>
    </w:p>
    <w:p>
      <w:pPr>
        <w:pStyle w:val="Heading5"/>
        <w:rPr>
          <w:snapToGrid w:val="0"/>
        </w:rPr>
      </w:pPr>
      <w:bookmarkStart w:id="2" w:name="_Toc532976964"/>
      <w:bookmarkStart w:id="3" w:name="_Toc2571975"/>
      <w:bookmarkStart w:id="4" w:name="_Toc36356129"/>
      <w:bookmarkStart w:id="5" w:name="_Toc86727076"/>
      <w:bookmarkStart w:id="6" w:name="_Toc94408663"/>
      <w:bookmarkStart w:id="7" w:name="_Toc119464638"/>
      <w:bookmarkStart w:id="8" w:name="_Toc217355379"/>
      <w:r>
        <w:rPr>
          <w:rStyle w:val="CharSectno"/>
        </w:rPr>
        <w:t>1</w:t>
      </w:r>
      <w:r>
        <w:rPr>
          <w:snapToGrid w:val="0"/>
        </w:rPr>
        <w:t>.</w:t>
      </w:r>
      <w:r>
        <w:rPr>
          <w:snapToGrid w:val="0"/>
        </w:rPr>
        <w:tab/>
        <w:t>Citation</w:t>
      </w:r>
      <w:bookmarkEnd w:id="2"/>
      <w:bookmarkEnd w:id="3"/>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pPr>
      <w:r>
        <w:tab/>
        <w:t>[Regulation 1 amended in Gazette 1 Nov 2005 p. 4977.]</w:t>
      </w:r>
    </w:p>
    <w:p>
      <w:pPr>
        <w:pStyle w:val="Heading5"/>
        <w:rPr>
          <w:snapToGrid w:val="0"/>
        </w:rPr>
      </w:pPr>
      <w:bookmarkStart w:id="9" w:name="_Toc532976965"/>
      <w:bookmarkStart w:id="10" w:name="_Toc2571976"/>
      <w:bookmarkStart w:id="11" w:name="_Toc36356130"/>
      <w:bookmarkStart w:id="12" w:name="_Toc86727077"/>
      <w:bookmarkStart w:id="13" w:name="_Toc94408664"/>
      <w:bookmarkStart w:id="14" w:name="_Toc119464639"/>
      <w:bookmarkStart w:id="15" w:name="_Toc217355380"/>
      <w:r>
        <w:rPr>
          <w:rStyle w:val="CharSectno"/>
        </w:rPr>
        <w:t>2</w:t>
      </w:r>
      <w:r>
        <w:rPr>
          <w:snapToGrid w:val="0"/>
        </w:rPr>
        <w:t>.</w:t>
      </w:r>
      <w:r>
        <w:rPr>
          <w:snapToGrid w:val="0"/>
        </w:rPr>
        <w:tab/>
        <w:t>Scales of fees — medical specialists and other medical practitioners</w:t>
      </w:r>
      <w:bookmarkEnd w:id="9"/>
      <w:bookmarkEnd w:id="10"/>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rPr>
          <w:snapToGrid w:val="0"/>
        </w:rPr>
      </w:pPr>
      <w:r>
        <w:rPr>
          <w:snapToGrid w:val="0"/>
        </w:rPr>
        <w:tab/>
        <w:t>(2)</w:t>
      </w:r>
      <w:r>
        <w:rPr>
          <w:snapToGrid w:val="0"/>
        </w:rPr>
        <w:tab/>
        <w:t>In Schedule 1 — </w:t>
      </w:r>
    </w:p>
    <w:p>
      <w:pPr>
        <w:pStyle w:val="Defstart"/>
      </w:pPr>
      <w:r>
        <w:tab/>
      </w:r>
      <w:r>
        <w:rPr>
          <w:rStyle w:val="CharDefText"/>
        </w:rPr>
        <w:t>MBS item number</w:t>
      </w:r>
      <w:r>
        <w:t xml:space="preserve"> means the item number corresponding to a radiological service described in the Medicare Benefits Schedule published by the Commonwealth Department of Health and Aged Care, as at November 2006.</w:t>
      </w:r>
    </w:p>
    <w:p>
      <w:pPr>
        <w:pStyle w:val="Footnotesection"/>
      </w:pPr>
      <w:r>
        <w:tab/>
        <w:t>[Regulation 2 amended in Gazette 28 Dec 2001 p. 6691; 23 Sep 2003 p. 4174; 19 Mar 2004 p. 863; 11 Nov 2005 p. 5569 and 5570; 22 Dec 2006 p. 5757-8; 7 Dec 2007 p. 6034.]</w:t>
      </w:r>
    </w:p>
    <w:p>
      <w:pPr>
        <w:pStyle w:val="Heading5"/>
        <w:rPr>
          <w:snapToGrid w:val="0"/>
        </w:rPr>
      </w:pPr>
      <w:bookmarkStart w:id="16" w:name="_Toc532976966"/>
      <w:bookmarkStart w:id="17" w:name="_Toc2571977"/>
      <w:bookmarkStart w:id="18" w:name="_Toc36356131"/>
      <w:bookmarkStart w:id="19" w:name="_Toc86727078"/>
      <w:bookmarkStart w:id="20" w:name="_Toc94408665"/>
      <w:bookmarkStart w:id="21" w:name="_Toc119464640"/>
      <w:bookmarkStart w:id="22" w:name="_Toc217355381"/>
      <w:r>
        <w:rPr>
          <w:rStyle w:val="CharSectno"/>
        </w:rPr>
        <w:t>3</w:t>
      </w:r>
      <w:r>
        <w:rPr>
          <w:snapToGrid w:val="0"/>
        </w:rPr>
        <w:t>.</w:t>
      </w:r>
      <w:r>
        <w:rPr>
          <w:snapToGrid w:val="0"/>
        </w:rPr>
        <w:tab/>
        <w:t>Scale of fees — physiotherapists</w:t>
      </w:r>
      <w:bookmarkEnd w:id="16"/>
      <w:bookmarkEnd w:id="17"/>
      <w:bookmarkEnd w:id="18"/>
      <w:bookmarkEnd w:id="19"/>
      <w:bookmarkEnd w:id="20"/>
      <w:bookmarkEnd w:id="21"/>
      <w:bookmarkEnd w:id="22"/>
      <w:r>
        <w:rPr>
          <w:snapToGrid w:val="0"/>
        </w:rPr>
        <w:t xml:space="preserve"> </w:t>
      </w:r>
    </w:p>
    <w:p>
      <w:pPr>
        <w:pStyle w:val="Subsection"/>
        <w:spacing w:before="120"/>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in Gazette 21 Jan 2005 p. 278; 11 Nov 2005 p. 5569 and 5570; 22 Dec 2006 p. 5757-8; 7 Dec 2007 p. 6034.]</w:t>
      </w:r>
    </w:p>
    <w:p>
      <w:pPr>
        <w:pStyle w:val="Heading5"/>
        <w:rPr>
          <w:snapToGrid w:val="0"/>
        </w:rPr>
      </w:pPr>
      <w:bookmarkStart w:id="23" w:name="_Toc532976967"/>
      <w:bookmarkStart w:id="24" w:name="_Toc2571978"/>
      <w:bookmarkStart w:id="25" w:name="_Toc36356132"/>
      <w:bookmarkStart w:id="26" w:name="_Toc86727079"/>
      <w:bookmarkStart w:id="27" w:name="_Toc94408666"/>
      <w:bookmarkStart w:id="28" w:name="_Toc119464641"/>
      <w:bookmarkStart w:id="29" w:name="_Toc217355382"/>
      <w:r>
        <w:rPr>
          <w:rStyle w:val="CharSectno"/>
        </w:rPr>
        <w:t>4</w:t>
      </w:r>
      <w:r>
        <w:rPr>
          <w:snapToGrid w:val="0"/>
        </w:rPr>
        <w:t>.</w:t>
      </w:r>
      <w:r>
        <w:rPr>
          <w:snapToGrid w:val="0"/>
        </w:rPr>
        <w:tab/>
        <w:t>Scale of fees — chiropractors</w:t>
      </w:r>
      <w:bookmarkEnd w:id="23"/>
      <w:bookmarkEnd w:id="24"/>
      <w:bookmarkEnd w:id="25"/>
      <w:bookmarkEnd w:id="26"/>
      <w:bookmarkEnd w:id="27"/>
      <w:bookmarkEnd w:id="28"/>
      <w:bookmarkEnd w:id="29"/>
      <w:r>
        <w:rPr>
          <w:snapToGrid w:val="0"/>
        </w:rPr>
        <w:t xml:space="preserve"> </w:t>
      </w:r>
    </w:p>
    <w:p>
      <w:pPr>
        <w:pStyle w:val="Subsection"/>
        <w:spacing w:before="120"/>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in Gazette 11 Nov 2005 p. 5569 and 5570; 22 Dec 2006 p. 5757-8; 7 Dec 2007 p. 6034.]</w:t>
      </w:r>
    </w:p>
    <w:p>
      <w:pPr>
        <w:pStyle w:val="Heading5"/>
        <w:rPr>
          <w:snapToGrid w:val="0"/>
        </w:rPr>
      </w:pPr>
      <w:bookmarkStart w:id="30" w:name="_Toc532976968"/>
      <w:bookmarkStart w:id="31" w:name="_Toc2571979"/>
      <w:bookmarkStart w:id="32" w:name="_Toc36356133"/>
      <w:bookmarkStart w:id="33" w:name="_Toc86727080"/>
      <w:bookmarkStart w:id="34" w:name="_Toc94408667"/>
      <w:bookmarkStart w:id="35" w:name="_Toc119464642"/>
      <w:bookmarkStart w:id="36" w:name="_Toc217355383"/>
      <w:r>
        <w:rPr>
          <w:rStyle w:val="CharSectno"/>
        </w:rPr>
        <w:t>5</w:t>
      </w:r>
      <w:r>
        <w:rPr>
          <w:snapToGrid w:val="0"/>
        </w:rPr>
        <w:t>.</w:t>
      </w:r>
      <w:r>
        <w:rPr>
          <w:snapToGrid w:val="0"/>
        </w:rPr>
        <w:tab/>
        <w:t>Scale of fees — occupational therapists</w:t>
      </w:r>
      <w:bookmarkEnd w:id="30"/>
      <w:bookmarkEnd w:id="31"/>
      <w:bookmarkEnd w:id="32"/>
      <w:bookmarkEnd w:id="33"/>
      <w:bookmarkEnd w:id="34"/>
      <w:bookmarkEnd w:id="35"/>
      <w:bookmarkEnd w:id="36"/>
      <w:r>
        <w:rPr>
          <w:snapToGrid w:val="0"/>
        </w:rPr>
        <w:t xml:space="preserve"> </w:t>
      </w:r>
    </w:p>
    <w:p>
      <w:pPr>
        <w:pStyle w:val="Subsection"/>
        <w:spacing w:before="120"/>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bookmarkStart w:id="37" w:name="_Toc532976969"/>
      <w:bookmarkStart w:id="38" w:name="_Toc2571980"/>
      <w:bookmarkStart w:id="39" w:name="_Toc36356134"/>
      <w:bookmarkStart w:id="40" w:name="_Toc86727081"/>
      <w:bookmarkStart w:id="41" w:name="_Toc94408668"/>
      <w:r>
        <w:tab/>
        <w:t>[Regulation 5 amended in Gazette 11 Nov 2005 p. 5569 and 5570; 22 Dec 2006 p. 5757-8; 7 Dec 2007 p. 6034.]</w:t>
      </w:r>
    </w:p>
    <w:p>
      <w:pPr>
        <w:pStyle w:val="Heading5"/>
      </w:pPr>
      <w:bookmarkStart w:id="42" w:name="_Toc217355384"/>
      <w:bookmarkStart w:id="43" w:name="_Toc532976971"/>
      <w:bookmarkStart w:id="44" w:name="_Toc2571982"/>
      <w:bookmarkStart w:id="45" w:name="_Toc36356135"/>
      <w:bookmarkStart w:id="46" w:name="_Toc86727082"/>
      <w:bookmarkStart w:id="47" w:name="_Toc94408669"/>
      <w:bookmarkStart w:id="48" w:name="_Toc119464644"/>
      <w:bookmarkStart w:id="49" w:name="_Toc532976970"/>
      <w:bookmarkStart w:id="50" w:name="_Toc2571981"/>
      <w:bookmarkStart w:id="51" w:name="_Toc10018675"/>
      <w:bookmarkEnd w:id="37"/>
      <w:bookmarkEnd w:id="38"/>
      <w:bookmarkEnd w:id="39"/>
      <w:bookmarkEnd w:id="40"/>
      <w:bookmarkEnd w:id="41"/>
      <w:r>
        <w:rPr>
          <w:rStyle w:val="CharSectno"/>
        </w:rPr>
        <w:t>6</w:t>
      </w:r>
      <w:r>
        <w:t>.</w:t>
      </w:r>
      <w:r>
        <w:tab/>
        <w:t>Scale of fees — clinical psychologists</w:t>
      </w:r>
      <w:bookmarkEnd w:id="42"/>
    </w:p>
    <w:p>
      <w:pPr>
        <w:pStyle w:val="Subsection"/>
      </w:pPr>
      <w:r>
        <w:tab/>
        <w:t>(1)</w:t>
      </w:r>
      <w:r>
        <w:tab/>
        <w:t>Under section 292(2)(a)(vi) of the Act, the hourly rate of $187.70 per hour is prescribed as the fee to be paid to clinical psychologists for attendance on, and treatment of, workers suffering injuries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in Gazette 22 Dec 2006 p. 5758; amended in Gazette 7 Dec 2007 p. 6035; 17 Dec 2008 p. 5290.]</w:t>
      </w:r>
    </w:p>
    <w:p>
      <w:pPr>
        <w:pStyle w:val="Heading5"/>
      </w:pPr>
      <w:bookmarkStart w:id="52" w:name="_Toc217355385"/>
      <w:r>
        <w:rPr>
          <w:rStyle w:val="CharSectno"/>
        </w:rPr>
        <w:t>6A</w:t>
      </w:r>
      <w:r>
        <w:t>.</w:t>
      </w:r>
      <w:r>
        <w:tab/>
        <w:t>Scale of fees — counselling psychology</w:t>
      </w:r>
      <w:bookmarkEnd w:id="52"/>
    </w:p>
    <w:p>
      <w:pPr>
        <w:pStyle w:val="Subsection"/>
      </w:pPr>
      <w:r>
        <w:tab/>
      </w:r>
      <w:r>
        <w:tab/>
        <w:t>Under section 292(2)(a)(viii) of the Act, the hourly rate of $187.70 per hour is prescribed as the fee to be paid to a psychologist providing counselling services for the treatment of a worker suffering injuries that are compensable under the Act.</w:t>
      </w:r>
    </w:p>
    <w:p>
      <w:pPr>
        <w:pStyle w:val="NotesPerm"/>
        <w:tabs>
          <w:tab w:val="clear" w:pos="879"/>
          <w:tab w:val="left" w:pos="851"/>
        </w:tabs>
        <w:ind w:left="1418" w:hanging="1418"/>
      </w:pPr>
      <w:r>
        <w:tab/>
        <w:t>Note:</w:t>
      </w:r>
      <w:r>
        <w:tab/>
        <w:t xml:space="preserve">“Counselling psychology” was approved as an “approved treatment” under section 5(1) of the Act in </w:t>
      </w:r>
      <w:r>
        <w:rPr>
          <w:i/>
          <w:iCs/>
        </w:rPr>
        <w:t>Gazette</w:t>
      </w:r>
      <w:r>
        <w:t xml:space="preserve"> 10/1/2003, p. 55.</w:t>
      </w:r>
    </w:p>
    <w:p>
      <w:pPr>
        <w:pStyle w:val="Footnotesection"/>
      </w:pPr>
      <w:r>
        <w:tab/>
        <w:t>[Regulation 6A inserted in Gazette 22 Dec 2006 p. 5758; amended in Gazette 7 Dec 2007 p. 6035; 17 Dec 2008 p. 5290.]</w:t>
      </w:r>
    </w:p>
    <w:p>
      <w:pPr>
        <w:pStyle w:val="Heading5"/>
        <w:rPr>
          <w:snapToGrid w:val="0"/>
        </w:rPr>
      </w:pPr>
      <w:bookmarkStart w:id="53" w:name="_Toc217355386"/>
      <w:r>
        <w:rPr>
          <w:rStyle w:val="CharSectno"/>
        </w:rPr>
        <w:t>7</w:t>
      </w:r>
      <w:r>
        <w:rPr>
          <w:snapToGrid w:val="0"/>
        </w:rPr>
        <w:t>.</w:t>
      </w:r>
      <w:r>
        <w:rPr>
          <w:snapToGrid w:val="0"/>
        </w:rPr>
        <w:tab/>
        <w:t>Scale of fees — speech therapists</w:t>
      </w:r>
      <w:bookmarkEnd w:id="43"/>
      <w:bookmarkEnd w:id="44"/>
      <w:bookmarkEnd w:id="45"/>
      <w:bookmarkEnd w:id="46"/>
      <w:bookmarkEnd w:id="47"/>
      <w:bookmarkEnd w:id="48"/>
      <w:bookmarkEnd w:id="53"/>
      <w:r>
        <w:rPr>
          <w:snapToGrid w:val="0"/>
        </w:rPr>
        <w:t xml:space="preserve"> </w:t>
      </w:r>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bookmarkStart w:id="54" w:name="_Toc36356136"/>
      <w:bookmarkStart w:id="55" w:name="_Toc86727083"/>
      <w:bookmarkStart w:id="56" w:name="_Toc94408670"/>
      <w:r>
        <w:tab/>
        <w:t>[Regulation 7 amended in Gazette 11 Nov 2005 p. 5569 and 5570; 22 Dec 2006 p. 5757-8; 7 Dec 2007 p. 6035.]</w:t>
      </w:r>
    </w:p>
    <w:p>
      <w:pPr>
        <w:pStyle w:val="Heading5"/>
      </w:pPr>
      <w:bookmarkStart w:id="57" w:name="_Toc217355387"/>
      <w:bookmarkStart w:id="58" w:name="_Toc532976972"/>
      <w:bookmarkStart w:id="59" w:name="_Toc2571983"/>
      <w:bookmarkStart w:id="60" w:name="_Toc36356137"/>
      <w:bookmarkStart w:id="61" w:name="_Toc86727084"/>
      <w:bookmarkStart w:id="62" w:name="_Toc94408671"/>
      <w:bookmarkStart w:id="63" w:name="_Toc119464646"/>
      <w:bookmarkEnd w:id="49"/>
      <w:bookmarkEnd w:id="50"/>
      <w:bookmarkEnd w:id="51"/>
      <w:bookmarkEnd w:id="54"/>
      <w:bookmarkEnd w:id="55"/>
      <w:bookmarkEnd w:id="56"/>
      <w:r>
        <w:rPr>
          <w:rStyle w:val="CharSectno"/>
        </w:rPr>
        <w:t>7A</w:t>
      </w:r>
      <w:r>
        <w:t>.</w:t>
      </w:r>
      <w:r>
        <w:tab/>
        <w:t>Scale of fees — osteopaths</w:t>
      </w:r>
      <w:bookmarkEnd w:id="57"/>
    </w:p>
    <w:p>
      <w:pPr>
        <w:pStyle w:val="Subsection"/>
      </w:pPr>
      <w:r>
        <w:tab/>
      </w:r>
      <w:r>
        <w:tab/>
        <w:t xml:space="preserve">Under section 292(2)(a)(viii) of the Act, the amount of $59.40 is prescribed as the fee to be paid to an osteopath for an osteopathic consultation with a worker suffering </w:t>
      </w:r>
      <w:r>
        <w:rPr>
          <w:snapToGrid w:val="0"/>
        </w:rPr>
        <w:t xml:space="preserve">injuries </w:t>
      </w:r>
      <w:r>
        <w:t>that are compensable under the Act.</w:t>
      </w:r>
    </w:p>
    <w:p>
      <w:pPr>
        <w:pStyle w:val="NotesPerm"/>
        <w:tabs>
          <w:tab w:val="clear" w:pos="879"/>
          <w:tab w:val="left" w:pos="851"/>
        </w:tabs>
        <w:ind w:left="1418" w:hanging="1418"/>
      </w:pPr>
      <w:r>
        <w:tab/>
        <w:t>Note:</w:t>
      </w:r>
      <w:r>
        <w:tab/>
        <w:t xml:space="preserve">“Osteopathy” was approved as an “approved treatment” under section 5(1) of the Act in </w:t>
      </w:r>
      <w:r>
        <w:rPr>
          <w:i/>
          <w:iCs/>
        </w:rPr>
        <w:t>Gazette</w:t>
      </w:r>
      <w:r>
        <w:t xml:space="preserve"> 29/9/2000, p. 5564.</w:t>
      </w:r>
    </w:p>
    <w:p>
      <w:pPr>
        <w:pStyle w:val="Footnotesection"/>
      </w:pPr>
      <w:r>
        <w:tab/>
        <w:t>[Regulation 7A inserted in Gazette 22 Dec 2006 p. 5759; amended in Gazette 7 Dec 2007 p. 6035; 17 Dec 2008 p. 5290.]</w:t>
      </w:r>
    </w:p>
    <w:p>
      <w:pPr>
        <w:pStyle w:val="Heading5"/>
      </w:pPr>
      <w:bookmarkStart w:id="64" w:name="_Toc217355388"/>
      <w:r>
        <w:rPr>
          <w:rStyle w:val="CharSectno"/>
        </w:rPr>
        <w:t>7B</w:t>
      </w:r>
      <w:r>
        <w:t>.</w:t>
      </w:r>
      <w:r>
        <w:tab/>
        <w:t>Scale of fees — exercise physiologists</w:t>
      </w:r>
      <w:bookmarkEnd w:id="64"/>
      <w:r>
        <w:t xml:space="preserve"> </w:t>
      </w:r>
    </w:p>
    <w:p>
      <w:pPr>
        <w:pStyle w:val="Subsection"/>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pPr>
      <w:r>
        <w:tab/>
        <w:t>[Regulation 7B inserted in Gazette 17 Dec 2008 p. 5290.]</w:t>
      </w:r>
    </w:p>
    <w:p>
      <w:pPr>
        <w:pStyle w:val="Heading5"/>
        <w:rPr>
          <w:snapToGrid w:val="0"/>
        </w:rPr>
      </w:pPr>
      <w:bookmarkStart w:id="65" w:name="_Toc217355389"/>
      <w:r>
        <w:rPr>
          <w:rStyle w:val="CharSectno"/>
        </w:rPr>
        <w:t>8</w:t>
      </w:r>
      <w:r>
        <w:rPr>
          <w:snapToGrid w:val="0"/>
        </w:rPr>
        <w:t>.</w:t>
      </w:r>
      <w:r>
        <w:rPr>
          <w:snapToGrid w:val="0"/>
        </w:rPr>
        <w:tab/>
        <w:t>Scale of fees — vocational rehabilitation providers</w:t>
      </w:r>
      <w:bookmarkEnd w:id="58"/>
      <w:bookmarkEnd w:id="59"/>
      <w:bookmarkEnd w:id="60"/>
      <w:bookmarkEnd w:id="61"/>
      <w:bookmarkEnd w:id="62"/>
      <w:bookmarkEnd w:id="63"/>
      <w:bookmarkEnd w:id="65"/>
      <w:r>
        <w:rPr>
          <w:snapToGrid w:val="0"/>
        </w:rPr>
        <w:t xml:space="preserve"> </w:t>
      </w:r>
    </w:p>
    <w:p>
      <w:pPr>
        <w:pStyle w:val="Subsection"/>
        <w:rPr>
          <w:snapToGrid w:val="0"/>
        </w:rPr>
      </w:pPr>
      <w:r>
        <w:rPr>
          <w:snapToGrid w:val="0"/>
        </w:rPr>
        <w:tab/>
      </w:r>
      <w:r>
        <w:rPr>
          <w:snapToGrid w:val="0"/>
        </w:rPr>
        <w:tab/>
        <w:t>Under section </w:t>
      </w:r>
      <w:r>
        <w:t>292(2)(b)</w:t>
      </w:r>
      <w:r>
        <w:rPr>
          <w:snapToGrid w:val="0"/>
        </w:rPr>
        <w:t xml:space="preserve"> of the Act, the hourly rate of </w:t>
      </w:r>
      <w:r>
        <w:t xml:space="preserve">$140.20 </w:t>
      </w:r>
      <w:r>
        <w:rPr>
          <w:snapToGrid w:val="0"/>
        </w:rPr>
        <w:t>per hour is prescribed as the fee to be paid to approved providers of vocational rehabilitation services when those services are provided to workers in accordance with the Act.</w:t>
      </w:r>
    </w:p>
    <w:p>
      <w:pPr>
        <w:pStyle w:val="Footnotesection"/>
        <w:keepLines w:val="0"/>
      </w:pPr>
      <w:r>
        <w:tab/>
        <w:t>[Regulation 8 amended in Gazette 21 Dec 2000 p. 7626; 28 Dec 2001 p. 6692; 23 Sep 2003 p. 4174; 9 Jan 2004 p. 99; 21 Jan 2005 p. 279; 11 Nov 2005 p. 5569; 10 Jan 2006 p. 44; 22 Dec 2006 p. 5759; 7 Dec 2007 p. 6036; 17 Dec 2008 p. 5291.]</w:t>
      </w:r>
    </w:p>
    <w:p>
      <w:pPr>
        <w:pStyle w:val="Heading5"/>
      </w:pPr>
      <w:bookmarkStart w:id="66" w:name="_Toc119464647"/>
      <w:bookmarkStart w:id="67" w:name="_Toc217355390"/>
      <w:r>
        <w:rPr>
          <w:rStyle w:val="CharSectno"/>
        </w:rPr>
        <w:t>9</w:t>
      </w:r>
      <w:r>
        <w:t>.</w:t>
      </w:r>
      <w:r>
        <w:tab/>
        <w:t>Scale of maximum fees — approved medical specialists</w:t>
      </w:r>
      <w:bookmarkEnd w:id="66"/>
      <w:bookmarkEnd w:id="67"/>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assessor</w:t>
      </w:r>
      <w:r>
        <w:t xml:space="preserve"> has the meaning given by the WorkCover Guides;</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in Gazette 11 Nov 2005 p. 5567</w:t>
      </w:r>
      <w:r>
        <w:noBreakHyphen/>
        <w:t>8.]</w:t>
      </w:r>
    </w:p>
    <w:p>
      <w:pPr>
        <w:pStyle w:val="Heading5"/>
      </w:pPr>
      <w:bookmarkStart w:id="68" w:name="_Toc217355391"/>
      <w:bookmarkStart w:id="69" w:name="_Toc36356138"/>
      <w:bookmarkStart w:id="70" w:name="_Toc86727085"/>
      <w:bookmarkStart w:id="71" w:name="_Toc94408672"/>
      <w:bookmarkStart w:id="72" w:name="_Toc118519379"/>
      <w:bookmarkStart w:id="73" w:name="_Toc118616292"/>
      <w:bookmarkStart w:id="74" w:name="_Toc119464648"/>
      <w:bookmarkStart w:id="75" w:name="_Toc119464792"/>
      <w:bookmarkStart w:id="76" w:name="_Toc119466397"/>
      <w:bookmarkStart w:id="77" w:name="_Toc119725421"/>
      <w:bookmarkStart w:id="78" w:name="_Toc121194254"/>
      <w:bookmarkStart w:id="79" w:name="_Toc126569067"/>
      <w:bookmarkStart w:id="80" w:name="_Toc127601207"/>
      <w:bookmarkStart w:id="81" w:name="_Toc127668230"/>
      <w:bookmarkStart w:id="82" w:name="_Toc128452289"/>
      <w:r>
        <w:rPr>
          <w:rStyle w:val="CharSectno"/>
        </w:rPr>
        <w:t>10</w:t>
      </w:r>
      <w:r>
        <w:t>.</w:t>
      </w:r>
      <w:r>
        <w:tab/>
        <w:t>Effect of GST</w:t>
      </w:r>
      <w:bookmarkEnd w:id="68"/>
    </w:p>
    <w:p>
      <w:pPr>
        <w:pStyle w:val="Subsection"/>
      </w:pPr>
      <w:r>
        <w:tab/>
        <w:t>(1)</w:t>
      </w:r>
      <w:r>
        <w:tab/>
        <w:t xml:space="preserve">In this regulation — </w:t>
      </w:r>
    </w:p>
    <w:p>
      <w:pPr>
        <w:pStyle w:val="Defstar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in Gazette 7 Dec 2007 p. 6036.]</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83" w:name="_Toc128796273"/>
      <w:bookmarkStart w:id="84" w:name="_Toc128796597"/>
      <w:bookmarkStart w:id="85" w:name="_Toc128807361"/>
      <w:bookmarkStart w:id="86" w:name="_Toc128807551"/>
      <w:bookmarkStart w:id="87" w:name="_Toc130871683"/>
      <w:bookmarkStart w:id="88" w:name="_Toc133913830"/>
      <w:bookmarkStart w:id="89" w:name="_Toc133915027"/>
      <w:bookmarkStart w:id="90" w:name="_Toc154553089"/>
      <w:bookmarkStart w:id="91" w:name="_Toc156894686"/>
      <w:bookmarkStart w:id="92" w:name="_Toc156968368"/>
      <w:bookmarkStart w:id="93" w:name="_Toc160942384"/>
      <w:bookmarkStart w:id="94" w:name="_Toc161024633"/>
      <w:bookmarkStart w:id="95" w:name="_Toc161024739"/>
      <w:bookmarkStart w:id="96" w:name="_Toc161025849"/>
      <w:bookmarkStart w:id="97" w:name="_Toc161030723"/>
      <w:bookmarkStart w:id="98" w:name="_Toc161038709"/>
      <w:bookmarkStart w:id="99" w:name="_Toc161039671"/>
      <w:bookmarkStart w:id="100" w:name="_Toc164504703"/>
      <w:bookmarkStart w:id="101" w:name="_Toc184719563"/>
      <w:bookmarkStart w:id="102" w:name="_Toc184720471"/>
      <w:bookmarkStart w:id="103" w:name="_Toc217355362"/>
      <w:bookmarkStart w:id="104" w:name="_Toc217355392"/>
      <w:r>
        <w:rPr>
          <w:rStyle w:val="CharSchNo"/>
        </w:rPr>
        <w:t>Schedule 1</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yShoulderClause"/>
        <w:spacing w:before="0"/>
      </w:pPr>
      <w:r>
        <w:t>[r. 2]</w:t>
      </w:r>
    </w:p>
    <w:p>
      <w:pPr>
        <w:pStyle w:val="yHeading2"/>
      </w:pPr>
      <w:bookmarkStart w:id="105" w:name="_Toc126569068"/>
      <w:bookmarkStart w:id="106" w:name="_Toc127601208"/>
      <w:bookmarkStart w:id="107" w:name="_Toc127668231"/>
      <w:bookmarkStart w:id="108" w:name="_Toc128452290"/>
      <w:bookmarkStart w:id="109" w:name="_Toc128796274"/>
      <w:bookmarkStart w:id="110" w:name="_Toc128796598"/>
      <w:bookmarkStart w:id="111" w:name="_Toc128807362"/>
      <w:bookmarkStart w:id="112" w:name="_Toc128807552"/>
      <w:bookmarkStart w:id="113" w:name="_Toc130871684"/>
      <w:bookmarkStart w:id="114" w:name="_Toc133913831"/>
      <w:bookmarkStart w:id="115" w:name="_Toc133915028"/>
      <w:bookmarkStart w:id="116" w:name="_Toc154553090"/>
      <w:bookmarkStart w:id="117" w:name="_Toc156894687"/>
      <w:bookmarkStart w:id="118" w:name="_Toc156968369"/>
      <w:bookmarkStart w:id="119" w:name="_Toc160942385"/>
      <w:bookmarkStart w:id="120" w:name="_Toc161024634"/>
      <w:bookmarkStart w:id="121" w:name="_Toc161024740"/>
      <w:bookmarkStart w:id="122" w:name="_Toc161025850"/>
      <w:bookmarkStart w:id="123" w:name="_Toc161030724"/>
      <w:bookmarkStart w:id="124" w:name="_Toc161038710"/>
      <w:bookmarkStart w:id="125" w:name="_Toc161039672"/>
      <w:bookmarkStart w:id="126" w:name="_Toc164504704"/>
      <w:bookmarkStart w:id="127" w:name="_Toc184719564"/>
      <w:bookmarkStart w:id="128" w:name="_Toc184720472"/>
      <w:bookmarkStart w:id="129" w:name="_Toc217355363"/>
      <w:bookmarkStart w:id="130" w:name="_Toc217355393"/>
      <w:r>
        <w:rPr>
          <w:rStyle w:val="CharSchText"/>
        </w:rPr>
        <w:t>Scales of fees — medical specialists and other medical practitioners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yFootnoteheading"/>
        <w:spacing w:before="60" w:after="60"/>
      </w:pPr>
      <w:r>
        <w:tab/>
        <w:t>[Heading inserted in Gazette 20 Jul 1999 p. 3250.]</w:t>
      </w:r>
    </w:p>
    <w:p>
      <w:pPr>
        <w:pStyle w:val="yHeading3"/>
      </w:pPr>
      <w:bookmarkStart w:id="131" w:name="_Toc161030725"/>
      <w:bookmarkStart w:id="132" w:name="_Toc161038711"/>
      <w:bookmarkStart w:id="133" w:name="_Toc161039673"/>
      <w:bookmarkStart w:id="134" w:name="_Toc164504705"/>
      <w:bookmarkStart w:id="135" w:name="_Toc184719565"/>
      <w:bookmarkStart w:id="136" w:name="_Toc184720473"/>
      <w:bookmarkStart w:id="137" w:name="_Toc217355364"/>
      <w:bookmarkStart w:id="138" w:name="_Toc217355394"/>
      <w:r>
        <w:rPr>
          <w:rStyle w:val="CharSDivNo"/>
        </w:rPr>
        <w:t>Part 1</w:t>
      </w:r>
      <w:r>
        <w:t> — </w:t>
      </w:r>
      <w:r>
        <w:rPr>
          <w:rStyle w:val="CharSDivText"/>
        </w:rPr>
        <w:t>Medical specialists and other medical practitioners</w:t>
      </w:r>
      <w:bookmarkEnd w:id="131"/>
      <w:bookmarkEnd w:id="132"/>
      <w:bookmarkEnd w:id="133"/>
      <w:bookmarkEnd w:id="134"/>
      <w:bookmarkEnd w:id="135"/>
      <w:bookmarkEnd w:id="136"/>
      <w:bookmarkEnd w:id="137"/>
      <w:bookmarkEnd w:id="138"/>
    </w:p>
    <w:p>
      <w:pPr>
        <w:pStyle w:val="yFootnoteheading"/>
        <w:spacing w:after="40"/>
        <w:rPr>
          <w:b/>
          <w:sz w:val="24"/>
        </w:rPr>
      </w:pPr>
      <w:r>
        <w:tab/>
        <w:t>[Heading inserted in Gazette 28 Dec 2001 p. 6692.]</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ind w:right="295"/>
              <w:rPr>
                <w:b/>
              </w:rPr>
            </w:pPr>
            <w:r>
              <w:rPr>
                <w:b/>
              </w:rPr>
              <w:t>Type of service/by whom</w:t>
            </w:r>
          </w:p>
        </w:tc>
        <w:tc>
          <w:tcPr>
            <w:tcW w:w="1559" w:type="dxa"/>
          </w:tcPr>
          <w:p>
            <w:pPr>
              <w:pStyle w:val="yTable"/>
              <w:ind w:left="426" w:right="294"/>
              <w:jc w:val="center"/>
              <w:rPr>
                <w:b/>
              </w:rPr>
            </w:pPr>
            <w:r>
              <w:rPr>
                <w:b/>
              </w:rPr>
              <w:t>Fee</w:t>
            </w:r>
          </w:p>
          <w:p>
            <w:pPr>
              <w:pStyle w:val="yTable"/>
              <w:ind w:left="426" w:right="294"/>
              <w:jc w:val="center"/>
              <w:rPr>
                <w:b/>
              </w:rPr>
            </w:pPr>
            <w:r>
              <w:rPr>
                <w:b/>
              </w:rPr>
              <w:t>$</w:t>
            </w:r>
          </w:p>
        </w:tc>
      </w:tr>
    </w:tbl>
    <w:p>
      <w:pPr>
        <w:pStyle w:val="yMiscellaneousBody"/>
        <w:rPr>
          <w:b/>
          <w:bCs/>
        </w:rPr>
      </w:pPr>
      <w:r>
        <w:rPr>
          <w:b/>
          <w:bCs/>
        </w:rPr>
        <w:t>GENERAL PRACTITIONER</w:t>
      </w:r>
    </w:p>
    <w:p>
      <w:pPr>
        <w:pStyle w:val="yMiscellaneousBody"/>
      </w:pPr>
      <w:r>
        <w:t>CONSULTATIONS</w:t>
      </w:r>
    </w:p>
    <w:p>
      <w:pPr>
        <w:pStyle w:val="yMiscellaneousBody"/>
        <w:rPr>
          <w:u w:val="single"/>
        </w:rPr>
      </w:pPr>
      <w:r>
        <w:rPr>
          <w:u w:val="single"/>
        </w:rPr>
        <w:t>Surgery Consultation</w:t>
      </w:r>
    </w:p>
    <w:p>
      <w:pPr>
        <w:pStyle w:val="yMiscellaneousBody"/>
      </w:pPr>
      <w:r>
        <w:t>in hours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MiscellaneousBody"/>
              <w:rPr>
                <w:b/>
                <w:bCs/>
              </w:rPr>
            </w:pPr>
            <w:r>
              <w:rPr>
                <w:b/>
                <w:bCs/>
              </w:rPr>
              <w:t>Content based</w:t>
            </w:r>
          </w:p>
        </w:tc>
        <w:tc>
          <w:tcPr>
            <w:tcW w:w="1276" w:type="dxa"/>
          </w:tcPr>
          <w:p>
            <w:pPr>
              <w:pStyle w:val="yMiscellaneousBody"/>
              <w:ind w:right="172"/>
              <w:jc w:val="center"/>
              <w:rPr>
                <w:b/>
                <w:bCs/>
              </w:rPr>
            </w:pPr>
            <w:r>
              <w:rPr>
                <w:b/>
                <w:bCs/>
              </w:rPr>
              <w:t>$</w:t>
            </w:r>
          </w:p>
        </w:tc>
      </w:tr>
      <w:tr>
        <w:tc>
          <w:tcPr>
            <w:tcW w:w="5812" w:type="dxa"/>
          </w:tcPr>
          <w:p>
            <w:pPr>
              <w:pStyle w:val="yMiscellaneousBody"/>
            </w:pPr>
            <w:r>
              <w:tab/>
              <w:t>Minor or Specific Service (Level A or B)</w:t>
            </w:r>
          </w:p>
        </w:tc>
        <w:tc>
          <w:tcPr>
            <w:tcW w:w="1276" w:type="dxa"/>
          </w:tcPr>
          <w:p>
            <w:pPr>
              <w:pStyle w:val="yMiscellaneousBody"/>
              <w:ind w:right="172"/>
              <w:jc w:val="right"/>
            </w:pPr>
            <w:r>
              <w:t>58.35</w:t>
            </w:r>
          </w:p>
        </w:tc>
      </w:tr>
      <w:tr>
        <w:tc>
          <w:tcPr>
            <w:tcW w:w="5812" w:type="dxa"/>
          </w:tcPr>
          <w:p>
            <w:pPr>
              <w:pStyle w:val="yMiscellaneousBody"/>
            </w:pPr>
            <w:r>
              <w:tab/>
              <w:t>Extended Service (Level C)</w:t>
            </w:r>
          </w:p>
        </w:tc>
        <w:tc>
          <w:tcPr>
            <w:tcW w:w="1276" w:type="dxa"/>
          </w:tcPr>
          <w:p>
            <w:pPr>
              <w:pStyle w:val="yMiscellaneousBody"/>
              <w:ind w:right="172"/>
              <w:jc w:val="right"/>
            </w:pPr>
            <w:r>
              <w:t>106.65</w:t>
            </w:r>
          </w:p>
        </w:tc>
      </w:tr>
      <w:tr>
        <w:tc>
          <w:tcPr>
            <w:tcW w:w="5812" w:type="dxa"/>
          </w:tcPr>
          <w:p>
            <w:pPr>
              <w:pStyle w:val="yMiscellaneousBody"/>
            </w:pPr>
            <w:r>
              <w:tab/>
              <w:t>Comprehensive Service (Level D)</w:t>
            </w:r>
          </w:p>
        </w:tc>
        <w:tc>
          <w:tcPr>
            <w:tcW w:w="1276" w:type="dxa"/>
          </w:tcPr>
          <w:p>
            <w:pPr>
              <w:pStyle w:val="yMiscellaneousBody"/>
              <w:ind w:right="172"/>
              <w:jc w:val="right"/>
            </w:pPr>
            <w:r>
              <w:t>163.90</w:t>
            </w:r>
          </w:p>
        </w:tc>
      </w:tr>
      <w:tr>
        <w:tc>
          <w:tcPr>
            <w:tcW w:w="5812" w:type="dxa"/>
          </w:tcPr>
          <w:p>
            <w:pPr>
              <w:pStyle w:val="yMiscellaneousBody"/>
              <w:rPr>
                <w:b/>
                <w:bCs/>
              </w:rPr>
            </w:pPr>
            <w:r>
              <w:rPr>
                <w:b/>
                <w:bCs/>
              </w:rPr>
              <w:t>Time based</w:t>
            </w:r>
          </w:p>
        </w:tc>
        <w:tc>
          <w:tcPr>
            <w:tcW w:w="1276" w:type="dxa"/>
          </w:tcPr>
          <w:p>
            <w:pPr>
              <w:pStyle w:val="yMiscellaneousBody"/>
              <w:ind w:right="172"/>
              <w:jc w:val="center"/>
            </w:pPr>
            <w:r>
              <w:rPr>
                <w:b/>
                <w:bCs/>
              </w:rPr>
              <w:t>$</w:t>
            </w:r>
          </w:p>
        </w:tc>
      </w:tr>
      <w:tr>
        <w:tc>
          <w:tcPr>
            <w:tcW w:w="5812" w:type="dxa"/>
          </w:tcPr>
          <w:p>
            <w:pPr>
              <w:pStyle w:val="yMiscellaneousBody"/>
            </w:pPr>
            <w:r>
              <w:tab/>
              <w:t>up to 5 minutes</w:t>
            </w:r>
          </w:p>
        </w:tc>
        <w:tc>
          <w:tcPr>
            <w:tcW w:w="1276" w:type="dxa"/>
          </w:tcPr>
          <w:p>
            <w:pPr>
              <w:pStyle w:val="yMiscellaneousBody"/>
              <w:ind w:right="172"/>
              <w:jc w:val="right"/>
            </w:pPr>
            <w:r>
              <w:t>34.80</w:t>
            </w:r>
          </w:p>
        </w:tc>
      </w:tr>
      <w:tr>
        <w:tc>
          <w:tcPr>
            <w:tcW w:w="5812" w:type="dxa"/>
          </w:tcPr>
          <w:p>
            <w:pPr>
              <w:pStyle w:val="yMiscellaneousBody"/>
            </w:pPr>
            <w:r>
              <w:tab/>
              <w:t>more than 5 minutes to 15 minutes</w:t>
            </w:r>
          </w:p>
        </w:tc>
        <w:tc>
          <w:tcPr>
            <w:tcW w:w="1276" w:type="dxa"/>
          </w:tcPr>
          <w:p>
            <w:pPr>
              <w:pStyle w:val="yMiscellaneousBody"/>
              <w:ind w:right="172"/>
              <w:jc w:val="right"/>
            </w:pPr>
            <w:r>
              <w:t>45.40</w:t>
            </w:r>
          </w:p>
        </w:tc>
      </w:tr>
      <w:tr>
        <w:tc>
          <w:tcPr>
            <w:tcW w:w="5812" w:type="dxa"/>
          </w:tcPr>
          <w:p>
            <w:pPr>
              <w:pStyle w:val="yMiscellaneousBody"/>
            </w:pPr>
            <w:r>
              <w:tab/>
              <w:t>more than 15 minutes to 30 minutes</w:t>
            </w:r>
          </w:p>
        </w:tc>
        <w:tc>
          <w:tcPr>
            <w:tcW w:w="1276" w:type="dxa"/>
          </w:tcPr>
          <w:p>
            <w:pPr>
              <w:pStyle w:val="yMiscellaneousBody"/>
              <w:ind w:right="172"/>
              <w:jc w:val="right"/>
            </w:pPr>
            <w:r>
              <w:t>87.60</w:t>
            </w:r>
          </w:p>
        </w:tc>
      </w:tr>
      <w:tr>
        <w:tc>
          <w:tcPr>
            <w:tcW w:w="5812" w:type="dxa"/>
          </w:tcPr>
          <w:p>
            <w:pPr>
              <w:pStyle w:val="yMiscellaneousBody"/>
            </w:pPr>
            <w:r>
              <w:tab/>
              <w:t>more than 30 minutes to 45 minutes</w:t>
            </w:r>
          </w:p>
        </w:tc>
        <w:tc>
          <w:tcPr>
            <w:tcW w:w="1276" w:type="dxa"/>
          </w:tcPr>
          <w:p>
            <w:pPr>
              <w:pStyle w:val="yMiscellaneousBody"/>
              <w:ind w:right="172"/>
              <w:jc w:val="right"/>
            </w:pPr>
            <w:r>
              <w:t>132.50</w:t>
            </w:r>
          </w:p>
        </w:tc>
      </w:tr>
      <w:tr>
        <w:tc>
          <w:tcPr>
            <w:tcW w:w="5812" w:type="dxa"/>
          </w:tcPr>
          <w:p>
            <w:pPr>
              <w:pStyle w:val="yMiscellaneousBody"/>
            </w:pPr>
            <w:r>
              <w:tab/>
              <w:t>more than 45 minutes to 60 minutes</w:t>
            </w:r>
          </w:p>
        </w:tc>
        <w:tc>
          <w:tcPr>
            <w:tcW w:w="1276" w:type="dxa"/>
          </w:tcPr>
          <w:p>
            <w:pPr>
              <w:pStyle w:val="yMiscellaneousBody"/>
              <w:ind w:right="172"/>
              <w:jc w:val="right"/>
            </w:pPr>
            <w:r>
              <w:t>179.60</w:t>
            </w:r>
          </w:p>
        </w:tc>
      </w:tr>
    </w:tbl>
    <w:p>
      <w:pPr>
        <w:pStyle w:val="yMiscellaneousBody"/>
        <w:rPr>
          <w:u w:val="single"/>
        </w:rPr>
      </w:pPr>
      <w:r>
        <w:rPr>
          <w:u w:val="single"/>
        </w:rPr>
        <w:t>Surgery Consultations</w:t>
      </w:r>
    </w:p>
    <w:p>
      <w:pPr>
        <w:pStyle w:val="yMiscellaneousBody"/>
      </w:pPr>
      <w:r>
        <w:t>out of hours</w:t>
      </w:r>
    </w:p>
    <w:p>
      <w:pPr>
        <w:pStyle w:val="yMiscellaneousBody"/>
      </w:pPr>
      <w:r>
        <w:t>For attendances between the hours of 6 p.m. and 8 a.m. on a weekday or between 12 noon on Saturday and 8 a.m. on the following Monday, and Public Holiday.</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MiscellaneousBody"/>
              <w:rPr>
                <w:b/>
                <w:bCs/>
              </w:rPr>
            </w:pPr>
            <w:r>
              <w:br w:type="page"/>
            </w:r>
            <w:r>
              <w:rPr>
                <w:b/>
                <w:bCs/>
              </w:rPr>
              <w:t>Content based</w:t>
            </w:r>
          </w:p>
        </w:tc>
        <w:tc>
          <w:tcPr>
            <w:tcW w:w="1276" w:type="dxa"/>
          </w:tcPr>
          <w:p>
            <w:pPr>
              <w:pStyle w:val="yMiscellaneousBody"/>
              <w:ind w:right="172"/>
              <w:jc w:val="center"/>
            </w:pPr>
            <w:r>
              <w:rPr>
                <w:b/>
                <w:bCs/>
              </w:rPr>
              <w:t>$</w:t>
            </w:r>
          </w:p>
        </w:tc>
      </w:tr>
      <w:tr>
        <w:tc>
          <w:tcPr>
            <w:tcW w:w="5812" w:type="dxa"/>
          </w:tcPr>
          <w:p>
            <w:pPr>
              <w:pStyle w:val="yMiscellaneousBody"/>
            </w:pPr>
            <w:r>
              <w:tab/>
              <w:t>Minor Service (Level A)</w:t>
            </w:r>
          </w:p>
        </w:tc>
        <w:tc>
          <w:tcPr>
            <w:tcW w:w="1276" w:type="dxa"/>
          </w:tcPr>
          <w:p>
            <w:pPr>
              <w:pStyle w:val="yMiscellaneousBody"/>
              <w:ind w:right="172"/>
              <w:jc w:val="right"/>
            </w:pPr>
            <w:r>
              <w:t>43.80</w:t>
            </w:r>
          </w:p>
        </w:tc>
      </w:tr>
      <w:tr>
        <w:tc>
          <w:tcPr>
            <w:tcW w:w="5812" w:type="dxa"/>
          </w:tcPr>
          <w:p>
            <w:pPr>
              <w:pStyle w:val="yMiscellaneousBody"/>
            </w:pPr>
            <w:r>
              <w:tab/>
              <w:t>Specific Service (Level B)</w:t>
            </w:r>
          </w:p>
        </w:tc>
        <w:tc>
          <w:tcPr>
            <w:tcW w:w="1276" w:type="dxa"/>
          </w:tcPr>
          <w:p>
            <w:pPr>
              <w:pStyle w:val="yMiscellaneousBody"/>
              <w:ind w:right="172"/>
              <w:jc w:val="right"/>
            </w:pPr>
            <w:r>
              <w:t>87.60</w:t>
            </w:r>
          </w:p>
        </w:tc>
      </w:tr>
      <w:tr>
        <w:tc>
          <w:tcPr>
            <w:tcW w:w="5812" w:type="dxa"/>
          </w:tcPr>
          <w:p>
            <w:pPr>
              <w:pStyle w:val="yMiscellaneousBody"/>
            </w:pPr>
            <w:r>
              <w:tab/>
              <w:t>Extended Service (Level C)</w:t>
            </w:r>
          </w:p>
        </w:tc>
        <w:tc>
          <w:tcPr>
            <w:tcW w:w="1276" w:type="dxa"/>
          </w:tcPr>
          <w:p>
            <w:pPr>
              <w:pStyle w:val="yMiscellaneousBody"/>
              <w:ind w:right="172"/>
              <w:jc w:val="right"/>
            </w:pPr>
            <w:r>
              <w:t>159.50</w:t>
            </w:r>
          </w:p>
        </w:tc>
      </w:tr>
      <w:tr>
        <w:tc>
          <w:tcPr>
            <w:tcW w:w="5812" w:type="dxa"/>
          </w:tcPr>
          <w:p>
            <w:pPr>
              <w:pStyle w:val="yMiscellaneousBody"/>
            </w:pPr>
            <w:r>
              <w:tab/>
              <w:t>Comprehensive Service (Level D)</w:t>
            </w:r>
          </w:p>
        </w:tc>
        <w:tc>
          <w:tcPr>
            <w:tcW w:w="1276" w:type="dxa"/>
          </w:tcPr>
          <w:p>
            <w:pPr>
              <w:pStyle w:val="yMiscellaneousBody"/>
              <w:ind w:right="172"/>
              <w:jc w:val="right"/>
            </w:pPr>
            <w:r>
              <w:t>246.95</w:t>
            </w:r>
          </w:p>
        </w:tc>
      </w:tr>
      <w:tr>
        <w:tc>
          <w:tcPr>
            <w:tcW w:w="5812" w:type="dxa"/>
          </w:tcPr>
          <w:p>
            <w:pPr>
              <w:pStyle w:val="yMiscellaneousBody"/>
              <w:rPr>
                <w:b/>
                <w:bCs/>
              </w:rPr>
            </w:pPr>
            <w:r>
              <w:rPr>
                <w:b/>
                <w:bCs/>
              </w:rPr>
              <w:t>Time based</w:t>
            </w:r>
          </w:p>
        </w:tc>
        <w:tc>
          <w:tcPr>
            <w:tcW w:w="1276" w:type="dxa"/>
          </w:tcPr>
          <w:p>
            <w:pPr>
              <w:pStyle w:val="yMiscellaneousBody"/>
              <w:ind w:right="172"/>
              <w:jc w:val="center"/>
            </w:pPr>
            <w:r>
              <w:rPr>
                <w:b/>
                <w:bCs/>
              </w:rPr>
              <w:t>$</w:t>
            </w:r>
          </w:p>
        </w:tc>
      </w:tr>
      <w:tr>
        <w:tc>
          <w:tcPr>
            <w:tcW w:w="5812" w:type="dxa"/>
          </w:tcPr>
          <w:p>
            <w:pPr>
              <w:pStyle w:val="yMiscellaneousBody"/>
            </w:pPr>
            <w:r>
              <w:tab/>
              <w:t>up to 5 minutes</w:t>
            </w:r>
          </w:p>
        </w:tc>
        <w:tc>
          <w:tcPr>
            <w:tcW w:w="1276" w:type="dxa"/>
          </w:tcPr>
          <w:p>
            <w:pPr>
              <w:pStyle w:val="yMiscellaneousBody"/>
              <w:ind w:right="172"/>
              <w:jc w:val="right"/>
            </w:pPr>
            <w:r>
              <w:t>69.35</w:t>
            </w:r>
          </w:p>
        </w:tc>
      </w:tr>
      <w:tr>
        <w:tc>
          <w:tcPr>
            <w:tcW w:w="5812" w:type="dxa"/>
          </w:tcPr>
          <w:p>
            <w:pPr>
              <w:pStyle w:val="yMiscellaneousBody"/>
            </w:pPr>
            <w:r>
              <w:tab/>
              <w:t>more than 5 minutes to 15 minutes</w:t>
            </w:r>
          </w:p>
        </w:tc>
        <w:tc>
          <w:tcPr>
            <w:tcW w:w="1276" w:type="dxa"/>
          </w:tcPr>
          <w:p>
            <w:pPr>
              <w:pStyle w:val="yMiscellaneousBody"/>
              <w:ind w:right="172"/>
              <w:jc w:val="right"/>
            </w:pPr>
            <w:r>
              <w:t>75.25</w:t>
            </w:r>
          </w:p>
        </w:tc>
      </w:tr>
      <w:tr>
        <w:tc>
          <w:tcPr>
            <w:tcW w:w="5812" w:type="dxa"/>
          </w:tcPr>
          <w:p>
            <w:pPr>
              <w:pStyle w:val="yMiscellaneousBody"/>
            </w:pPr>
            <w:r>
              <w:tab/>
              <w:t>more than 15 minutes to 30 minutes</w:t>
            </w:r>
          </w:p>
        </w:tc>
        <w:tc>
          <w:tcPr>
            <w:tcW w:w="1276" w:type="dxa"/>
          </w:tcPr>
          <w:p>
            <w:pPr>
              <w:pStyle w:val="yMiscellaneousBody"/>
              <w:ind w:right="172"/>
              <w:jc w:val="right"/>
            </w:pPr>
            <w:r>
              <w:t>116.70</w:t>
            </w:r>
          </w:p>
        </w:tc>
      </w:tr>
      <w:tr>
        <w:tc>
          <w:tcPr>
            <w:tcW w:w="5812" w:type="dxa"/>
          </w:tcPr>
          <w:p>
            <w:pPr>
              <w:pStyle w:val="yMiscellaneousBody"/>
            </w:pPr>
            <w:r>
              <w:tab/>
              <w:t>more than 30 minutes</w:t>
            </w:r>
          </w:p>
        </w:tc>
        <w:tc>
          <w:tcPr>
            <w:tcW w:w="1276" w:type="dxa"/>
          </w:tcPr>
          <w:p>
            <w:pPr>
              <w:pStyle w:val="yMiscellaneousBody"/>
              <w:ind w:right="172"/>
              <w:jc w:val="right"/>
            </w:pPr>
            <w:r>
              <w:t>159.50</w:t>
            </w:r>
          </w:p>
        </w:tc>
      </w:tr>
    </w:tbl>
    <w:p>
      <w:pPr>
        <w:pStyle w:val="yMiscellaneousBody"/>
      </w:pPr>
      <w:r>
        <w:t>VISITS</w:t>
      </w:r>
    </w:p>
    <w:p>
      <w:pPr>
        <w:pStyle w:val="yMiscellaneousBody"/>
        <w:rPr>
          <w:u w:val="single"/>
        </w:rPr>
      </w:pPr>
      <w:r>
        <w:rPr>
          <w:u w:val="single"/>
        </w:rPr>
        <w:t>Consultations at a place other than the Consulting Rooms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MiscellaneousBody"/>
            </w:pPr>
            <w:r>
              <w:t>in hours</w:t>
            </w:r>
          </w:p>
        </w:tc>
        <w:tc>
          <w:tcPr>
            <w:tcW w:w="1276" w:type="dxa"/>
          </w:tcPr>
          <w:p>
            <w:pPr>
              <w:pStyle w:val="yMiscellaneousBody"/>
              <w:ind w:right="172"/>
              <w:jc w:val="center"/>
            </w:pPr>
            <w:r>
              <w:rPr>
                <w:b/>
                <w:bCs/>
              </w:rPr>
              <w:t>$</w:t>
            </w:r>
          </w:p>
        </w:tc>
      </w:tr>
      <w:tr>
        <w:tc>
          <w:tcPr>
            <w:tcW w:w="5812" w:type="dxa"/>
          </w:tcPr>
          <w:p>
            <w:pPr>
              <w:pStyle w:val="yMiscellaneousBody"/>
            </w:pPr>
            <w:r>
              <w:tab/>
              <w:t>Minor Service (Level A)</w:t>
            </w:r>
          </w:p>
        </w:tc>
        <w:tc>
          <w:tcPr>
            <w:tcW w:w="1276" w:type="dxa"/>
          </w:tcPr>
          <w:p>
            <w:pPr>
              <w:pStyle w:val="yMiscellaneousBody"/>
              <w:ind w:right="172"/>
              <w:jc w:val="right"/>
            </w:pPr>
            <w:r>
              <w:t>73.05</w:t>
            </w:r>
          </w:p>
        </w:tc>
      </w:tr>
      <w:tr>
        <w:tc>
          <w:tcPr>
            <w:tcW w:w="5812" w:type="dxa"/>
          </w:tcPr>
          <w:p>
            <w:pPr>
              <w:pStyle w:val="yMiscellaneousBody"/>
            </w:pPr>
            <w:r>
              <w:tab/>
              <w:t>Specific Service (Level B)</w:t>
            </w:r>
          </w:p>
        </w:tc>
        <w:tc>
          <w:tcPr>
            <w:tcW w:w="1276" w:type="dxa"/>
          </w:tcPr>
          <w:p>
            <w:pPr>
              <w:pStyle w:val="yMiscellaneousBody"/>
              <w:ind w:right="172"/>
              <w:jc w:val="right"/>
            </w:pPr>
            <w:r>
              <w:t>99.85</w:t>
            </w:r>
          </w:p>
        </w:tc>
      </w:tr>
      <w:tr>
        <w:tc>
          <w:tcPr>
            <w:tcW w:w="5812" w:type="dxa"/>
          </w:tcPr>
          <w:p>
            <w:pPr>
              <w:pStyle w:val="yMiscellaneousBody"/>
            </w:pPr>
            <w:r>
              <w:tab/>
              <w:t>Extended Service (Level C)</w:t>
            </w:r>
          </w:p>
        </w:tc>
        <w:tc>
          <w:tcPr>
            <w:tcW w:w="1276" w:type="dxa"/>
          </w:tcPr>
          <w:p>
            <w:pPr>
              <w:pStyle w:val="yMiscellaneousBody"/>
              <w:ind w:right="172"/>
              <w:jc w:val="right"/>
            </w:pPr>
            <w:r>
              <w:t>148.20</w:t>
            </w:r>
          </w:p>
        </w:tc>
      </w:tr>
      <w:tr>
        <w:tc>
          <w:tcPr>
            <w:tcW w:w="5812" w:type="dxa"/>
          </w:tcPr>
          <w:p>
            <w:pPr>
              <w:pStyle w:val="yMiscellaneousBody"/>
            </w:pPr>
            <w:r>
              <w:tab/>
              <w:t>Comprehensive Service (Level D)</w:t>
            </w:r>
          </w:p>
        </w:tc>
        <w:tc>
          <w:tcPr>
            <w:tcW w:w="1276" w:type="dxa"/>
          </w:tcPr>
          <w:p>
            <w:pPr>
              <w:pStyle w:val="yMiscellaneousBody"/>
              <w:ind w:right="172"/>
              <w:jc w:val="right"/>
            </w:pPr>
            <w:r>
              <w:t>206.55</w:t>
            </w:r>
          </w:p>
        </w:tc>
      </w:tr>
      <w:tr>
        <w:tc>
          <w:tcPr>
            <w:tcW w:w="5812" w:type="dxa"/>
          </w:tcPr>
          <w:p>
            <w:pPr>
              <w:pStyle w:val="yMiscellaneousBody"/>
            </w:pPr>
            <w:r>
              <w:t>out of hours</w:t>
            </w:r>
          </w:p>
        </w:tc>
        <w:tc>
          <w:tcPr>
            <w:tcW w:w="1276" w:type="dxa"/>
          </w:tcPr>
          <w:p>
            <w:pPr>
              <w:pStyle w:val="yMiscellaneousBody"/>
              <w:ind w:right="172"/>
              <w:jc w:val="center"/>
            </w:pPr>
            <w:r>
              <w:rPr>
                <w:b/>
                <w:bCs/>
              </w:rPr>
              <w:t>$</w:t>
            </w:r>
          </w:p>
        </w:tc>
      </w:tr>
      <w:tr>
        <w:tc>
          <w:tcPr>
            <w:tcW w:w="5812" w:type="dxa"/>
          </w:tcPr>
          <w:p>
            <w:pPr>
              <w:pStyle w:val="yMiscellaneousBody"/>
            </w:pPr>
            <w:r>
              <w:tab/>
              <w:t>Minor Service (Level A)</w:t>
            </w:r>
          </w:p>
        </w:tc>
        <w:tc>
          <w:tcPr>
            <w:tcW w:w="1276" w:type="dxa"/>
          </w:tcPr>
          <w:p>
            <w:pPr>
              <w:pStyle w:val="yMiscellaneousBody"/>
              <w:ind w:right="172"/>
              <w:jc w:val="right"/>
            </w:pPr>
            <w:r>
              <w:t>87.60</w:t>
            </w:r>
          </w:p>
        </w:tc>
      </w:tr>
      <w:tr>
        <w:tc>
          <w:tcPr>
            <w:tcW w:w="5812" w:type="dxa"/>
          </w:tcPr>
          <w:p>
            <w:pPr>
              <w:pStyle w:val="yMiscellaneousBody"/>
            </w:pPr>
            <w:r>
              <w:tab/>
              <w:t>Specific Service (Level B)</w:t>
            </w:r>
          </w:p>
        </w:tc>
        <w:tc>
          <w:tcPr>
            <w:tcW w:w="1276" w:type="dxa"/>
          </w:tcPr>
          <w:p>
            <w:pPr>
              <w:pStyle w:val="yMiscellaneousBody"/>
              <w:ind w:right="172"/>
              <w:jc w:val="right"/>
            </w:pPr>
            <w:r>
              <w:t>130.25</w:t>
            </w:r>
          </w:p>
        </w:tc>
      </w:tr>
      <w:tr>
        <w:tc>
          <w:tcPr>
            <w:tcW w:w="5812" w:type="dxa"/>
          </w:tcPr>
          <w:p>
            <w:pPr>
              <w:pStyle w:val="yMiscellaneousBody"/>
            </w:pPr>
            <w:r>
              <w:tab/>
              <w:t>Extended Service (Level C)</w:t>
            </w:r>
          </w:p>
        </w:tc>
        <w:tc>
          <w:tcPr>
            <w:tcW w:w="1276" w:type="dxa"/>
          </w:tcPr>
          <w:p>
            <w:pPr>
              <w:pStyle w:val="yMiscellaneousBody"/>
              <w:ind w:right="172"/>
              <w:jc w:val="right"/>
            </w:pPr>
            <w:r>
              <w:t>199.85</w:t>
            </w:r>
          </w:p>
        </w:tc>
      </w:tr>
      <w:tr>
        <w:tc>
          <w:tcPr>
            <w:tcW w:w="5812" w:type="dxa"/>
          </w:tcPr>
          <w:p>
            <w:pPr>
              <w:pStyle w:val="yMiscellaneousBody"/>
            </w:pPr>
            <w:r>
              <w:tab/>
              <w:t>Comprehensive Service (Level D)</w:t>
            </w:r>
          </w:p>
        </w:tc>
        <w:tc>
          <w:tcPr>
            <w:tcW w:w="1276" w:type="dxa"/>
          </w:tcPr>
          <w:p>
            <w:pPr>
              <w:pStyle w:val="yMiscellaneousBody"/>
              <w:ind w:right="172"/>
              <w:jc w:val="right"/>
            </w:pPr>
            <w:r>
              <w:t>291.90</w:t>
            </w:r>
          </w:p>
        </w:tc>
      </w:tr>
    </w:tbl>
    <w:p>
      <w:pPr>
        <w:pStyle w:val="yMiscellaneousBody"/>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MiscellaneousBody"/>
              <w:rPr>
                <w:b/>
                <w:bCs/>
              </w:rPr>
            </w:pPr>
            <w:r>
              <w:rPr>
                <w:b/>
                <w:bCs/>
              </w:rPr>
              <w:t>Time based</w:t>
            </w:r>
          </w:p>
        </w:tc>
        <w:tc>
          <w:tcPr>
            <w:tcW w:w="1276" w:type="dxa"/>
          </w:tcPr>
          <w:p>
            <w:pPr>
              <w:pStyle w:val="yMiscellaneousBody"/>
              <w:ind w:right="172"/>
              <w:jc w:val="center"/>
            </w:pPr>
            <w:r>
              <w:rPr>
                <w:b/>
                <w:bCs/>
              </w:rPr>
              <w:t>$</w:t>
            </w:r>
          </w:p>
        </w:tc>
      </w:tr>
      <w:tr>
        <w:tc>
          <w:tcPr>
            <w:tcW w:w="5812" w:type="dxa"/>
          </w:tcPr>
          <w:p>
            <w:pPr>
              <w:pStyle w:val="yMiscellaneousBody"/>
            </w:pPr>
            <w:r>
              <w:tab/>
              <w:t>up to 5 minutes</w:t>
            </w:r>
          </w:p>
        </w:tc>
        <w:tc>
          <w:tcPr>
            <w:tcW w:w="1276" w:type="dxa"/>
          </w:tcPr>
          <w:p>
            <w:pPr>
              <w:pStyle w:val="yMiscellaneousBody"/>
              <w:ind w:right="226"/>
              <w:jc w:val="right"/>
            </w:pPr>
            <w:r>
              <w:t>19.50</w:t>
            </w:r>
          </w:p>
        </w:tc>
      </w:tr>
      <w:tr>
        <w:tc>
          <w:tcPr>
            <w:tcW w:w="5812" w:type="dxa"/>
          </w:tcPr>
          <w:p>
            <w:pPr>
              <w:pStyle w:val="yMiscellaneousBody"/>
            </w:pPr>
            <w:r>
              <w:tab/>
              <w:t>more than 5 minutes to 15 minutes</w:t>
            </w:r>
          </w:p>
        </w:tc>
        <w:tc>
          <w:tcPr>
            <w:tcW w:w="1276" w:type="dxa"/>
          </w:tcPr>
          <w:p>
            <w:pPr>
              <w:pStyle w:val="yMiscellaneousBody"/>
              <w:ind w:right="226"/>
              <w:jc w:val="right"/>
            </w:pPr>
            <w:r>
              <w:t>24.40</w:t>
            </w:r>
          </w:p>
        </w:tc>
      </w:tr>
      <w:tr>
        <w:tc>
          <w:tcPr>
            <w:tcW w:w="5812" w:type="dxa"/>
          </w:tcPr>
          <w:p>
            <w:pPr>
              <w:pStyle w:val="yMiscellaneousBody"/>
            </w:pPr>
            <w:r>
              <w:tab/>
              <w:t>more than 15 minutes to 30 minutes</w:t>
            </w:r>
          </w:p>
        </w:tc>
        <w:tc>
          <w:tcPr>
            <w:tcW w:w="1276" w:type="dxa"/>
          </w:tcPr>
          <w:p>
            <w:pPr>
              <w:pStyle w:val="yMiscellaneousBody"/>
              <w:ind w:right="226"/>
              <w:jc w:val="right"/>
            </w:pPr>
            <w:r>
              <w:t>51.05</w:t>
            </w:r>
          </w:p>
        </w:tc>
      </w:tr>
      <w:tr>
        <w:tc>
          <w:tcPr>
            <w:tcW w:w="5812" w:type="dxa"/>
          </w:tcPr>
          <w:p>
            <w:pPr>
              <w:pStyle w:val="yMiscellaneousBody"/>
            </w:pPr>
            <w:r>
              <w:tab/>
              <w:t>more than 30 minutes</w:t>
            </w:r>
          </w:p>
        </w:tc>
        <w:tc>
          <w:tcPr>
            <w:tcW w:w="1276" w:type="dxa"/>
          </w:tcPr>
          <w:p>
            <w:pPr>
              <w:pStyle w:val="yMiscellaneousBody"/>
              <w:ind w:right="226"/>
              <w:jc w:val="right"/>
            </w:pPr>
            <w:r>
              <w:t>76.50</w:t>
            </w:r>
          </w:p>
        </w:tc>
      </w:tr>
    </w:tbl>
    <w:p>
      <w:pPr>
        <w:pStyle w:val="yMiscellaneousBody"/>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MiscellaneousBody"/>
            </w:pPr>
            <w:r>
              <w:t>per hour</w:t>
            </w:r>
          </w:p>
        </w:tc>
        <w:tc>
          <w:tcPr>
            <w:tcW w:w="1276" w:type="dxa"/>
          </w:tcPr>
          <w:p>
            <w:pPr>
              <w:pStyle w:val="yMiscellaneousBody"/>
              <w:ind w:right="172"/>
              <w:jc w:val="right"/>
            </w:pPr>
            <w:r>
              <w:t>$219.55</w:t>
            </w:r>
          </w:p>
        </w:tc>
      </w:tr>
      <w:tr>
        <w:tc>
          <w:tcPr>
            <w:tcW w:w="5812" w:type="dxa"/>
          </w:tcPr>
          <w:p>
            <w:pPr>
              <w:pStyle w:val="yMiscellaneousBody"/>
            </w:pPr>
            <w:r>
              <w:t>TRAVELLING FEES</w:t>
            </w:r>
          </w:p>
          <w:p>
            <w:pPr>
              <w:pStyle w:val="yMiscellaneousBody"/>
            </w:pPr>
            <w:r>
              <w:tab/>
              <w:t>Rate per kilometre</w:t>
            </w:r>
          </w:p>
        </w:tc>
        <w:tc>
          <w:tcPr>
            <w:tcW w:w="1276" w:type="dxa"/>
          </w:tcPr>
          <w:p>
            <w:pPr>
              <w:pStyle w:val="yMiscellaneousBody"/>
              <w:ind w:right="172"/>
              <w:jc w:val="right"/>
            </w:pPr>
          </w:p>
          <w:p>
            <w:pPr>
              <w:pStyle w:val="yMiscellaneousBody"/>
              <w:ind w:right="172"/>
              <w:jc w:val="right"/>
            </w:pPr>
            <w:r>
              <w:t>$3.90</w:t>
            </w:r>
          </w:p>
        </w:tc>
      </w:tr>
    </w:tbl>
    <w:p>
      <w:pPr>
        <w:pStyle w:val="yMiscellaneousBody"/>
        <w:rPr>
          <w:b/>
          <w:bCs/>
        </w:rPr>
      </w:pPr>
      <w:r>
        <w:rPr>
          <w:b/>
          <w:bCs/>
        </w:rPr>
        <w:t>PHYSICIANS, OCCUPATIONAL PHYSICIANS &amp; REHABILITATION PHYSICIANS</w:t>
      </w:r>
    </w:p>
    <w:p>
      <w:pPr>
        <w:pStyle w:val="yMiscellaneousBody"/>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MiscellaneousBody"/>
            </w:pPr>
            <w:r>
              <w:rPr>
                <w:u w:val="single"/>
              </w:rPr>
              <w:t>Professional attendance at consulting rooms and issue of certificate (if required) et al.</w:t>
            </w:r>
          </w:p>
        </w:tc>
        <w:tc>
          <w:tcPr>
            <w:tcW w:w="1276" w:type="dxa"/>
          </w:tcPr>
          <w:p>
            <w:pPr>
              <w:pStyle w:val="yMiscellaneousBody"/>
              <w:ind w:right="172"/>
              <w:jc w:val="center"/>
            </w:pPr>
            <w:r>
              <w:br/>
            </w:r>
            <w:r>
              <w:rPr>
                <w:b/>
                <w:bCs/>
              </w:rPr>
              <w:t>$</w:t>
            </w:r>
          </w:p>
        </w:tc>
      </w:tr>
      <w:tr>
        <w:tc>
          <w:tcPr>
            <w:tcW w:w="5812" w:type="dxa"/>
          </w:tcPr>
          <w:p>
            <w:pPr>
              <w:pStyle w:val="yMiscellaneousBody"/>
            </w:pPr>
            <w:r>
              <w:t>first attendance</w:t>
            </w:r>
          </w:p>
        </w:tc>
        <w:tc>
          <w:tcPr>
            <w:tcW w:w="1276" w:type="dxa"/>
          </w:tcPr>
          <w:p>
            <w:pPr>
              <w:pStyle w:val="yMiscellaneousBody"/>
              <w:ind w:right="172"/>
              <w:jc w:val="right"/>
            </w:pPr>
            <w:r>
              <w:t>225.35</w:t>
            </w:r>
          </w:p>
        </w:tc>
      </w:tr>
      <w:tr>
        <w:tc>
          <w:tcPr>
            <w:tcW w:w="5812" w:type="dxa"/>
          </w:tcPr>
          <w:p>
            <w:pPr>
              <w:pStyle w:val="yMiscellaneousBody"/>
            </w:pPr>
            <w:r>
              <w:t>subsequent attendances</w:t>
            </w:r>
          </w:p>
        </w:tc>
        <w:tc>
          <w:tcPr>
            <w:tcW w:w="1276" w:type="dxa"/>
          </w:tcPr>
          <w:p>
            <w:pPr>
              <w:pStyle w:val="yMiscellaneousBody"/>
              <w:ind w:right="172"/>
              <w:jc w:val="right"/>
            </w:pPr>
            <w:r>
              <w:t>110.90</w:t>
            </w:r>
          </w:p>
        </w:tc>
      </w:tr>
    </w:tbl>
    <w:p>
      <w:pPr>
        <w:pStyle w:val="yMiscellaneousBody"/>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MiscellaneousBody"/>
            </w:pPr>
            <w:r>
              <w:rPr>
                <w:u w:val="single"/>
              </w:rPr>
              <w:t>Professional attendance at a place other than consulting rooms and issue of certificate (if required) et al.</w:t>
            </w:r>
          </w:p>
        </w:tc>
        <w:tc>
          <w:tcPr>
            <w:tcW w:w="1276" w:type="dxa"/>
          </w:tcPr>
          <w:p>
            <w:pPr>
              <w:pStyle w:val="yMiscellaneousBody"/>
              <w:ind w:right="172"/>
              <w:jc w:val="center"/>
            </w:pPr>
            <w:r>
              <w:rPr>
                <w:b/>
                <w:bCs/>
              </w:rPr>
              <w:t>$</w:t>
            </w:r>
          </w:p>
        </w:tc>
      </w:tr>
      <w:tr>
        <w:tc>
          <w:tcPr>
            <w:tcW w:w="5812" w:type="dxa"/>
          </w:tcPr>
          <w:p>
            <w:pPr>
              <w:pStyle w:val="yMiscellaneousBody"/>
            </w:pPr>
            <w:r>
              <w:t>first attendance</w:t>
            </w:r>
          </w:p>
        </w:tc>
        <w:tc>
          <w:tcPr>
            <w:tcW w:w="1276" w:type="dxa"/>
          </w:tcPr>
          <w:p>
            <w:pPr>
              <w:pStyle w:val="yMiscellaneousBody"/>
              <w:ind w:right="172"/>
              <w:jc w:val="right"/>
            </w:pPr>
            <w:r>
              <w:t>265.50</w:t>
            </w:r>
          </w:p>
        </w:tc>
      </w:tr>
      <w:tr>
        <w:tc>
          <w:tcPr>
            <w:tcW w:w="5812" w:type="dxa"/>
          </w:tcPr>
          <w:p>
            <w:pPr>
              <w:pStyle w:val="yMiscellaneousBody"/>
            </w:pPr>
            <w:r>
              <w:t>subsequent attendances</w:t>
            </w:r>
          </w:p>
        </w:tc>
        <w:tc>
          <w:tcPr>
            <w:tcW w:w="1276" w:type="dxa"/>
          </w:tcPr>
          <w:p>
            <w:pPr>
              <w:pStyle w:val="yMiscellaneousBody"/>
              <w:ind w:right="172"/>
              <w:jc w:val="right"/>
            </w:pPr>
            <w:r>
              <w:t>153.20</w:t>
            </w:r>
          </w:p>
        </w:tc>
      </w:tr>
    </w:tbl>
    <w:p>
      <w:pPr>
        <w:pStyle w:val="yMiscellaneousBody"/>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MiscellaneousBody"/>
              <w:rPr>
                <w:b/>
                <w:bCs/>
              </w:rPr>
            </w:pPr>
            <w:r>
              <w:rPr>
                <w:b/>
                <w:bCs/>
              </w:rPr>
              <w:t>Time based</w:t>
            </w:r>
          </w:p>
        </w:tc>
        <w:tc>
          <w:tcPr>
            <w:tcW w:w="1276" w:type="dxa"/>
          </w:tcPr>
          <w:p>
            <w:pPr>
              <w:pStyle w:val="yMiscellaneousBody"/>
              <w:ind w:right="172"/>
              <w:jc w:val="center"/>
            </w:pPr>
            <w:r>
              <w:rPr>
                <w:b/>
                <w:bCs/>
              </w:rPr>
              <w:t>$</w:t>
            </w:r>
          </w:p>
        </w:tc>
      </w:tr>
      <w:tr>
        <w:tc>
          <w:tcPr>
            <w:tcW w:w="5812" w:type="dxa"/>
          </w:tcPr>
          <w:p>
            <w:pPr>
              <w:pStyle w:val="yMiscellaneousBody"/>
            </w:pPr>
            <w:r>
              <w:tab/>
              <w:t>up to 5 minutes</w:t>
            </w:r>
          </w:p>
        </w:tc>
        <w:tc>
          <w:tcPr>
            <w:tcW w:w="1276" w:type="dxa"/>
          </w:tcPr>
          <w:p>
            <w:pPr>
              <w:pStyle w:val="yMiscellaneousBody"/>
              <w:ind w:right="172"/>
              <w:jc w:val="right"/>
            </w:pPr>
            <w:r>
              <w:t>29.10</w:t>
            </w:r>
          </w:p>
        </w:tc>
      </w:tr>
      <w:tr>
        <w:tc>
          <w:tcPr>
            <w:tcW w:w="5812" w:type="dxa"/>
          </w:tcPr>
          <w:p>
            <w:pPr>
              <w:pStyle w:val="yMiscellaneousBody"/>
            </w:pPr>
            <w:r>
              <w:tab/>
              <w:t>more than 5 minutes to 15 minutes</w:t>
            </w:r>
          </w:p>
        </w:tc>
        <w:tc>
          <w:tcPr>
            <w:tcW w:w="1276" w:type="dxa"/>
          </w:tcPr>
          <w:p>
            <w:pPr>
              <w:pStyle w:val="yMiscellaneousBody"/>
              <w:ind w:right="172"/>
              <w:jc w:val="right"/>
            </w:pPr>
            <w:r>
              <w:t>35.90</w:t>
            </w:r>
          </w:p>
        </w:tc>
      </w:tr>
      <w:tr>
        <w:tc>
          <w:tcPr>
            <w:tcW w:w="5812" w:type="dxa"/>
          </w:tcPr>
          <w:p>
            <w:pPr>
              <w:pStyle w:val="yMiscellaneousBody"/>
            </w:pPr>
            <w:r>
              <w:tab/>
              <w:t>more than 15 minutes to 30 minutes</w:t>
            </w:r>
          </w:p>
        </w:tc>
        <w:tc>
          <w:tcPr>
            <w:tcW w:w="1276" w:type="dxa"/>
          </w:tcPr>
          <w:p>
            <w:pPr>
              <w:pStyle w:val="yMiscellaneousBody"/>
              <w:ind w:right="172"/>
              <w:jc w:val="right"/>
            </w:pPr>
            <w:r>
              <w:t>75.00</w:t>
            </w:r>
          </w:p>
        </w:tc>
      </w:tr>
      <w:tr>
        <w:tc>
          <w:tcPr>
            <w:tcW w:w="5812" w:type="dxa"/>
          </w:tcPr>
          <w:p>
            <w:pPr>
              <w:pStyle w:val="yMiscellaneousBody"/>
            </w:pPr>
            <w:r>
              <w:tab/>
              <w:t>more than 30 minutes</w:t>
            </w:r>
          </w:p>
        </w:tc>
        <w:tc>
          <w:tcPr>
            <w:tcW w:w="1276" w:type="dxa"/>
          </w:tcPr>
          <w:p>
            <w:pPr>
              <w:pStyle w:val="yMiscellaneousBody"/>
              <w:ind w:right="172"/>
              <w:jc w:val="right"/>
            </w:pPr>
            <w:r>
              <w:t>113.25</w:t>
            </w:r>
          </w:p>
        </w:tc>
      </w:tr>
    </w:tbl>
    <w:p>
      <w:pPr>
        <w:pStyle w:val="yMiscellaneousBody"/>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MiscellaneousBody"/>
            </w:pPr>
            <w:r>
              <w:t>per hour</w:t>
            </w:r>
          </w:p>
        </w:tc>
        <w:tc>
          <w:tcPr>
            <w:tcW w:w="1276" w:type="dxa"/>
          </w:tcPr>
          <w:p>
            <w:pPr>
              <w:pStyle w:val="yMiscellaneousBody"/>
              <w:ind w:right="172"/>
              <w:jc w:val="right"/>
            </w:pPr>
            <w:r>
              <w:t>$325.55</w:t>
            </w:r>
          </w:p>
        </w:tc>
      </w:tr>
    </w:tbl>
    <w:p>
      <w:pPr>
        <w:pStyle w:val="yMiscellaneousBody"/>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MiscellaneousBody"/>
            </w:pPr>
            <w:r>
              <w:t>Rate per kilometre</w:t>
            </w:r>
          </w:p>
        </w:tc>
        <w:tc>
          <w:tcPr>
            <w:tcW w:w="1276" w:type="dxa"/>
          </w:tcPr>
          <w:p>
            <w:pPr>
              <w:pStyle w:val="yMiscellaneousBody"/>
              <w:ind w:right="172"/>
              <w:jc w:val="right"/>
            </w:pPr>
            <w:r>
              <w:t>$3.90</w:t>
            </w:r>
          </w:p>
        </w:tc>
      </w:tr>
    </w:tbl>
    <w:p>
      <w:pPr>
        <w:pStyle w:val="yMiscellaneousBody"/>
        <w:rPr>
          <w:b/>
          <w:bCs/>
        </w:rPr>
      </w:pPr>
      <w:r>
        <w:rPr>
          <w:b/>
          <w:bCs/>
        </w:rPr>
        <w:t>CONSULTANT PSYCHIATRISTS</w:t>
      </w:r>
    </w:p>
    <w:p>
      <w:pPr>
        <w:pStyle w:val="yMiscellaneousBody"/>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MiscellaneousBody"/>
            </w:pPr>
            <w:r>
              <w:rPr>
                <w:u w:val="single"/>
              </w:rPr>
              <w:t>Professional attendance at consulting rooms and issue of certificate (if required) et al.</w:t>
            </w:r>
          </w:p>
        </w:tc>
        <w:tc>
          <w:tcPr>
            <w:tcW w:w="1276" w:type="dxa"/>
          </w:tcPr>
          <w:p>
            <w:pPr>
              <w:pStyle w:val="yMiscellaneousBody"/>
              <w:ind w:right="172"/>
              <w:jc w:val="right"/>
            </w:pPr>
          </w:p>
        </w:tc>
      </w:tr>
      <w:tr>
        <w:tc>
          <w:tcPr>
            <w:tcW w:w="5812" w:type="dxa"/>
          </w:tcPr>
          <w:p>
            <w:pPr>
              <w:pStyle w:val="yMiscellaneousBody"/>
              <w:rPr>
                <w:b/>
                <w:bCs/>
              </w:rPr>
            </w:pPr>
            <w:r>
              <w:rPr>
                <w:b/>
                <w:bCs/>
              </w:rPr>
              <w:t>Time based</w:t>
            </w:r>
          </w:p>
        </w:tc>
        <w:tc>
          <w:tcPr>
            <w:tcW w:w="1276" w:type="dxa"/>
          </w:tcPr>
          <w:p>
            <w:pPr>
              <w:pStyle w:val="yMiscellaneousBody"/>
              <w:ind w:right="172"/>
              <w:jc w:val="center"/>
            </w:pPr>
            <w:r>
              <w:rPr>
                <w:b/>
                <w:bCs/>
              </w:rPr>
              <w:t>$</w:t>
            </w:r>
          </w:p>
        </w:tc>
      </w:tr>
      <w:tr>
        <w:tc>
          <w:tcPr>
            <w:tcW w:w="5812" w:type="dxa"/>
          </w:tcPr>
          <w:p>
            <w:pPr>
              <w:pStyle w:val="yMiscellaneousBody"/>
            </w:pPr>
            <w:r>
              <w:tab/>
              <w:t>up to 15 minutes</w:t>
            </w:r>
          </w:p>
        </w:tc>
        <w:tc>
          <w:tcPr>
            <w:tcW w:w="1276" w:type="dxa"/>
          </w:tcPr>
          <w:p>
            <w:pPr>
              <w:pStyle w:val="yMiscellaneousBody"/>
              <w:ind w:right="172"/>
              <w:jc w:val="right"/>
            </w:pPr>
            <w:r>
              <w:t>65.00</w:t>
            </w:r>
          </w:p>
        </w:tc>
      </w:tr>
      <w:tr>
        <w:tc>
          <w:tcPr>
            <w:tcW w:w="5812" w:type="dxa"/>
          </w:tcPr>
          <w:p>
            <w:pPr>
              <w:pStyle w:val="yMiscellaneousBody"/>
            </w:pPr>
            <w:r>
              <w:tab/>
              <w:t>more than 15 minutes to 30 minutes</w:t>
            </w:r>
          </w:p>
        </w:tc>
        <w:tc>
          <w:tcPr>
            <w:tcW w:w="1276" w:type="dxa"/>
          </w:tcPr>
          <w:p>
            <w:pPr>
              <w:pStyle w:val="yMiscellaneousBody"/>
              <w:ind w:right="172"/>
              <w:jc w:val="right"/>
            </w:pPr>
            <w:r>
              <w:t>129.75</w:t>
            </w:r>
          </w:p>
        </w:tc>
      </w:tr>
      <w:tr>
        <w:tc>
          <w:tcPr>
            <w:tcW w:w="5812" w:type="dxa"/>
          </w:tcPr>
          <w:p>
            <w:pPr>
              <w:pStyle w:val="yMiscellaneousBody"/>
            </w:pPr>
            <w:r>
              <w:tab/>
              <w:t>more than 30 minutes to 45 minutes</w:t>
            </w:r>
          </w:p>
        </w:tc>
        <w:tc>
          <w:tcPr>
            <w:tcW w:w="1276" w:type="dxa"/>
          </w:tcPr>
          <w:p>
            <w:pPr>
              <w:pStyle w:val="yMiscellaneousBody"/>
              <w:ind w:right="172"/>
              <w:jc w:val="right"/>
            </w:pPr>
            <w:r>
              <w:t>194.30</w:t>
            </w:r>
          </w:p>
        </w:tc>
      </w:tr>
      <w:tr>
        <w:tc>
          <w:tcPr>
            <w:tcW w:w="5812" w:type="dxa"/>
          </w:tcPr>
          <w:p>
            <w:pPr>
              <w:pStyle w:val="yMiscellaneousBody"/>
            </w:pPr>
            <w:r>
              <w:tab/>
              <w:t>more than 45 minutes to 60 minutes</w:t>
            </w:r>
          </w:p>
        </w:tc>
        <w:tc>
          <w:tcPr>
            <w:tcW w:w="1276" w:type="dxa"/>
          </w:tcPr>
          <w:p>
            <w:pPr>
              <w:pStyle w:val="yMiscellaneousBody"/>
              <w:ind w:right="172"/>
              <w:jc w:val="right"/>
            </w:pPr>
            <w:r>
              <w:t>259.95</w:t>
            </w:r>
          </w:p>
        </w:tc>
      </w:tr>
      <w:tr>
        <w:tc>
          <w:tcPr>
            <w:tcW w:w="5812" w:type="dxa"/>
          </w:tcPr>
          <w:p>
            <w:pPr>
              <w:pStyle w:val="yMiscellaneousBody"/>
            </w:pPr>
            <w:r>
              <w:tab/>
              <w:t>more than 60 minutes to 75 minutes</w:t>
            </w:r>
          </w:p>
        </w:tc>
        <w:tc>
          <w:tcPr>
            <w:tcW w:w="1276" w:type="dxa"/>
          </w:tcPr>
          <w:p>
            <w:pPr>
              <w:pStyle w:val="yMiscellaneousBody"/>
              <w:ind w:right="172"/>
              <w:jc w:val="right"/>
            </w:pPr>
            <w:r>
              <w:t>294.15</w:t>
            </w:r>
          </w:p>
        </w:tc>
      </w:tr>
      <w:tr>
        <w:tc>
          <w:tcPr>
            <w:tcW w:w="5812" w:type="dxa"/>
          </w:tcPr>
          <w:p>
            <w:pPr>
              <w:pStyle w:val="yMiscellaneousBody"/>
            </w:pPr>
            <w:r>
              <w:tab/>
              <w:t>more than 75 minutes</w:t>
            </w:r>
          </w:p>
        </w:tc>
        <w:tc>
          <w:tcPr>
            <w:tcW w:w="1276" w:type="dxa"/>
          </w:tcPr>
          <w:p>
            <w:pPr>
              <w:pStyle w:val="yMiscellaneousBody"/>
              <w:ind w:right="172"/>
              <w:jc w:val="right"/>
            </w:pPr>
            <w:r>
              <w:t>328.35</w:t>
            </w:r>
          </w:p>
        </w:tc>
      </w:tr>
    </w:tbl>
    <w:p>
      <w:pPr>
        <w:pStyle w:val="yMiscellaneousBody"/>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MiscellaneousBody"/>
            </w:pPr>
            <w:r>
              <w:rPr>
                <w:u w:val="single"/>
              </w:rPr>
              <w:t>Professional attendance at a place other than consulting rooms and issue of certificate (if required) et al.</w:t>
            </w:r>
            <w:r>
              <w:rPr>
                <w:u w:val="single"/>
              </w:rPr>
              <w:br/>
              <w:t>Visits include both attendance at hospitals and home visits</w:t>
            </w:r>
          </w:p>
        </w:tc>
        <w:tc>
          <w:tcPr>
            <w:tcW w:w="1276" w:type="dxa"/>
          </w:tcPr>
          <w:p>
            <w:pPr>
              <w:pStyle w:val="yMiscellaneousBody"/>
              <w:ind w:right="172"/>
              <w:jc w:val="right"/>
              <w:rPr>
                <w:u w:val="single"/>
              </w:rPr>
            </w:pPr>
          </w:p>
        </w:tc>
      </w:tr>
      <w:tr>
        <w:tc>
          <w:tcPr>
            <w:tcW w:w="5812" w:type="dxa"/>
          </w:tcPr>
          <w:p>
            <w:pPr>
              <w:pStyle w:val="yMiscellaneousBody"/>
              <w:rPr>
                <w:b/>
                <w:bCs/>
              </w:rPr>
            </w:pPr>
            <w:r>
              <w:rPr>
                <w:b/>
                <w:bCs/>
              </w:rPr>
              <w:t>Time based</w:t>
            </w:r>
          </w:p>
        </w:tc>
        <w:tc>
          <w:tcPr>
            <w:tcW w:w="1276" w:type="dxa"/>
          </w:tcPr>
          <w:p>
            <w:pPr>
              <w:pStyle w:val="yMiscellaneousBody"/>
              <w:ind w:right="172"/>
              <w:jc w:val="center"/>
              <w:rPr>
                <w:b/>
                <w:bCs/>
              </w:rPr>
            </w:pPr>
            <w:r>
              <w:rPr>
                <w:b/>
                <w:bCs/>
              </w:rPr>
              <w:t>$</w:t>
            </w:r>
          </w:p>
        </w:tc>
      </w:tr>
      <w:tr>
        <w:tc>
          <w:tcPr>
            <w:tcW w:w="5812" w:type="dxa"/>
          </w:tcPr>
          <w:p>
            <w:pPr>
              <w:pStyle w:val="yMiscellaneousBody"/>
            </w:pPr>
            <w:r>
              <w:tab/>
              <w:t>up to 15 minutes</w:t>
            </w:r>
          </w:p>
        </w:tc>
        <w:tc>
          <w:tcPr>
            <w:tcW w:w="1276" w:type="dxa"/>
          </w:tcPr>
          <w:p>
            <w:pPr>
              <w:pStyle w:val="yMiscellaneousBody"/>
              <w:ind w:right="172"/>
              <w:jc w:val="right"/>
              <w:rPr>
                <w:b/>
                <w:bCs/>
              </w:rPr>
            </w:pPr>
            <w:r>
              <w:rPr>
                <w:b/>
                <w:bCs/>
              </w:rPr>
              <w:t>106.75</w:t>
            </w:r>
          </w:p>
        </w:tc>
      </w:tr>
      <w:tr>
        <w:tc>
          <w:tcPr>
            <w:tcW w:w="5812" w:type="dxa"/>
          </w:tcPr>
          <w:p>
            <w:pPr>
              <w:pStyle w:val="yMiscellaneousBody"/>
            </w:pPr>
            <w:r>
              <w:tab/>
              <w:t>more than 15 minutes to 30 minutes</w:t>
            </w:r>
          </w:p>
        </w:tc>
        <w:tc>
          <w:tcPr>
            <w:tcW w:w="1276" w:type="dxa"/>
          </w:tcPr>
          <w:p>
            <w:pPr>
              <w:pStyle w:val="yMiscellaneousBody"/>
              <w:ind w:right="172"/>
              <w:jc w:val="right"/>
            </w:pPr>
            <w:r>
              <w:t>172.40</w:t>
            </w:r>
          </w:p>
        </w:tc>
      </w:tr>
      <w:tr>
        <w:tc>
          <w:tcPr>
            <w:tcW w:w="5812" w:type="dxa"/>
          </w:tcPr>
          <w:p>
            <w:pPr>
              <w:pStyle w:val="yMiscellaneousBody"/>
            </w:pPr>
            <w:r>
              <w:tab/>
              <w:t>more than 30 minutes to 45 minutes</w:t>
            </w:r>
          </w:p>
        </w:tc>
        <w:tc>
          <w:tcPr>
            <w:tcW w:w="1276" w:type="dxa"/>
          </w:tcPr>
          <w:p>
            <w:pPr>
              <w:pStyle w:val="yMiscellaneousBody"/>
              <w:ind w:right="172"/>
              <w:jc w:val="right"/>
            </w:pPr>
            <w:r>
              <w:t>235.30</w:t>
            </w:r>
          </w:p>
        </w:tc>
      </w:tr>
      <w:tr>
        <w:tc>
          <w:tcPr>
            <w:tcW w:w="5812" w:type="dxa"/>
          </w:tcPr>
          <w:p>
            <w:pPr>
              <w:pStyle w:val="yMiscellaneousBody"/>
            </w:pPr>
            <w:r>
              <w:tab/>
              <w:t>more than 45 minutes to 75 minutes</w:t>
            </w:r>
          </w:p>
        </w:tc>
        <w:tc>
          <w:tcPr>
            <w:tcW w:w="1276" w:type="dxa"/>
          </w:tcPr>
          <w:p>
            <w:pPr>
              <w:pStyle w:val="yMiscellaneousBody"/>
              <w:ind w:right="172"/>
              <w:jc w:val="right"/>
            </w:pPr>
            <w:r>
              <w:t>301.00</w:t>
            </w:r>
          </w:p>
        </w:tc>
      </w:tr>
      <w:tr>
        <w:tc>
          <w:tcPr>
            <w:tcW w:w="5812" w:type="dxa"/>
          </w:tcPr>
          <w:p>
            <w:pPr>
              <w:pStyle w:val="yMiscellaneousBody"/>
            </w:pPr>
            <w:r>
              <w:tab/>
              <w:t>more than 75 minutes</w:t>
            </w:r>
          </w:p>
        </w:tc>
        <w:tc>
          <w:tcPr>
            <w:tcW w:w="1276" w:type="dxa"/>
          </w:tcPr>
          <w:p>
            <w:pPr>
              <w:pStyle w:val="yMiscellaneousBody"/>
              <w:ind w:right="172"/>
              <w:jc w:val="right"/>
            </w:pPr>
            <w:r>
              <w:t>362.65</w:t>
            </w:r>
          </w:p>
        </w:tc>
      </w:tr>
    </w:tbl>
    <w:p>
      <w:pPr>
        <w:pStyle w:val="yMiscellaneousBody"/>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MiscellaneousBody"/>
              <w:rPr>
                <w:b/>
                <w:bCs/>
              </w:rPr>
            </w:pPr>
            <w:r>
              <w:rPr>
                <w:b/>
                <w:bCs/>
              </w:rPr>
              <w:t>Time based</w:t>
            </w:r>
          </w:p>
        </w:tc>
        <w:tc>
          <w:tcPr>
            <w:tcW w:w="1276" w:type="dxa"/>
          </w:tcPr>
          <w:p>
            <w:pPr>
              <w:pStyle w:val="yMiscellaneousBody"/>
              <w:ind w:right="172"/>
              <w:jc w:val="center"/>
              <w:rPr>
                <w:b/>
                <w:bCs/>
              </w:rPr>
            </w:pPr>
            <w:r>
              <w:rPr>
                <w:b/>
                <w:bCs/>
              </w:rPr>
              <w:t>$</w:t>
            </w:r>
          </w:p>
        </w:tc>
      </w:tr>
      <w:tr>
        <w:tc>
          <w:tcPr>
            <w:tcW w:w="5812" w:type="dxa"/>
          </w:tcPr>
          <w:p>
            <w:pPr>
              <w:pStyle w:val="yMiscellaneousBody"/>
            </w:pPr>
            <w:r>
              <w:tab/>
              <w:t>up to 45 minutes</w:t>
            </w:r>
          </w:p>
        </w:tc>
        <w:tc>
          <w:tcPr>
            <w:tcW w:w="1276" w:type="dxa"/>
          </w:tcPr>
          <w:p>
            <w:pPr>
              <w:pStyle w:val="yMiscellaneousBody"/>
              <w:ind w:right="172"/>
              <w:jc w:val="right"/>
              <w:rPr>
                <w:b/>
                <w:bCs/>
              </w:rPr>
            </w:pPr>
            <w:r>
              <w:rPr>
                <w:b/>
                <w:bCs/>
              </w:rPr>
              <w:t>86.25</w:t>
            </w:r>
          </w:p>
        </w:tc>
      </w:tr>
      <w:tr>
        <w:tc>
          <w:tcPr>
            <w:tcW w:w="5812" w:type="dxa"/>
          </w:tcPr>
          <w:p>
            <w:pPr>
              <w:pStyle w:val="yMiscellaneousBody"/>
            </w:pPr>
            <w:r>
              <w:tab/>
              <w:t>more than 45 minutes</w:t>
            </w:r>
          </w:p>
        </w:tc>
        <w:tc>
          <w:tcPr>
            <w:tcW w:w="1276" w:type="dxa"/>
          </w:tcPr>
          <w:p>
            <w:pPr>
              <w:pStyle w:val="yMiscellaneousBody"/>
              <w:ind w:right="172"/>
              <w:jc w:val="right"/>
            </w:pPr>
            <w:r>
              <w:t>188.35</w:t>
            </w:r>
          </w:p>
        </w:tc>
      </w:tr>
    </w:tbl>
    <w:p>
      <w:pPr>
        <w:pStyle w:val="yMiscellaneousBody"/>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MiscellaneousBody"/>
            </w:pPr>
            <w:r>
              <w:t>per hour</w:t>
            </w:r>
          </w:p>
        </w:tc>
        <w:tc>
          <w:tcPr>
            <w:tcW w:w="1276" w:type="dxa"/>
          </w:tcPr>
          <w:p>
            <w:pPr>
              <w:pStyle w:val="yMiscellaneousBody"/>
              <w:ind w:right="172"/>
              <w:jc w:val="right"/>
            </w:pPr>
            <w:r>
              <w:t>$325.55</w:t>
            </w:r>
          </w:p>
        </w:tc>
      </w:tr>
    </w:tbl>
    <w:p>
      <w:pPr>
        <w:pStyle w:val="yMiscellaneousBody"/>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MiscellaneousBody"/>
            </w:pPr>
            <w:r>
              <w:t>Rate per kilometre</w:t>
            </w:r>
          </w:p>
        </w:tc>
        <w:tc>
          <w:tcPr>
            <w:tcW w:w="1276" w:type="dxa"/>
          </w:tcPr>
          <w:p>
            <w:pPr>
              <w:pStyle w:val="yMiscellaneousBody"/>
              <w:ind w:right="172"/>
              <w:jc w:val="right"/>
            </w:pPr>
            <w:r>
              <w:t>$3.90</w:t>
            </w:r>
          </w:p>
        </w:tc>
      </w:tr>
    </w:tbl>
    <w:p>
      <w:pPr>
        <w:pStyle w:val="yMiscellaneousBody"/>
        <w:rPr>
          <w:b/>
          <w:bCs/>
        </w:rPr>
      </w:pPr>
      <w:r>
        <w:rPr>
          <w:b/>
          <w:bCs/>
        </w:rPr>
        <w:t>SPECIALISTS</w:t>
      </w:r>
    </w:p>
    <w:p>
      <w:pPr>
        <w:pStyle w:val="yMiscellaneousBody"/>
        <w:rPr>
          <w:b/>
          <w:bCs/>
        </w:rPr>
      </w:pPr>
      <w:r>
        <w:rPr>
          <w:b/>
          <w:bCs/>
        </w:rPr>
        <w:t>SURGEONS</w:t>
      </w:r>
    </w:p>
    <w:p>
      <w:pPr>
        <w:pStyle w:val="yMiscellaneousBody"/>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MiscellaneousBody"/>
            </w:pPr>
            <w:r>
              <w:rPr>
                <w:u w:val="single"/>
              </w:rPr>
              <w:t>Professional attendance at consulting rooms and issue of certificate (if required) et al.</w:t>
            </w:r>
          </w:p>
        </w:tc>
        <w:tc>
          <w:tcPr>
            <w:tcW w:w="1276" w:type="dxa"/>
          </w:tcPr>
          <w:p>
            <w:pPr>
              <w:pStyle w:val="yMiscellaneousBody"/>
              <w:ind w:right="172"/>
              <w:jc w:val="center"/>
            </w:pPr>
            <w:r>
              <w:br/>
            </w:r>
            <w:r>
              <w:rPr>
                <w:b/>
                <w:bCs/>
              </w:rPr>
              <w:t>$</w:t>
            </w:r>
          </w:p>
        </w:tc>
      </w:tr>
      <w:tr>
        <w:tc>
          <w:tcPr>
            <w:tcW w:w="5812" w:type="dxa"/>
          </w:tcPr>
          <w:p>
            <w:pPr>
              <w:pStyle w:val="yMiscellaneousBody"/>
            </w:pPr>
            <w:r>
              <w:t>first attendance</w:t>
            </w:r>
          </w:p>
        </w:tc>
        <w:tc>
          <w:tcPr>
            <w:tcW w:w="1276" w:type="dxa"/>
          </w:tcPr>
          <w:p>
            <w:pPr>
              <w:pStyle w:val="yMiscellaneousBody"/>
              <w:ind w:right="172"/>
              <w:jc w:val="right"/>
            </w:pPr>
            <w:r>
              <w:t>126.05</w:t>
            </w:r>
          </w:p>
        </w:tc>
      </w:tr>
      <w:tr>
        <w:tc>
          <w:tcPr>
            <w:tcW w:w="5812" w:type="dxa"/>
          </w:tcPr>
          <w:p>
            <w:pPr>
              <w:pStyle w:val="yMiscellaneousBody"/>
            </w:pPr>
            <w:r>
              <w:t>subsequent attendances</w:t>
            </w:r>
          </w:p>
        </w:tc>
        <w:tc>
          <w:tcPr>
            <w:tcW w:w="1276" w:type="dxa"/>
          </w:tcPr>
          <w:p>
            <w:pPr>
              <w:pStyle w:val="yMiscellaneousBody"/>
              <w:ind w:right="172"/>
              <w:jc w:val="right"/>
            </w:pPr>
            <w:r>
              <w:t>65.75</w:t>
            </w:r>
          </w:p>
        </w:tc>
      </w:tr>
    </w:tbl>
    <w:p>
      <w:pPr>
        <w:pStyle w:val="yMiscellaneousBody"/>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MiscellaneousBody"/>
            </w:pPr>
            <w:r>
              <w:rPr>
                <w:u w:val="single"/>
              </w:rPr>
              <w:t>Professional attendance at a place other than consulting rooms and issue of certificate (if required) et al.</w:t>
            </w:r>
          </w:p>
        </w:tc>
        <w:tc>
          <w:tcPr>
            <w:tcW w:w="1276" w:type="dxa"/>
          </w:tcPr>
          <w:p>
            <w:pPr>
              <w:pStyle w:val="yMiscellaneousBody"/>
              <w:ind w:right="172"/>
              <w:jc w:val="center"/>
            </w:pPr>
            <w:r>
              <w:br/>
            </w:r>
            <w:r>
              <w:rPr>
                <w:b/>
                <w:bCs/>
              </w:rPr>
              <w:t>$</w:t>
            </w:r>
          </w:p>
        </w:tc>
      </w:tr>
      <w:tr>
        <w:tc>
          <w:tcPr>
            <w:tcW w:w="5812" w:type="dxa"/>
          </w:tcPr>
          <w:p>
            <w:pPr>
              <w:pStyle w:val="yMiscellaneousBody"/>
            </w:pPr>
            <w:r>
              <w:t>first attendance</w:t>
            </w:r>
          </w:p>
        </w:tc>
        <w:tc>
          <w:tcPr>
            <w:tcW w:w="1276" w:type="dxa"/>
          </w:tcPr>
          <w:p>
            <w:pPr>
              <w:pStyle w:val="yMiscellaneousBody"/>
              <w:ind w:right="172"/>
              <w:jc w:val="right"/>
            </w:pPr>
            <w:r>
              <w:t>169.90</w:t>
            </w:r>
          </w:p>
        </w:tc>
      </w:tr>
      <w:tr>
        <w:tc>
          <w:tcPr>
            <w:tcW w:w="5812" w:type="dxa"/>
          </w:tcPr>
          <w:p>
            <w:pPr>
              <w:pStyle w:val="yMiscellaneousBody"/>
            </w:pPr>
            <w:r>
              <w:t>subsequent attendances</w:t>
            </w:r>
          </w:p>
        </w:tc>
        <w:tc>
          <w:tcPr>
            <w:tcW w:w="1276" w:type="dxa"/>
          </w:tcPr>
          <w:p>
            <w:pPr>
              <w:pStyle w:val="yMiscellaneousBody"/>
              <w:ind w:right="172"/>
              <w:jc w:val="right"/>
            </w:pPr>
            <w:r>
              <w:t>108.25</w:t>
            </w:r>
          </w:p>
        </w:tc>
      </w:tr>
    </w:tbl>
    <w:p>
      <w:pPr>
        <w:pStyle w:val="yMiscellaneousBody"/>
        <w:rPr>
          <w:b/>
          <w:bCs/>
        </w:rPr>
      </w:pPr>
      <w:r>
        <w:rPr>
          <w:b/>
          <w:bCs/>
        </w:rPr>
        <w:t>DERMATOLOGISTS</w:t>
      </w:r>
    </w:p>
    <w:p>
      <w:pPr>
        <w:pStyle w:val="yMiscellaneousBody"/>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MiscellaneousBody"/>
            </w:pPr>
            <w:r>
              <w:rPr>
                <w:u w:val="single"/>
              </w:rPr>
              <w:t>Professional attendance at consulting rooms and issue of certificate (if required) et al.</w:t>
            </w:r>
          </w:p>
        </w:tc>
        <w:tc>
          <w:tcPr>
            <w:tcW w:w="1276" w:type="dxa"/>
          </w:tcPr>
          <w:p>
            <w:pPr>
              <w:pStyle w:val="yMiscellaneousBody"/>
              <w:ind w:right="172"/>
              <w:jc w:val="center"/>
            </w:pPr>
            <w:r>
              <w:br/>
            </w:r>
            <w:r>
              <w:rPr>
                <w:b/>
                <w:bCs/>
              </w:rPr>
              <w:t>$</w:t>
            </w:r>
          </w:p>
        </w:tc>
      </w:tr>
      <w:tr>
        <w:tc>
          <w:tcPr>
            <w:tcW w:w="5812" w:type="dxa"/>
          </w:tcPr>
          <w:p>
            <w:pPr>
              <w:pStyle w:val="yMiscellaneousBody"/>
            </w:pPr>
            <w:r>
              <w:t>first attendance</w:t>
            </w:r>
          </w:p>
        </w:tc>
        <w:tc>
          <w:tcPr>
            <w:tcW w:w="1276" w:type="dxa"/>
          </w:tcPr>
          <w:p>
            <w:pPr>
              <w:pStyle w:val="yMiscellaneousBody"/>
              <w:ind w:right="172"/>
              <w:jc w:val="right"/>
            </w:pPr>
            <w:r>
              <w:t>126.05</w:t>
            </w:r>
          </w:p>
        </w:tc>
      </w:tr>
      <w:tr>
        <w:tc>
          <w:tcPr>
            <w:tcW w:w="5812" w:type="dxa"/>
          </w:tcPr>
          <w:p>
            <w:pPr>
              <w:pStyle w:val="yMiscellaneousBody"/>
            </w:pPr>
            <w:r>
              <w:t>subsequent attendances</w:t>
            </w:r>
          </w:p>
        </w:tc>
        <w:tc>
          <w:tcPr>
            <w:tcW w:w="1276" w:type="dxa"/>
          </w:tcPr>
          <w:p>
            <w:pPr>
              <w:pStyle w:val="yMiscellaneousBody"/>
              <w:ind w:right="172"/>
              <w:jc w:val="right"/>
            </w:pPr>
            <w:r>
              <w:t>65.75</w:t>
            </w:r>
          </w:p>
        </w:tc>
      </w:tr>
    </w:tbl>
    <w:p>
      <w:pPr>
        <w:pStyle w:val="yMiscellaneousBody"/>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MiscellaneousBody"/>
            </w:pPr>
            <w:r>
              <w:rPr>
                <w:u w:val="single"/>
              </w:rPr>
              <w:t>Professional attendance at a place other than consulting rooms and issue of certificate (if required) et al.</w:t>
            </w:r>
          </w:p>
        </w:tc>
        <w:tc>
          <w:tcPr>
            <w:tcW w:w="1276" w:type="dxa"/>
          </w:tcPr>
          <w:p>
            <w:pPr>
              <w:pStyle w:val="yMiscellaneousBody"/>
              <w:ind w:right="172"/>
              <w:jc w:val="center"/>
            </w:pPr>
            <w:r>
              <w:br/>
            </w:r>
            <w:r>
              <w:rPr>
                <w:b/>
                <w:bCs/>
              </w:rPr>
              <w:t>$</w:t>
            </w:r>
          </w:p>
        </w:tc>
      </w:tr>
      <w:tr>
        <w:tc>
          <w:tcPr>
            <w:tcW w:w="5812" w:type="dxa"/>
          </w:tcPr>
          <w:p>
            <w:pPr>
              <w:pStyle w:val="yMiscellaneousBody"/>
            </w:pPr>
            <w:r>
              <w:t>first attendance</w:t>
            </w:r>
          </w:p>
        </w:tc>
        <w:tc>
          <w:tcPr>
            <w:tcW w:w="1276" w:type="dxa"/>
          </w:tcPr>
          <w:p>
            <w:pPr>
              <w:pStyle w:val="yMiscellaneousBody"/>
              <w:ind w:right="172"/>
              <w:jc w:val="right"/>
            </w:pPr>
            <w:r>
              <w:t>169.60</w:t>
            </w:r>
          </w:p>
        </w:tc>
      </w:tr>
      <w:tr>
        <w:tc>
          <w:tcPr>
            <w:tcW w:w="5812" w:type="dxa"/>
          </w:tcPr>
          <w:p>
            <w:pPr>
              <w:pStyle w:val="yMiscellaneousBody"/>
            </w:pPr>
            <w:r>
              <w:t>subsequent attendances</w:t>
            </w:r>
          </w:p>
        </w:tc>
        <w:tc>
          <w:tcPr>
            <w:tcW w:w="1276" w:type="dxa"/>
          </w:tcPr>
          <w:p>
            <w:pPr>
              <w:pStyle w:val="yMiscellaneousBody"/>
              <w:ind w:right="172"/>
              <w:jc w:val="right"/>
            </w:pPr>
            <w:r>
              <w:t>108.10</w:t>
            </w:r>
          </w:p>
        </w:tc>
      </w:tr>
    </w:tbl>
    <w:p>
      <w:pPr>
        <w:pStyle w:val="yMiscellaneousBody"/>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MiscellaneousBody"/>
              <w:rPr>
                <w:b/>
                <w:bCs/>
              </w:rPr>
            </w:pPr>
            <w:r>
              <w:rPr>
                <w:b/>
                <w:bCs/>
              </w:rPr>
              <w:t>Time based</w:t>
            </w:r>
          </w:p>
        </w:tc>
        <w:tc>
          <w:tcPr>
            <w:tcW w:w="1276" w:type="dxa"/>
          </w:tcPr>
          <w:p>
            <w:pPr>
              <w:pStyle w:val="yMiscellaneousBody"/>
              <w:ind w:right="172"/>
              <w:jc w:val="center"/>
            </w:pPr>
            <w:r>
              <w:rPr>
                <w:b/>
                <w:bCs/>
              </w:rPr>
              <w:t>$</w:t>
            </w:r>
          </w:p>
        </w:tc>
      </w:tr>
      <w:tr>
        <w:tc>
          <w:tcPr>
            <w:tcW w:w="5812" w:type="dxa"/>
          </w:tcPr>
          <w:p>
            <w:pPr>
              <w:pStyle w:val="yMiscellaneousBody"/>
            </w:pPr>
            <w:r>
              <w:tab/>
              <w:t>up to 5 minutes</w:t>
            </w:r>
          </w:p>
        </w:tc>
        <w:tc>
          <w:tcPr>
            <w:tcW w:w="1276" w:type="dxa"/>
          </w:tcPr>
          <w:p>
            <w:pPr>
              <w:pStyle w:val="yMiscellaneousBody"/>
              <w:ind w:right="172"/>
              <w:jc w:val="right"/>
            </w:pPr>
            <w:r>
              <w:t>29.10</w:t>
            </w:r>
          </w:p>
        </w:tc>
      </w:tr>
      <w:tr>
        <w:tc>
          <w:tcPr>
            <w:tcW w:w="5812" w:type="dxa"/>
          </w:tcPr>
          <w:p>
            <w:pPr>
              <w:pStyle w:val="yMiscellaneousBody"/>
            </w:pPr>
            <w:r>
              <w:tab/>
              <w:t>more than 5 minutes to 15 minutes</w:t>
            </w:r>
          </w:p>
        </w:tc>
        <w:tc>
          <w:tcPr>
            <w:tcW w:w="1276" w:type="dxa"/>
          </w:tcPr>
          <w:p>
            <w:pPr>
              <w:pStyle w:val="yMiscellaneousBody"/>
              <w:ind w:right="172"/>
              <w:jc w:val="right"/>
            </w:pPr>
            <w:r>
              <w:t>35.90</w:t>
            </w:r>
          </w:p>
        </w:tc>
      </w:tr>
      <w:tr>
        <w:tc>
          <w:tcPr>
            <w:tcW w:w="5812" w:type="dxa"/>
          </w:tcPr>
          <w:p>
            <w:pPr>
              <w:pStyle w:val="yMiscellaneousBody"/>
            </w:pPr>
            <w:r>
              <w:tab/>
              <w:t>more than 15 minutes to 30 minutes</w:t>
            </w:r>
          </w:p>
        </w:tc>
        <w:tc>
          <w:tcPr>
            <w:tcW w:w="1276" w:type="dxa"/>
          </w:tcPr>
          <w:p>
            <w:pPr>
              <w:pStyle w:val="yMiscellaneousBody"/>
              <w:ind w:right="172"/>
              <w:jc w:val="right"/>
            </w:pPr>
            <w:r>
              <w:t>75.00</w:t>
            </w:r>
          </w:p>
        </w:tc>
      </w:tr>
      <w:tr>
        <w:tc>
          <w:tcPr>
            <w:tcW w:w="5812" w:type="dxa"/>
          </w:tcPr>
          <w:p>
            <w:pPr>
              <w:pStyle w:val="yMiscellaneousBody"/>
            </w:pPr>
            <w:r>
              <w:tab/>
              <w:t>more than 30 minutes</w:t>
            </w:r>
          </w:p>
        </w:tc>
        <w:tc>
          <w:tcPr>
            <w:tcW w:w="1276" w:type="dxa"/>
          </w:tcPr>
          <w:p>
            <w:pPr>
              <w:pStyle w:val="yMiscellaneousBody"/>
              <w:ind w:right="172"/>
              <w:jc w:val="right"/>
            </w:pPr>
            <w:r>
              <w:t>113.25</w:t>
            </w:r>
          </w:p>
        </w:tc>
      </w:tr>
    </w:tbl>
    <w:p>
      <w:pPr>
        <w:pStyle w:val="yMiscellaneousBody"/>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MiscellaneousBody"/>
            </w:pPr>
            <w:r>
              <w:t>per hour</w:t>
            </w:r>
          </w:p>
        </w:tc>
        <w:tc>
          <w:tcPr>
            <w:tcW w:w="1276" w:type="dxa"/>
          </w:tcPr>
          <w:p>
            <w:pPr>
              <w:pStyle w:val="yMiscellaneousBody"/>
              <w:ind w:right="172"/>
              <w:jc w:val="right"/>
            </w:pPr>
            <w:r>
              <w:t>$325.55</w:t>
            </w:r>
          </w:p>
        </w:tc>
      </w:tr>
    </w:tbl>
    <w:p>
      <w:pPr>
        <w:pStyle w:val="yMiscellaneousBody"/>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MiscellaneousBody"/>
            </w:pPr>
            <w:r>
              <w:t>Rate per kilometre</w:t>
            </w:r>
          </w:p>
        </w:tc>
        <w:tc>
          <w:tcPr>
            <w:tcW w:w="1276" w:type="dxa"/>
          </w:tcPr>
          <w:p>
            <w:pPr>
              <w:pStyle w:val="yMiscellaneousBody"/>
              <w:ind w:right="172"/>
              <w:jc w:val="right"/>
            </w:pPr>
            <w:r>
              <w:t>$3.90</w:t>
            </w:r>
          </w:p>
        </w:tc>
      </w:tr>
    </w:tbl>
    <w:p>
      <w:pPr>
        <w:pStyle w:val="yTable"/>
        <w:spacing w:before="240"/>
        <w:rPr>
          <w:i/>
          <w:iCs/>
        </w:rPr>
      </w:pPr>
      <w:r>
        <w:rPr>
          <w:b/>
          <w:i/>
          <w:iCs/>
        </w:rPr>
        <w:t>ANAESTHETISTS</w:t>
      </w:r>
    </w:p>
    <w:p>
      <w:pPr>
        <w:pStyle w:val="yTable"/>
        <w:spacing w:before="120" w:after="60"/>
      </w:pPr>
      <w:r>
        <w:t>All anaesthesia fees are calculated by multiplying the units for the consultation, attendance, procedure or service by the $ value per unit allocated by this Schedule.</w:t>
      </w:r>
    </w:p>
    <w:p>
      <w:pPr>
        <w:pStyle w:val="yTable"/>
        <w:keepNext/>
        <w:keepLines/>
        <w:tabs>
          <w:tab w:val="left" w:pos="709"/>
        </w:tabs>
        <w:spacing w:before="80"/>
      </w:pPr>
      <w:r>
        <w:t>$ VALUE PER UNIT</w:t>
      </w:r>
    </w:p>
    <w:tbl>
      <w:tblPr>
        <w:tblW w:w="0" w:type="auto"/>
        <w:tblInd w:w="142" w:type="dxa"/>
        <w:tblLayout w:type="fixed"/>
        <w:tblCellMar>
          <w:left w:w="142" w:type="dxa"/>
          <w:right w:w="142" w:type="dxa"/>
        </w:tblCellMar>
        <w:tblLook w:val="0000" w:firstRow="0" w:lastRow="0" w:firstColumn="0" w:lastColumn="0" w:noHBand="0" w:noVBand="0"/>
      </w:tblPr>
      <w:tblGrid>
        <w:gridCol w:w="5640"/>
        <w:gridCol w:w="1440"/>
      </w:tblGrid>
      <w:tr>
        <w:trPr>
          <w:tblHeader/>
        </w:trPr>
        <w:tc>
          <w:tcPr>
            <w:tcW w:w="5640" w:type="dxa"/>
          </w:tcPr>
          <w:p>
            <w:pPr>
              <w:pStyle w:val="yTable"/>
              <w:keepNext/>
              <w:keepLines/>
              <w:spacing w:before="40" w:after="40"/>
              <w:ind w:right="141"/>
            </w:pPr>
            <w:r>
              <w:t>$ value per unit</w:t>
            </w:r>
          </w:p>
        </w:tc>
        <w:tc>
          <w:tcPr>
            <w:tcW w:w="1440" w:type="dxa"/>
            <w:vAlign w:val="bottom"/>
          </w:tcPr>
          <w:p>
            <w:pPr>
              <w:pStyle w:val="yTable"/>
              <w:keepNext/>
              <w:keepLines/>
              <w:spacing w:before="40" w:after="40"/>
              <w:jc w:val="center"/>
            </w:pPr>
            <w:r>
              <w:t>$65.55</w:t>
            </w:r>
          </w:p>
        </w:tc>
      </w:tr>
      <w:tr>
        <w:trPr>
          <w:tblHeader/>
        </w:trPr>
        <w:tc>
          <w:tcPr>
            <w:tcW w:w="5640" w:type="dxa"/>
            <w:tcBorders>
              <w:top w:val="single" w:sz="4" w:space="0" w:color="auto"/>
              <w:bottom w:val="single" w:sz="4" w:space="0" w:color="auto"/>
            </w:tcBorders>
          </w:tcPr>
          <w:p>
            <w:pPr>
              <w:pStyle w:val="yTable"/>
              <w:keepNext/>
              <w:keepLines/>
              <w:spacing w:before="40" w:after="40"/>
              <w:ind w:right="141"/>
            </w:pPr>
            <w:r>
              <w:rPr>
                <w:b/>
              </w:rPr>
              <w:t>CONSULTATIONS AND ATTENDANCES</w:t>
            </w:r>
          </w:p>
        </w:tc>
        <w:tc>
          <w:tcPr>
            <w:tcW w:w="1440" w:type="dxa"/>
            <w:tcBorders>
              <w:top w:val="single" w:sz="4" w:space="0" w:color="auto"/>
              <w:bottom w:val="single" w:sz="4" w:space="0" w:color="auto"/>
            </w:tcBorders>
            <w:vAlign w:val="bottom"/>
          </w:tcPr>
          <w:p>
            <w:pPr>
              <w:pStyle w:val="yTable"/>
              <w:keepNext/>
              <w:keepLines/>
              <w:spacing w:before="40" w:after="40"/>
              <w:jc w:val="center"/>
            </w:pPr>
            <w:r>
              <w:t>Units</w:t>
            </w:r>
          </w:p>
          <w:p>
            <w:pPr>
              <w:pStyle w:val="yTable"/>
              <w:keepNext/>
              <w:keepLines/>
              <w:spacing w:before="40" w:after="40"/>
              <w:jc w:val="center"/>
            </w:pPr>
          </w:p>
        </w:tc>
      </w:tr>
      <w:tr>
        <w:tc>
          <w:tcPr>
            <w:tcW w:w="5640" w:type="dxa"/>
          </w:tcPr>
          <w:p>
            <w:pPr>
              <w:pStyle w:val="yTable"/>
              <w:keepNext/>
              <w:keepLines/>
              <w:spacing w:before="40" w:after="40"/>
              <w:ind w:right="142"/>
            </w:pPr>
            <w:r>
              <w:t>Anaesthetist Consultation</w:t>
            </w:r>
          </w:p>
        </w:tc>
        <w:tc>
          <w:tcPr>
            <w:tcW w:w="1440" w:type="dxa"/>
            <w:vAlign w:val="bottom"/>
          </w:tcPr>
          <w:p>
            <w:pPr>
              <w:pStyle w:val="yTable"/>
              <w:keepNext/>
              <w:keepLines/>
              <w:spacing w:before="40" w:after="40"/>
              <w:jc w:val="center"/>
            </w:pPr>
          </w:p>
        </w:tc>
      </w:tr>
      <w:tr>
        <w:tc>
          <w:tcPr>
            <w:tcW w:w="5640" w:type="dxa"/>
          </w:tcPr>
          <w:p>
            <w:pPr>
              <w:pStyle w:val="yTable"/>
              <w:tabs>
                <w:tab w:val="left" w:pos="567"/>
              </w:tabs>
              <w:spacing w:before="40" w:after="40"/>
              <w:ind w:left="567" w:right="141" w:hanging="567"/>
            </w:pPr>
            <w:r>
              <w:t> — an attendance of 15 minutes or less duration</w:t>
            </w:r>
          </w:p>
        </w:tc>
        <w:tc>
          <w:tcPr>
            <w:tcW w:w="1440" w:type="dxa"/>
            <w:vAlign w:val="bottom"/>
          </w:tcPr>
          <w:p>
            <w:pPr>
              <w:pStyle w:val="yTable"/>
              <w:keepNext/>
              <w:spacing w:before="40" w:after="40"/>
              <w:jc w:val="center"/>
            </w:pPr>
            <w:r>
              <w:t>2</w:t>
            </w:r>
          </w:p>
        </w:tc>
      </w:tr>
      <w:tr>
        <w:tc>
          <w:tcPr>
            <w:tcW w:w="5640" w:type="dxa"/>
          </w:tcPr>
          <w:p>
            <w:pPr>
              <w:pStyle w:val="yTable"/>
              <w:spacing w:before="40" w:after="40"/>
              <w:ind w:left="338" w:right="141" w:hanging="338"/>
            </w:pPr>
            <w:r>
              <w:t> — an attendance of more than 15 minutes but not more than 30 minutes duration</w:t>
            </w:r>
          </w:p>
        </w:tc>
        <w:tc>
          <w:tcPr>
            <w:tcW w:w="1440" w:type="dxa"/>
            <w:vAlign w:val="bottom"/>
          </w:tcPr>
          <w:p>
            <w:pPr>
              <w:pStyle w:val="yTable"/>
              <w:spacing w:before="40" w:after="40"/>
              <w:jc w:val="center"/>
            </w:pPr>
            <w:r>
              <w:t>4</w:t>
            </w:r>
          </w:p>
        </w:tc>
      </w:tr>
      <w:tr>
        <w:tc>
          <w:tcPr>
            <w:tcW w:w="5640" w:type="dxa"/>
          </w:tcPr>
          <w:p>
            <w:pPr>
              <w:pStyle w:val="yTable"/>
              <w:spacing w:before="40" w:after="40"/>
              <w:ind w:left="338" w:right="141" w:hanging="338"/>
            </w:pPr>
            <w:r>
              <w:t> — an attendance of more than 30 minutes but not more than 45 minutes duration</w:t>
            </w:r>
          </w:p>
        </w:tc>
        <w:tc>
          <w:tcPr>
            <w:tcW w:w="1440" w:type="dxa"/>
            <w:vAlign w:val="bottom"/>
          </w:tcPr>
          <w:p>
            <w:pPr>
              <w:pStyle w:val="yTable"/>
              <w:spacing w:before="40" w:after="40"/>
              <w:jc w:val="center"/>
            </w:pPr>
            <w:r>
              <w:t>6</w:t>
            </w:r>
          </w:p>
        </w:tc>
      </w:tr>
      <w:tr>
        <w:tc>
          <w:tcPr>
            <w:tcW w:w="5640" w:type="dxa"/>
          </w:tcPr>
          <w:p>
            <w:pPr>
              <w:pStyle w:val="yTable"/>
              <w:tabs>
                <w:tab w:val="left" w:pos="567"/>
              </w:tabs>
              <w:spacing w:before="40" w:after="40"/>
              <w:ind w:left="567" w:right="141" w:hanging="567"/>
            </w:pPr>
            <w:r>
              <w:t> — an attendance of more than 45 minutes duration</w:t>
            </w:r>
          </w:p>
        </w:tc>
        <w:tc>
          <w:tcPr>
            <w:tcW w:w="1440" w:type="dxa"/>
            <w:vAlign w:val="bottom"/>
          </w:tcPr>
          <w:p>
            <w:pPr>
              <w:pStyle w:val="yTable"/>
              <w:keepNext/>
              <w:spacing w:before="40" w:after="40"/>
              <w:jc w:val="center"/>
            </w:pPr>
            <w:r>
              <w:t>8</w:t>
            </w:r>
          </w:p>
        </w:tc>
      </w:tr>
      <w:tr>
        <w:tc>
          <w:tcPr>
            <w:tcW w:w="5640" w:type="dxa"/>
          </w:tcPr>
          <w:p>
            <w:pPr>
              <w:pStyle w:val="yTable"/>
              <w:spacing w:before="40" w:after="40"/>
              <w:ind w:right="141"/>
            </w:pPr>
            <w:r>
              <w:t>Post anaesthesia patient care following a day procedure</w:t>
            </w:r>
          </w:p>
        </w:tc>
        <w:tc>
          <w:tcPr>
            <w:tcW w:w="1440" w:type="dxa"/>
            <w:vAlign w:val="bottom"/>
          </w:tcPr>
          <w:p>
            <w:pPr>
              <w:pStyle w:val="yTable"/>
              <w:keepNext/>
              <w:spacing w:before="40" w:after="40"/>
              <w:jc w:val="center"/>
            </w:pPr>
            <w:r>
              <w:t>2</w:t>
            </w:r>
          </w:p>
        </w:tc>
      </w:tr>
      <w:tr>
        <w:tc>
          <w:tcPr>
            <w:tcW w:w="5640" w:type="dxa"/>
          </w:tcPr>
          <w:p>
            <w:pPr>
              <w:pStyle w:val="yTable"/>
              <w:spacing w:before="40" w:after="40"/>
              <w:ind w:right="141"/>
            </w:pPr>
            <w:r>
              <w:t>EMERGENCY ATTENDANCES</w:t>
            </w:r>
          </w:p>
        </w:tc>
        <w:tc>
          <w:tcPr>
            <w:tcW w:w="1440" w:type="dxa"/>
            <w:vAlign w:val="bottom"/>
          </w:tcPr>
          <w:p>
            <w:pPr>
              <w:pStyle w:val="yTable"/>
              <w:keepNext/>
              <w:spacing w:before="40" w:after="40"/>
              <w:jc w:val="center"/>
            </w:pPr>
          </w:p>
        </w:tc>
      </w:tr>
      <w:tr>
        <w:tc>
          <w:tcPr>
            <w:tcW w:w="5640" w:type="dxa"/>
          </w:tcPr>
          <w:p>
            <w:pPr>
              <w:pStyle w:val="yTable"/>
              <w:spacing w:before="40" w:after="40"/>
              <w:ind w:right="141"/>
            </w:pPr>
            <w:r>
              <w:t>After hours — where immediate attendance is required after 6 p.m. and before 8 a.m. on any weekday, or at any time on a Saturday, Sunday or a public holiday</w:t>
            </w:r>
          </w:p>
        </w:tc>
        <w:tc>
          <w:tcPr>
            <w:tcW w:w="1440" w:type="dxa"/>
            <w:vAlign w:val="bottom"/>
          </w:tcPr>
          <w:p>
            <w:pPr>
              <w:pStyle w:val="yTable"/>
              <w:keepNext/>
              <w:spacing w:before="40" w:after="40"/>
              <w:jc w:val="center"/>
            </w:pPr>
            <w:r>
              <w:t>6</w:t>
            </w:r>
          </w:p>
        </w:tc>
      </w:tr>
      <w:tr>
        <w:tc>
          <w:tcPr>
            <w:tcW w:w="5640" w:type="dxa"/>
          </w:tcPr>
          <w:p>
            <w:pPr>
              <w:pStyle w:val="yTable"/>
              <w:spacing w:before="40" w:after="40"/>
              <w:ind w:right="141"/>
            </w:pPr>
            <w:r>
              <w:rPr>
                <w:b/>
              </w:rPr>
              <w:t>Note: No after hours loading applies to the above item</w:t>
            </w:r>
          </w:p>
        </w:tc>
        <w:tc>
          <w:tcPr>
            <w:tcW w:w="1440" w:type="dxa"/>
            <w:vAlign w:val="bottom"/>
          </w:tcPr>
          <w:p>
            <w:pPr>
              <w:pStyle w:val="yTable"/>
              <w:keepNext/>
              <w:spacing w:before="40" w:after="40"/>
              <w:jc w:val="center"/>
            </w:pPr>
          </w:p>
        </w:tc>
      </w:tr>
      <w:tr>
        <w:tc>
          <w:tcPr>
            <w:tcW w:w="5640" w:type="dxa"/>
          </w:tcPr>
          <w:p>
            <w:pPr>
              <w:pStyle w:val="yTable"/>
              <w:spacing w:before="40" w:after="40"/>
              <w:ind w:right="141"/>
            </w:pPr>
            <w:r>
              <w:t>Attendance on a patient in imminent danger of death requiring continuous life saving emergency treatment to the exclusion of all other patients</w:t>
            </w:r>
          </w:p>
        </w:tc>
        <w:tc>
          <w:tcPr>
            <w:tcW w:w="1440" w:type="dxa"/>
            <w:vAlign w:val="bottom"/>
          </w:tcPr>
          <w:p>
            <w:pPr>
              <w:pStyle w:val="yTable"/>
              <w:keepNext/>
              <w:spacing w:before="40" w:after="40"/>
              <w:jc w:val="center"/>
            </w:pPr>
            <w:r>
              <w:t>6</w:t>
            </w:r>
          </w:p>
        </w:tc>
      </w:tr>
      <w:tr>
        <w:tc>
          <w:tcPr>
            <w:tcW w:w="5640" w:type="dxa"/>
            <w:tcBorders>
              <w:bottom w:val="single" w:sz="4" w:space="0" w:color="auto"/>
            </w:tcBorders>
          </w:tcPr>
          <w:p>
            <w:pPr>
              <w:pStyle w:val="yTable"/>
              <w:spacing w:before="40" w:after="40"/>
              <w:ind w:right="141"/>
            </w:pPr>
            <w:r>
              <w:t>Call back from home, office or other distant location for the provision of emergency services</w:t>
            </w:r>
          </w:p>
        </w:tc>
        <w:tc>
          <w:tcPr>
            <w:tcW w:w="1440" w:type="dxa"/>
            <w:tcBorders>
              <w:bottom w:val="single" w:sz="4" w:space="0" w:color="auto"/>
            </w:tcBorders>
            <w:vAlign w:val="bottom"/>
          </w:tcPr>
          <w:p>
            <w:pPr>
              <w:pStyle w:val="yTable"/>
              <w:keepNext/>
              <w:spacing w:before="40" w:after="40"/>
              <w:jc w:val="center"/>
            </w:pPr>
            <w:r>
              <w:t>4</w:t>
            </w:r>
          </w:p>
        </w:tc>
      </w:tr>
    </w:tbl>
    <w:p>
      <w:pPr>
        <w:pStyle w:val="yTable"/>
        <w:spacing w:before="200"/>
      </w:pPr>
      <w:r>
        <w:t>PROCEDURES AND SERVICES</w:t>
      </w:r>
    </w:p>
    <w:p>
      <w:pPr>
        <w:pStyle w:val="yTable"/>
      </w:pPr>
      <w:r>
        <w:t>All anaesthesia fees in relation to procedures and services are to be charged on the relative value guide (RVG) system. In most cases, the RVG system comprises 3 elements: base units (BUs), modifying units (MUs) and time units (TUs).</w:t>
      </w:r>
    </w:p>
    <w:p>
      <w:pPr>
        <w:pStyle w:val="yTable"/>
      </w:pPr>
      <w:r>
        <w:t>In Part A, the fee for a procedure is calculated by adding the base units for the procedure, the time units, and any modifying units and multiplying the result by the $ value per unit allocated by this Schedule.</w:t>
      </w:r>
    </w:p>
    <w:p>
      <w:pPr>
        <w:pStyle w:val="yTable"/>
        <w:tabs>
          <w:tab w:val="left" w:pos="840"/>
        </w:tabs>
      </w:pPr>
      <w:r>
        <w:tab/>
        <w:t>(BUs + TUs + MUs ) x $ value per unit = Fee</w:t>
      </w:r>
    </w:p>
    <w:p>
      <w:pPr>
        <w:pStyle w:val="yTable"/>
      </w:pPr>
      <w:r>
        <w:t>In Part B, the fee for a therapeutic or diagnostic service only includes modifying units (MUs), and time units (TUs) if the item notes that service as including either or both.</w:t>
      </w:r>
    </w:p>
    <w:p>
      <w:pPr>
        <w:pStyle w:val="yTable"/>
        <w:keepNext/>
        <w:keepLines/>
        <w:spacing w:before="200"/>
        <w:rPr>
          <w:u w:val="single"/>
        </w:rPr>
      </w:pPr>
      <w:r>
        <w:rPr>
          <w:u w:val="single"/>
        </w:rPr>
        <w:t>Base units</w:t>
      </w:r>
    </w:p>
    <w:p>
      <w:pPr>
        <w:pStyle w:val="yTable"/>
        <w:keepLines/>
        <w:spacing w:before="120"/>
      </w:pPr>
      <w:r>
        <w:t>The appropriate number of base units for each procedure has been established and is set out in this Schedule.</w:t>
      </w:r>
    </w:p>
    <w:p>
      <w:pPr>
        <w:pStyle w:val="yTable"/>
        <w:rPr>
          <w:sz w:val="18"/>
        </w:rPr>
      </w:pPr>
      <w:r>
        <w:rPr>
          <w:sz w:val="18"/>
        </w:rPr>
        <w:t>[The number of base units for each procedure has been calculated so as to include usual postoperative visits, the administration of fluids and/or blood incidental to the anaesthesia care and usual monitoring procedures.]</w:t>
      </w:r>
    </w:p>
    <w:p>
      <w:pPr>
        <w:pStyle w:val="yTable"/>
        <w:spacing w:before="120"/>
        <w:rPr>
          <w:u w:val="single"/>
        </w:rPr>
      </w:pPr>
      <w:r>
        <w:rPr>
          <w:u w:val="single"/>
        </w:rPr>
        <w:t>Time units</w:t>
      </w:r>
    </w:p>
    <w:p>
      <w:pPr>
        <w:pStyle w:val="yTable"/>
        <w:spacing w:before="120"/>
      </w:pPr>
      <w:r>
        <w:t>For the first 2 hours, each 15 minutes (or part thereof) of anaesthetic time constitutes one time unit. After 2 hours, time units are calculated at one per 10 minutes (or part thereof).</w:t>
      </w:r>
    </w:p>
    <w:p>
      <w:pPr>
        <w:pStyle w:val="yTable"/>
        <w:spacing w:before="120"/>
        <w:rPr>
          <w:u w:val="single"/>
        </w:rPr>
      </w:pPr>
      <w:r>
        <w:rPr>
          <w:u w:val="single"/>
        </w:rPr>
        <w:t>Modifying units</w:t>
      </w:r>
    </w:p>
    <w:p>
      <w:pPr>
        <w:pStyle w:val="yTable"/>
        <w:spacing w:before="120"/>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Table"/>
        <w:rPr>
          <w:sz w:val="18"/>
        </w:rPr>
      </w:pPr>
      <w:r>
        <w:rPr>
          <w:sz w:val="18"/>
        </w:rPr>
        <w:t>[Note: The modifying units are, in the main, derived from the modifying units set out in the AMA’s “List of Medical Services and Fees”.]</w:t>
      </w:r>
    </w:p>
    <w:p>
      <w:pPr>
        <w:pStyle w:val="yTable"/>
        <w:spacing w:before="0"/>
        <w:ind w:left="567"/>
        <w:rPr>
          <w:sz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
              <w:spacing w:before="40" w:after="40"/>
              <w:rPr>
                <w:b/>
              </w:rPr>
            </w:pPr>
            <w:r>
              <w:rPr>
                <w:b/>
              </w:rPr>
              <w:t>Description</w:t>
            </w:r>
          </w:p>
        </w:tc>
        <w:tc>
          <w:tcPr>
            <w:tcW w:w="120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blPrEx>
          <w:tblCellMar>
            <w:left w:w="142" w:type="dxa"/>
            <w:right w:w="142" w:type="dxa"/>
          </w:tblCellMar>
        </w:tblPrEx>
        <w:trPr>
          <w:cantSplit/>
        </w:trPr>
        <w:tc>
          <w:tcPr>
            <w:tcW w:w="5880" w:type="dxa"/>
          </w:tcPr>
          <w:p>
            <w:pPr>
              <w:pStyle w:val="yTable"/>
              <w:spacing w:before="40" w:after="40"/>
            </w:pPr>
            <w:r>
              <w:t>A normal healthy patient</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mild systemic disease</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severe systemic disease</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A patient with a severe systemic disease that is a constant threat to life</w:t>
            </w:r>
          </w:p>
        </w:tc>
        <w:tc>
          <w:tcPr>
            <w:tcW w:w="1200" w:type="dxa"/>
            <w:vAlign w:val="bottom"/>
          </w:tcPr>
          <w:p>
            <w:pPr>
              <w:pStyle w:val="yTable"/>
              <w:keepNext/>
              <w:spacing w:before="40" w:after="40"/>
              <w:jc w:val="center"/>
            </w:pPr>
            <w:r>
              <w:t>4</w:t>
            </w:r>
          </w:p>
        </w:tc>
      </w:tr>
      <w:tr>
        <w:tblPrEx>
          <w:tblCellMar>
            <w:left w:w="142" w:type="dxa"/>
            <w:right w:w="142" w:type="dxa"/>
          </w:tblCellMar>
        </w:tblPrEx>
        <w:trPr>
          <w:cantSplit/>
        </w:trPr>
        <w:tc>
          <w:tcPr>
            <w:tcW w:w="5880" w:type="dxa"/>
          </w:tcPr>
          <w:p>
            <w:pPr>
              <w:pStyle w:val="yTable"/>
              <w:spacing w:before="40" w:after="40"/>
            </w:pPr>
            <w:r>
              <w:t>A moribund patient who is not expected to survive for 24 hours with or without the operation</w:t>
            </w:r>
          </w:p>
        </w:tc>
        <w:tc>
          <w:tcPr>
            <w:tcW w:w="1200" w:type="dxa"/>
            <w:vAlign w:val="bottom"/>
          </w:tcPr>
          <w:p>
            <w:pPr>
              <w:pStyle w:val="yTable"/>
              <w:keepNext/>
              <w:spacing w:before="40" w:after="40"/>
              <w:jc w:val="center"/>
            </w:pPr>
            <w:r>
              <w:t>6</w:t>
            </w:r>
          </w:p>
        </w:tc>
      </w:tr>
      <w:tr>
        <w:tblPrEx>
          <w:tblCellMar>
            <w:left w:w="142" w:type="dxa"/>
            <w:right w:w="142" w:type="dxa"/>
          </w:tblCellMar>
        </w:tblPrEx>
        <w:trPr>
          <w:cantSplit/>
        </w:trPr>
        <w:tc>
          <w:tcPr>
            <w:tcW w:w="5880" w:type="dxa"/>
          </w:tcPr>
          <w:p>
            <w:pPr>
              <w:pStyle w:val="yTable"/>
              <w:spacing w:before="40" w:after="40"/>
            </w:pPr>
            <w:r>
              <w:t>A patient who is morbidly obese (body mass index is more than 35)</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who is in the 3</w:t>
            </w:r>
            <w:r>
              <w:rPr>
                <w:vertAlign w:val="superscript"/>
              </w:rPr>
              <w:t>rd</w:t>
            </w:r>
            <w:r>
              <w:t xml:space="preserve"> trimester of pregnancy</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declared brain dead whose organs are being removed for donor purposes</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Where the patient is aged under 1 year or over 70 years old</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Emergency surgery (i.e. When undue delay in treatment of the patient would lead to a significant increase in a threat to life or body part)</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Borders>
              <w:bottom w:val="single" w:sz="4" w:space="0" w:color="auto"/>
            </w:tcBorders>
          </w:tcPr>
          <w:p>
            <w:pPr>
              <w:pStyle w:val="yTable"/>
              <w:spacing w:before="40" w:after="40"/>
            </w:pPr>
            <w:r>
              <w:t>Anaesthesia in the prone position (not applicable to lower intestinal endoscopic procedures)</w:t>
            </w:r>
          </w:p>
        </w:tc>
        <w:tc>
          <w:tcPr>
            <w:tcW w:w="1200" w:type="dxa"/>
            <w:tcBorders>
              <w:bottom w:val="single" w:sz="4" w:space="0" w:color="auto"/>
            </w:tcBorders>
            <w:vAlign w:val="bottom"/>
          </w:tcPr>
          <w:p>
            <w:pPr>
              <w:pStyle w:val="yTable"/>
              <w:keepNext/>
              <w:spacing w:before="40" w:after="40"/>
              <w:jc w:val="center"/>
            </w:pPr>
            <w:r>
              <w:t>3</w:t>
            </w:r>
          </w:p>
        </w:tc>
      </w:tr>
    </w:tbl>
    <w:p>
      <w:pPr>
        <w:pStyle w:val="yTable"/>
        <w:spacing w:before="200"/>
      </w:pPr>
      <w:r>
        <w:rPr>
          <w:u w:val="single"/>
        </w:rPr>
        <w:t>Anaesthesia for after</w:t>
      </w:r>
      <w:r>
        <w:rPr>
          <w:u w:val="single"/>
        </w:rPr>
        <w:noBreakHyphen/>
        <w:t>hours emergencies</w:t>
      </w:r>
    </w:p>
    <w:p>
      <w:pPr>
        <w:pStyle w:val="yTable"/>
        <w:spacing w:before="80"/>
      </w:pPr>
      <w:r>
        <w:t>A 50% loading should apply to emergency after–hours anaesthesia.  It is calculated using the “total relative value”.  The 50% loading and the emergency surgery modifier should not be used together.</w:t>
      </w:r>
    </w:p>
    <w:p>
      <w:pPr>
        <w:pStyle w:val="yTable"/>
        <w:spacing w:before="80"/>
      </w:pPr>
      <w:r>
        <w:rPr>
          <w:rStyle w:val="CharDefText"/>
        </w:rPr>
        <w:t>After</w:t>
      </w:r>
      <w:r>
        <w:rPr>
          <w:rStyle w:val="CharDefText"/>
        </w:rPr>
        <w:noBreakHyphen/>
        <w:t>hours</w:t>
      </w:r>
      <w:r>
        <w:t xml:space="preserve"> is defined as that period between 6.00 p.m. and the following 8.00 a.m. on weekdays and between 8.00 a.m. and the following 8.00 a.m. on weekend days and public holidays.</w:t>
      </w:r>
    </w:p>
    <w:p>
      <w:pPr>
        <w:pStyle w:val="yTable"/>
        <w:keepNext/>
        <w:keepLines/>
        <w:spacing w:before="260" w:after="120"/>
        <w:jc w:val="center"/>
        <w:rPr>
          <w:b/>
        </w:rPr>
      </w:pPr>
      <w:r>
        <w:rPr>
          <w:b/>
        </w:rPr>
        <w:t>PART A — PROCEDURES</w:t>
      </w:r>
    </w:p>
    <w:tbl>
      <w:tblPr>
        <w:tblW w:w="0" w:type="auto"/>
        <w:tblInd w:w="142" w:type="dxa"/>
        <w:tblLayout w:type="fixed"/>
        <w:tblCellMar>
          <w:left w:w="142" w:type="dxa"/>
          <w:right w:w="142"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
              <w:spacing w:before="40" w:after="40"/>
              <w:rPr>
                <w:b/>
              </w:rPr>
            </w:pPr>
            <w:r>
              <w:rPr>
                <w:b/>
              </w:rPr>
              <w:t>Description of procedure, etc</w:t>
            </w:r>
          </w:p>
        </w:tc>
        <w:tc>
          <w:tcPr>
            <w:tcW w:w="120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rPr>
          <w:cantSplit/>
        </w:trPr>
        <w:tc>
          <w:tcPr>
            <w:tcW w:w="5880" w:type="dxa"/>
            <w:tcBorders>
              <w:top w:val="single" w:sz="4" w:space="0" w:color="auto"/>
            </w:tcBorders>
          </w:tcPr>
          <w:p>
            <w:pPr>
              <w:pStyle w:val="yTable"/>
              <w:spacing w:before="220" w:after="40"/>
            </w:pPr>
            <w:r>
              <w:rPr>
                <w:b/>
              </w:rPr>
              <w:t>Head</w:t>
            </w:r>
          </w:p>
        </w:tc>
        <w:tc>
          <w:tcPr>
            <w:tcW w:w="1200" w:type="dxa"/>
            <w:tcBorders>
              <w:top w:val="single" w:sz="4" w:space="0" w:color="auto"/>
            </w:tcBorders>
            <w:vAlign w:val="bottom"/>
          </w:tcPr>
          <w:p>
            <w:pPr>
              <w:pStyle w:val="yTable"/>
              <w:keepNext/>
              <w:keepLines/>
              <w:spacing w:before="40" w:after="40"/>
              <w:jc w:val="center"/>
            </w:pPr>
          </w:p>
        </w:tc>
      </w:tr>
      <w:tr>
        <w:trPr>
          <w:cantSplit/>
        </w:trPr>
        <w:tc>
          <w:tcPr>
            <w:tcW w:w="5880" w:type="dxa"/>
          </w:tcPr>
          <w:p>
            <w:pPr>
              <w:pStyle w:val="yTable"/>
              <w:spacing w:after="40"/>
            </w:pPr>
            <w:r>
              <w:t>Anaesthesia for all procedures on the skin and subcutaneous tissue, muscles, salivary glands and superficial blood vessels of the head, including biopsy, unless otherwise specified</w:t>
            </w:r>
          </w:p>
        </w:tc>
        <w:tc>
          <w:tcPr>
            <w:tcW w:w="1200" w:type="dxa"/>
            <w:vAlign w:val="bottom"/>
          </w:tcPr>
          <w:p>
            <w:pPr>
              <w:pStyle w:val="yTable"/>
              <w:keepNext/>
              <w:keepLines/>
              <w:spacing w:after="40"/>
              <w:jc w:val="center"/>
            </w:pPr>
            <w:r>
              <w:t>5</w:t>
            </w:r>
          </w:p>
        </w:tc>
      </w:tr>
      <w:tr>
        <w:trPr>
          <w:cantSplit/>
        </w:trPr>
        <w:tc>
          <w:tcPr>
            <w:tcW w:w="5880" w:type="dxa"/>
          </w:tcPr>
          <w:p>
            <w:pPr>
              <w:pStyle w:val="yTable"/>
              <w:spacing w:after="40"/>
            </w:pPr>
            <w:r>
              <w:t> — plastic repair of cleft lip</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electroconvulsive therapy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procedures on external, middle or inner ear, including biopsy, unless otherwise specified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otoscopy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procedures on eye unless otherwise specified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lens surgery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retinal surgery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corneal transplant</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vitrectomy</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biopsy of conjunctiva</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ophthalmoscopy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procedures on nose and accessory sinuses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radical surgery</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biopsy, soft tissue</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intraoral procedures, including biopsy,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repair of cleft palate</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excision of retropharyngeal tumour</w:t>
            </w:r>
          </w:p>
        </w:tc>
        <w:tc>
          <w:tcPr>
            <w:tcW w:w="1200" w:type="dxa"/>
            <w:vAlign w:val="bottom"/>
          </w:tcPr>
          <w:p>
            <w:pPr>
              <w:pStyle w:val="yTable"/>
              <w:keepNext/>
              <w:spacing w:after="40"/>
              <w:jc w:val="center"/>
            </w:pPr>
            <w:r>
              <w:t>9</w:t>
            </w:r>
          </w:p>
        </w:tc>
      </w:tr>
      <w:tr>
        <w:trPr>
          <w:cantSplit/>
        </w:trPr>
        <w:tc>
          <w:tcPr>
            <w:tcW w:w="5880" w:type="dxa"/>
          </w:tcPr>
          <w:p>
            <w:pPr>
              <w:pStyle w:val="yTable"/>
              <w:spacing w:after="40"/>
            </w:pPr>
            <w:r>
              <w:t> — radical intraoral surgery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all procedures on facial bones unless otherwise specified</w:t>
            </w:r>
          </w:p>
        </w:tc>
        <w:tc>
          <w:tcPr>
            <w:tcW w:w="1200" w:type="dxa"/>
            <w:vAlign w:val="bottom"/>
          </w:tcPr>
          <w:p>
            <w:pPr>
              <w:pStyle w:val="yTable"/>
              <w:keepNext/>
              <w:spacing w:after="40"/>
              <w:jc w:val="center"/>
            </w:pPr>
            <w:r>
              <w:t>5</w:t>
            </w:r>
          </w:p>
        </w:tc>
      </w:tr>
      <w:tr>
        <w:trPr>
          <w:cantSplit/>
        </w:trPr>
        <w:tc>
          <w:tcPr>
            <w:tcW w:w="5880" w:type="dxa"/>
          </w:tcPr>
          <w:p>
            <w:pPr>
              <w:pStyle w:val="yTable"/>
              <w:spacing w:after="40"/>
              <w:ind w:left="397" w:hanging="397"/>
            </w:pPr>
            <w:r>
              <w:t> — extensive surgery on facial bones (including prognathism and extensive facial bone reconstruction)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all intracranial procedures unless otherwise specified</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subdural taps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burr holes</w:t>
            </w:r>
          </w:p>
        </w:tc>
        <w:tc>
          <w:tcPr>
            <w:tcW w:w="1200" w:type="dxa"/>
            <w:vAlign w:val="bottom"/>
          </w:tcPr>
          <w:p>
            <w:pPr>
              <w:pStyle w:val="yTable"/>
              <w:keepNext/>
              <w:spacing w:after="40"/>
              <w:jc w:val="center"/>
            </w:pPr>
            <w:r>
              <w:t>9</w:t>
            </w:r>
          </w:p>
        </w:tc>
      </w:tr>
      <w:tr>
        <w:trPr>
          <w:cantSplit/>
        </w:trPr>
        <w:tc>
          <w:tcPr>
            <w:tcW w:w="5880" w:type="dxa"/>
          </w:tcPr>
          <w:p>
            <w:pPr>
              <w:pStyle w:val="yTable"/>
              <w:spacing w:after="40"/>
              <w:ind w:left="397" w:hanging="397"/>
            </w:pPr>
            <w:r>
              <w:t> — intracranial vascular procedures including those for aneurysms and arterio</w:t>
            </w:r>
            <w:r>
              <w:noBreakHyphen/>
              <w:t>venous abnormalities</w:t>
            </w:r>
          </w:p>
        </w:tc>
        <w:tc>
          <w:tcPr>
            <w:tcW w:w="1200" w:type="dxa"/>
            <w:vAlign w:val="bottom"/>
          </w:tcPr>
          <w:p>
            <w:pPr>
              <w:pStyle w:val="yTable"/>
              <w:keepNext/>
              <w:spacing w:after="40"/>
              <w:jc w:val="center"/>
            </w:pPr>
            <w:r>
              <w:t>20</w:t>
            </w:r>
          </w:p>
        </w:tc>
      </w:tr>
      <w:tr>
        <w:trPr>
          <w:cantSplit/>
        </w:trPr>
        <w:tc>
          <w:tcPr>
            <w:tcW w:w="5880" w:type="dxa"/>
          </w:tcPr>
          <w:p>
            <w:pPr>
              <w:pStyle w:val="yTable"/>
              <w:spacing w:after="40"/>
            </w:pPr>
            <w:r>
              <w:t> — spinal fluid shunt procedures</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ablation of intracranial nerve</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cranial bone procedures</w:t>
            </w:r>
          </w:p>
        </w:tc>
        <w:tc>
          <w:tcPr>
            <w:tcW w:w="1200" w:type="dxa"/>
            <w:vAlign w:val="bottom"/>
          </w:tcPr>
          <w:p>
            <w:pPr>
              <w:pStyle w:val="yTable"/>
              <w:keepNext/>
              <w:spacing w:after="40"/>
              <w:jc w:val="center"/>
            </w:pPr>
            <w:r>
              <w:t>12</w:t>
            </w:r>
          </w:p>
        </w:tc>
      </w:tr>
      <w:tr>
        <w:trPr>
          <w:cantSplit/>
        </w:trPr>
        <w:tc>
          <w:tcPr>
            <w:tcW w:w="5880" w:type="dxa"/>
          </w:tcPr>
          <w:p>
            <w:pPr>
              <w:pStyle w:val="yTable"/>
              <w:spacing w:before="200" w:after="40"/>
            </w:pPr>
            <w:r>
              <w:rPr>
                <w:b/>
              </w:rPr>
              <w:t>Neck</w:t>
            </w:r>
          </w:p>
        </w:tc>
        <w:tc>
          <w:tcPr>
            <w:tcW w:w="1200" w:type="dxa"/>
            <w:vAlign w:val="bottom"/>
          </w:tcPr>
          <w:p>
            <w:pPr>
              <w:pStyle w:val="yTable"/>
              <w:keepNext/>
              <w:spacing w:before="40" w:after="40"/>
              <w:jc w:val="center"/>
            </w:pPr>
          </w:p>
        </w:tc>
      </w:tr>
      <w:tr>
        <w:trPr>
          <w:cantSplit/>
        </w:trPr>
        <w:tc>
          <w:tcPr>
            <w:tcW w:w="5880" w:type="dxa"/>
          </w:tcPr>
          <w:p>
            <w:pPr>
              <w:pStyle w:val="yTable"/>
              <w:spacing w:before="40" w:after="40"/>
            </w:pPr>
            <w:r>
              <w:t>Anaesthesia for all procedures on the skin or subcutaneous tissue of the neck unless otherwise specified</w:t>
            </w:r>
          </w:p>
        </w:tc>
        <w:tc>
          <w:tcPr>
            <w:tcW w:w="1200" w:type="dxa"/>
            <w:vAlign w:val="bottom"/>
          </w:tcPr>
          <w:p>
            <w:pPr>
              <w:pStyle w:val="yTable"/>
              <w:keepNext/>
              <w:spacing w:before="40" w:after="40"/>
              <w:jc w:val="center"/>
            </w:pPr>
            <w:r>
              <w:t>5</w:t>
            </w:r>
          </w:p>
        </w:tc>
      </w:tr>
      <w:tr>
        <w:trPr>
          <w:cantSplit/>
        </w:trPr>
        <w:tc>
          <w:tcPr>
            <w:tcW w:w="5880" w:type="dxa"/>
          </w:tcPr>
          <w:p>
            <w:pPr>
              <w:pStyle w:val="yTable"/>
              <w:spacing w:after="40"/>
            </w:pPr>
            <w:r>
              <w:t>Anaesthesia for incision and drainage of large haematoma, large abscess, cellulitis, or similar lesion causing life threatening airway obstruction</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xml:space="preserve">Anaesthesia for all procedures on oesophagus, thyroid, larynx, trachea and lymphatic system muscles, nerves or other deep tissues of the neck unless otherwise specified </w:t>
            </w:r>
          </w:p>
        </w:tc>
        <w:tc>
          <w:tcPr>
            <w:tcW w:w="1200" w:type="dxa"/>
            <w:vAlign w:val="bottom"/>
          </w:tcPr>
          <w:p>
            <w:pPr>
              <w:pStyle w:val="yTable"/>
              <w:keepNext/>
              <w:spacing w:after="40"/>
              <w:jc w:val="center"/>
            </w:pPr>
            <w:r>
              <w:t>6</w:t>
            </w:r>
          </w:p>
        </w:tc>
      </w:tr>
      <w:tr>
        <w:trPr>
          <w:cantSplit/>
        </w:trPr>
        <w:tc>
          <w:tcPr>
            <w:tcW w:w="5880" w:type="dxa"/>
          </w:tcPr>
          <w:p>
            <w:pPr>
              <w:pStyle w:val="yTable"/>
              <w:spacing w:after="40"/>
              <w:ind w:left="340" w:hanging="340"/>
            </w:pPr>
            <w:r>
              <w:t> — for laryngectomy, hemi laryngectomy, laryngopharyngectomy, or pharyngectomy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laser surgery to the airway</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Anaesthesia for all procedures on major vessels of neck unless otherwise specified</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simple ligation</w:t>
            </w:r>
          </w:p>
        </w:tc>
        <w:tc>
          <w:tcPr>
            <w:tcW w:w="1200" w:type="dxa"/>
            <w:vAlign w:val="bottom"/>
          </w:tcPr>
          <w:p>
            <w:pPr>
              <w:pStyle w:val="yTable"/>
              <w:keepNext/>
              <w:spacing w:after="40"/>
              <w:jc w:val="center"/>
            </w:pPr>
            <w:r>
              <w:t>5</w:t>
            </w:r>
          </w:p>
        </w:tc>
      </w:tr>
      <w:tr>
        <w:trPr>
          <w:cantSplit/>
        </w:trPr>
        <w:tc>
          <w:tcPr>
            <w:tcW w:w="5880" w:type="dxa"/>
          </w:tcPr>
          <w:p>
            <w:pPr>
              <w:pStyle w:val="yTable"/>
              <w:spacing w:before="240" w:after="40"/>
            </w:pPr>
            <w:r>
              <w:rPr>
                <w:b/>
              </w:rPr>
              <w:t>Thorax (Chest Wall/Shoulder Girdle)</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chest unless otherwise specified</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the breast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reconstructive procedures on the breast (eg. reduction or augmentation, mammoplasty)</w:t>
            </w:r>
          </w:p>
        </w:tc>
        <w:tc>
          <w:tcPr>
            <w:tcW w:w="1200" w:type="dxa"/>
            <w:vAlign w:val="bottom"/>
          </w:tcPr>
          <w:p>
            <w:pPr>
              <w:pStyle w:val="yTable"/>
              <w:keepNext/>
              <w:spacing w:after="40"/>
              <w:jc w:val="center"/>
            </w:pPr>
            <w:r>
              <w:t>5</w:t>
            </w:r>
          </w:p>
        </w:tc>
      </w:tr>
      <w:tr>
        <w:trPr>
          <w:cantSplit/>
        </w:trPr>
        <w:tc>
          <w:tcPr>
            <w:tcW w:w="5880" w:type="dxa"/>
          </w:tcPr>
          <w:p>
            <w:pPr>
              <w:pStyle w:val="yTable"/>
              <w:spacing w:after="40"/>
              <w:ind w:left="340" w:hanging="340"/>
            </w:pPr>
            <w:r>
              <w:t> — removal of breast lump or for breast segmentectomy where axillary node dissection is performed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mastectomy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ind w:left="340" w:hanging="340"/>
            </w:pPr>
            <w:r>
              <w:t> — reconstructive procedures on the breast using myocutaneous flaps</w:t>
            </w:r>
          </w:p>
        </w:tc>
        <w:tc>
          <w:tcPr>
            <w:tcW w:w="1200" w:type="dxa"/>
            <w:vAlign w:val="bottom"/>
          </w:tcPr>
          <w:p>
            <w:pPr>
              <w:pStyle w:val="yTable"/>
              <w:keepNext/>
              <w:spacing w:after="40"/>
              <w:jc w:val="center"/>
            </w:pPr>
            <w:r>
              <w:t>8</w:t>
            </w:r>
          </w:p>
        </w:tc>
      </w:tr>
      <w:tr>
        <w:trPr>
          <w:cantSplit/>
        </w:trPr>
        <w:tc>
          <w:tcPr>
            <w:tcW w:w="5880" w:type="dxa"/>
          </w:tcPr>
          <w:p>
            <w:pPr>
              <w:pStyle w:val="yTable"/>
              <w:spacing w:after="40"/>
              <w:ind w:left="340" w:hanging="340"/>
            </w:pPr>
            <w:r>
              <w:t> — radical or modified radical procedures on breast with internal mammary node dissection</w:t>
            </w:r>
          </w:p>
        </w:tc>
        <w:tc>
          <w:tcPr>
            <w:tcW w:w="1200" w:type="dxa"/>
            <w:vAlign w:val="bottom"/>
          </w:tcPr>
          <w:p>
            <w:pPr>
              <w:pStyle w:val="yTable"/>
              <w:keepNext/>
              <w:spacing w:after="40"/>
              <w:jc w:val="center"/>
            </w:pPr>
            <w:r>
              <w:t>13</w:t>
            </w:r>
          </w:p>
        </w:tc>
      </w:tr>
      <w:tr>
        <w:trPr>
          <w:cantSplit/>
        </w:trPr>
        <w:tc>
          <w:tcPr>
            <w:tcW w:w="5880" w:type="dxa"/>
          </w:tcPr>
          <w:p>
            <w:pPr>
              <w:pStyle w:val="yTable"/>
              <w:spacing w:after="40"/>
            </w:pPr>
            <w:r>
              <w:t> — electrical conversion of arrhythmias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percutaneous bone marrow biopsy of the sternum</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procedures on the clavicle, scapula or sternum unless otherwise specified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radical surgery</w:t>
            </w:r>
          </w:p>
        </w:tc>
        <w:tc>
          <w:tcPr>
            <w:tcW w:w="1200" w:type="dxa"/>
            <w:vAlign w:val="bottom"/>
          </w:tcPr>
          <w:p>
            <w:pPr>
              <w:pStyle w:val="yTable"/>
              <w:keepNext/>
              <w:spacing w:after="40"/>
              <w:jc w:val="center"/>
            </w:pPr>
            <w:r>
              <w:t>6</w:t>
            </w:r>
          </w:p>
        </w:tc>
      </w:tr>
      <w:tr>
        <w:trPr>
          <w:cantSplit/>
        </w:trPr>
        <w:tc>
          <w:tcPr>
            <w:tcW w:w="5880" w:type="dxa"/>
          </w:tcPr>
          <w:p>
            <w:pPr>
              <w:pStyle w:val="yTable"/>
              <w:keepNext/>
              <w:spacing w:after="40"/>
            </w:pPr>
            <w:r>
              <w:t>Anaesthesia for partial rib resection unless otherwise specified</w:t>
            </w:r>
          </w:p>
        </w:tc>
        <w:tc>
          <w:tcPr>
            <w:tcW w:w="1200" w:type="dxa"/>
            <w:vAlign w:val="bottom"/>
          </w:tcPr>
          <w:p>
            <w:pPr>
              <w:pStyle w:val="yTable"/>
              <w:keepNext/>
              <w:keepLines/>
              <w:spacing w:after="40"/>
              <w:jc w:val="center"/>
            </w:pPr>
            <w:r>
              <w:t>6</w:t>
            </w:r>
          </w:p>
        </w:tc>
      </w:tr>
      <w:tr>
        <w:trPr>
          <w:cantSplit/>
        </w:trPr>
        <w:tc>
          <w:tcPr>
            <w:tcW w:w="5880" w:type="dxa"/>
          </w:tcPr>
          <w:p>
            <w:pPr>
              <w:pStyle w:val="yTable"/>
              <w:keepNext/>
              <w:spacing w:after="40"/>
            </w:pPr>
            <w:r>
              <w:t> — thoracoplasty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extensive procedures (eg. pectus excavatum)</w:t>
            </w:r>
          </w:p>
        </w:tc>
        <w:tc>
          <w:tcPr>
            <w:tcW w:w="1200" w:type="dxa"/>
            <w:vAlign w:val="bottom"/>
          </w:tcPr>
          <w:p>
            <w:pPr>
              <w:pStyle w:val="yTable"/>
              <w:keepNext/>
              <w:spacing w:after="40"/>
              <w:jc w:val="center"/>
            </w:pPr>
            <w:r>
              <w:t>13</w:t>
            </w:r>
          </w:p>
        </w:tc>
      </w:tr>
      <w:tr>
        <w:trPr>
          <w:cantSplit/>
        </w:trPr>
        <w:tc>
          <w:tcPr>
            <w:tcW w:w="5880" w:type="dxa"/>
          </w:tcPr>
          <w:p>
            <w:pPr>
              <w:pStyle w:val="yTable"/>
              <w:spacing w:before="240" w:after="40"/>
            </w:pPr>
            <w:r>
              <w:rPr>
                <w:b/>
              </w:rPr>
              <w:t>Intrathoracic</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open procedures on the oesophagus</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Anaesthesia for all closed chest procedures (including rigid oesophagoscopy or bronchoscopy)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needle biopsy of pleura</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pneumocentesis</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thoracoscopy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mediastinoscopy</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Anaesthesia for all thoracotomy procedures involving lungs, pleura, diaphragm, and mediastinum unless otherwise specified</w:t>
            </w:r>
          </w:p>
        </w:tc>
        <w:tc>
          <w:tcPr>
            <w:tcW w:w="1200" w:type="dxa"/>
            <w:vAlign w:val="bottom"/>
          </w:tcPr>
          <w:p>
            <w:pPr>
              <w:pStyle w:val="yTable"/>
              <w:keepNext/>
              <w:spacing w:after="40"/>
              <w:jc w:val="center"/>
            </w:pPr>
            <w:r>
              <w:t>13</w:t>
            </w:r>
          </w:p>
        </w:tc>
      </w:tr>
      <w:tr>
        <w:trPr>
          <w:cantSplit/>
        </w:trPr>
        <w:tc>
          <w:tcPr>
            <w:tcW w:w="5880" w:type="dxa"/>
          </w:tcPr>
          <w:p>
            <w:pPr>
              <w:pStyle w:val="yTable"/>
              <w:spacing w:after="40"/>
            </w:pPr>
            <w:r>
              <w:t> — pulmonary decortication</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pulmonary resection with thoracoplasty</w:t>
            </w:r>
          </w:p>
        </w:tc>
        <w:tc>
          <w:tcPr>
            <w:tcW w:w="1200" w:type="dxa"/>
            <w:vAlign w:val="bottom"/>
          </w:tcPr>
          <w:p>
            <w:pPr>
              <w:pStyle w:val="yTable"/>
              <w:keepNext/>
              <w:spacing w:after="40"/>
              <w:jc w:val="center"/>
            </w:pPr>
            <w:r>
              <w:t>15</w:t>
            </w:r>
          </w:p>
        </w:tc>
      </w:tr>
      <w:tr>
        <w:trPr>
          <w:cantSplit/>
        </w:trPr>
        <w:tc>
          <w:tcPr>
            <w:tcW w:w="5880" w:type="dxa"/>
          </w:tcPr>
          <w:p>
            <w:pPr>
              <w:pStyle w:val="yTable"/>
              <w:spacing w:after="40"/>
              <w:ind w:left="340" w:hanging="340"/>
            </w:pPr>
            <w:r>
              <w:t> — intrathoracic repair of trauma to trachea and bronchi</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Anaesthesia for all open procedures on the heart, pericardium, and great vessels of the chest</w:t>
            </w:r>
          </w:p>
        </w:tc>
        <w:tc>
          <w:tcPr>
            <w:tcW w:w="1200" w:type="dxa"/>
            <w:vAlign w:val="bottom"/>
          </w:tcPr>
          <w:p>
            <w:pPr>
              <w:pStyle w:val="yTable"/>
              <w:keepNext/>
              <w:spacing w:after="40"/>
              <w:jc w:val="center"/>
            </w:pPr>
            <w:r>
              <w:t>20</w:t>
            </w:r>
          </w:p>
        </w:tc>
      </w:tr>
      <w:tr>
        <w:trPr>
          <w:cantSplit/>
        </w:trPr>
        <w:tc>
          <w:tcPr>
            <w:tcW w:w="5880" w:type="dxa"/>
          </w:tcPr>
          <w:p>
            <w:pPr>
              <w:pStyle w:val="yTable"/>
              <w:spacing w:after="40"/>
            </w:pPr>
            <w:r>
              <w:t>Anaesthesia for heart transplant</w:t>
            </w:r>
          </w:p>
        </w:tc>
        <w:tc>
          <w:tcPr>
            <w:tcW w:w="1200" w:type="dxa"/>
            <w:vAlign w:val="bottom"/>
          </w:tcPr>
          <w:p>
            <w:pPr>
              <w:pStyle w:val="yTable"/>
              <w:keepNext/>
              <w:spacing w:after="40"/>
              <w:jc w:val="center"/>
            </w:pPr>
            <w:r>
              <w:t>20</w:t>
            </w:r>
          </w:p>
        </w:tc>
      </w:tr>
      <w:tr>
        <w:trPr>
          <w:cantSplit/>
        </w:trPr>
        <w:tc>
          <w:tcPr>
            <w:tcW w:w="5880" w:type="dxa"/>
          </w:tcPr>
          <w:p>
            <w:pPr>
              <w:pStyle w:val="yTable"/>
              <w:spacing w:after="40"/>
            </w:pPr>
            <w:r>
              <w:t>Anaesthesia for heart and lung transplant</w:t>
            </w:r>
          </w:p>
        </w:tc>
        <w:tc>
          <w:tcPr>
            <w:tcW w:w="1200" w:type="dxa"/>
            <w:vAlign w:val="bottom"/>
          </w:tcPr>
          <w:p>
            <w:pPr>
              <w:pStyle w:val="yTable"/>
              <w:keepNext/>
              <w:spacing w:after="40"/>
              <w:jc w:val="center"/>
            </w:pPr>
            <w:r>
              <w:t>20</w:t>
            </w:r>
          </w:p>
        </w:tc>
      </w:tr>
      <w:tr>
        <w:trPr>
          <w:cantSplit/>
        </w:trPr>
        <w:tc>
          <w:tcPr>
            <w:tcW w:w="5880" w:type="dxa"/>
          </w:tcPr>
          <w:p>
            <w:pPr>
              <w:pStyle w:val="yTable"/>
              <w:spacing w:after="40"/>
            </w:pPr>
            <w:r>
              <w:t>Cadaver harvesting of heart and/or lungs</w:t>
            </w:r>
          </w:p>
        </w:tc>
        <w:tc>
          <w:tcPr>
            <w:tcW w:w="1200" w:type="dxa"/>
            <w:vAlign w:val="bottom"/>
          </w:tcPr>
          <w:p>
            <w:pPr>
              <w:pStyle w:val="yTable"/>
              <w:keepNext/>
              <w:spacing w:after="40"/>
              <w:jc w:val="center"/>
            </w:pPr>
            <w:r>
              <w:t>8</w:t>
            </w:r>
          </w:p>
        </w:tc>
      </w:tr>
      <w:tr>
        <w:trPr>
          <w:cantSplit/>
        </w:trPr>
        <w:tc>
          <w:tcPr>
            <w:tcW w:w="5880" w:type="dxa"/>
          </w:tcPr>
          <w:p>
            <w:pPr>
              <w:pStyle w:val="yTable"/>
              <w:keepNext/>
              <w:spacing w:before="240" w:after="40"/>
            </w:pPr>
            <w:r>
              <w:rPr>
                <w:b/>
              </w:rPr>
              <w:t>Spine and spinal cord</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cervical spine and/or cord unless otherwise specified (for myelography and discography see items in ‘Other Procedures’)</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posterior cervical laminectomy in sitting position</w:t>
            </w:r>
          </w:p>
        </w:tc>
        <w:tc>
          <w:tcPr>
            <w:tcW w:w="1200" w:type="dxa"/>
            <w:vAlign w:val="bottom"/>
          </w:tcPr>
          <w:p>
            <w:pPr>
              <w:pStyle w:val="yTable"/>
              <w:keepNext/>
              <w:spacing w:after="40"/>
              <w:jc w:val="center"/>
            </w:pPr>
            <w:r>
              <w:t>13</w:t>
            </w:r>
          </w:p>
        </w:tc>
      </w:tr>
      <w:tr>
        <w:trPr>
          <w:cantSplit/>
        </w:trPr>
        <w:tc>
          <w:tcPr>
            <w:tcW w:w="5880" w:type="dxa"/>
          </w:tcPr>
          <w:p>
            <w:pPr>
              <w:pStyle w:val="yTable"/>
              <w:keepNext/>
              <w:spacing w:after="40"/>
            </w:pPr>
            <w:r>
              <w:t>Anaesthesia for all procedures on the thoracic spine and/or cord unless otherwise specified</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thoracolumbar sympathectomy</w:t>
            </w:r>
          </w:p>
        </w:tc>
        <w:tc>
          <w:tcPr>
            <w:tcW w:w="1200" w:type="dxa"/>
            <w:vAlign w:val="bottom"/>
          </w:tcPr>
          <w:p>
            <w:pPr>
              <w:pStyle w:val="yTable"/>
              <w:keepNext/>
              <w:spacing w:after="40"/>
              <w:jc w:val="center"/>
            </w:pPr>
            <w:r>
              <w:t>13</w:t>
            </w:r>
          </w:p>
        </w:tc>
      </w:tr>
      <w:tr>
        <w:trPr>
          <w:cantSplit/>
        </w:trPr>
        <w:tc>
          <w:tcPr>
            <w:tcW w:w="5880" w:type="dxa"/>
          </w:tcPr>
          <w:p>
            <w:pPr>
              <w:pStyle w:val="yTable"/>
              <w:spacing w:after="40"/>
            </w:pPr>
            <w:r>
              <w:t>Anaesthesia for all procedures in the lumbar region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lumbar sympathectomy</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chemonucleolysis</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extensive spine and spinal cord procedures</w:t>
            </w:r>
          </w:p>
        </w:tc>
        <w:tc>
          <w:tcPr>
            <w:tcW w:w="1200" w:type="dxa"/>
            <w:vAlign w:val="bottom"/>
          </w:tcPr>
          <w:p>
            <w:pPr>
              <w:pStyle w:val="yTable"/>
              <w:keepNext/>
              <w:spacing w:after="40"/>
              <w:jc w:val="center"/>
            </w:pPr>
            <w:r>
              <w:t>13</w:t>
            </w:r>
          </w:p>
        </w:tc>
      </w:tr>
      <w:tr>
        <w:trPr>
          <w:cantSplit/>
        </w:trPr>
        <w:tc>
          <w:tcPr>
            <w:tcW w:w="5880" w:type="dxa"/>
          </w:tcPr>
          <w:p>
            <w:pPr>
              <w:pStyle w:val="yTable"/>
              <w:spacing w:after="40"/>
            </w:pPr>
            <w:r>
              <w:t>Anaesthesia for manipulation of spine</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percutaneous spinal procedures</w:t>
            </w:r>
          </w:p>
        </w:tc>
        <w:tc>
          <w:tcPr>
            <w:tcW w:w="1200" w:type="dxa"/>
            <w:vAlign w:val="bottom"/>
          </w:tcPr>
          <w:p>
            <w:pPr>
              <w:pStyle w:val="yTable"/>
              <w:keepNext/>
              <w:spacing w:after="40"/>
              <w:jc w:val="center"/>
            </w:pPr>
            <w:r>
              <w:t>5</w:t>
            </w:r>
          </w:p>
        </w:tc>
      </w:tr>
      <w:tr>
        <w:trPr>
          <w:cantSplit/>
        </w:trPr>
        <w:tc>
          <w:tcPr>
            <w:tcW w:w="5880" w:type="dxa"/>
          </w:tcPr>
          <w:p>
            <w:pPr>
              <w:pStyle w:val="yTable"/>
              <w:spacing w:before="240" w:after="40"/>
            </w:pPr>
            <w:r>
              <w:rPr>
                <w:b/>
              </w:rPr>
              <w:t>Upper abdomen</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upper abdominal wall unless otherwise specified</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the nerves, muscles, tendons and fascia of the upper abdominal wall</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diagnostic laparoscopy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laparoscopic procedures unless otherwise specified</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extracorporeal shock wave lithotripsy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upper gastrointestinal endoscopic procedures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upper gastrointestinal endoscopic procedures in association with imaging techniques including fluoroscopy and ultrasound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upper gastrointestinal endoscopic procedures in association with acute gastrointestinal haemorrhage</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hernia repairs in upper abdomen unless otherwise specified</w:t>
            </w:r>
          </w:p>
        </w:tc>
        <w:tc>
          <w:tcPr>
            <w:tcW w:w="1200" w:type="dxa"/>
            <w:vAlign w:val="bottom"/>
          </w:tcPr>
          <w:p>
            <w:pPr>
              <w:pStyle w:val="yTable"/>
              <w:keepNext/>
              <w:keepLines/>
              <w:spacing w:after="40"/>
              <w:jc w:val="center"/>
            </w:pPr>
            <w:r>
              <w:t>4</w:t>
            </w:r>
          </w:p>
        </w:tc>
      </w:tr>
      <w:tr>
        <w:trPr>
          <w:cantSplit/>
        </w:trPr>
        <w:tc>
          <w:tcPr>
            <w:tcW w:w="5880" w:type="dxa"/>
          </w:tcPr>
          <w:p>
            <w:pPr>
              <w:pStyle w:val="yTable"/>
              <w:spacing w:after="40"/>
              <w:ind w:left="340" w:hanging="340"/>
            </w:pPr>
            <w:r>
              <w:t> — repair of incisional hernia and/or wound dehiscence</w:t>
            </w:r>
          </w:p>
        </w:tc>
        <w:tc>
          <w:tcPr>
            <w:tcW w:w="1200" w:type="dxa"/>
            <w:vAlign w:val="bottom"/>
          </w:tcPr>
          <w:p>
            <w:pPr>
              <w:pStyle w:val="yTable"/>
              <w:keepNext/>
              <w:keepLines/>
              <w:spacing w:after="40"/>
              <w:jc w:val="center"/>
            </w:pPr>
            <w:r>
              <w:t>6</w:t>
            </w:r>
          </w:p>
        </w:tc>
      </w:tr>
      <w:tr>
        <w:trPr>
          <w:cantSplit/>
        </w:trPr>
        <w:tc>
          <w:tcPr>
            <w:tcW w:w="5880" w:type="dxa"/>
          </w:tcPr>
          <w:p>
            <w:pPr>
              <w:pStyle w:val="yTable"/>
              <w:spacing w:after="40"/>
            </w:pPr>
            <w:r>
              <w:t> — repair of omphalocele</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transabdominal repair of diaphragmatic hernia</w:t>
            </w:r>
          </w:p>
        </w:tc>
        <w:tc>
          <w:tcPr>
            <w:tcW w:w="1200" w:type="dxa"/>
            <w:vAlign w:val="bottom"/>
          </w:tcPr>
          <w:p>
            <w:pPr>
              <w:pStyle w:val="yTable"/>
              <w:keepNext/>
              <w:spacing w:after="40"/>
              <w:jc w:val="center"/>
            </w:pPr>
            <w:r>
              <w:t>9</w:t>
            </w:r>
          </w:p>
        </w:tc>
      </w:tr>
      <w:tr>
        <w:trPr>
          <w:cantSplit/>
        </w:trPr>
        <w:tc>
          <w:tcPr>
            <w:tcW w:w="5880" w:type="dxa"/>
          </w:tcPr>
          <w:p>
            <w:pPr>
              <w:pStyle w:val="yTable"/>
              <w:spacing w:after="40"/>
            </w:pPr>
            <w:r>
              <w:t>Anaesthesia for all procedures on major abdominal blood vessels</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Anaesthesia for all procedures within the peritoneal cavity in upper abdomen including cholecystectomy, gastrectomy, laparoscopic nephrectomy, bowel shunts and cadaver harvesting of organs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Anaesthesia for gastric reduction or gastroplasty for the treatment of morbid obesity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partial hepatectomy (excluding liver biopsy)</w:t>
            </w:r>
          </w:p>
        </w:tc>
        <w:tc>
          <w:tcPr>
            <w:tcW w:w="1200" w:type="dxa"/>
            <w:vAlign w:val="bottom"/>
          </w:tcPr>
          <w:p>
            <w:pPr>
              <w:pStyle w:val="yTable"/>
              <w:keepNext/>
              <w:spacing w:after="40"/>
              <w:jc w:val="center"/>
            </w:pPr>
            <w:r>
              <w:t>13</w:t>
            </w:r>
          </w:p>
        </w:tc>
      </w:tr>
      <w:tr>
        <w:trPr>
          <w:cantSplit/>
        </w:trPr>
        <w:tc>
          <w:tcPr>
            <w:tcW w:w="5880" w:type="dxa"/>
          </w:tcPr>
          <w:p>
            <w:pPr>
              <w:pStyle w:val="yTable"/>
              <w:spacing w:after="40"/>
            </w:pPr>
            <w:r>
              <w:t>Anaesthesia for extended or trisegmental hepatectomy</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Anaesthesia for pancreatectomy, partial or total (eg. Whipple procedure)</w:t>
            </w:r>
          </w:p>
        </w:tc>
        <w:tc>
          <w:tcPr>
            <w:tcW w:w="1200" w:type="dxa"/>
            <w:vAlign w:val="bottom"/>
          </w:tcPr>
          <w:p>
            <w:pPr>
              <w:pStyle w:val="yTable"/>
              <w:keepNext/>
              <w:spacing w:after="40"/>
              <w:jc w:val="center"/>
            </w:pPr>
            <w:r>
              <w:t>12</w:t>
            </w:r>
          </w:p>
        </w:tc>
      </w:tr>
      <w:tr>
        <w:trPr>
          <w:cantSplit/>
        </w:trPr>
        <w:tc>
          <w:tcPr>
            <w:tcW w:w="5880" w:type="dxa"/>
          </w:tcPr>
          <w:p>
            <w:pPr>
              <w:pStyle w:val="yTable"/>
              <w:spacing w:after="40"/>
            </w:pPr>
            <w:r>
              <w:t>Anaesthesia for liver transplant (recipient)</w:t>
            </w:r>
          </w:p>
        </w:tc>
        <w:tc>
          <w:tcPr>
            <w:tcW w:w="1200" w:type="dxa"/>
            <w:vAlign w:val="bottom"/>
          </w:tcPr>
          <w:p>
            <w:pPr>
              <w:pStyle w:val="yTable"/>
              <w:keepNext/>
              <w:spacing w:after="40"/>
              <w:jc w:val="center"/>
            </w:pPr>
            <w:r>
              <w:t>30</w:t>
            </w:r>
          </w:p>
        </w:tc>
      </w:tr>
      <w:tr>
        <w:trPr>
          <w:cantSplit/>
        </w:trPr>
        <w:tc>
          <w:tcPr>
            <w:tcW w:w="5880" w:type="dxa"/>
          </w:tcPr>
          <w:p>
            <w:pPr>
              <w:pStyle w:val="yTable"/>
              <w:spacing w:after="40"/>
            </w:pPr>
            <w:r>
              <w:t>Anaesthesia for neuro endocrine tumour removal (eg. carcinoid)</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percutaneous procedures on an intra</w:t>
            </w:r>
            <w:r>
              <w:noBreakHyphen/>
              <w:t>abdominal organ in the upper abdomen</w:t>
            </w:r>
          </w:p>
        </w:tc>
        <w:tc>
          <w:tcPr>
            <w:tcW w:w="1200" w:type="dxa"/>
            <w:vAlign w:val="bottom"/>
          </w:tcPr>
          <w:p>
            <w:pPr>
              <w:pStyle w:val="yTable"/>
              <w:keepNext/>
              <w:spacing w:after="40"/>
              <w:jc w:val="center"/>
            </w:pPr>
            <w:r>
              <w:t>6</w:t>
            </w:r>
          </w:p>
        </w:tc>
      </w:tr>
      <w:tr>
        <w:trPr>
          <w:cantSplit/>
        </w:trPr>
        <w:tc>
          <w:tcPr>
            <w:tcW w:w="5880" w:type="dxa"/>
          </w:tcPr>
          <w:p>
            <w:pPr>
              <w:pStyle w:val="yTable"/>
              <w:keepNext/>
              <w:spacing w:before="260" w:after="40"/>
            </w:pPr>
            <w:r>
              <w:rPr>
                <w:b/>
              </w:rPr>
              <w:t>Lower abdomen</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lower abdominal wall unless otherwise specified</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 — lipectomy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procedures on the nerves, muscles, tendons and fascia of the lower abdominal wall (with the exception of abdominal lipectomy)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diagnostic laparoscopy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laparoscopic procedures</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all lower intestinal endoscopic procedures (modifier for prone position is not applicable)</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extracorporeal shock wave lithotripsy</w:t>
            </w:r>
          </w:p>
        </w:tc>
        <w:tc>
          <w:tcPr>
            <w:tcW w:w="1200" w:type="dxa"/>
            <w:vAlign w:val="bottom"/>
          </w:tcPr>
          <w:p>
            <w:pPr>
              <w:pStyle w:val="yTable"/>
              <w:keepNext/>
              <w:spacing w:after="40"/>
              <w:jc w:val="center"/>
            </w:pPr>
            <w:r>
              <w:t>6</w:t>
            </w:r>
          </w:p>
        </w:tc>
      </w:tr>
      <w:tr>
        <w:trPr>
          <w:cantSplit/>
        </w:trPr>
        <w:tc>
          <w:tcPr>
            <w:tcW w:w="5880" w:type="dxa"/>
          </w:tcPr>
          <w:p>
            <w:pPr>
              <w:pStyle w:val="yTable"/>
              <w:keepNext/>
              <w:spacing w:after="40"/>
            </w:pPr>
            <w:r>
              <w:t>Anaesthesia for all hernia repairs in lower abdomen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repair of incisional hernia and/or wound dehiscence</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procedures within the peritoneal cavity in the lower abdomen (including appendicetomy)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bowel resection, including laparascopic bowel resection,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amniocentesis</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abdominoperineal resection, including pull through procedures, ultra low anterior resection and formation of bowel reservoir</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radical prostatectomy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radical hysterectomy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radical ovarian surgery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pelvic exenteration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Caesarean section</w:t>
            </w:r>
          </w:p>
        </w:tc>
        <w:tc>
          <w:tcPr>
            <w:tcW w:w="1200" w:type="dxa"/>
            <w:vAlign w:val="bottom"/>
          </w:tcPr>
          <w:p>
            <w:pPr>
              <w:pStyle w:val="yTable"/>
              <w:keepNext/>
              <w:spacing w:after="40"/>
              <w:jc w:val="center"/>
            </w:pPr>
            <w:r>
              <w:t>10</w:t>
            </w:r>
          </w:p>
        </w:tc>
      </w:tr>
      <w:tr>
        <w:trPr>
          <w:cantSplit/>
        </w:trPr>
        <w:tc>
          <w:tcPr>
            <w:tcW w:w="5880" w:type="dxa"/>
          </w:tcPr>
          <w:p>
            <w:pPr>
              <w:pStyle w:val="yTable"/>
              <w:tabs>
                <w:tab w:val="left" w:pos="567"/>
              </w:tabs>
              <w:spacing w:after="40"/>
              <w:ind w:left="340" w:hanging="340"/>
            </w:pPr>
            <w:r>
              <w:t> — Caesarean hysterectomy or hysterectomy within 24 hours of delivery</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Anaesthesia for all extraperitoneal procedures in lower abdomen, including urinary tract,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renal procedures, including upper 1/3 or ureter</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total cystectomy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adrenalectomy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neuro endocrine tumour removal (eg. carcinoid)</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renal transplant (donor or recipient)</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all procedures on major lower abdominal vessels unless otherwise specified</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inferior vena cava ligation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percutaneous umbrella insertion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percutaneous procedures on an intra</w:t>
            </w:r>
            <w:r>
              <w:noBreakHyphen/>
              <w:t>abdominal organ in the lower abdomen</w:t>
            </w:r>
          </w:p>
        </w:tc>
        <w:tc>
          <w:tcPr>
            <w:tcW w:w="1200" w:type="dxa"/>
            <w:vAlign w:val="bottom"/>
          </w:tcPr>
          <w:p>
            <w:pPr>
              <w:pStyle w:val="yTable"/>
              <w:keepNext/>
              <w:spacing w:after="40"/>
              <w:jc w:val="center"/>
            </w:pPr>
            <w:r>
              <w:t>6</w:t>
            </w:r>
          </w:p>
        </w:tc>
      </w:tr>
      <w:tr>
        <w:trPr>
          <w:cantSplit/>
        </w:trPr>
        <w:tc>
          <w:tcPr>
            <w:tcW w:w="5880" w:type="dxa"/>
          </w:tcPr>
          <w:p>
            <w:pPr>
              <w:pStyle w:val="yTable"/>
              <w:spacing w:before="260" w:after="40"/>
            </w:pPr>
            <w:r>
              <w:rPr>
                <w:b/>
              </w:rPr>
              <w:t>Perineum</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perineum (including biopsy of male genital system) unless otherwise specified</w:t>
            </w:r>
          </w:p>
        </w:tc>
        <w:tc>
          <w:tcPr>
            <w:tcW w:w="1200" w:type="dxa"/>
            <w:vAlign w:val="bottom"/>
          </w:tcPr>
          <w:p>
            <w:pPr>
              <w:pStyle w:val="yTable"/>
              <w:keepNext/>
              <w:spacing w:after="40"/>
              <w:jc w:val="center"/>
            </w:pPr>
            <w:r>
              <w:t>3</w:t>
            </w:r>
          </w:p>
        </w:tc>
      </w:tr>
      <w:tr>
        <w:trPr>
          <w:cantSplit/>
        </w:trPr>
        <w:tc>
          <w:tcPr>
            <w:tcW w:w="5880" w:type="dxa"/>
          </w:tcPr>
          <w:p>
            <w:pPr>
              <w:pStyle w:val="yTable"/>
              <w:spacing w:after="40"/>
              <w:ind w:left="340" w:hanging="340"/>
            </w:pPr>
            <w:r>
              <w:t> — anorectal procedure (including endoscopy and/or biopsy)</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radical perineal procedure including radical perineal prostatectomy or radical vulvectomy</w:t>
            </w:r>
          </w:p>
        </w:tc>
        <w:tc>
          <w:tcPr>
            <w:tcW w:w="1200" w:type="dxa"/>
            <w:vAlign w:val="bottom"/>
          </w:tcPr>
          <w:p>
            <w:pPr>
              <w:pStyle w:val="yTable"/>
              <w:keepNext/>
              <w:spacing w:after="40"/>
              <w:jc w:val="center"/>
            </w:pPr>
            <w:r>
              <w:t>7</w:t>
            </w:r>
          </w:p>
        </w:tc>
      </w:tr>
      <w:tr>
        <w:trPr>
          <w:cantSplit/>
        </w:trPr>
        <w:tc>
          <w:tcPr>
            <w:tcW w:w="5880" w:type="dxa"/>
          </w:tcPr>
          <w:p>
            <w:pPr>
              <w:pStyle w:val="yTable"/>
              <w:spacing w:after="40"/>
              <w:ind w:left="567" w:hanging="567"/>
            </w:pPr>
            <w:r>
              <w:t> — vulvectomy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transurethral procedures (including urethrocystoscopy)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transurethral resection of bladder tumour(s)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transurethral resection of prostate</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post</w:t>
            </w:r>
            <w:r>
              <w:noBreakHyphen/>
              <w:t>transurethral resection bleeding</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all procedures on male external genitalia unless otherwise specified</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 — undescended testis, unilateral or bilateral</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procedures on the cord and/or testes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radical orchidectomy, inguinal approach</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radical orchidectomy, abdominal approach</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orchiopexy, unilateral or bilateral</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complete amputation of the penis</w:t>
            </w:r>
          </w:p>
        </w:tc>
        <w:tc>
          <w:tcPr>
            <w:tcW w:w="1200" w:type="dxa"/>
            <w:vAlign w:val="bottom"/>
          </w:tcPr>
          <w:p>
            <w:pPr>
              <w:pStyle w:val="yTable"/>
              <w:keepNext/>
              <w:spacing w:after="40"/>
              <w:jc w:val="center"/>
            </w:pPr>
            <w:r>
              <w:t>4</w:t>
            </w:r>
          </w:p>
        </w:tc>
      </w:tr>
      <w:tr>
        <w:trPr>
          <w:cantSplit/>
        </w:trPr>
        <w:tc>
          <w:tcPr>
            <w:tcW w:w="5880" w:type="dxa"/>
          </w:tcPr>
          <w:p>
            <w:pPr>
              <w:pStyle w:val="yTable"/>
              <w:tabs>
                <w:tab w:val="left" w:pos="567"/>
              </w:tabs>
              <w:spacing w:after="40"/>
              <w:ind w:left="397" w:hanging="397"/>
            </w:pPr>
            <w:r>
              <w:t> — complete amputation of the penis with bilateral inguinal lymphadenectomy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ind w:left="340" w:hanging="340"/>
            </w:pPr>
            <w:r>
              <w:t> — complete amputation of the penis with bilateral inguinal and iliac lymphadenectomy</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insertion of penile prosthesis (perianal approach)</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vaginal procedures (including biopsy of labia, vagina, cervix or endometrium)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colpotomy, colpectomy, colporrhaphy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transvaginal assisted reproductive services</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vaginal hysterectomy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vaginal delivery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purse string ligation of cervix</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culdoscopy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hysteroscopy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endometrial ablation or resection in association with hysteroscopy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correction of inverted uterus</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Anaesthesia for evacuation of retained products of conception, as a complication of confinement</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for the manual removal of retained placenta or for repair of vaginal or perineal tear following delivery</w:t>
            </w:r>
          </w:p>
        </w:tc>
        <w:tc>
          <w:tcPr>
            <w:tcW w:w="1200" w:type="dxa"/>
            <w:vAlign w:val="bottom"/>
          </w:tcPr>
          <w:p>
            <w:pPr>
              <w:pStyle w:val="yTable"/>
              <w:keepNext/>
              <w:spacing w:after="40"/>
              <w:jc w:val="center"/>
            </w:pPr>
            <w:r>
              <w:t>5</w:t>
            </w:r>
          </w:p>
        </w:tc>
      </w:tr>
      <w:tr>
        <w:trPr>
          <w:cantSplit/>
        </w:trPr>
        <w:tc>
          <w:tcPr>
            <w:tcW w:w="5880" w:type="dxa"/>
          </w:tcPr>
          <w:p>
            <w:pPr>
              <w:pStyle w:val="yTable"/>
              <w:spacing w:after="40"/>
              <w:ind w:left="340" w:hanging="340"/>
            </w:pPr>
            <w:r>
              <w:t> — for vaginal procedures in the management of post partum haemorrhage</w:t>
            </w:r>
          </w:p>
        </w:tc>
        <w:tc>
          <w:tcPr>
            <w:tcW w:w="1200" w:type="dxa"/>
            <w:vAlign w:val="bottom"/>
          </w:tcPr>
          <w:p>
            <w:pPr>
              <w:pStyle w:val="yTable"/>
              <w:keepNext/>
              <w:spacing w:after="40"/>
              <w:jc w:val="center"/>
            </w:pPr>
            <w:r>
              <w:t>7</w:t>
            </w:r>
          </w:p>
        </w:tc>
      </w:tr>
      <w:tr>
        <w:trPr>
          <w:cantSplit/>
        </w:trPr>
        <w:tc>
          <w:tcPr>
            <w:tcW w:w="5880" w:type="dxa"/>
          </w:tcPr>
          <w:p>
            <w:pPr>
              <w:pStyle w:val="yTable"/>
              <w:spacing w:before="240" w:after="20"/>
            </w:pPr>
            <w:r>
              <w:rPr>
                <w:b/>
              </w:rPr>
              <w:t>Pelvis — except hip</w:t>
            </w:r>
          </w:p>
        </w:tc>
        <w:tc>
          <w:tcPr>
            <w:tcW w:w="1200" w:type="dxa"/>
            <w:vAlign w:val="bottom"/>
          </w:tcPr>
          <w:p>
            <w:pPr>
              <w:pStyle w:val="yTable"/>
              <w:keepNext/>
              <w:spacing w:before="40" w:after="20"/>
              <w:jc w:val="center"/>
            </w:pPr>
          </w:p>
        </w:tc>
      </w:tr>
      <w:tr>
        <w:trPr>
          <w:cantSplit/>
        </w:trPr>
        <w:tc>
          <w:tcPr>
            <w:tcW w:w="5880" w:type="dxa"/>
          </w:tcPr>
          <w:p>
            <w:pPr>
              <w:pStyle w:val="yTable"/>
              <w:spacing w:after="40"/>
            </w:pPr>
            <w:r>
              <w:t>Anaesthesia for all procedures on the skin and subcutaneous tissue of the pelvic region, except external genitalia</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percutaneous bone marrow biopsy of the anterior iliac crest</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percutaneous bone marrow biopsy of the posterior iliac crest</w:t>
            </w:r>
          </w:p>
        </w:tc>
        <w:tc>
          <w:tcPr>
            <w:tcW w:w="1200" w:type="dxa"/>
            <w:vAlign w:val="bottom"/>
          </w:tcPr>
          <w:p>
            <w:pPr>
              <w:pStyle w:val="yTable"/>
              <w:keepNext/>
              <w:spacing w:after="40"/>
              <w:jc w:val="center"/>
            </w:pPr>
            <w:r>
              <w:t>5</w:t>
            </w:r>
          </w:p>
        </w:tc>
      </w:tr>
      <w:tr>
        <w:trPr>
          <w:cantSplit/>
        </w:trPr>
        <w:tc>
          <w:tcPr>
            <w:tcW w:w="5880" w:type="dxa"/>
          </w:tcPr>
          <w:p>
            <w:pPr>
              <w:pStyle w:val="yTable"/>
              <w:spacing w:before="40" w:after="40"/>
            </w:pPr>
            <w:r>
              <w:t>Anaesthesia for percutaneous bone marrow harvesting from the pelvis</w:t>
            </w:r>
          </w:p>
        </w:tc>
        <w:tc>
          <w:tcPr>
            <w:tcW w:w="1200" w:type="dxa"/>
            <w:vAlign w:val="bottom"/>
          </w:tcPr>
          <w:p>
            <w:pPr>
              <w:pStyle w:val="yTable"/>
              <w:keepNext/>
              <w:spacing w:before="40" w:after="40"/>
              <w:jc w:val="center"/>
            </w:pPr>
            <w:r>
              <w:t>6</w:t>
            </w:r>
          </w:p>
        </w:tc>
      </w:tr>
      <w:tr>
        <w:trPr>
          <w:cantSplit/>
        </w:trPr>
        <w:tc>
          <w:tcPr>
            <w:tcW w:w="5880" w:type="dxa"/>
          </w:tcPr>
          <w:p>
            <w:pPr>
              <w:pStyle w:val="yTable"/>
              <w:spacing w:before="40" w:after="40"/>
            </w:pPr>
            <w:r>
              <w:t>Anaesthesia for procedures on bony pelvis</w:t>
            </w:r>
          </w:p>
        </w:tc>
        <w:tc>
          <w:tcPr>
            <w:tcW w:w="1200" w:type="dxa"/>
            <w:vAlign w:val="bottom"/>
          </w:tcPr>
          <w:p>
            <w:pPr>
              <w:pStyle w:val="yTable"/>
              <w:keepNext/>
              <w:spacing w:before="40" w:after="40"/>
              <w:jc w:val="center"/>
            </w:pPr>
            <w:r>
              <w:t>6</w:t>
            </w:r>
          </w:p>
        </w:tc>
      </w:tr>
      <w:tr>
        <w:trPr>
          <w:cantSplit/>
        </w:trPr>
        <w:tc>
          <w:tcPr>
            <w:tcW w:w="5880" w:type="dxa"/>
          </w:tcPr>
          <w:p>
            <w:pPr>
              <w:pStyle w:val="yTable"/>
              <w:spacing w:before="40" w:after="40"/>
            </w:pPr>
            <w:r>
              <w:t>Anaesthesia for body cast application or revision</w:t>
            </w:r>
          </w:p>
        </w:tc>
        <w:tc>
          <w:tcPr>
            <w:tcW w:w="1200" w:type="dxa"/>
            <w:vAlign w:val="bottom"/>
          </w:tcPr>
          <w:p>
            <w:pPr>
              <w:pStyle w:val="yTable"/>
              <w:keepNext/>
              <w:spacing w:before="40" w:after="40"/>
              <w:jc w:val="center"/>
            </w:pPr>
            <w:r>
              <w:t>3</w:t>
            </w:r>
          </w:p>
        </w:tc>
      </w:tr>
      <w:tr>
        <w:trPr>
          <w:cantSplit/>
        </w:trPr>
        <w:tc>
          <w:tcPr>
            <w:tcW w:w="5880" w:type="dxa"/>
          </w:tcPr>
          <w:p>
            <w:pPr>
              <w:pStyle w:val="yTable"/>
              <w:spacing w:before="40" w:after="40"/>
            </w:pPr>
            <w:r>
              <w:t>Anaesthesia for interpelviabdominal (hind quarter) amputation</w:t>
            </w:r>
          </w:p>
        </w:tc>
        <w:tc>
          <w:tcPr>
            <w:tcW w:w="1200" w:type="dxa"/>
            <w:vAlign w:val="bottom"/>
          </w:tcPr>
          <w:p>
            <w:pPr>
              <w:pStyle w:val="yTable"/>
              <w:keepNext/>
              <w:spacing w:before="40" w:after="40"/>
              <w:jc w:val="center"/>
            </w:pPr>
            <w:r>
              <w:t>15</w:t>
            </w:r>
          </w:p>
        </w:tc>
      </w:tr>
      <w:tr>
        <w:trPr>
          <w:cantSplit/>
        </w:trPr>
        <w:tc>
          <w:tcPr>
            <w:tcW w:w="5880" w:type="dxa"/>
          </w:tcPr>
          <w:p>
            <w:pPr>
              <w:pStyle w:val="yTable"/>
              <w:spacing w:before="40" w:after="40"/>
            </w:pPr>
            <w:r>
              <w:t>Anaesthesia for radical procedures for tumour of pelvis, except hind quarter amputation</w:t>
            </w:r>
          </w:p>
        </w:tc>
        <w:tc>
          <w:tcPr>
            <w:tcW w:w="1200" w:type="dxa"/>
            <w:vAlign w:val="bottom"/>
          </w:tcPr>
          <w:p>
            <w:pPr>
              <w:pStyle w:val="yTable"/>
              <w:keepNext/>
              <w:spacing w:before="40" w:after="40"/>
              <w:jc w:val="center"/>
            </w:pPr>
            <w:r>
              <w:t>10</w:t>
            </w:r>
          </w:p>
        </w:tc>
      </w:tr>
      <w:tr>
        <w:trPr>
          <w:cantSplit/>
        </w:trPr>
        <w:tc>
          <w:tcPr>
            <w:tcW w:w="5880" w:type="dxa"/>
          </w:tcPr>
          <w:p>
            <w:pPr>
              <w:pStyle w:val="yTable"/>
              <w:spacing w:before="40" w:after="40"/>
            </w:pPr>
            <w:r>
              <w:t>Anaesthesia for closed procedures involving symphysis pubis or sacroiliac joint</w:t>
            </w:r>
          </w:p>
        </w:tc>
        <w:tc>
          <w:tcPr>
            <w:tcW w:w="1200" w:type="dxa"/>
            <w:vAlign w:val="bottom"/>
          </w:tcPr>
          <w:p>
            <w:pPr>
              <w:pStyle w:val="yTable"/>
              <w:keepNext/>
              <w:spacing w:before="40" w:after="40"/>
              <w:jc w:val="center"/>
            </w:pPr>
            <w:r>
              <w:t>4</w:t>
            </w:r>
          </w:p>
        </w:tc>
      </w:tr>
      <w:tr>
        <w:trPr>
          <w:cantSplit/>
        </w:trPr>
        <w:tc>
          <w:tcPr>
            <w:tcW w:w="5880" w:type="dxa"/>
          </w:tcPr>
          <w:p>
            <w:pPr>
              <w:pStyle w:val="yTable"/>
              <w:spacing w:before="40" w:after="40"/>
            </w:pPr>
            <w:r>
              <w:t>Anaesthesia for open procedures involving symphysis pubis or sacroiliac joint</w:t>
            </w:r>
          </w:p>
        </w:tc>
        <w:tc>
          <w:tcPr>
            <w:tcW w:w="1200" w:type="dxa"/>
            <w:vAlign w:val="bottom"/>
          </w:tcPr>
          <w:p>
            <w:pPr>
              <w:pStyle w:val="yTable"/>
              <w:keepNext/>
              <w:spacing w:before="40" w:after="40"/>
              <w:jc w:val="center"/>
            </w:pPr>
            <w:r>
              <w:t>8</w:t>
            </w:r>
          </w:p>
        </w:tc>
      </w:tr>
      <w:tr>
        <w:trPr>
          <w:cantSplit/>
        </w:trPr>
        <w:tc>
          <w:tcPr>
            <w:tcW w:w="5880" w:type="dxa"/>
          </w:tcPr>
          <w:p>
            <w:pPr>
              <w:pStyle w:val="yTable"/>
              <w:spacing w:before="160" w:after="40"/>
            </w:pPr>
            <w:r>
              <w:rPr>
                <w:b/>
              </w:rPr>
              <w:t>Upper leg — except knee</w:t>
            </w:r>
          </w:p>
        </w:tc>
        <w:tc>
          <w:tcPr>
            <w:tcW w:w="1200" w:type="dxa"/>
            <w:vAlign w:val="bottom"/>
          </w:tcPr>
          <w:p>
            <w:pPr>
              <w:pStyle w:val="yTable"/>
              <w:keepNext/>
              <w:spacing w:before="40" w:after="40"/>
              <w:jc w:val="center"/>
            </w:pPr>
          </w:p>
        </w:tc>
      </w:tr>
      <w:tr>
        <w:trPr>
          <w:cantSplit/>
        </w:trPr>
        <w:tc>
          <w:tcPr>
            <w:tcW w:w="5880" w:type="dxa"/>
          </w:tcPr>
          <w:p>
            <w:pPr>
              <w:pStyle w:val="yTable"/>
              <w:spacing w:before="40" w:after="40"/>
            </w:pPr>
            <w:r>
              <w:t>Anaesthesia for all procedures on the skin or subcutaneous tissue of the upper leg</w:t>
            </w:r>
          </w:p>
        </w:tc>
        <w:tc>
          <w:tcPr>
            <w:tcW w:w="1200" w:type="dxa"/>
            <w:vAlign w:val="bottom"/>
          </w:tcPr>
          <w:p>
            <w:pPr>
              <w:pStyle w:val="yTable"/>
              <w:keepNext/>
              <w:spacing w:before="40" w:after="40"/>
              <w:jc w:val="center"/>
            </w:pPr>
            <w:r>
              <w:t>3</w:t>
            </w:r>
          </w:p>
        </w:tc>
      </w:tr>
      <w:tr>
        <w:trPr>
          <w:cantSplit/>
        </w:trPr>
        <w:tc>
          <w:tcPr>
            <w:tcW w:w="5880" w:type="dxa"/>
          </w:tcPr>
          <w:p>
            <w:pPr>
              <w:pStyle w:val="yTable"/>
              <w:spacing w:after="40"/>
              <w:ind w:left="340" w:hanging="340"/>
            </w:pPr>
            <w:r>
              <w:t> — on the nerves, muscles, tendons, fascia, or bursae of the upper leg</w:t>
            </w:r>
          </w:p>
        </w:tc>
        <w:tc>
          <w:tcPr>
            <w:tcW w:w="1200" w:type="dxa"/>
            <w:vAlign w:val="bottom"/>
          </w:tcPr>
          <w:p>
            <w:pPr>
              <w:pStyle w:val="yTable"/>
              <w:keepNext/>
              <w:spacing w:before="40" w:after="40"/>
              <w:jc w:val="center"/>
            </w:pPr>
            <w:r>
              <w:t>4</w:t>
            </w:r>
          </w:p>
        </w:tc>
      </w:tr>
      <w:tr>
        <w:trPr>
          <w:cantSplit/>
        </w:trPr>
        <w:tc>
          <w:tcPr>
            <w:tcW w:w="5880" w:type="dxa"/>
          </w:tcPr>
          <w:p>
            <w:pPr>
              <w:pStyle w:val="yTable"/>
              <w:spacing w:after="40"/>
            </w:pPr>
            <w:r>
              <w:t>Anaesthesia for all closed procedures involving hip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arthroscopic procedures of hip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open procedures involving hip joint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hip disarticulation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total hip replacement or revision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bilateral total hip replacement</w:t>
            </w:r>
          </w:p>
        </w:tc>
        <w:tc>
          <w:tcPr>
            <w:tcW w:w="1200" w:type="dxa"/>
            <w:vAlign w:val="bottom"/>
          </w:tcPr>
          <w:p>
            <w:pPr>
              <w:pStyle w:val="yTable"/>
              <w:keepNext/>
              <w:spacing w:after="40"/>
              <w:jc w:val="center"/>
            </w:pPr>
            <w:r>
              <w:t>14</w:t>
            </w:r>
          </w:p>
        </w:tc>
      </w:tr>
      <w:tr>
        <w:trPr>
          <w:cantSplit/>
        </w:trPr>
        <w:tc>
          <w:tcPr>
            <w:tcW w:w="5880" w:type="dxa"/>
          </w:tcPr>
          <w:p>
            <w:pPr>
              <w:pStyle w:val="yTable"/>
              <w:spacing w:after="40"/>
            </w:pPr>
            <w:r>
              <w:t>Anaesthesia for all closed procedures involving upper 2/3 of femur</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open procedures involving upper 2/3 of femur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amputation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radical resection</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Anaesthesia for all procedures involving veins of the upper leg including exploration</w:t>
            </w:r>
          </w:p>
        </w:tc>
        <w:tc>
          <w:tcPr>
            <w:tcW w:w="1200" w:type="dxa"/>
            <w:vAlign w:val="bottom"/>
          </w:tcPr>
          <w:p>
            <w:pPr>
              <w:pStyle w:val="yTable"/>
              <w:keepNext/>
              <w:spacing w:after="40"/>
              <w:jc w:val="center"/>
            </w:pPr>
            <w:r>
              <w:t>4</w:t>
            </w:r>
          </w:p>
        </w:tc>
      </w:tr>
      <w:tr>
        <w:trPr>
          <w:cantSplit/>
        </w:trPr>
        <w:tc>
          <w:tcPr>
            <w:tcW w:w="5880" w:type="dxa"/>
          </w:tcPr>
          <w:p>
            <w:pPr>
              <w:pStyle w:val="yTable"/>
              <w:keepNext/>
              <w:spacing w:after="40"/>
            </w:pPr>
            <w:r>
              <w:t>Anaesthesia for all procedures involving arteries of the upper leg, including bypass graft,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keepNext/>
              <w:spacing w:after="40"/>
            </w:pPr>
            <w:r>
              <w:t> — femoral artery ligation</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femoral artery embolectomy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for microsurgical reimplantation of upper leg</w:t>
            </w:r>
          </w:p>
        </w:tc>
        <w:tc>
          <w:tcPr>
            <w:tcW w:w="1200" w:type="dxa"/>
            <w:vAlign w:val="bottom"/>
          </w:tcPr>
          <w:p>
            <w:pPr>
              <w:pStyle w:val="yTable"/>
              <w:keepNext/>
              <w:spacing w:after="40"/>
              <w:jc w:val="center"/>
            </w:pPr>
            <w:r>
              <w:t>15</w:t>
            </w:r>
          </w:p>
        </w:tc>
      </w:tr>
      <w:tr>
        <w:trPr>
          <w:cantSplit/>
        </w:trPr>
        <w:tc>
          <w:tcPr>
            <w:tcW w:w="5880" w:type="dxa"/>
          </w:tcPr>
          <w:p>
            <w:pPr>
              <w:pStyle w:val="yTable"/>
              <w:keepNext/>
              <w:keepLines/>
              <w:spacing w:before="240" w:after="40"/>
            </w:pPr>
            <w:r>
              <w:rPr>
                <w:b/>
              </w:rPr>
              <w:t>Knee and popliteal area</w:t>
            </w:r>
          </w:p>
        </w:tc>
        <w:tc>
          <w:tcPr>
            <w:tcW w:w="1200" w:type="dxa"/>
            <w:vAlign w:val="bottom"/>
          </w:tcPr>
          <w:p>
            <w:pPr>
              <w:pStyle w:val="yTable"/>
              <w:keepNext/>
              <w:keepLines/>
              <w:spacing w:before="40" w:after="40"/>
              <w:jc w:val="center"/>
            </w:pPr>
          </w:p>
        </w:tc>
      </w:tr>
      <w:tr>
        <w:trPr>
          <w:cantSplit/>
        </w:trPr>
        <w:tc>
          <w:tcPr>
            <w:tcW w:w="5880" w:type="dxa"/>
          </w:tcPr>
          <w:p>
            <w:pPr>
              <w:pStyle w:val="yTable"/>
              <w:spacing w:after="40"/>
            </w:pPr>
            <w:r>
              <w:t>Anaesthesia for all procedures on the skin and subcutaneous tissue of the knee and/or popliteal area</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nerves, muscles, tendons, fascia and bursae of the knee and/or popliteal area</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closed procedures on the lower 1/3 of femur</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open procedures on the lower 1/3 of femur</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closed procedures on the knee joint</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arthroscopic procedures of the knee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closed procedures on upper ends of the tibia and fibula, and/or patella</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open procedures on upper ends of the tibia and fibula, and/or patella</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open procedures on the knee joint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knee replacement</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bilateral knee replacement</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disarticulation of knee</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cast applications, removal, or repair involving the knee joint</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the veins of the knee and popliteal area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repair of arteriovenous fistula</w:t>
            </w:r>
          </w:p>
        </w:tc>
        <w:tc>
          <w:tcPr>
            <w:tcW w:w="1200" w:type="dxa"/>
            <w:vAlign w:val="bottom"/>
          </w:tcPr>
          <w:p>
            <w:pPr>
              <w:pStyle w:val="yTable"/>
              <w:keepNext/>
              <w:spacing w:after="40"/>
              <w:jc w:val="center"/>
            </w:pPr>
            <w:r>
              <w:t>5</w:t>
            </w:r>
          </w:p>
        </w:tc>
      </w:tr>
      <w:tr>
        <w:trPr>
          <w:cantSplit/>
        </w:trPr>
        <w:tc>
          <w:tcPr>
            <w:tcW w:w="5880" w:type="dxa"/>
          </w:tcPr>
          <w:p>
            <w:pPr>
              <w:pStyle w:val="yTable"/>
              <w:keepNext/>
              <w:spacing w:after="40"/>
            </w:pPr>
            <w:r>
              <w:t>Anaesthesia for all procedures on the arteries of the knee and popliteal area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before="240" w:after="40"/>
            </w:pPr>
            <w:r>
              <w:rPr>
                <w:b/>
              </w:rPr>
              <w:t>Lower leg — below knee (</w:t>
            </w:r>
            <w:r>
              <w:rPr>
                <w:b/>
                <w:i/>
              </w:rPr>
              <w:t>includes ankle and foot</w:t>
            </w:r>
            <w:r>
              <w:rPr>
                <w:b/>
              </w:rPr>
              <w:t>)</w:t>
            </w:r>
          </w:p>
        </w:tc>
        <w:tc>
          <w:tcPr>
            <w:tcW w:w="1200" w:type="dxa"/>
            <w:vAlign w:val="bottom"/>
          </w:tcPr>
          <w:p>
            <w:pPr>
              <w:pStyle w:val="yTable"/>
              <w:keepNext/>
              <w:spacing w:before="0"/>
              <w:jc w:val="center"/>
            </w:pPr>
          </w:p>
        </w:tc>
      </w:tr>
      <w:tr>
        <w:trPr>
          <w:cantSplit/>
        </w:trPr>
        <w:tc>
          <w:tcPr>
            <w:tcW w:w="5880" w:type="dxa"/>
          </w:tcPr>
          <w:p>
            <w:pPr>
              <w:pStyle w:val="yTable"/>
              <w:spacing w:after="40"/>
            </w:pPr>
            <w:r>
              <w:t>Anaesthesia for all procedures on the skin or subcutaneous tissue of the lower leg, ankle and foot</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the nerves, muscles, tendons and fascia of the lower leg, ankle, and foot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closed procedures on the lower leg, ankle and foot</w:t>
            </w:r>
          </w:p>
        </w:tc>
        <w:tc>
          <w:tcPr>
            <w:tcW w:w="1200" w:type="dxa"/>
            <w:vAlign w:val="bottom"/>
          </w:tcPr>
          <w:p>
            <w:pPr>
              <w:pStyle w:val="yTable"/>
              <w:keepNext/>
              <w:spacing w:after="40"/>
              <w:jc w:val="center"/>
            </w:pPr>
            <w:r>
              <w:t>3</w:t>
            </w:r>
          </w:p>
        </w:tc>
      </w:tr>
      <w:tr>
        <w:trPr>
          <w:cantSplit/>
        </w:trPr>
        <w:tc>
          <w:tcPr>
            <w:tcW w:w="5880" w:type="dxa"/>
          </w:tcPr>
          <w:p>
            <w:pPr>
              <w:pStyle w:val="yTable"/>
              <w:keepNext/>
              <w:keepLines/>
              <w:spacing w:after="40"/>
            </w:pPr>
            <w:r>
              <w:t>Anaesthesia for arthroscopic procedure of ankle joint</w:t>
            </w:r>
          </w:p>
        </w:tc>
        <w:tc>
          <w:tcPr>
            <w:tcW w:w="1200" w:type="dxa"/>
            <w:vAlign w:val="bottom"/>
          </w:tcPr>
          <w:p>
            <w:pPr>
              <w:pStyle w:val="yTable"/>
              <w:keepNext/>
              <w:spacing w:after="40"/>
              <w:jc w:val="center"/>
            </w:pPr>
            <w:r>
              <w:t>4</w:t>
            </w:r>
          </w:p>
        </w:tc>
      </w:tr>
      <w:tr>
        <w:trPr>
          <w:cantSplit/>
        </w:trPr>
        <w:tc>
          <w:tcPr>
            <w:tcW w:w="5880" w:type="dxa"/>
          </w:tcPr>
          <w:p>
            <w:pPr>
              <w:pStyle w:val="yTable"/>
              <w:keepNext/>
              <w:keepLines/>
              <w:spacing w:after="40"/>
            </w:pPr>
            <w:r>
              <w:t> — gastrocnemius recession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open procedures on the bones of the lower leg, ankle and foot, including amputation,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radical resection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osteotomy or osteoplasty of tibia and fibula</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total ankle replacement</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lower leg cast application, removal or repair</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arteries of the lower leg, including bypass graft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embolectomy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procedures on the veins of the lower leg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venous thrombectomy</w:t>
            </w:r>
          </w:p>
        </w:tc>
        <w:tc>
          <w:tcPr>
            <w:tcW w:w="1200" w:type="dxa"/>
            <w:vAlign w:val="bottom"/>
          </w:tcPr>
          <w:p>
            <w:pPr>
              <w:pStyle w:val="yTable"/>
              <w:keepNext/>
              <w:spacing w:after="40"/>
              <w:jc w:val="center"/>
            </w:pPr>
            <w:r>
              <w:t>5</w:t>
            </w:r>
          </w:p>
        </w:tc>
      </w:tr>
      <w:tr>
        <w:trPr>
          <w:cantSplit/>
        </w:trPr>
        <w:tc>
          <w:tcPr>
            <w:tcW w:w="5880" w:type="dxa"/>
          </w:tcPr>
          <w:p>
            <w:pPr>
              <w:pStyle w:val="yTable"/>
              <w:spacing w:after="40"/>
              <w:ind w:left="340" w:hanging="340"/>
            </w:pPr>
            <w:r>
              <w:t> — for microsurgical reimplantation of the lower leg, ankle or foot</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for microsurgical reimplantation of the toe</w:t>
            </w:r>
          </w:p>
        </w:tc>
        <w:tc>
          <w:tcPr>
            <w:tcW w:w="1200" w:type="dxa"/>
            <w:vAlign w:val="bottom"/>
          </w:tcPr>
          <w:p>
            <w:pPr>
              <w:pStyle w:val="yTable"/>
              <w:keepNext/>
              <w:spacing w:after="40"/>
              <w:jc w:val="center"/>
            </w:pPr>
            <w:r>
              <w:t>8</w:t>
            </w:r>
          </w:p>
        </w:tc>
      </w:tr>
      <w:tr>
        <w:trPr>
          <w:cantSplit/>
        </w:trPr>
        <w:tc>
          <w:tcPr>
            <w:tcW w:w="5880" w:type="dxa"/>
          </w:tcPr>
          <w:p>
            <w:pPr>
              <w:pStyle w:val="yTable"/>
              <w:spacing w:before="240" w:after="40"/>
            </w:pPr>
            <w:r>
              <w:rPr>
                <w:b/>
              </w:rPr>
              <w:t>Shoulder and axilla (</w:t>
            </w:r>
            <w:r>
              <w:rPr>
                <w:b/>
                <w:i/>
              </w:rPr>
              <w:t>includes humeral head and neck, sternoclavicular joint, acromioclavicular joint and shoulder joint</w:t>
            </w:r>
            <w:r>
              <w:rPr>
                <w:b/>
              </w:rPr>
              <w:t>)</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shoulder or axilla</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nerves, muscles, tendons, fascia and bursae of shoulder and axilla, including axillary dissection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closed procedures on humeral head and neck, sternoclavicular joint, acromioclavicular joint or the shoulder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arthroscopic procedures of the shoulder joint</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open procedures on the humeral head and neck, sternoclavicular joint, acromioclavicular joint or the shoulder joint unless otherwise specified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radical resection</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shoulder disarticulation</w:t>
            </w:r>
          </w:p>
        </w:tc>
        <w:tc>
          <w:tcPr>
            <w:tcW w:w="1200" w:type="dxa"/>
            <w:vAlign w:val="bottom"/>
          </w:tcPr>
          <w:p>
            <w:pPr>
              <w:pStyle w:val="yTable"/>
              <w:keepNext/>
              <w:spacing w:after="40"/>
              <w:jc w:val="center"/>
            </w:pPr>
            <w:r>
              <w:t>9</w:t>
            </w:r>
          </w:p>
        </w:tc>
      </w:tr>
      <w:tr>
        <w:trPr>
          <w:cantSplit/>
        </w:trPr>
        <w:tc>
          <w:tcPr>
            <w:tcW w:w="5880" w:type="dxa"/>
          </w:tcPr>
          <w:p>
            <w:pPr>
              <w:pStyle w:val="yTable"/>
              <w:spacing w:after="40"/>
            </w:pPr>
            <w:r>
              <w:t> — interthoracoscapular (forequarter) amputation</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total shoulder replacement</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all procedures on arteries of shoulder and axilla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axillary</w:t>
            </w:r>
            <w:r>
              <w:noBreakHyphen/>
              <w:t>brachial aneurysm</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bypass graft</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axillary</w:t>
            </w:r>
            <w:r>
              <w:noBreakHyphen/>
              <w:t>femoral bypass graft</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all procedures on veins of shoulder and axilla</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shoulder cast application, removal or repair unless otherwise specified</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 — shoulder spica</w:t>
            </w:r>
          </w:p>
        </w:tc>
        <w:tc>
          <w:tcPr>
            <w:tcW w:w="1200" w:type="dxa"/>
            <w:vAlign w:val="bottom"/>
          </w:tcPr>
          <w:p>
            <w:pPr>
              <w:pStyle w:val="yTable"/>
              <w:keepNext/>
              <w:spacing w:after="40"/>
              <w:jc w:val="center"/>
            </w:pPr>
            <w:r>
              <w:t>4</w:t>
            </w:r>
          </w:p>
        </w:tc>
      </w:tr>
      <w:tr>
        <w:trPr>
          <w:cantSplit/>
        </w:trPr>
        <w:tc>
          <w:tcPr>
            <w:tcW w:w="5880" w:type="dxa"/>
          </w:tcPr>
          <w:p>
            <w:pPr>
              <w:pStyle w:val="yTable"/>
              <w:keepNext/>
              <w:spacing w:before="240" w:after="40"/>
            </w:pPr>
            <w:r>
              <w:rPr>
                <w:b/>
              </w:rPr>
              <w:t>Upper arm and elbow</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upper arm and elbow</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the nerves, muscles, tendons, fascia and bursae of upper arm and elbow,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tenotomy, elbow to shoulder, open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tenoplasty, elbow to shoulder</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tenodesis, rupture of long tendon of biceps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closed procedures on the humerus and elbow</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arthroscopic procedures of elbow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open procedures on the humerus and elbow unless otherwise specified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radical procedures</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total elbow replacement</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all procedures on the arteries of the upper arm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embolectomy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procedures on the veins of the upper arm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for microsurgical reimplantation of the upper arm</w:t>
            </w:r>
          </w:p>
        </w:tc>
        <w:tc>
          <w:tcPr>
            <w:tcW w:w="1200" w:type="dxa"/>
            <w:vAlign w:val="bottom"/>
          </w:tcPr>
          <w:p>
            <w:pPr>
              <w:pStyle w:val="yTable"/>
              <w:keepNext/>
              <w:spacing w:after="40"/>
              <w:jc w:val="center"/>
            </w:pPr>
            <w:r>
              <w:t>15</w:t>
            </w:r>
          </w:p>
        </w:tc>
      </w:tr>
      <w:tr>
        <w:trPr>
          <w:cantSplit/>
        </w:trPr>
        <w:tc>
          <w:tcPr>
            <w:tcW w:w="5880" w:type="dxa"/>
          </w:tcPr>
          <w:p>
            <w:pPr>
              <w:pStyle w:val="yTable"/>
              <w:spacing w:before="240" w:after="40"/>
            </w:pPr>
            <w:r>
              <w:rPr>
                <w:b/>
              </w:rPr>
              <w:t>Forearm, wrist and hand</w:t>
            </w:r>
          </w:p>
        </w:tc>
        <w:tc>
          <w:tcPr>
            <w:tcW w:w="1200" w:type="dxa"/>
            <w:vAlign w:val="bottom"/>
          </w:tcPr>
          <w:p>
            <w:pPr>
              <w:pStyle w:val="yTable"/>
              <w:keepNext/>
              <w:spacing w:before="40" w:after="40"/>
              <w:jc w:val="center"/>
            </w:pPr>
          </w:p>
        </w:tc>
      </w:tr>
      <w:tr>
        <w:trPr>
          <w:cantSplit/>
        </w:trPr>
        <w:tc>
          <w:tcPr>
            <w:tcW w:w="5880" w:type="dxa"/>
          </w:tcPr>
          <w:p>
            <w:pPr>
              <w:pStyle w:val="yTable"/>
              <w:spacing w:before="40" w:after="40"/>
            </w:pPr>
            <w:r>
              <w:t>Anaesthesia for all procedures on the skin or subcutaneous tissue of the forearm, wrist and hand</w:t>
            </w:r>
          </w:p>
        </w:tc>
        <w:tc>
          <w:tcPr>
            <w:tcW w:w="1200" w:type="dxa"/>
            <w:vAlign w:val="bottom"/>
          </w:tcPr>
          <w:p>
            <w:pPr>
              <w:pStyle w:val="yTable"/>
              <w:keepNext/>
              <w:spacing w:before="40" w:after="40"/>
              <w:jc w:val="center"/>
            </w:pPr>
            <w:r>
              <w:t>3</w:t>
            </w:r>
          </w:p>
        </w:tc>
      </w:tr>
      <w:tr>
        <w:trPr>
          <w:cantSplit/>
        </w:trPr>
        <w:tc>
          <w:tcPr>
            <w:tcW w:w="5880" w:type="dxa"/>
          </w:tcPr>
          <w:p>
            <w:pPr>
              <w:pStyle w:val="yTable"/>
              <w:spacing w:before="40" w:after="40"/>
            </w:pPr>
            <w:r>
              <w:t>Anaesthesia for all procedures on the nerves, muscles, tendons, fascia and bursae of the forearm, wrist and hand</w:t>
            </w:r>
          </w:p>
        </w:tc>
        <w:tc>
          <w:tcPr>
            <w:tcW w:w="1200" w:type="dxa"/>
            <w:vAlign w:val="bottom"/>
          </w:tcPr>
          <w:p>
            <w:pPr>
              <w:pStyle w:val="yTable"/>
              <w:keepNext/>
              <w:spacing w:before="40" w:after="40"/>
              <w:jc w:val="center"/>
            </w:pPr>
            <w:r>
              <w:t>4</w:t>
            </w:r>
          </w:p>
        </w:tc>
      </w:tr>
      <w:tr>
        <w:trPr>
          <w:cantSplit/>
        </w:trPr>
        <w:tc>
          <w:tcPr>
            <w:tcW w:w="5880" w:type="dxa"/>
          </w:tcPr>
          <w:p>
            <w:pPr>
              <w:pStyle w:val="yTable"/>
              <w:spacing w:before="40" w:after="40"/>
            </w:pPr>
            <w:r>
              <w:t>Anaesthesia for all closed procedures on radius, ulna, wrist, or hand bones</w:t>
            </w:r>
          </w:p>
        </w:tc>
        <w:tc>
          <w:tcPr>
            <w:tcW w:w="1200" w:type="dxa"/>
            <w:vAlign w:val="bottom"/>
          </w:tcPr>
          <w:p>
            <w:pPr>
              <w:pStyle w:val="yTable"/>
              <w:keepNext/>
              <w:spacing w:before="40" w:after="40"/>
              <w:jc w:val="center"/>
            </w:pPr>
            <w:r>
              <w:t>3</w:t>
            </w:r>
          </w:p>
        </w:tc>
      </w:tr>
      <w:tr>
        <w:trPr>
          <w:cantSplit/>
        </w:trPr>
        <w:tc>
          <w:tcPr>
            <w:tcW w:w="5880" w:type="dxa"/>
          </w:tcPr>
          <w:p>
            <w:pPr>
              <w:pStyle w:val="yTable"/>
              <w:spacing w:after="40"/>
            </w:pPr>
            <w:r>
              <w:t>Anaesthesia for all open procedures on radius, ulna, wrist, or hand bones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total wrist replacement</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arthroscopic procedures of the wrist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procedures on the arteries of the forearm, wrist, and hand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embolectomy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procedures on the veins of the forearm, wrist, and hand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forearm, wrist, or hand cast application, removal or repair</w:t>
            </w:r>
          </w:p>
        </w:tc>
        <w:tc>
          <w:tcPr>
            <w:tcW w:w="1200" w:type="dxa"/>
            <w:vAlign w:val="bottom"/>
          </w:tcPr>
          <w:p>
            <w:pPr>
              <w:pStyle w:val="yTable"/>
              <w:keepNext/>
              <w:spacing w:after="40"/>
              <w:jc w:val="center"/>
            </w:pPr>
            <w:r>
              <w:t>3</w:t>
            </w:r>
          </w:p>
        </w:tc>
      </w:tr>
      <w:tr>
        <w:trPr>
          <w:cantSplit/>
        </w:trPr>
        <w:tc>
          <w:tcPr>
            <w:tcW w:w="5880" w:type="dxa"/>
          </w:tcPr>
          <w:p>
            <w:pPr>
              <w:pStyle w:val="yTable"/>
              <w:spacing w:after="40"/>
              <w:ind w:left="340" w:hanging="340"/>
            </w:pPr>
            <w:r>
              <w:t> — for microsurgical reimplantation of forearm, wrist or hand</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for microsurgical reimplantation of a finger</w:t>
            </w:r>
          </w:p>
        </w:tc>
        <w:tc>
          <w:tcPr>
            <w:tcW w:w="1200" w:type="dxa"/>
            <w:vAlign w:val="bottom"/>
          </w:tcPr>
          <w:p>
            <w:pPr>
              <w:pStyle w:val="yTable"/>
              <w:keepNext/>
              <w:spacing w:after="40"/>
              <w:jc w:val="center"/>
            </w:pPr>
            <w:r>
              <w:t>8</w:t>
            </w:r>
          </w:p>
        </w:tc>
      </w:tr>
      <w:tr>
        <w:trPr>
          <w:cantSplit/>
        </w:trPr>
        <w:tc>
          <w:tcPr>
            <w:tcW w:w="5880" w:type="dxa"/>
          </w:tcPr>
          <w:p>
            <w:pPr>
              <w:pStyle w:val="yTable"/>
              <w:spacing w:before="240" w:after="40"/>
              <w:rPr>
                <w:b/>
                <w:bCs/>
              </w:rPr>
            </w:pPr>
            <w:r>
              <w:rPr>
                <w:b/>
                <w:bCs/>
              </w:rPr>
              <w:t>Burns</w:t>
            </w:r>
          </w:p>
        </w:tc>
        <w:tc>
          <w:tcPr>
            <w:tcW w:w="1200" w:type="dxa"/>
            <w:vAlign w:val="bottom"/>
          </w:tcPr>
          <w:p>
            <w:pPr>
              <w:pStyle w:val="yTable"/>
              <w:keepNext/>
              <w:spacing w:after="40"/>
              <w:jc w:val="center"/>
            </w:pPr>
          </w:p>
        </w:tc>
      </w:tr>
      <w:tr>
        <w:trPr>
          <w:cantSplit/>
        </w:trPr>
        <w:tc>
          <w:tcPr>
            <w:tcW w:w="5880" w:type="dxa"/>
          </w:tcPr>
          <w:p>
            <w:pPr>
              <w:pStyle w:val="yTable"/>
              <w:spacing w:after="40"/>
            </w:pPr>
            <w:r>
              <w:t>Anaesthesia for excision of debridement of burns with or without skin grafting</w:t>
            </w:r>
          </w:p>
        </w:tc>
        <w:tc>
          <w:tcPr>
            <w:tcW w:w="1200" w:type="dxa"/>
            <w:vAlign w:val="bottom"/>
          </w:tcPr>
          <w:p>
            <w:pPr>
              <w:pStyle w:val="yTable"/>
              <w:keepNext/>
              <w:spacing w:after="40"/>
              <w:jc w:val="center"/>
            </w:pPr>
          </w:p>
        </w:tc>
      </w:tr>
      <w:tr>
        <w:trPr>
          <w:cantSplit/>
        </w:trPr>
        <w:tc>
          <w:tcPr>
            <w:tcW w:w="5880" w:type="dxa"/>
          </w:tcPr>
          <w:p>
            <w:pPr>
              <w:pStyle w:val="yTable"/>
              <w:spacing w:after="40"/>
              <w:ind w:left="340" w:hanging="340"/>
            </w:pPr>
            <w:r>
              <w:t> — where the burnt area involves not more than 3% of total body surface</w:t>
            </w:r>
          </w:p>
        </w:tc>
        <w:tc>
          <w:tcPr>
            <w:tcW w:w="1200" w:type="dxa"/>
            <w:vAlign w:val="bottom"/>
          </w:tcPr>
          <w:p>
            <w:pPr>
              <w:pStyle w:val="yTable"/>
              <w:keepNext/>
              <w:spacing w:after="40"/>
              <w:jc w:val="center"/>
            </w:pPr>
            <w:r>
              <w:t>3</w:t>
            </w:r>
          </w:p>
        </w:tc>
      </w:tr>
      <w:tr>
        <w:trPr>
          <w:cantSplit/>
        </w:trPr>
        <w:tc>
          <w:tcPr>
            <w:tcW w:w="5880" w:type="dxa"/>
          </w:tcPr>
          <w:p>
            <w:pPr>
              <w:pStyle w:val="yTable"/>
              <w:spacing w:after="40"/>
              <w:ind w:left="340" w:hanging="340"/>
            </w:pPr>
            <w:r>
              <w:t> — where the burnt area involves more than 3% but less than 10% of total body surface</w:t>
            </w:r>
          </w:p>
        </w:tc>
        <w:tc>
          <w:tcPr>
            <w:tcW w:w="1200" w:type="dxa"/>
            <w:vAlign w:val="bottom"/>
          </w:tcPr>
          <w:p>
            <w:pPr>
              <w:pStyle w:val="yTable"/>
              <w:keepNext/>
              <w:spacing w:after="40"/>
              <w:jc w:val="center"/>
            </w:pPr>
            <w:r>
              <w:t>5</w:t>
            </w:r>
          </w:p>
        </w:tc>
      </w:tr>
      <w:tr>
        <w:trPr>
          <w:cantSplit/>
        </w:trPr>
        <w:tc>
          <w:tcPr>
            <w:tcW w:w="5880" w:type="dxa"/>
          </w:tcPr>
          <w:p>
            <w:pPr>
              <w:pStyle w:val="yTable"/>
              <w:spacing w:after="40"/>
              <w:ind w:left="340" w:hanging="340"/>
            </w:pPr>
            <w:r>
              <w:t> — where the burnt area involves 10% or more but less than 20% of total body surface</w:t>
            </w:r>
          </w:p>
        </w:tc>
        <w:tc>
          <w:tcPr>
            <w:tcW w:w="1200" w:type="dxa"/>
            <w:vAlign w:val="bottom"/>
          </w:tcPr>
          <w:p>
            <w:pPr>
              <w:pStyle w:val="yTable"/>
              <w:keepNext/>
              <w:spacing w:after="40"/>
              <w:jc w:val="center"/>
            </w:pPr>
            <w:r>
              <w:t>7</w:t>
            </w:r>
          </w:p>
        </w:tc>
      </w:tr>
      <w:tr>
        <w:trPr>
          <w:cantSplit/>
        </w:trPr>
        <w:tc>
          <w:tcPr>
            <w:tcW w:w="5880" w:type="dxa"/>
          </w:tcPr>
          <w:p>
            <w:pPr>
              <w:pStyle w:val="yTable"/>
              <w:spacing w:after="40"/>
              <w:ind w:left="340" w:hanging="340"/>
            </w:pPr>
            <w:r>
              <w:t> — where the burnt area involves 20% or more but less than 30% of total body surface</w:t>
            </w:r>
          </w:p>
        </w:tc>
        <w:tc>
          <w:tcPr>
            <w:tcW w:w="1200" w:type="dxa"/>
            <w:vAlign w:val="bottom"/>
          </w:tcPr>
          <w:p>
            <w:pPr>
              <w:pStyle w:val="yTable"/>
              <w:keepNext/>
              <w:spacing w:after="40"/>
              <w:jc w:val="center"/>
            </w:pPr>
            <w:r>
              <w:t>9</w:t>
            </w:r>
          </w:p>
        </w:tc>
      </w:tr>
      <w:tr>
        <w:trPr>
          <w:cantSplit/>
        </w:trPr>
        <w:tc>
          <w:tcPr>
            <w:tcW w:w="5880" w:type="dxa"/>
          </w:tcPr>
          <w:p>
            <w:pPr>
              <w:pStyle w:val="yTable"/>
              <w:spacing w:after="40"/>
              <w:ind w:left="340" w:hanging="340"/>
            </w:pPr>
            <w:r>
              <w:t> — where the burnt area involves 30% or more but less than 40% of total body surface</w:t>
            </w:r>
          </w:p>
        </w:tc>
        <w:tc>
          <w:tcPr>
            <w:tcW w:w="1200" w:type="dxa"/>
            <w:vAlign w:val="bottom"/>
          </w:tcPr>
          <w:p>
            <w:pPr>
              <w:pStyle w:val="yTable"/>
              <w:keepNext/>
              <w:spacing w:after="40"/>
              <w:jc w:val="center"/>
            </w:pPr>
            <w:r>
              <w:t>11</w:t>
            </w:r>
          </w:p>
        </w:tc>
      </w:tr>
      <w:tr>
        <w:trPr>
          <w:cantSplit/>
        </w:trPr>
        <w:tc>
          <w:tcPr>
            <w:tcW w:w="5880" w:type="dxa"/>
          </w:tcPr>
          <w:p>
            <w:pPr>
              <w:pStyle w:val="yTable"/>
              <w:spacing w:after="40"/>
              <w:ind w:left="340" w:hanging="340"/>
            </w:pPr>
            <w:r>
              <w:t> — where the burnt area involves 40% or more but less than 50% of total body surface</w:t>
            </w:r>
          </w:p>
        </w:tc>
        <w:tc>
          <w:tcPr>
            <w:tcW w:w="1200" w:type="dxa"/>
            <w:vAlign w:val="bottom"/>
          </w:tcPr>
          <w:p>
            <w:pPr>
              <w:pStyle w:val="yTable"/>
              <w:keepNext/>
              <w:spacing w:after="40"/>
              <w:jc w:val="center"/>
            </w:pPr>
            <w:r>
              <w:t>13</w:t>
            </w:r>
          </w:p>
        </w:tc>
      </w:tr>
      <w:tr>
        <w:trPr>
          <w:cantSplit/>
        </w:trPr>
        <w:tc>
          <w:tcPr>
            <w:tcW w:w="5880" w:type="dxa"/>
          </w:tcPr>
          <w:p>
            <w:pPr>
              <w:pStyle w:val="yTable"/>
              <w:spacing w:after="40"/>
              <w:ind w:left="340" w:hanging="340"/>
            </w:pPr>
            <w:r>
              <w:t> — where the burnt area involves 50% or more but less than 60% of total body surface</w:t>
            </w:r>
          </w:p>
        </w:tc>
        <w:tc>
          <w:tcPr>
            <w:tcW w:w="1200" w:type="dxa"/>
            <w:vAlign w:val="bottom"/>
          </w:tcPr>
          <w:p>
            <w:pPr>
              <w:pStyle w:val="yTable"/>
              <w:keepNext/>
              <w:spacing w:after="40"/>
              <w:jc w:val="center"/>
            </w:pPr>
            <w:r>
              <w:t>15</w:t>
            </w:r>
          </w:p>
        </w:tc>
      </w:tr>
      <w:tr>
        <w:trPr>
          <w:cantSplit/>
        </w:trPr>
        <w:tc>
          <w:tcPr>
            <w:tcW w:w="5880" w:type="dxa"/>
          </w:tcPr>
          <w:p>
            <w:pPr>
              <w:pStyle w:val="yTable"/>
              <w:spacing w:after="40"/>
              <w:ind w:left="340" w:hanging="340"/>
            </w:pPr>
            <w:r>
              <w:t> — where the burnt area involves 60% or more but less than 70% of total body surface</w:t>
            </w:r>
          </w:p>
        </w:tc>
        <w:tc>
          <w:tcPr>
            <w:tcW w:w="1200" w:type="dxa"/>
            <w:vAlign w:val="bottom"/>
          </w:tcPr>
          <w:p>
            <w:pPr>
              <w:pStyle w:val="yTable"/>
              <w:keepNext/>
              <w:spacing w:after="40"/>
              <w:jc w:val="center"/>
            </w:pPr>
            <w:r>
              <w:t>17</w:t>
            </w:r>
          </w:p>
        </w:tc>
      </w:tr>
      <w:tr>
        <w:trPr>
          <w:cantSplit/>
        </w:trPr>
        <w:tc>
          <w:tcPr>
            <w:tcW w:w="5880" w:type="dxa"/>
          </w:tcPr>
          <w:p>
            <w:pPr>
              <w:pStyle w:val="yTable"/>
              <w:spacing w:after="40"/>
              <w:ind w:left="340" w:hanging="340"/>
            </w:pPr>
            <w:r>
              <w:t> — where the burnt area involves 70% or more but less than 80% of total body surface</w:t>
            </w:r>
          </w:p>
        </w:tc>
        <w:tc>
          <w:tcPr>
            <w:tcW w:w="1200" w:type="dxa"/>
            <w:vAlign w:val="bottom"/>
          </w:tcPr>
          <w:p>
            <w:pPr>
              <w:pStyle w:val="yTable"/>
              <w:keepNext/>
              <w:spacing w:after="40"/>
              <w:jc w:val="center"/>
            </w:pPr>
            <w:r>
              <w:t>19</w:t>
            </w:r>
          </w:p>
        </w:tc>
      </w:tr>
      <w:tr>
        <w:trPr>
          <w:cantSplit/>
        </w:trPr>
        <w:tc>
          <w:tcPr>
            <w:tcW w:w="5880" w:type="dxa"/>
          </w:tcPr>
          <w:p>
            <w:pPr>
              <w:pStyle w:val="yTable"/>
              <w:spacing w:after="40"/>
              <w:ind w:left="340" w:hanging="340"/>
            </w:pPr>
            <w:r>
              <w:t> — where the burnt area involves 80% or more of total body surface</w:t>
            </w:r>
          </w:p>
        </w:tc>
        <w:tc>
          <w:tcPr>
            <w:tcW w:w="1200" w:type="dxa"/>
            <w:vAlign w:val="bottom"/>
          </w:tcPr>
          <w:p>
            <w:pPr>
              <w:pStyle w:val="yTable"/>
              <w:keepNext/>
              <w:spacing w:after="40"/>
              <w:jc w:val="center"/>
            </w:pPr>
            <w:r>
              <w:t>21</w:t>
            </w:r>
          </w:p>
        </w:tc>
      </w:tr>
      <w:tr>
        <w:trPr>
          <w:cantSplit/>
        </w:trPr>
        <w:tc>
          <w:tcPr>
            <w:tcW w:w="5880" w:type="dxa"/>
          </w:tcPr>
          <w:p>
            <w:pPr>
              <w:pStyle w:val="yTable"/>
              <w:keepNext/>
              <w:keepLines/>
              <w:spacing w:before="240" w:after="40"/>
            </w:pPr>
            <w:r>
              <w:rPr>
                <w:b/>
              </w:rPr>
              <w:t>Other procedures</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injection procedure for myelography:</w:t>
            </w:r>
          </w:p>
        </w:tc>
        <w:tc>
          <w:tcPr>
            <w:tcW w:w="1200" w:type="dxa"/>
            <w:vAlign w:val="bottom"/>
          </w:tcPr>
          <w:p>
            <w:pPr>
              <w:pStyle w:val="yTable"/>
              <w:keepNext/>
              <w:spacing w:after="40"/>
              <w:jc w:val="center"/>
            </w:pPr>
          </w:p>
        </w:tc>
      </w:tr>
      <w:tr>
        <w:trPr>
          <w:cantSplit/>
        </w:trPr>
        <w:tc>
          <w:tcPr>
            <w:tcW w:w="5880" w:type="dxa"/>
          </w:tcPr>
          <w:p>
            <w:pPr>
              <w:pStyle w:val="yTable"/>
              <w:spacing w:after="40"/>
            </w:pPr>
            <w:r>
              <w:t> — lumbar or thoracic</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cervical</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posterior fossa</w:t>
            </w:r>
          </w:p>
        </w:tc>
        <w:tc>
          <w:tcPr>
            <w:tcW w:w="1200" w:type="dxa"/>
            <w:vAlign w:val="bottom"/>
          </w:tcPr>
          <w:p>
            <w:pPr>
              <w:pStyle w:val="yTable"/>
              <w:keepNext/>
              <w:spacing w:after="40"/>
              <w:jc w:val="center"/>
            </w:pPr>
            <w:r>
              <w:t>9</w:t>
            </w:r>
          </w:p>
        </w:tc>
      </w:tr>
      <w:tr>
        <w:trPr>
          <w:cantSplit/>
        </w:trPr>
        <w:tc>
          <w:tcPr>
            <w:tcW w:w="5880" w:type="dxa"/>
          </w:tcPr>
          <w:p>
            <w:pPr>
              <w:pStyle w:val="yTable"/>
              <w:spacing w:after="40"/>
            </w:pPr>
            <w:r>
              <w:t>Anaesthesia for injection procedure for discography:</w:t>
            </w:r>
          </w:p>
        </w:tc>
        <w:tc>
          <w:tcPr>
            <w:tcW w:w="1200" w:type="dxa"/>
            <w:vAlign w:val="bottom"/>
          </w:tcPr>
          <w:p>
            <w:pPr>
              <w:pStyle w:val="yTable"/>
              <w:keepNext/>
              <w:spacing w:after="40"/>
              <w:jc w:val="center"/>
            </w:pPr>
          </w:p>
        </w:tc>
      </w:tr>
      <w:tr>
        <w:trPr>
          <w:cantSplit/>
        </w:trPr>
        <w:tc>
          <w:tcPr>
            <w:tcW w:w="5880" w:type="dxa"/>
          </w:tcPr>
          <w:p>
            <w:pPr>
              <w:pStyle w:val="yTable"/>
              <w:spacing w:after="40"/>
            </w:pPr>
            <w:r>
              <w:t> — lumbar or thoracic</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cervical</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peripheral arteriogram</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arteriograms:</w:t>
            </w:r>
          </w:p>
        </w:tc>
        <w:tc>
          <w:tcPr>
            <w:tcW w:w="1200" w:type="dxa"/>
            <w:vAlign w:val="bottom"/>
          </w:tcPr>
          <w:p>
            <w:pPr>
              <w:pStyle w:val="yTable"/>
              <w:keepNext/>
              <w:spacing w:after="40"/>
              <w:jc w:val="center"/>
            </w:pPr>
          </w:p>
        </w:tc>
      </w:tr>
      <w:tr>
        <w:trPr>
          <w:cantSplit/>
        </w:trPr>
        <w:tc>
          <w:tcPr>
            <w:tcW w:w="5880" w:type="dxa"/>
          </w:tcPr>
          <w:p>
            <w:pPr>
              <w:pStyle w:val="yTable"/>
              <w:spacing w:after="40"/>
            </w:pPr>
            <w:r>
              <w:t> — carotid, cerebral or vertebral</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retrograde, brachial or femoral</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computerised axial tomography scanning, magnetic resonance scanning, ultrasound scanning or digital subtraction angiography scanning</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radiology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retrograde cystography, retrograde urethrography or retrograde cystourethrography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flouroscopy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small bowel enema, barium or other opaque study of the small bowel</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bronchography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phlebography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heart, 2 dimensional real time transoesophageal examination</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peripheral venous cannulation</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cardiac catheterisation including coronary arteriography, ventriculography, cardiac mapping, insertion of automatic defibrillator or transvenous pacemaker</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cardiac electrophysiological procedures including radio frequency ablation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central vein catheterisation or insertion of right heart balloon catheter</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lumbar puncture, cisternal puncture, or epidural injection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harvesting of bone marrow for the purpose of transplantation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muscle biopsy for malignant hyperpyrexia</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electroencephalography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brain stem evoked audiometry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electrocochleography by extratympanic method or transtympanic membrane insertion method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 therapeutic procedure where it can be demonstrated that there is a clinical need for anaesthesia</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during hyperbaric therapy where the medical practitioner is not confined in the chamber (including the administration of oxygen)</w:t>
            </w:r>
          </w:p>
        </w:tc>
        <w:tc>
          <w:tcPr>
            <w:tcW w:w="1200" w:type="dxa"/>
            <w:vAlign w:val="bottom"/>
          </w:tcPr>
          <w:p>
            <w:pPr>
              <w:pStyle w:val="yTable"/>
              <w:keepNext/>
              <w:spacing w:after="40"/>
              <w:jc w:val="center"/>
            </w:pPr>
            <w:r>
              <w:br/>
            </w:r>
            <w:r>
              <w:br/>
              <w:t>8</w:t>
            </w:r>
          </w:p>
        </w:tc>
      </w:tr>
      <w:tr>
        <w:trPr>
          <w:cantSplit/>
        </w:trPr>
        <w:tc>
          <w:tcPr>
            <w:tcW w:w="5880" w:type="dxa"/>
          </w:tcPr>
          <w:p>
            <w:pPr>
              <w:pStyle w:val="yTable"/>
              <w:spacing w:after="40"/>
            </w:pPr>
            <w:r>
              <w:t>Anaesthesia during hyperbaric therapy where the medical practitioner is confined in the chamber (including the administration of oxygen)</w:t>
            </w:r>
          </w:p>
        </w:tc>
        <w:tc>
          <w:tcPr>
            <w:tcW w:w="1200" w:type="dxa"/>
            <w:vAlign w:val="bottom"/>
          </w:tcPr>
          <w:p>
            <w:pPr>
              <w:pStyle w:val="yTable"/>
              <w:keepNext/>
              <w:spacing w:after="40"/>
              <w:jc w:val="center"/>
            </w:pPr>
            <w:r>
              <w:br/>
            </w:r>
            <w:r>
              <w:br/>
              <w:t>15</w:t>
            </w:r>
          </w:p>
        </w:tc>
      </w:tr>
      <w:tr>
        <w:trPr>
          <w:cantSplit/>
        </w:trPr>
        <w:tc>
          <w:tcPr>
            <w:tcW w:w="5880" w:type="dxa"/>
          </w:tcPr>
          <w:p>
            <w:pPr>
              <w:pStyle w:val="yTable"/>
              <w:spacing w:after="40"/>
            </w:pPr>
            <w:r>
              <w:t>Anaesthesia for brachytherapy using radioactive sealed sources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therapeutic nuclear medicine</w:t>
            </w:r>
          </w:p>
        </w:tc>
        <w:tc>
          <w:tcPr>
            <w:tcW w:w="1200" w:type="dxa"/>
            <w:vAlign w:val="bottom"/>
          </w:tcPr>
          <w:p>
            <w:pPr>
              <w:pStyle w:val="yTable"/>
              <w:keepNext/>
              <w:spacing w:after="40"/>
              <w:jc w:val="center"/>
            </w:pPr>
            <w:r>
              <w:t>5</w:t>
            </w:r>
          </w:p>
        </w:tc>
      </w:tr>
      <w:tr>
        <w:trPr>
          <w:cantSplit/>
        </w:trPr>
        <w:tc>
          <w:tcPr>
            <w:tcW w:w="5880" w:type="dxa"/>
          </w:tcPr>
          <w:p>
            <w:pPr>
              <w:pStyle w:val="yTable"/>
              <w:keepNext/>
              <w:keepLines/>
              <w:spacing w:after="40"/>
            </w:pPr>
            <w:r>
              <w:t>Anaesthesia for radiotherapy</w:t>
            </w:r>
          </w:p>
        </w:tc>
        <w:tc>
          <w:tcPr>
            <w:tcW w:w="1200" w:type="dxa"/>
            <w:vAlign w:val="bottom"/>
          </w:tcPr>
          <w:p>
            <w:pPr>
              <w:pStyle w:val="yTable"/>
              <w:keepNext/>
              <w:spacing w:after="40"/>
              <w:jc w:val="center"/>
            </w:pPr>
            <w:r>
              <w:t>7</w:t>
            </w:r>
          </w:p>
        </w:tc>
      </w:tr>
      <w:tr>
        <w:trPr>
          <w:cantSplit/>
        </w:trPr>
        <w:tc>
          <w:tcPr>
            <w:tcW w:w="5880" w:type="dxa"/>
            <w:tcBorders>
              <w:bottom w:val="single" w:sz="4" w:space="0" w:color="auto"/>
            </w:tcBorders>
          </w:tcPr>
          <w:p>
            <w:pPr>
              <w:pStyle w:val="yTable"/>
              <w:keepNext/>
              <w:keepLines/>
              <w:spacing w:after="40"/>
            </w:pPr>
            <w:r>
              <w:t>Anaesthesia where no procedure ensues</w:t>
            </w:r>
          </w:p>
        </w:tc>
        <w:tc>
          <w:tcPr>
            <w:tcW w:w="1200" w:type="dxa"/>
            <w:tcBorders>
              <w:bottom w:val="single" w:sz="4" w:space="0" w:color="auto"/>
            </w:tcBorders>
            <w:vAlign w:val="bottom"/>
          </w:tcPr>
          <w:p>
            <w:pPr>
              <w:pStyle w:val="yTable"/>
              <w:keepNext/>
              <w:spacing w:after="40"/>
              <w:jc w:val="center"/>
            </w:pPr>
            <w:r>
              <w:t>3</w:t>
            </w:r>
          </w:p>
        </w:tc>
      </w:tr>
    </w:tbl>
    <w:p>
      <w:pPr>
        <w:pStyle w:val="yTable"/>
        <w:spacing w:before="120"/>
      </w:pPr>
      <w:r>
        <w:rPr>
          <w:b/>
        </w:rPr>
        <w:t>Note — Unlisted anaesthetic procedures</w:t>
      </w:r>
    </w:p>
    <w:tbl>
      <w:tblPr>
        <w:tblW w:w="0" w:type="auto"/>
        <w:tblInd w:w="142" w:type="dxa"/>
        <w:tblLayout w:type="fixed"/>
        <w:tblCellMar>
          <w:left w:w="142" w:type="dxa"/>
          <w:right w:w="142" w:type="dxa"/>
        </w:tblCellMar>
        <w:tblLook w:val="0000" w:firstRow="0" w:lastRow="0" w:firstColumn="0" w:lastColumn="0" w:noHBand="0" w:noVBand="0"/>
      </w:tblPr>
      <w:tblGrid>
        <w:gridCol w:w="6946"/>
      </w:tblGrid>
      <w:tr>
        <w:trPr>
          <w:cantSplit/>
        </w:trPr>
        <w:tc>
          <w:tcPr>
            <w:tcW w:w="6946" w:type="dxa"/>
          </w:tcPr>
          <w:p>
            <w:pPr>
              <w:pStyle w:val="yTable"/>
              <w:spacing w:after="40"/>
            </w:pPr>
            <w:r>
              <w:rPr>
                <w:i/>
              </w:rPr>
              <w:t>The AMA recognise that in determining the number of units applicable, the anaesthetist shall have regard to equivalent procedures</w:t>
            </w:r>
          </w:p>
        </w:tc>
      </w:tr>
    </w:tbl>
    <w:p>
      <w:pPr>
        <w:pStyle w:val="yTable"/>
        <w:spacing w:before="360" w:after="120"/>
        <w:jc w:val="center"/>
        <w:rPr>
          <w:b/>
        </w:rPr>
      </w:pPr>
      <w:r>
        <w:rPr>
          <w:b/>
        </w:rPr>
        <w:t>PART B — THERAPEUTIC AND DIAGNOSTIC SERVICES</w:t>
      </w:r>
    </w:p>
    <w:tbl>
      <w:tblPr>
        <w:tblW w:w="0" w:type="auto"/>
        <w:tblInd w:w="113" w:type="dxa"/>
        <w:tblLayout w:type="fixed"/>
        <w:tblCellMar>
          <w:left w:w="113" w:type="dxa"/>
          <w:right w:w="113" w:type="dxa"/>
        </w:tblCellMar>
        <w:tblLook w:val="0000" w:firstRow="0" w:lastRow="0" w:firstColumn="0" w:lastColumn="0" w:noHBand="0" w:noVBand="0"/>
      </w:tblPr>
      <w:tblGrid>
        <w:gridCol w:w="4080"/>
        <w:gridCol w:w="1000"/>
        <w:gridCol w:w="1000"/>
        <w:gridCol w:w="1000"/>
      </w:tblGrid>
      <w:tr>
        <w:trPr>
          <w:cantSplit/>
          <w:tblHeader/>
        </w:trPr>
        <w:tc>
          <w:tcPr>
            <w:tcW w:w="4080" w:type="dxa"/>
            <w:tcBorders>
              <w:top w:val="single" w:sz="4" w:space="0" w:color="auto"/>
              <w:bottom w:val="single" w:sz="4" w:space="0" w:color="auto"/>
            </w:tcBorders>
          </w:tcPr>
          <w:p>
            <w:pPr>
              <w:pStyle w:val="yTable"/>
              <w:spacing w:after="40"/>
            </w:pPr>
            <w:r>
              <w:rPr>
                <w:b/>
              </w:rPr>
              <w:t>Description of service, etc.</w:t>
            </w:r>
          </w:p>
        </w:tc>
        <w:tc>
          <w:tcPr>
            <w:tcW w:w="1000" w:type="dxa"/>
            <w:tcBorders>
              <w:top w:val="single" w:sz="4" w:space="0" w:color="auto"/>
              <w:bottom w:val="single" w:sz="4" w:space="0" w:color="auto"/>
            </w:tcBorders>
            <w:vAlign w:val="bottom"/>
          </w:tcPr>
          <w:p>
            <w:pPr>
              <w:pStyle w:val="yTable"/>
              <w:spacing w:after="40"/>
              <w:jc w:val="center"/>
            </w:pPr>
            <w:r>
              <w:rPr>
                <w:b/>
              </w:rPr>
              <w:t>MUs</w:t>
            </w:r>
          </w:p>
        </w:tc>
        <w:tc>
          <w:tcPr>
            <w:tcW w:w="1000" w:type="dxa"/>
            <w:tcBorders>
              <w:top w:val="single" w:sz="4" w:space="0" w:color="auto"/>
              <w:bottom w:val="single" w:sz="4" w:space="0" w:color="auto"/>
            </w:tcBorders>
            <w:vAlign w:val="bottom"/>
          </w:tcPr>
          <w:p>
            <w:pPr>
              <w:pStyle w:val="yTable"/>
              <w:spacing w:after="40"/>
              <w:jc w:val="center"/>
            </w:pPr>
            <w:r>
              <w:rPr>
                <w:b/>
              </w:rPr>
              <w:t>TUs</w:t>
            </w:r>
          </w:p>
        </w:tc>
        <w:tc>
          <w:tcPr>
            <w:tcW w:w="1000" w:type="dxa"/>
            <w:tcBorders>
              <w:top w:val="single" w:sz="4" w:space="0" w:color="auto"/>
              <w:bottom w:val="single" w:sz="4" w:space="0" w:color="auto"/>
            </w:tcBorders>
            <w:vAlign w:val="bottom"/>
          </w:tcPr>
          <w:p>
            <w:pPr>
              <w:pStyle w:val="yTable"/>
              <w:spacing w:after="40"/>
              <w:jc w:val="center"/>
            </w:pPr>
            <w:r>
              <w:rPr>
                <w:b/>
              </w:rPr>
              <w:t>BUs</w:t>
            </w:r>
          </w:p>
        </w:tc>
      </w:tr>
      <w:tr>
        <w:trPr>
          <w:cantSplit/>
        </w:trPr>
        <w:tc>
          <w:tcPr>
            <w:tcW w:w="4080" w:type="dxa"/>
          </w:tcPr>
          <w:p>
            <w:pPr>
              <w:pStyle w:val="yTable"/>
              <w:spacing w:after="40"/>
            </w:pPr>
            <w:r>
              <w:t>Collection of blood for autologous transfusion or when homologous blood is required for immediate transfusion in an emergency situation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Administration of blood or bone marrow already collected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Venous cannulation and blood transfusion (or blood products)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15</w:t>
            </w:r>
          </w:p>
        </w:tc>
      </w:tr>
      <w:tr>
        <w:trPr>
          <w:cantSplit/>
        </w:trPr>
        <w:tc>
          <w:tcPr>
            <w:tcW w:w="4080" w:type="dxa"/>
          </w:tcPr>
          <w:p>
            <w:pPr>
              <w:pStyle w:val="yTable"/>
              <w:spacing w:after="40"/>
            </w:pPr>
            <w:r>
              <w:t>Intubation, endotracheal, not associated with anaesthesia, when subsequent management is not in an intensive care unit</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4</w:t>
            </w:r>
          </w:p>
        </w:tc>
      </w:tr>
      <w:tr>
        <w:trPr>
          <w:cantSplit/>
        </w:trPr>
        <w:tc>
          <w:tcPr>
            <w:tcW w:w="4080" w:type="dxa"/>
          </w:tcPr>
          <w:p>
            <w:pPr>
              <w:pStyle w:val="yTable"/>
              <w:spacing w:after="40"/>
            </w:pPr>
            <w:r>
              <w:t>Awake endotracheal intubation with flexible fibreoptic scope, associated with difficult airway,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Double lumen endobronchial tube or bronchial blocker, insertion of,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Monitoring of depth of anaesthesia, incorporating continuous measurement of the EEG during anaesthesia for the diagnosis of awareness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and commencement of intravenous infusion, under age of 3 years,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Venous cannulation and commencement of intravenous infusion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Right heart balloon catheter, insertion of, including pulmonary wedge pressure and cardiac output measurement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Pulmonary artery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Left atrial pressure monitoring via left atrial catheter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Invasive pressure monitoring, not otherwise listed</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Central vein catheterization, percutaneous via jugular, subclavian or femoral vein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Central vein catheterization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Central venous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cannulation, percutaneous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puncture, withdrawal of blood for diagnosis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w:t>
            </w:r>
          </w:p>
        </w:tc>
      </w:tr>
      <w:tr>
        <w:trPr>
          <w:cantSplit/>
        </w:trPr>
        <w:tc>
          <w:tcPr>
            <w:tcW w:w="4080" w:type="dxa"/>
          </w:tcPr>
          <w:p>
            <w:pPr>
              <w:pStyle w:val="yTable"/>
              <w:spacing w:after="40"/>
            </w:pPr>
            <w:r>
              <w:t>Arterial cannulation,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 arterial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Catheterization, umbilical artery, newborn, for diagnosis, or therapy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w:t>
            </w:r>
            <w:r>
              <w:noBreakHyphen/>
              <w:t>arterial infusion or retrograde intravenous perfusion of a sympatholytic agent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Intravenous regional anaesthesia of limb by retrograde perfusion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Perfusion of limb or organ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12</w:t>
            </w:r>
          </w:p>
        </w:tc>
      </w:tr>
      <w:tr>
        <w:trPr>
          <w:cantSplit/>
        </w:trPr>
        <w:tc>
          <w:tcPr>
            <w:tcW w:w="4080" w:type="dxa"/>
          </w:tcPr>
          <w:p>
            <w:pPr>
              <w:pStyle w:val="yTable"/>
              <w:spacing w:after="40"/>
            </w:pPr>
            <w:r>
              <w:t>Medical management of cardio</w:t>
            </w:r>
            <w:r>
              <w:noBreakHyphen/>
              <w:t>pulmonary bypass perfusion using heart/lung machine</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20</w:t>
            </w:r>
          </w:p>
        </w:tc>
      </w:tr>
      <w:tr>
        <w:trPr>
          <w:cantSplit/>
        </w:trPr>
        <w:tc>
          <w:tcPr>
            <w:tcW w:w="4080" w:type="dxa"/>
          </w:tcPr>
          <w:p>
            <w:pPr>
              <w:pStyle w:val="yTable"/>
              <w:spacing w:after="40"/>
            </w:pPr>
            <w:r>
              <w:t>Hypothermia, total body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Cardioplegia, blood or crystalloid, administration by any route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Deep hypothermia to a core temperature of less than 22 degrees in association with circulatory arrest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Standby medical management of cardio</w:t>
            </w:r>
            <w:r>
              <w:noBreakHyphen/>
              <w:t>pulmonary bypass perfusion using heart/lung machine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5</w:t>
            </w:r>
          </w:p>
        </w:tc>
      </w:tr>
      <w:tr>
        <w:trPr>
          <w:cantSplit/>
        </w:trPr>
        <w:tc>
          <w:tcPr>
            <w:tcW w:w="4080" w:type="dxa"/>
          </w:tcPr>
          <w:p>
            <w:pPr>
              <w:pStyle w:val="yTable"/>
              <w:spacing w:after="40"/>
            </w:pPr>
            <w:r>
              <w:t>Major nerve block (proximal to the elbow or knee), including intercostal nerve clock(s) or plexus block to provide post operative pain relief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Minor nerve block (specify type) to provide post operative pain relief (does not include subcutaneous infiltration)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Intrathecal or epidural injection (initial) of a therapeutic substance, with or without insertion of a catheter,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or epidural injection (subsequent) of a therapeutic substance,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Subarachnoid puncture, lumbar, diagnostic</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Insertion of subarachnoid drain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including up to one hour of continuous attendance by a medical practitioner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 xml:space="preserve">Intrathecal, or epidural or injection, (initial or commencement of infusion) of a therapeutic substance, including up to one hour of continuous attendance by a medical practitioner </w:t>
            </w:r>
            <w:r>
              <w:rPr>
                <w:b/>
              </w:rPr>
              <w:t>after hours</w:t>
            </w:r>
            <w:r>
              <w:t xml:space="preserve"> for a patient in labour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 xml:space="preserve">Intrathecal, or epidural or injection, (initial or commencement of infusion) of a therapeutic substance, where continuous </w:t>
            </w:r>
            <w:r>
              <w:rPr>
                <w:b/>
              </w:rPr>
              <w:t>after hours</w:t>
            </w:r>
            <w:r>
              <w:t xml:space="preserve">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Interpleural block, initial injection or commencement of infusion of a therapeutic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epidural or caudal injection of neurolytic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20</w:t>
            </w:r>
          </w:p>
        </w:tc>
      </w:tr>
      <w:tr>
        <w:trPr>
          <w:cantSplit/>
        </w:trPr>
        <w:tc>
          <w:tcPr>
            <w:tcW w:w="4080" w:type="dxa"/>
          </w:tcPr>
          <w:p>
            <w:pPr>
              <w:pStyle w:val="yTable"/>
              <w:spacing w:after="40"/>
            </w:pPr>
            <w:r>
              <w:t>Intrathecal, epidural or caudal injection of substance other than anaesthetic, contrast or neurolytic solutions, not being a service to which another item in the Group applies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Epidural injection of blood for blood patch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keepNext/>
              <w:keepLines/>
              <w:spacing w:after="40"/>
            </w:pPr>
            <w:r>
              <w:t>Injection of an anaesthetic agent</w:t>
            </w:r>
          </w:p>
        </w:tc>
        <w:tc>
          <w:tcPr>
            <w:tcW w:w="1000" w:type="dxa"/>
            <w:vAlign w:val="bottom"/>
          </w:tcPr>
          <w:p>
            <w:pPr>
              <w:pStyle w:val="zytable"/>
              <w:keepNext/>
              <w:spacing w:after="40"/>
              <w:ind w:left="0"/>
              <w:jc w:val="center"/>
            </w:pPr>
          </w:p>
        </w:tc>
        <w:tc>
          <w:tcPr>
            <w:tcW w:w="1000" w:type="dxa"/>
            <w:vAlign w:val="bottom"/>
          </w:tcPr>
          <w:p>
            <w:pPr>
              <w:pStyle w:val="zytable"/>
              <w:keepNext/>
              <w:spacing w:after="40"/>
              <w:ind w:left="0"/>
              <w:jc w:val="center"/>
            </w:pPr>
          </w:p>
        </w:tc>
        <w:tc>
          <w:tcPr>
            <w:tcW w:w="1000" w:type="dxa"/>
            <w:vAlign w:val="bottom"/>
          </w:tcPr>
          <w:p>
            <w:pPr>
              <w:pStyle w:val="yTable"/>
              <w:keepNext/>
              <w:spacing w:after="40"/>
              <w:jc w:val="center"/>
            </w:pPr>
          </w:p>
        </w:tc>
      </w:tr>
      <w:tr>
        <w:trPr>
          <w:cantSplit/>
        </w:trPr>
        <w:tc>
          <w:tcPr>
            <w:tcW w:w="4080" w:type="dxa"/>
          </w:tcPr>
          <w:p>
            <w:pPr>
              <w:pStyle w:val="yTable"/>
              <w:keepNext/>
              <w:keepLines/>
              <w:tabs>
                <w:tab w:val="left" w:pos="596"/>
              </w:tabs>
              <w:spacing w:after="40"/>
              <w:ind w:left="397" w:hanging="397"/>
            </w:pPr>
            <w:r>
              <w:t> — trigeminal nerve, primary division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trigeminal nerve, peripheral branch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facial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retrobulbar or peribulbar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greater occipital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vagus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glossopharyngeal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phrenic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spinal accessory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cervical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brachial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suprascapular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 single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nerves, multiple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ilioinguinal, iliohypogastric or genito femoral nerves,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pudendal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ulnar, radial or median nerve of main trunk, one or more of, not being associated with a brachial plexus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paracervical (uterine)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obturator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femoral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saphenous, sural, popliteal or posterior tibial nerve of main trunk,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397" w:hanging="397"/>
            </w:pPr>
            <w:r>
              <w:t> — paravertebral, cervical, thoracic, lumbar, sacral or coccygeal nerves, single vertebral level</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paravertebral nerves, multiple levels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 — sciatic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other peripheral nerve or branch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sphenopalatine ganglion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carotid sinus, as an independent percutaneous procedure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before="40" w:after="40"/>
              <w:ind w:left="397" w:hanging="397"/>
            </w:pPr>
            <w:r>
              <w:t> — stellate ganglion (cervical sympathetic block)</w:t>
            </w:r>
          </w:p>
        </w:tc>
        <w:tc>
          <w:tcPr>
            <w:tcW w:w="1000" w:type="dxa"/>
            <w:vAlign w:val="bottom"/>
          </w:tcPr>
          <w:p>
            <w:pPr>
              <w:pStyle w:val="yTable"/>
              <w:spacing w:before="40" w:after="40"/>
              <w:jc w:val="center"/>
            </w:pPr>
            <w:r>
              <w:t>no</w:t>
            </w:r>
          </w:p>
        </w:tc>
        <w:tc>
          <w:tcPr>
            <w:tcW w:w="1000" w:type="dxa"/>
            <w:vAlign w:val="bottom"/>
          </w:tcPr>
          <w:p>
            <w:pPr>
              <w:pStyle w:val="yTable"/>
              <w:spacing w:before="40" w:after="40"/>
              <w:jc w:val="center"/>
            </w:pPr>
            <w:r>
              <w:t>no</w:t>
            </w:r>
          </w:p>
        </w:tc>
        <w:tc>
          <w:tcPr>
            <w:tcW w:w="1000" w:type="dxa"/>
            <w:vAlign w:val="bottom"/>
          </w:tcPr>
          <w:p>
            <w:pPr>
              <w:pStyle w:val="yTable"/>
              <w:spacing w:before="40" w:after="40"/>
              <w:jc w:val="center"/>
            </w:pPr>
            <w:r>
              <w:t>8</w:t>
            </w:r>
          </w:p>
        </w:tc>
      </w:tr>
      <w:tr>
        <w:trPr>
          <w:cantSplit/>
        </w:trPr>
        <w:tc>
          <w:tcPr>
            <w:tcW w:w="4080" w:type="dxa"/>
          </w:tcPr>
          <w:p>
            <w:pPr>
              <w:pStyle w:val="yTable"/>
              <w:tabs>
                <w:tab w:val="left" w:pos="596"/>
              </w:tabs>
              <w:spacing w:before="40" w:after="40"/>
              <w:ind w:left="397" w:hanging="397"/>
            </w:pPr>
            <w:r>
              <w:t> — lumbar or thoracic nerves (paravertebral sympathetic block)</w:t>
            </w:r>
          </w:p>
        </w:tc>
        <w:tc>
          <w:tcPr>
            <w:tcW w:w="1000" w:type="dxa"/>
            <w:vAlign w:val="bottom"/>
          </w:tcPr>
          <w:p>
            <w:pPr>
              <w:pStyle w:val="yTable"/>
              <w:spacing w:before="40" w:after="40"/>
              <w:jc w:val="center"/>
            </w:pPr>
            <w:r>
              <w:t>no</w:t>
            </w:r>
          </w:p>
        </w:tc>
        <w:tc>
          <w:tcPr>
            <w:tcW w:w="1000" w:type="dxa"/>
            <w:vAlign w:val="bottom"/>
          </w:tcPr>
          <w:p>
            <w:pPr>
              <w:pStyle w:val="yTable"/>
              <w:spacing w:before="40" w:after="40"/>
              <w:jc w:val="center"/>
            </w:pPr>
            <w:r>
              <w:t>no</w:t>
            </w:r>
          </w:p>
        </w:tc>
        <w:tc>
          <w:tcPr>
            <w:tcW w:w="1000" w:type="dxa"/>
            <w:vAlign w:val="bottom"/>
          </w:tcPr>
          <w:p>
            <w:pPr>
              <w:pStyle w:val="yTable"/>
              <w:spacing w:before="40" w:after="40"/>
              <w:jc w:val="center"/>
            </w:pPr>
            <w:r>
              <w:t>8</w:t>
            </w:r>
          </w:p>
        </w:tc>
      </w:tr>
      <w:tr>
        <w:trPr>
          <w:cantSplit/>
        </w:trPr>
        <w:tc>
          <w:tcPr>
            <w:tcW w:w="4080" w:type="dxa"/>
          </w:tcPr>
          <w:p>
            <w:pPr>
              <w:pStyle w:val="yTable"/>
              <w:tabs>
                <w:tab w:val="left" w:pos="596"/>
              </w:tabs>
              <w:spacing w:before="40" w:after="40"/>
              <w:ind w:left="397" w:hanging="397"/>
            </w:pPr>
            <w:r>
              <w:t> — coeliac plexus or splanchnic nerves</w:t>
            </w:r>
          </w:p>
        </w:tc>
        <w:tc>
          <w:tcPr>
            <w:tcW w:w="1000" w:type="dxa"/>
            <w:vAlign w:val="bottom"/>
          </w:tcPr>
          <w:p>
            <w:pPr>
              <w:pStyle w:val="yTable"/>
              <w:spacing w:before="40" w:after="40"/>
              <w:jc w:val="center"/>
            </w:pPr>
            <w:r>
              <w:t>no</w:t>
            </w:r>
          </w:p>
        </w:tc>
        <w:tc>
          <w:tcPr>
            <w:tcW w:w="1000" w:type="dxa"/>
            <w:vAlign w:val="bottom"/>
          </w:tcPr>
          <w:p>
            <w:pPr>
              <w:pStyle w:val="yTable"/>
              <w:spacing w:before="40" w:after="40"/>
              <w:jc w:val="center"/>
            </w:pPr>
            <w:r>
              <w:t>no</w:t>
            </w:r>
          </w:p>
        </w:tc>
        <w:tc>
          <w:tcPr>
            <w:tcW w:w="1000" w:type="dxa"/>
            <w:vAlign w:val="bottom"/>
          </w:tcPr>
          <w:p>
            <w:pPr>
              <w:pStyle w:val="yTable"/>
              <w:spacing w:before="40" w:after="40"/>
              <w:jc w:val="center"/>
            </w:pPr>
            <w:r>
              <w:t>10</w:t>
            </w:r>
          </w:p>
        </w:tc>
      </w:tr>
      <w:tr>
        <w:trPr>
          <w:cantSplit/>
        </w:trPr>
        <w:tc>
          <w:tcPr>
            <w:tcW w:w="4080" w:type="dxa"/>
          </w:tcPr>
          <w:p>
            <w:pPr>
              <w:pStyle w:val="yTable"/>
              <w:spacing w:before="40" w:after="40"/>
            </w:pPr>
            <w:r>
              <w:t>Cranial nerve other than trigeminal, destruction by a neurolytic agent, not being a service associated with the injection of botulinum toxin</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20</w:t>
            </w:r>
          </w:p>
        </w:tc>
      </w:tr>
      <w:tr>
        <w:trPr>
          <w:cantSplit/>
        </w:trPr>
        <w:tc>
          <w:tcPr>
            <w:tcW w:w="4080" w:type="dxa"/>
          </w:tcPr>
          <w:p>
            <w:pPr>
              <w:pStyle w:val="yTable"/>
              <w:spacing w:before="40" w:after="40"/>
            </w:pPr>
            <w:r>
              <w:t>Nerve branch, not covered by any other item in this Group, destruction by a neurolytic agent, not being a service associated with the injection of botulinum toxin</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10</w:t>
            </w:r>
          </w:p>
        </w:tc>
      </w:tr>
      <w:tr>
        <w:trPr>
          <w:cantSplit/>
        </w:trPr>
        <w:tc>
          <w:tcPr>
            <w:tcW w:w="4080" w:type="dxa"/>
          </w:tcPr>
          <w:p>
            <w:pPr>
              <w:pStyle w:val="yTable"/>
              <w:spacing w:before="40" w:after="40"/>
            </w:pPr>
            <w:r>
              <w:t>Coeliac plexus or splanchnic nerves, destruction by a neurolytic agent</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20</w:t>
            </w:r>
          </w:p>
        </w:tc>
      </w:tr>
      <w:tr>
        <w:trPr>
          <w:cantSplit/>
        </w:trPr>
        <w:tc>
          <w:tcPr>
            <w:tcW w:w="4080" w:type="dxa"/>
          </w:tcPr>
          <w:p>
            <w:pPr>
              <w:pStyle w:val="yTable"/>
              <w:spacing w:before="40" w:after="40"/>
            </w:pPr>
            <w:r>
              <w:t>Lumbar sympathetic chain, destruction by a neurolytic agent</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15</w:t>
            </w:r>
          </w:p>
        </w:tc>
      </w:tr>
      <w:tr>
        <w:trPr>
          <w:cantSplit/>
        </w:trPr>
        <w:tc>
          <w:tcPr>
            <w:tcW w:w="4080" w:type="dxa"/>
          </w:tcPr>
          <w:p>
            <w:pPr>
              <w:pStyle w:val="yTable"/>
              <w:spacing w:before="40" w:after="40"/>
            </w:pPr>
            <w:r>
              <w:t>Cervical or thoracic sympathetic chain, destruction by a neurolytic agent</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20</w:t>
            </w:r>
          </w:p>
        </w:tc>
      </w:tr>
      <w:tr>
        <w:trPr>
          <w:cantSplit/>
        </w:trPr>
        <w:tc>
          <w:tcPr>
            <w:tcW w:w="4080" w:type="dxa"/>
          </w:tcPr>
          <w:p>
            <w:pPr>
              <w:pStyle w:val="yTable"/>
              <w:spacing w:before="40" w:after="40"/>
            </w:pPr>
            <w:r>
              <w:t>Cardioversion, elective, electrical conversion of arrhythmia, external</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4</w:t>
            </w:r>
          </w:p>
        </w:tc>
      </w:tr>
      <w:tr>
        <w:trPr>
          <w:cantSplit/>
        </w:trPr>
        <w:tc>
          <w:tcPr>
            <w:tcW w:w="4080" w:type="dxa"/>
          </w:tcPr>
          <w:p>
            <w:pPr>
              <w:pStyle w:val="yTable"/>
              <w:spacing w:before="40" w:after="40"/>
            </w:pPr>
            <w:r>
              <w:t>Hyperbaric oxygen treatment when the specialist is inside the chamber</w:t>
            </w:r>
          </w:p>
        </w:tc>
        <w:tc>
          <w:tcPr>
            <w:tcW w:w="1000" w:type="dxa"/>
            <w:vAlign w:val="bottom"/>
          </w:tcPr>
          <w:p>
            <w:pPr>
              <w:spacing w:before="40" w:after="40"/>
              <w:jc w:val="center"/>
              <w:rPr>
                <w:sz w:val="22"/>
              </w:rPr>
            </w:pPr>
            <w:r>
              <w:rPr>
                <w:sz w:val="22"/>
              </w:rPr>
              <w:t>yes</w:t>
            </w:r>
          </w:p>
        </w:tc>
        <w:tc>
          <w:tcPr>
            <w:tcW w:w="1000" w:type="dxa"/>
            <w:vAlign w:val="bottom"/>
          </w:tcPr>
          <w:p>
            <w:pPr>
              <w:spacing w:before="40" w:after="40"/>
              <w:jc w:val="center"/>
              <w:rPr>
                <w:sz w:val="22"/>
              </w:rPr>
            </w:pPr>
            <w:r>
              <w:rPr>
                <w:sz w:val="22"/>
              </w:rPr>
              <w:t>yes</w:t>
            </w:r>
          </w:p>
        </w:tc>
        <w:tc>
          <w:tcPr>
            <w:tcW w:w="1000" w:type="dxa"/>
            <w:vAlign w:val="bottom"/>
          </w:tcPr>
          <w:p>
            <w:pPr>
              <w:spacing w:before="40" w:after="40"/>
              <w:jc w:val="center"/>
              <w:rPr>
                <w:sz w:val="22"/>
              </w:rPr>
            </w:pPr>
            <w:r>
              <w:rPr>
                <w:sz w:val="22"/>
              </w:rPr>
              <w:t>15</w:t>
            </w:r>
          </w:p>
        </w:tc>
      </w:tr>
      <w:tr>
        <w:trPr>
          <w:cantSplit/>
        </w:trPr>
        <w:tc>
          <w:tcPr>
            <w:tcW w:w="4080" w:type="dxa"/>
          </w:tcPr>
          <w:p>
            <w:pPr>
              <w:pStyle w:val="yTable"/>
              <w:spacing w:before="40" w:after="40"/>
            </w:pPr>
            <w:r>
              <w:t>Hyperbaric oxygen treatment when the specialist is outside the chamber</w:t>
            </w:r>
          </w:p>
        </w:tc>
        <w:tc>
          <w:tcPr>
            <w:tcW w:w="1000" w:type="dxa"/>
            <w:vAlign w:val="bottom"/>
          </w:tcPr>
          <w:p>
            <w:pPr>
              <w:spacing w:before="40" w:after="40"/>
              <w:jc w:val="center"/>
              <w:rPr>
                <w:sz w:val="22"/>
              </w:rPr>
            </w:pPr>
            <w:r>
              <w:rPr>
                <w:sz w:val="22"/>
              </w:rPr>
              <w:t>yes</w:t>
            </w:r>
          </w:p>
        </w:tc>
        <w:tc>
          <w:tcPr>
            <w:tcW w:w="1000" w:type="dxa"/>
            <w:vAlign w:val="bottom"/>
          </w:tcPr>
          <w:p>
            <w:pPr>
              <w:spacing w:before="40" w:after="40"/>
              <w:jc w:val="center"/>
              <w:rPr>
                <w:sz w:val="22"/>
              </w:rPr>
            </w:pPr>
            <w:r>
              <w:rPr>
                <w:sz w:val="22"/>
              </w:rPr>
              <w:t>yes</w:t>
            </w:r>
          </w:p>
        </w:tc>
        <w:tc>
          <w:tcPr>
            <w:tcW w:w="1000" w:type="dxa"/>
            <w:vAlign w:val="bottom"/>
          </w:tcPr>
          <w:p>
            <w:pPr>
              <w:spacing w:before="40" w:after="40"/>
              <w:jc w:val="center"/>
              <w:rPr>
                <w:sz w:val="22"/>
              </w:rPr>
            </w:pPr>
            <w:r>
              <w:rPr>
                <w:sz w:val="22"/>
              </w:rPr>
              <w:t>8</w:t>
            </w:r>
          </w:p>
        </w:tc>
      </w:tr>
      <w:tr>
        <w:trPr>
          <w:cantSplit/>
        </w:trPr>
        <w:tc>
          <w:tcPr>
            <w:tcW w:w="4080" w:type="dxa"/>
          </w:tcPr>
          <w:p>
            <w:pPr>
              <w:pStyle w:val="yTable"/>
              <w:keepNext/>
              <w:spacing w:before="40" w:after="40"/>
            </w:pPr>
            <w:r>
              <w:t xml:space="preserve">Heart, 2 dimensional real time transoesophageal examination of, at least 2 oesophageal windows performed using a mechanical sector scanner or phased array transducer with — </w:t>
            </w:r>
          </w:p>
        </w:tc>
        <w:tc>
          <w:tcPr>
            <w:tcW w:w="1000" w:type="dxa"/>
            <w:vAlign w:val="bottom"/>
          </w:tcPr>
          <w:p>
            <w:pPr>
              <w:keepNext/>
              <w:spacing w:before="40" w:after="40"/>
              <w:jc w:val="center"/>
              <w:rPr>
                <w:sz w:val="22"/>
              </w:rPr>
            </w:pPr>
          </w:p>
        </w:tc>
        <w:tc>
          <w:tcPr>
            <w:tcW w:w="1000" w:type="dxa"/>
            <w:vAlign w:val="bottom"/>
          </w:tcPr>
          <w:p>
            <w:pPr>
              <w:keepNext/>
              <w:spacing w:before="40" w:after="40"/>
              <w:jc w:val="center"/>
              <w:rPr>
                <w:sz w:val="22"/>
              </w:rPr>
            </w:pPr>
          </w:p>
        </w:tc>
        <w:tc>
          <w:tcPr>
            <w:tcW w:w="1000" w:type="dxa"/>
            <w:vAlign w:val="bottom"/>
          </w:tcPr>
          <w:p>
            <w:pPr>
              <w:keepNext/>
              <w:spacing w:before="40" w:after="40"/>
              <w:jc w:val="center"/>
              <w:rPr>
                <w:sz w:val="22"/>
              </w:rPr>
            </w:pPr>
          </w:p>
        </w:tc>
      </w:tr>
      <w:tr>
        <w:trPr>
          <w:cantSplit/>
        </w:trPr>
        <w:tc>
          <w:tcPr>
            <w:tcW w:w="4080" w:type="dxa"/>
          </w:tcPr>
          <w:p>
            <w:pPr>
              <w:pStyle w:val="yTable"/>
              <w:tabs>
                <w:tab w:val="left" w:pos="313"/>
                <w:tab w:val="left" w:pos="738"/>
              </w:tabs>
              <w:spacing w:after="40"/>
              <w:ind w:left="738" w:hanging="738"/>
            </w:pPr>
            <w:r>
              <w:tab/>
              <w:t>(a)</w:t>
            </w:r>
            <w:r>
              <w:tab/>
              <w:t>measurement blood flow velocities across the cardiac valves using pulsed wave and continuous Doppler techniques;</w:t>
            </w: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r>
      <w:tr>
        <w:trPr>
          <w:cantSplit/>
        </w:trPr>
        <w:tc>
          <w:tcPr>
            <w:tcW w:w="4080" w:type="dxa"/>
          </w:tcPr>
          <w:p>
            <w:pPr>
              <w:pStyle w:val="yTable"/>
              <w:tabs>
                <w:tab w:val="left" w:pos="313"/>
                <w:tab w:val="left" w:pos="738"/>
              </w:tabs>
              <w:spacing w:before="0" w:after="40"/>
              <w:ind w:left="738" w:hanging="738"/>
            </w:pPr>
            <w:r>
              <w:tab/>
              <w:t>(b)</w:t>
            </w:r>
            <w:r>
              <w:tab/>
              <w:t xml:space="preserve">real time colour flow mapping from at least 2 oesophageal windows; and </w:t>
            </w:r>
          </w:p>
          <w:p>
            <w:pPr>
              <w:pStyle w:val="yTable"/>
              <w:tabs>
                <w:tab w:val="left" w:pos="313"/>
                <w:tab w:val="left" w:pos="738"/>
              </w:tabs>
              <w:spacing w:before="0" w:after="40"/>
              <w:ind w:left="738" w:hanging="738"/>
            </w:pPr>
            <w:r>
              <w:tab/>
              <w:t>(c)</w:t>
            </w:r>
            <w:r>
              <w:tab/>
              <w:t>recording on video tape</w:t>
            </w:r>
          </w:p>
        </w:tc>
        <w:tc>
          <w:tcPr>
            <w:tcW w:w="1000" w:type="dxa"/>
            <w:vAlign w:val="bottom"/>
          </w:tcPr>
          <w:p>
            <w:pPr>
              <w:spacing w:after="40"/>
              <w:jc w:val="center"/>
              <w:rPr>
                <w:sz w:val="22"/>
              </w:rPr>
            </w:pPr>
            <w:r>
              <w:rPr>
                <w:sz w:val="22"/>
              </w:rPr>
              <w:t>no</w:t>
            </w:r>
          </w:p>
        </w:tc>
        <w:tc>
          <w:tcPr>
            <w:tcW w:w="1000" w:type="dxa"/>
            <w:vAlign w:val="bottom"/>
          </w:tcPr>
          <w:p>
            <w:pPr>
              <w:spacing w:after="40"/>
              <w:jc w:val="center"/>
              <w:rPr>
                <w:sz w:val="22"/>
              </w:rPr>
            </w:pPr>
            <w:r>
              <w:rPr>
                <w:sz w:val="22"/>
              </w:rPr>
              <w:t>no</w:t>
            </w:r>
          </w:p>
        </w:tc>
        <w:tc>
          <w:tcPr>
            <w:tcW w:w="1000" w:type="dxa"/>
            <w:vAlign w:val="bottom"/>
          </w:tcPr>
          <w:p>
            <w:pPr>
              <w:spacing w:after="40"/>
              <w:jc w:val="center"/>
              <w:rPr>
                <w:sz w:val="22"/>
              </w:rPr>
            </w:pPr>
            <w:r>
              <w:rPr>
                <w:sz w:val="22"/>
              </w:rPr>
              <w:t>10</w:t>
            </w:r>
          </w:p>
        </w:tc>
      </w:tr>
      <w:tr>
        <w:trPr>
          <w:cantSplit/>
        </w:trPr>
        <w:tc>
          <w:tcPr>
            <w:tcW w:w="4080" w:type="dxa"/>
          </w:tcPr>
          <w:p>
            <w:pPr>
              <w:pStyle w:val="yTable"/>
              <w:spacing w:after="40"/>
            </w:pPr>
            <w:r>
              <w:t>Intra</w:t>
            </w:r>
            <w:r>
              <w:noBreakHyphen/>
              <w:t>operative 2 dimensional real time transoesophageal echocardiography incorporating Doppler techniques with colour flow mapping and recording onto video tape, performed during cardiac surgery incorporating sequential assessment of cardiac function before and after the surgical procedure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14</w:t>
            </w:r>
          </w:p>
        </w:tc>
      </w:tr>
      <w:tr>
        <w:trPr>
          <w:cantSplit/>
        </w:trPr>
        <w:tc>
          <w:tcPr>
            <w:tcW w:w="4080" w:type="dxa"/>
          </w:tcPr>
          <w:p>
            <w:pPr>
              <w:pStyle w:val="yTable"/>
              <w:spacing w:after="40"/>
            </w:pPr>
            <w:r>
              <w:t>The use of 2 dimensional imaging ultrasound guidance to assist percutaneous major vascular access involving catheterisation of the jugular, subclavian or femoral vein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The use of 2 dimensional imaging ultrasound guidance to assist percutaneous neural blockade involving the branchial plexus, or femoral and/or sciatic nerve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Skin testing for allergy to anaesthetic agents</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4</w:t>
            </w:r>
          </w:p>
        </w:tc>
      </w:tr>
      <w:tr>
        <w:trPr>
          <w:cantSplit/>
        </w:trPr>
        <w:tc>
          <w:tcPr>
            <w:tcW w:w="4080" w:type="dxa"/>
            <w:tcBorders>
              <w:bottom w:val="single" w:sz="4" w:space="0" w:color="auto"/>
            </w:tcBorders>
          </w:tcPr>
          <w:p>
            <w:pPr>
              <w:pStyle w:val="yTable"/>
              <w:spacing w:after="40"/>
            </w:pPr>
            <w:r>
              <w:t>Assistance in the administration of an anaesthetic</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5</w:t>
            </w:r>
          </w:p>
        </w:tc>
      </w:tr>
    </w:tbl>
    <w:p>
      <w:pPr>
        <w:pStyle w:val="yTable"/>
        <w:keepNext/>
        <w:tabs>
          <w:tab w:val="left" w:pos="709"/>
        </w:tabs>
        <w:spacing w:before="120" w:after="60"/>
      </w:pPr>
      <w:r>
        <w:rPr>
          <w:b/>
        </w:rPr>
        <w:t>Note — Unlisted services</w:t>
      </w:r>
    </w:p>
    <w:tbl>
      <w:tblPr>
        <w:tblW w:w="0" w:type="auto"/>
        <w:tblInd w:w="113" w:type="dxa"/>
        <w:tblLayout w:type="fixed"/>
        <w:tblCellMar>
          <w:left w:w="113" w:type="dxa"/>
          <w:right w:w="113" w:type="dxa"/>
        </w:tblCellMar>
        <w:tblLook w:val="0000" w:firstRow="0" w:lastRow="0" w:firstColumn="0" w:lastColumn="0" w:noHBand="0" w:noVBand="0"/>
      </w:tblPr>
      <w:tblGrid>
        <w:gridCol w:w="7080"/>
      </w:tblGrid>
      <w:tr>
        <w:trPr>
          <w:cantSplit/>
        </w:trPr>
        <w:tc>
          <w:tcPr>
            <w:tcW w:w="7080" w:type="dxa"/>
          </w:tcPr>
          <w:p>
            <w:pPr>
              <w:pStyle w:val="yTable"/>
            </w:pPr>
            <w:r>
              <w:rPr>
                <w:i/>
              </w:rPr>
              <w:t>For an unlisted service, the number of units is to be determined by reference to the nearest listed anaesthetic procedure</w:t>
            </w:r>
          </w:p>
        </w:tc>
      </w:tr>
    </w:tbl>
    <w:p>
      <w:pPr>
        <w:pStyle w:val="yFootnotesection"/>
        <w:keepLines w:val="0"/>
        <w:tabs>
          <w:tab w:val="clear" w:pos="893"/>
          <w:tab w:val="left" w:pos="567"/>
        </w:tabs>
        <w:ind w:left="567" w:hanging="567"/>
      </w:pPr>
      <w:r>
        <w:tab/>
        <w:t>[Part 1 inserted in Gazette 20 Jul 1999 p. 3250</w:t>
      </w:r>
      <w:r>
        <w:noBreakHyphen/>
        <w:t>69; amended in Gazette 31 Aug 1999 p. 4244-5; 21 Dec 2000 p. 7626-34; 28 Dec 2001 p. 6692-7; 23 Sep 2003 p. 4174-7; 19 Mar 2004 p. 864</w:t>
      </w:r>
      <w:r>
        <w:noBreakHyphen/>
        <w:t>96; 29 Oct 2004 p. 4941</w:t>
      </w:r>
      <w:r>
        <w:noBreakHyphen/>
        <w:t>2; 21 Jan 2005 p. 279</w:t>
      </w:r>
      <w:r>
        <w:noBreakHyphen/>
        <w:t>81; 10 Jan 2006 p. 44-52; 22 Dec 2006 p. 5759-68; 7 Dec 2007 p. 6037</w:t>
      </w:r>
      <w:r>
        <w:noBreakHyphen/>
        <w:t>42; 17 Dec 2008 p. 5291</w:t>
      </w:r>
      <w:r>
        <w:noBreakHyphen/>
        <w:t>6.]</w:t>
      </w:r>
    </w:p>
    <w:p>
      <w:pPr>
        <w:pStyle w:val="yHeading3"/>
      </w:pPr>
      <w:bookmarkStart w:id="139" w:name="_Toc217355365"/>
      <w:bookmarkStart w:id="140" w:name="_Toc217355395"/>
      <w:bookmarkStart w:id="141" w:name="_Toc184719579"/>
      <w:bookmarkStart w:id="142" w:name="_Toc184720487"/>
      <w:bookmarkStart w:id="143" w:name="_Toc86727094"/>
      <w:bookmarkStart w:id="144" w:name="_Toc86727399"/>
      <w:bookmarkStart w:id="145" w:name="_Toc86734598"/>
      <w:bookmarkStart w:id="146" w:name="_Toc94073871"/>
      <w:bookmarkStart w:id="147" w:name="_Toc94408681"/>
      <w:bookmarkStart w:id="148" w:name="_Toc118519388"/>
      <w:bookmarkStart w:id="149" w:name="_Toc118616302"/>
      <w:bookmarkStart w:id="150" w:name="_Toc119464661"/>
      <w:bookmarkStart w:id="151" w:name="_Toc119464805"/>
      <w:bookmarkStart w:id="152" w:name="_Toc119466410"/>
      <w:bookmarkStart w:id="153" w:name="_Toc124579594"/>
      <w:bookmarkStart w:id="154" w:name="_Toc125442043"/>
      <w:bookmarkStart w:id="155" w:name="_Toc126569080"/>
      <w:bookmarkStart w:id="156" w:name="_Toc127601220"/>
      <w:bookmarkStart w:id="157" w:name="_Toc127668243"/>
      <w:bookmarkStart w:id="158" w:name="_Toc128452302"/>
      <w:r>
        <w:rPr>
          <w:rStyle w:val="CharSDivNo"/>
        </w:rPr>
        <w:t>Part 2</w:t>
      </w:r>
      <w:r>
        <w:t> — </w:t>
      </w:r>
      <w:r>
        <w:rPr>
          <w:rStyle w:val="CharSDivText"/>
        </w:rPr>
        <w:t>Medical procedures</w:t>
      </w:r>
      <w:bookmarkEnd w:id="139"/>
      <w:bookmarkEnd w:id="140"/>
    </w:p>
    <w:p>
      <w:pPr>
        <w:pStyle w:val="yFootnoteheading"/>
      </w:pPr>
      <w:r>
        <w:tab/>
        <w:t>[Heading inserted in Gazette 17 Dec 2008 p. 5296.]</w:t>
      </w:r>
    </w:p>
    <w:tbl>
      <w:tblPr>
        <w:tblW w:w="0" w:type="auto"/>
        <w:tblInd w:w="113" w:type="dxa"/>
        <w:tblLayout w:type="fixed"/>
        <w:tblCellMar>
          <w:left w:w="113" w:type="dxa"/>
          <w:right w:w="113" w:type="dxa"/>
        </w:tblCellMar>
        <w:tblLook w:val="0000" w:firstRow="0" w:lastRow="0" w:firstColumn="0" w:lastColumn="0" w:noHBand="0" w:noVBand="0"/>
      </w:tblPr>
      <w:tblGrid>
        <w:gridCol w:w="5812"/>
        <w:gridCol w:w="1276"/>
      </w:tblGrid>
      <w:tr>
        <w:trPr>
          <w:tblHeader/>
        </w:trPr>
        <w:tc>
          <w:tcPr>
            <w:tcW w:w="5812" w:type="dxa"/>
            <w:tcBorders>
              <w:top w:val="single" w:sz="4" w:space="0" w:color="auto"/>
              <w:bottom w:val="single" w:sz="4" w:space="0" w:color="auto"/>
            </w:tcBorders>
          </w:tcPr>
          <w:p>
            <w:pPr>
              <w:pStyle w:val="yTable"/>
            </w:pPr>
            <w:r>
              <w:rPr>
                <w:b/>
                <w:bCs/>
              </w:rPr>
              <w:t>Type of procedure</w:t>
            </w:r>
          </w:p>
        </w:tc>
        <w:tc>
          <w:tcPr>
            <w:tcW w:w="1276" w:type="dxa"/>
            <w:tcBorders>
              <w:top w:val="single" w:sz="4" w:space="0" w:color="auto"/>
              <w:bottom w:val="single" w:sz="4" w:space="0" w:color="auto"/>
            </w:tcBorders>
          </w:tcPr>
          <w:p>
            <w:pPr>
              <w:pStyle w:val="yTable"/>
              <w:ind w:right="230"/>
              <w:jc w:val="center"/>
            </w:pPr>
            <w:r>
              <w:rPr>
                <w:b/>
                <w:bCs/>
              </w:rPr>
              <w:t>Fee</w:t>
            </w:r>
            <w:r>
              <w:rPr>
                <w:b/>
                <w:bCs/>
              </w:rPr>
              <w:br/>
              <w:t>$</w:t>
            </w:r>
          </w:p>
        </w:tc>
      </w:tr>
      <w:tr>
        <w:tc>
          <w:tcPr>
            <w:tcW w:w="5812" w:type="dxa"/>
            <w:tcBorders>
              <w:top w:val="single" w:sz="4" w:space="0" w:color="auto"/>
            </w:tcBorders>
          </w:tcPr>
          <w:p>
            <w:pPr>
              <w:pStyle w:val="yTable"/>
            </w:pPr>
            <w:r>
              <w:t>GENERAL</w:t>
            </w:r>
          </w:p>
        </w:tc>
        <w:tc>
          <w:tcPr>
            <w:tcW w:w="1276" w:type="dxa"/>
            <w:tcBorders>
              <w:top w:val="single" w:sz="4" w:space="0" w:color="auto"/>
            </w:tcBorders>
          </w:tcPr>
          <w:p>
            <w:pPr>
              <w:pStyle w:val="yTable"/>
              <w:ind w:right="230"/>
              <w:jc w:val="right"/>
            </w:pPr>
          </w:p>
        </w:tc>
      </w:tr>
      <w:tr>
        <w:tc>
          <w:tcPr>
            <w:tcW w:w="5812" w:type="dxa"/>
          </w:tcPr>
          <w:p>
            <w:pPr>
              <w:pStyle w:val="yTable"/>
            </w:pPr>
            <w:r>
              <w:t>Localised burns</w:t>
            </w:r>
          </w:p>
        </w:tc>
        <w:tc>
          <w:tcPr>
            <w:tcW w:w="1276" w:type="dxa"/>
          </w:tcPr>
          <w:p>
            <w:pPr>
              <w:pStyle w:val="yTable"/>
              <w:ind w:right="230"/>
              <w:jc w:val="right"/>
            </w:pPr>
            <w:r>
              <w:t>48.65</w:t>
            </w:r>
          </w:p>
        </w:tc>
      </w:tr>
      <w:tr>
        <w:tc>
          <w:tcPr>
            <w:tcW w:w="5812" w:type="dxa"/>
          </w:tcPr>
          <w:p>
            <w:pPr>
              <w:pStyle w:val="yTable"/>
            </w:pPr>
            <w:r>
              <w:t>Localised burns, including dressing of, under general anaesthetic</w:t>
            </w:r>
          </w:p>
        </w:tc>
        <w:tc>
          <w:tcPr>
            <w:tcW w:w="1276" w:type="dxa"/>
          </w:tcPr>
          <w:p>
            <w:pPr>
              <w:pStyle w:val="yTable"/>
              <w:ind w:right="230"/>
              <w:jc w:val="right"/>
            </w:pPr>
            <w:r>
              <w:br/>
              <w:t>138.50</w:t>
            </w:r>
          </w:p>
        </w:tc>
      </w:tr>
      <w:tr>
        <w:tc>
          <w:tcPr>
            <w:tcW w:w="5812" w:type="dxa"/>
          </w:tcPr>
          <w:p>
            <w:pPr>
              <w:pStyle w:val="yTable"/>
            </w:pPr>
            <w:r>
              <w:t>Extensive burns</w:t>
            </w:r>
          </w:p>
        </w:tc>
        <w:tc>
          <w:tcPr>
            <w:tcW w:w="1276" w:type="dxa"/>
          </w:tcPr>
          <w:p>
            <w:pPr>
              <w:pStyle w:val="yTable"/>
              <w:ind w:right="230"/>
              <w:jc w:val="right"/>
            </w:pPr>
            <w:r>
              <w:t>83.95</w:t>
            </w:r>
          </w:p>
        </w:tc>
      </w:tr>
      <w:tr>
        <w:tc>
          <w:tcPr>
            <w:tcW w:w="5812" w:type="dxa"/>
          </w:tcPr>
          <w:p>
            <w:pPr>
              <w:pStyle w:val="yTable"/>
            </w:pPr>
            <w:r>
              <w:t>Extensive burns, including dressing of, under general anaesthetic</w:t>
            </w:r>
          </w:p>
        </w:tc>
        <w:tc>
          <w:tcPr>
            <w:tcW w:w="1276" w:type="dxa"/>
          </w:tcPr>
          <w:p>
            <w:pPr>
              <w:pStyle w:val="yTable"/>
              <w:ind w:right="230"/>
              <w:jc w:val="right"/>
            </w:pPr>
            <w:r>
              <w:br/>
              <w:t>293.05</w:t>
            </w:r>
          </w:p>
        </w:tc>
      </w:tr>
      <w:tr>
        <w:tc>
          <w:tcPr>
            <w:tcW w:w="5812" w:type="dxa"/>
          </w:tcPr>
          <w:p>
            <w:pPr>
              <w:pStyle w:val="yTable"/>
            </w:pPr>
            <w:r>
              <w:t>Dressing of wounds, under general anaesthetic</w:t>
            </w:r>
          </w:p>
        </w:tc>
        <w:tc>
          <w:tcPr>
            <w:tcW w:w="1276" w:type="dxa"/>
          </w:tcPr>
          <w:p>
            <w:pPr>
              <w:pStyle w:val="yTable"/>
              <w:ind w:right="230"/>
              <w:jc w:val="right"/>
            </w:pPr>
            <w:r>
              <w:t>138.50</w:t>
            </w:r>
          </w:p>
        </w:tc>
      </w:tr>
      <w:tr>
        <w:tc>
          <w:tcPr>
            <w:tcW w:w="5812" w:type="dxa"/>
          </w:tcPr>
          <w:p>
            <w:pPr>
              <w:pStyle w:val="yTable"/>
            </w:pPr>
            <w:r>
              <w:t>Acupuncture, including consultation</w:t>
            </w:r>
          </w:p>
        </w:tc>
        <w:tc>
          <w:tcPr>
            <w:tcW w:w="1276" w:type="dxa"/>
          </w:tcPr>
          <w:p>
            <w:pPr>
              <w:pStyle w:val="yTable"/>
              <w:ind w:right="230"/>
              <w:jc w:val="right"/>
            </w:pPr>
            <w:r>
              <w:t>64.60</w:t>
            </w:r>
          </w:p>
        </w:tc>
      </w:tr>
      <w:tr>
        <w:tc>
          <w:tcPr>
            <w:tcW w:w="5812" w:type="dxa"/>
          </w:tcPr>
          <w:p>
            <w:pPr>
              <w:pStyle w:val="yTable"/>
            </w:pPr>
            <w:r>
              <w:t>DISLOCATIONS</w:t>
            </w:r>
          </w:p>
        </w:tc>
        <w:tc>
          <w:tcPr>
            <w:tcW w:w="1276" w:type="dxa"/>
          </w:tcPr>
          <w:p>
            <w:pPr>
              <w:pStyle w:val="yTable"/>
              <w:ind w:right="230"/>
              <w:jc w:val="right"/>
            </w:pPr>
          </w:p>
        </w:tc>
      </w:tr>
      <w:tr>
        <w:tc>
          <w:tcPr>
            <w:tcW w:w="5812" w:type="dxa"/>
          </w:tcPr>
          <w:p>
            <w:pPr>
              <w:pStyle w:val="yTable"/>
            </w:pPr>
            <w:r>
              <w:rPr>
                <w:sz w:val="18"/>
              </w:rPr>
              <w:tab/>
            </w:r>
            <w:r>
              <w:rPr>
                <w:rStyle w:val="CharDefText"/>
                <w:sz w:val="18"/>
              </w:rPr>
              <w:t>closed reduction</w:t>
            </w:r>
            <w:r>
              <w:rPr>
                <w:sz w:val="18"/>
              </w:rPr>
              <w:t xml:space="preserve"> means non</w:t>
            </w:r>
            <w:r>
              <w:rPr>
                <w:sz w:val="18"/>
              </w:rPr>
              <w:noBreakHyphen/>
              <w:t>operative reduction of the dislocation, and includes percutaneous fixation and/or external splintage by cast or splint.</w:t>
            </w:r>
          </w:p>
        </w:tc>
        <w:tc>
          <w:tcPr>
            <w:tcW w:w="1276" w:type="dxa"/>
          </w:tcPr>
          <w:p>
            <w:pPr>
              <w:pStyle w:val="yTable"/>
              <w:ind w:right="230"/>
              <w:jc w:val="right"/>
            </w:pPr>
          </w:p>
        </w:tc>
      </w:tr>
      <w:tr>
        <w:tc>
          <w:tcPr>
            <w:tcW w:w="5812" w:type="dxa"/>
          </w:tcPr>
          <w:p>
            <w:pPr>
              <w:pStyle w:val="yTable"/>
            </w:pPr>
            <w:r>
              <w:rPr>
                <w:sz w:val="18"/>
              </w:rPr>
              <w:tab/>
            </w:r>
            <w:r>
              <w:rPr>
                <w:b/>
                <w:i/>
                <w:sz w:val="18"/>
              </w:rPr>
              <w:t>open reduction</w:t>
            </w:r>
            <w:r>
              <w:rPr>
                <w:sz w:val="18"/>
              </w:rPr>
              <w:t xml:space="preserve"> means treatment by either closed reduction and intra</w:t>
            </w:r>
            <w:r>
              <w:rPr>
                <w:sz w:val="18"/>
              </w:rPr>
              <w:noBreakHyphen/>
              <w:t>medullary fixation or treatment by operative exposure of the dislocation including internal or external fixation.</w:t>
            </w:r>
          </w:p>
        </w:tc>
        <w:tc>
          <w:tcPr>
            <w:tcW w:w="1276" w:type="dxa"/>
          </w:tcPr>
          <w:p>
            <w:pPr>
              <w:pStyle w:val="yTable"/>
              <w:ind w:right="230"/>
              <w:jc w:val="right"/>
            </w:pPr>
          </w:p>
        </w:tc>
      </w:tr>
      <w:tr>
        <w:tc>
          <w:tcPr>
            <w:tcW w:w="5812" w:type="dxa"/>
          </w:tcPr>
          <w:p>
            <w:pPr>
              <w:pStyle w:val="yTable"/>
            </w:pPr>
            <w:r>
              <w:rPr>
                <w:sz w:val="18"/>
              </w:rPr>
              <w:tab/>
            </w:r>
            <w:r>
              <w:rPr>
                <w:rStyle w:val="CharDefText"/>
                <w:sz w:val="18"/>
              </w:rPr>
              <w:t>other</w:t>
            </w:r>
            <w:r>
              <w:rPr>
                <w:sz w:val="18"/>
              </w:rPr>
              <w:t xml:space="preserve"> means treatment by any other method and includes the use of external splintage.</w:t>
            </w:r>
          </w:p>
        </w:tc>
        <w:tc>
          <w:tcPr>
            <w:tcW w:w="1276" w:type="dxa"/>
          </w:tcPr>
          <w:p>
            <w:pPr>
              <w:pStyle w:val="yTable"/>
              <w:ind w:right="230"/>
              <w:jc w:val="right"/>
            </w:pPr>
          </w:p>
        </w:tc>
      </w:tr>
      <w:tr>
        <w:tc>
          <w:tcPr>
            <w:tcW w:w="5812" w:type="dxa"/>
          </w:tcPr>
          <w:p>
            <w:pPr>
              <w:pStyle w:val="yTable"/>
            </w:pPr>
            <w:r>
              <w:rPr>
                <w:b/>
                <w:bCs/>
                <w:sz w:val="18"/>
              </w:rPr>
              <w:t>[Where injuries are associated with a compound (open) wound, an additional fee of 50% of the fee listed is to apply.]</w:t>
            </w:r>
          </w:p>
        </w:tc>
        <w:tc>
          <w:tcPr>
            <w:tcW w:w="1276" w:type="dxa"/>
          </w:tcPr>
          <w:p>
            <w:pPr>
              <w:pStyle w:val="yTable"/>
              <w:ind w:right="230"/>
              <w:jc w:val="right"/>
            </w:pPr>
          </w:p>
        </w:tc>
      </w:tr>
      <w:tr>
        <w:tc>
          <w:tcPr>
            <w:tcW w:w="5812" w:type="dxa"/>
          </w:tcPr>
          <w:p>
            <w:pPr>
              <w:pStyle w:val="yTable"/>
            </w:pPr>
            <w:r>
              <w:t>Elbow, by closed reduction</w:t>
            </w:r>
          </w:p>
        </w:tc>
        <w:tc>
          <w:tcPr>
            <w:tcW w:w="1276" w:type="dxa"/>
          </w:tcPr>
          <w:p>
            <w:pPr>
              <w:pStyle w:val="yTable"/>
              <w:ind w:right="230"/>
              <w:jc w:val="right"/>
            </w:pPr>
            <w:r>
              <w:t>261.10</w:t>
            </w:r>
          </w:p>
        </w:tc>
      </w:tr>
      <w:tr>
        <w:tc>
          <w:tcPr>
            <w:tcW w:w="5812" w:type="dxa"/>
          </w:tcPr>
          <w:p>
            <w:pPr>
              <w:pStyle w:val="yTable"/>
            </w:pPr>
            <w:r>
              <w:t>Elbow, by open reduction</w:t>
            </w:r>
          </w:p>
        </w:tc>
        <w:tc>
          <w:tcPr>
            <w:tcW w:w="1276" w:type="dxa"/>
          </w:tcPr>
          <w:p>
            <w:pPr>
              <w:pStyle w:val="yTable"/>
              <w:ind w:right="230"/>
              <w:jc w:val="right"/>
            </w:pPr>
            <w:r>
              <w:t>346.25</w:t>
            </w:r>
          </w:p>
        </w:tc>
      </w:tr>
      <w:tr>
        <w:tc>
          <w:tcPr>
            <w:tcW w:w="5812" w:type="dxa"/>
          </w:tcPr>
          <w:p>
            <w:pPr>
              <w:pStyle w:val="yTable"/>
            </w:pPr>
            <w:r>
              <w:t>Interphalangeal joint, by closed reduction</w:t>
            </w:r>
          </w:p>
        </w:tc>
        <w:tc>
          <w:tcPr>
            <w:tcW w:w="1276" w:type="dxa"/>
          </w:tcPr>
          <w:p>
            <w:pPr>
              <w:pStyle w:val="yTable"/>
              <w:ind w:right="230"/>
              <w:jc w:val="right"/>
            </w:pPr>
            <w:r>
              <w:t>111.95</w:t>
            </w:r>
          </w:p>
        </w:tc>
      </w:tr>
      <w:tr>
        <w:tc>
          <w:tcPr>
            <w:tcW w:w="5812" w:type="dxa"/>
          </w:tcPr>
          <w:p>
            <w:pPr>
              <w:pStyle w:val="yTable"/>
            </w:pPr>
            <w:r>
              <w:t>Interphalangeal joint, by open reduction</w:t>
            </w:r>
          </w:p>
        </w:tc>
        <w:tc>
          <w:tcPr>
            <w:tcW w:w="1276" w:type="dxa"/>
          </w:tcPr>
          <w:p>
            <w:pPr>
              <w:pStyle w:val="yTable"/>
              <w:ind w:right="230"/>
              <w:jc w:val="right"/>
            </w:pPr>
            <w:r>
              <w:t>149.25</w:t>
            </w:r>
          </w:p>
        </w:tc>
      </w:tr>
      <w:tr>
        <w:tc>
          <w:tcPr>
            <w:tcW w:w="5812" w:type="dxa"/>
          </w:tcPr>
          <w:p>
            <w:pPr>
              <w:pStyle w:val="yTable"/>
            </w:pPr>
            <w:r>
              <w:t>Mandible, by closed reduction</w:t>
            </w:r>
          </w:p>
        </w:tc>
        <w:tc>
          <w:tcPr>
            <w:tcW w:w="1276" w:type="dxa"/>
          </w:tcPr>
          <w:p>
            <w:pPr>
              <w:pStyle w:val="yTable"/>
              <w:ind w:right="230"/>
              <w:jc w:val="right"/>
            </w:pPr>
            <w:r>
              <w:t>93.30</w:t>
            </w:r>
          </w:p>
        </w:tc>
      </w:tr>
      <w:tr>
        <w:tc>
          <w:tcPr>
            <w:tcW w:w="5812" w:type="dxa"/>
          </w:tcPr>
          <w:p>
            <w:pPr>
              <w:pStyle w:val="yTable"/>
            </w:pPr>
            <w:r>
              <w:t>Clavicle, by closed reduction</w:t>
            </w:r>
          </w:p>
        </w:tc>
        <w:tc>
          <w:tcPr>
            <w:tcW w:w="1276" w:type="dxa"/>
          </w:tcPr>
          <w:p>
            <w:pPr>
              <w:pStyle w:val="yTable"/>
              <w:ind w:right="230"/>
              <w:jc w:val="right"/>
            </w:pPr>
            <w:r>
              <w:t>110.65</w:t>
            </w:r>
          </w:p>
        </w:tc>
      </w:tr>
      <w:tr>
        <w:tc>
          <w:tcPr>
            <w:tcW w:w="5812" w:type="dxa"/>
          </w:tcPr>
          <w:p>
            <w:pPr>
              <w:pStyle w:val="yTable"/>
            </w:pPr>
            <w:r>
              <w:t>Clavicle, by open reduction</w:t>
            </w:r>
          </w:p>
        </w:tc>
        <w:tc>
          <w:tcPr>
            <w:tcW w:w="1276" w:type="dxa"/>
          </w:tcPr>
          <w:p>
            <w:pPr>
              <w:pStyle w:val="yTable"/>
              <w:ind w:right="230"/>
              <w:jc w:val="right"/>
            </w:pPr>
            <w:r>
              <w:t>223.80</w:t>
            </w:r>
          </w:p>
        </w:tc>
      </w:tr>
      <w:tr>
        <w:tc>
          <w:tcPr>
            <w:tcW w:w="5812" w:type="dxa"/>
          </w:tcPr>
          <w:p>
            <w:pPr>
              <w:pStyle w:val="yTable"/>
            </w:pPr>
            <w:r>
              <w:t>Shoulder, not requiring general anaesthetic</w:t>
            </w:r>
          </w:p>
        </w:tc>
        <w:tc>
          <w:tcPr>
            <w:tcW w:w="1276" w:type="dxa"/>
          </w:tcPr>
          <w:p>
            <w:pPr>
              <w:pStyle w:val="yTable"/>
              <w:ind w:right="230"/>
              <w:jc w:val="right"/>
            </w:pPr>
            <w:r>
              <w:t>124.50</w:t>
            </w:r>
          </w:p>
        </w:tc>
      </w:tr>
      <w:tr>
        <w:tc>
          <w:tcPr>
            <w:tcW w:w="5812" w:type="dxa"/>
          </w:tcPr>
          <w:p>
            <w:pPr>
              <w:pStyle w:val="yTable"/>
            </w:pPr>
            <w:r>
              <w:t>Shoulder, by open reduction, with general anaesthetic</w:t>
            </w:r>
          </w:p>
        </w:tc>
        <w:tc>
          <w:tcPr>
            <w:tcW w:w="1276" w:type="dxa"/>
          </w:tcPr>
          <w:p>
            <w:pPr>
              <w:pStyle w:val="yTable"/>
              <w:ind w:right="230"/>
              <w:jc w:val="right"/>
            </w:pPr>
            <w:r>
              <w:t>446.30</w:t>
            </w:r>
          </w:p>
        </w:tc>
      </w:tr>
      <w:tr>
        <w:tc>
          <w:tcPr>
            <w:tcW w:w="5812" w:type="dxa"/>
          </w:tcPr>
          <w:p>
            <w:pPr>
              <w:pStyle w:val="yTable"/>
            </w:pPr>
            <w:r>
              <w:t>Shoulder, other, with general anaesthetic</w:t>
            </w:r>
          </w:p>
        </w:tc>
        <w:tc>
          <w:tcPr>
            <w:tcW w:w="1276" w:type="dxa"/>
          </w:tcPr>
          <w:p>
            <w:pPr>
              <w:pStyle w:val="yTable"/>
              <w:ind w:right="230"/>
              <w:jc w:val="right"/>
            </w:pPr>
            <w:r>
              <w:t>221.10</w:t>
            </w:r>
          </w:p>
        </w:tc>
      </w:tr>
      <w:tr>
        <w:tc>
          <w:tcPr>
            <w:tcW w:w="5812" w:type="dxa"/>
          </w:tcPr>
          <w:p>
            <w:pPr>
              <w:pStyle w:val="yTable"/>
            </w:pPr>
            <w:r>
              <w:t>Metacarpophalangeal joint, by closed reduction</w:t>
            </w:r>
          </w:p>
        </w:tc>
        <w:tc>
          <w:tcPr>
            <w:tcW w:w="1276" w:type="dxa"/>
          </w:tcPr>
          <w:p>
            <w:pPr>
              <w:pStyle w:val="yTable"/>
              <w:ind w:right="230"/>
              <w:jc w:val="right"/>
            </w:pPr>
            <w:r>
              <w:t>149.25</w:t>
            </w:r>
          </w:p>
        </w:tc>
      </w:tr>
      <w:tr>
        <w:tc>
          <w:tcPr>
            <w:tcW w:w="5812" w:type="dxa"/>
          </w:tcPr>
          <w:p>
            <w:pPr>
              <w:pStyle w:val="yTable"/>
            </w:pPr>
            <w:r>
              <w:t>Metacarpophalangeal joint, by open reduction</w:t>
            </w:r>
          </w:p>
        </w:tc>
        <w:tc>
          <w:tcPr>
            <w:tcW w:w="1276" w:type="dxa"/>
          </w:tcPr>
          <w:p>
            <w:pPr>
              <w:pStyle w:val="yTable"/>
              <w:ind w:right="230"/>
              <w:jc w:val="right"/>
            </w:pPr>
            <w:r>
              <w:t>199.85</w:t>
            </w:r>
          </w:p>
        </w:tc>
      </w:tr>
      <w:tr>
        <w:tc>
          <w:tcPr>
            <w:tcW w:w="5812" w:type="dxa"/>
          </w:tcPr>
          <w:p>
            <w:pPr>
              <w:pStyle w:val="yTable"/>
            </w:pPr>
            <w:r>
              <w:t>Patella, by closed reduction</w:t>
            </w:r>
          </w:p>
        </w:tc>
        <w:tc>
          <w:tcPr>
            <w:tcW w:w="1276" w:type="dxa"/>
          </w:tcPr>
          <w:p>
            <w:pPr>
              <w:pStyle w:val="yTable"/>
              <w:ind w:right="230"/>
              <w:jc w:val="right"/>
            </w:pPr>
            <w:r>
              <w:t>167.80</w:t>
            </w:r>
          </w:p>
        </w:tc>
      </w:tr>
      <w:tr>
        <w:tc>
          <w:tcPr>
            <w:tcW w:w="5812" w:type="dxa"/>
          </w:tcPr>
          <w:p>
            <w:pPr>
              <w:pStyle w:val="yTable"/>
            </w:pPr>
            <w:r>
              <w:t>Patella, by open reduction</w:t>
            </w:r>
          </w:p>
        </w:tc>
        <w:tc>
          <w:tcPr>
            <w:tcW w:w="1276" w:type="dxa"/>
          </w:tcPr>
          <w:p>
            <w:pPr>
              <w:pStyle w:val="yTable"/>
              <w:ind w:right="230"/>
              <w:jc w:val="right"/>
            </w:pPr>
            <w:r>
              <w:t>223.80</w:t>
            </w:r>
          </w:p>
        </w:tc>
      </w:tr>
      <w:tr>
        <w:tc>
          <w:tcPr>
            <w:tcW w:w="5812" w:type="dxa"/>
          </w:tcPr>
          <w:p>
            <w:pPr>
              <w:pStyle w:val="yTable"/>
            </w:pPr>
            <w:r>
              <w:t>Radioulnar joint, by closed reduction</w:t>
            </w:r>
          </w:p>
        </w:tc>
        <w:tc>
          <w:tcPr>
            <w:tcW w:w="1276" w:type="dxa"/>
          </w:tcPr>
          <w:p>
            <w:pPr>
              <w:pStyle w:val="yTable"/>
              <w:ind w:right="230"/>
              <w:jc w:val="right"/>
            </w:pPr>
            <w:r>
              <w:t>261.10</w:t>
            </w:r>
          </w:p>
        </w:tc>
      </w:tr>
      <w:tr>
        <w:tc>
          <w:tcPr>
            <w:tcW w:w="5812" w:type="dxa"/>
          </w:tcPr>
          <w:p>
            <w:pPr>
              <w:pStyle w:val="yTable"/>
            </w:pPr>
            <w:r>
              <w:t>Radioulnar joint, by open reduction</w:t>
            </w:r>
          </w:p>
        </w:tc>
        <w:tc>
          <w:tcPr>
            <w:tcW w:w="1276" w:type="dxa"/>
          </w:tcPr>
          <w:p>
            <w:pPr>
              <w:pStyle w:val="yTable"/>
              <w:ind w:right="230"/>
              <w:jc w:val="right"/>
            </w:pPr>
            <w:r>
              <w:t>346.25</w:t>
            </w:r>
          </w:p>
        </w:tc>
      </w:tr>
      <w:tr>
        <w:tc>
          <w:tcPr>
            <w:tcW w:w="5812" w:type="dxa"/>
          </w:tcPr>
          <w:p>
            <w:pPr>
              <w:pStyle w:val="yTable"/>
            </w:pPr>
            <w:r>
              <w:t>Toe, by closed reduction</w:t>
            </w:r>
          </w:p>
        </w:tc>
        <w:tc>
          <w:tcPr>
            <w:tcW w:w="1276" w:type="dxa"/>
          </w:tcPr>
          <w:p>
            <w:pPr>
              <w:pStyle w:val="yTable"/>
              <w:ind w:right="230"/>
              <w:jc w:val="right"/>
            </w:pPr>
            <w:r>
              <w:t>93.30</w:t>
            </w:r>
          </w:p>
        </w:tc>
      </w:tr>
      <w:tr>
        <w:tc>
          <w:tcPr>
            <w:tcW w:w="5812" w:type="dxa"/>
          </w:tcPr>
          <w:p>
            <w:pPr>
              <w:pStyle w:val="yTable"/>
            </w:pPr>
            <w:r>
              <w:t>Toe, by open reduction</w:t>
            </w:r>
          </w:p>
        </w:tc>
        <w:tc>
          <w:tcPr>
            <w:tcW w:w="1276" w:type="dxa"/>
          </w:tcPr>
          <w:p>
            <w:pPr>
              <w:pStyle w:val="yTable"/>
              <w:ind w:right="230"/>
              <w:jc w:val="right"/>
            </w:pPr>
            <w:r>
              <w:t>123.90</w:t>
            </w:r>
          </w:p>
        </w:tc>
      </w:tr>
      <w:tr>
        <w:tc>
          <w:tcPr>
            <w:tcW w:w="5812" w:type="dxa"/>
          </w:tcPr>
          <w:p>
            <w:pPr>
              <w:pStyle w:val="yTable"/>
            </w:pPr>
            <w:r>
              <w:t>REMOVAL OF FOREIGN BODIES — </w:t>
            </w:r>
          </w:p>
        </w:tc>
        <w:tc>
          <w:tcPr>
            <w:tcW w:w="1276" w:type="dxa"/>
          </w:tcPr>
          <w:p>
            <w:pPr>
              <w:pStyle w:val="yTable"/>
              <w:ind w:right="230"/>
              <w:jc w:val="right"/>
            </w:pPr>
          </w:p>
        </w:tc>
      </w:tr>
      <w:tr>
        <w:tc>
          <w:tcPr>
            <w:tcW w:w="5812" w:type="dxa"/>
          </w:tcPr>
          <w:p>
            <w:pPr>
              <w:pStyle w:val="yTable"/>
            </w:pPr>
            <w:r>
              <w:tab/>
              <w:t>superficial</w:t>
            </w:r>
          </w:p>
        </w:tc>
        <w:tc>
          <w:tcPr>
            <w:tcW w:w="1276" w:type="dxa"/>
          </w:tcPr>
          <w:p>
            <w:pPr>
              <w:pStyle w:val="yTable"/>
              <w:ind w:right="230"/>
              <w:jc w:val="right"/>
            </w:pPr>
            <w:r>
              <w:t>40.60</w:t>
            </w:r>
          </w:p>
        </w:tc>
      </w:tr>
      <w:tr>
        <w:tc>
          <w:tcPr>
            <w:tcW w:w="5812" w:type="dxa"/>
          </w:tcPr>
          <w:p>
            <w:pPr>
              <w:pStyle w:val="yTable"/>
            </w:pPr>
            <w:r>
              <w:tab/>
              <w:t>as independent procedure</w:t>
            </w:r>
          </w:p>
        </w:tc>
        <w:tc>
          <w:tcPr>
            <w:tcW w:w="1276" w:type="dxa"/>
          </w:tcPr>
          <w:p>
            <w:pPr>
              <w:pStyle w:val="yTable"/>
              <w:ind w:right="230"/>
              <w:jc w:val="right"/>
            </w:pPr>
            <w:r>
              <w:t>181.10</w:t>
            </w:r>
          </w:p>
        </w:tc>
      </w:tr>
      <w:tr>
        <w:tc>
          <w:tcPr>
            <w:tcW w:w="5812" w:type="dxa"/>
          </w:tcPr>
          <w:p>
            <w:pPr>
              <w:pStyle w:val="yTable"/>
            </w:pPr>
            <w:r>
              <w:tab/>
              <w:t>deep tissue or muscle</w:t>
            </w:r>
          </w:p>
        </w:tc>
        <w:tc>
          <w:tcPr>
            <w:tcW w:w="1276" w:type="dxa"/>
          </w:tcPr>
          <w:p>
            <w:pPr>
              <w:pStyle w:val="yTable"/>
              <w:ind w:right="230"/>
              <w:jc w:val="right"/>
            </w:pPr>
            <w:r>
              <w:t>506.25</w:t>
            </w:r>
          </w:p>
        </w:tc>
      </w:tr>
      <w:tr>
        <w:tc>
          <w:tcPr>
            <w:tcW w:w="5812" w:type="dxa"/>
          </w:tcPr>
          <w:p>
            <w:pPr>
              <w:pStyle w:val="yTable"/>
            </w:pPr>
            <w:r>
              <w:tab/>
              <w:t>ear, other than by syringing</w:t>
            </w:r>
          </w:p>
        </w:tc>
        <w:tc>
          <w:tcPr>
            <w:tcW w:w="1276" w:type="dxa"/>
          </w:tcPr>
          <w:p>
            <w:pPr>
              <w:pStyle w:val="yTable"/>
              <w:ind w:right="230"/>
              <w:jc w:val="right"/>
            </w:pPr>
            <w:r>
              <w:t>130.50</w:t>
            </w:r>
          </w:p>
        </w:tc>
      </w:tr>
      <w:tr>
        <w:tc>
          <w:tcPr>
            <w:tcW w:w="5812" w:type="dxa"/>
          </w:tcPr>
          <w:p>
            <w:pPr>
              <w:pStyle w:val="yTable"/>
            </w:pPr>
            <w:r>
              <w:tab/>
              <w:t>nose, other than by simple probing</w:t>
            </w:r>
          </w:p>
        </w:tc>
        <w:tc>
          <w:tcPr>
            <w:tcW w:w="1276" w:type="dxa"/>
          </w:tcPr>
          <w:p>
            <w:pPr>
              <w:pStyle w:val="yTable"/>
              <w:ind w:right="230"/>
              <w:jc w:val="right"/>
            </w:pPr>
            <w:r>
              <w:t>130.50</w:t>
            </w:r>
          </w:p>
        </w:tc>
      </w:tr>
      <w:tr>
        <w:tc>
          <w:tcPr>
            <w:tcW w:w="5812" w:type="dxa"/>
          </w:tcPr>
          <w:p>
            <w:pPr>
              <w:pStyle w:val="yTable"/>
            </w:pPr>
            <w:r>
              <w:tab/>
              <w:t>cornea or sclera, embedded</w:t>
            </w:r>
          </w:p>
        </w:tc>
        <w:tc>
          <w:tcPr>
            <w:tcW w:w="1276" w:type="dxa"/>
          </w:tcPr>
          <w:p>
            <w:pPr>
              <w:pStyle w:val="yTable"/>
              <w:ind w:right="230"/>
              <w:jc w:val="right"/>
            </w:pPr>
            <w:r>
              <w:t>133.20</w:t>
            </w:r>
          </w:p>
        </w:tc>
      </w:tr>
      <w:tr>
        <w:tc>
          <w:tcPr>
            <w:tcW w:w="5812" w:type="dxa"/>
          </w:tcPr>
          <w:p>
            <w:pPr>
              <w:pStyle w:val="yTable"/>
            </w:pPr>
            <w:r>
              <w:t>FRACTURES</w:t>
            </w:r>
          </w:p>
        </w:tc>
        <w:tc>
          <w:tcPr>
            <w:tcW w:w="1276" w:type="dxa"/>
          </w:tcPr>
          <w:p>
            <w:pPr>
              <w:pStyle w:val="yTable"/>
              <w:ind w:right="230"/>
              <w:jc w:val="right"/>
            </w:pPr>
          </w:p>
        </w:tc>
      </w:tr>
      <w:tr>
        <w:tc>
          <w:tcPr>
            <w:tcW w:w="5812" w:type="dxa"/>
          </w:tcPr>
          <w:p>
            <w:pPr>
              <w:pStyle w:val="yTable"/>
            </w:pPr>
            <w:r>
              <w:rPr>
                <w:sz w:val="18"/>
              </w:rPr>
              <w:tab/>
            </w:r>
            <w:r>
              <w:rPr>
                <w:b/>
                <w:i/>
                <w:sz w:val="18"/>
              </w:rPr>
              <w:t>closed reduction</w:t>
            </w:r>
            <w:r>
              <w:rPr>
                <w:sz w:val="18"/>
              </w:rPr>
              <w:t xml:space="preserve"> means non</w:t>
            </w:r>
            <w:r>
              <w:rPr>
                <w:sz w:val="18"/>
              </w:rPr>
              <w:noBreakHyphen/>
              <w:t>operative reduction of the fracture, and includes percutaneous fixation and/or external splintage by cast or splint.</w:t>
            </w:r>
          </w:p>
        </w:tc>
        <w:tc>
          <w:tcPr>
            <w:tcW w:w="1276" w:type="dxa"/>
          </w:tcPr>
          <w:p>
            <w:pPr>
              <w:pStyle w:val="yTable"/>
              <w:ind w:right="230"/>
              <w:jc w:val="right"/>
            </w:pPr>
          </w:p>
        </w:tc>
      </w:tr>
      <w:tr>
        <w:tc>
          <w:tcPr>
            <w:tcW w:w="5812" w:type="dxa"/>
          </w:tcPr>
          <w:p>
            <w:pPr>
              <w:pStyle w:val="yTable"/>
            </w:pPr>
            <w:r>
              <w:rPr>
                <w:sz w:val="18"/>
              </w:rPr>
              <w:tab/>
            </w:r>
            <w:r>
              <w:rPr>
                <w:b/>
                <w:i/>
                <w:sz w:val="18"/>
              </w:rPr>
              <w:t>open reduction</w:t>
            </w:r>
            <w:r>
              <w:rPr>
                <w:sz w:val="18"/>
              </w:rPr>
              <w:t xml:space="preserve"> means treatment by either closed reduction and intra</w:t>
            </w:r>
            <w:r>
              <w:rPr>
                <w:sz w:val="18"/>
              </w:rPr>
              <w:noBreakHyphen/>
              <w:t>medullary fixation or treatment by operative exposure of the fracture including internal or external fixation.</w:t>
            </w:r>
          </w:p>
        </w:tc>
        <w:tc>
          <w:tcPr>
            <w:tcW w:w="1276" w:type="dxa"/>
          </w:tcPr>
          <w:p>
            <w:pPr>
              <w:pStyle w:val="yTable"/>
              <w:ind w:right="230"/>
              <w:jc w:val="right"/>
            </w:pPr>
          </w:p>
        </w:tc>
      </w:tr>
      <w:tr>
        <w:tc>
          <w:tcPr>
            <w:tcW w:w="5812" w:type="dxa"/>
          </w:tcPr>
          <w:p>
            <w:pPr>
              <w:pStyle w:val="yTable"/>
            </w:pPr>
            <w:r>
              <w:rPr>
                <w:sz w:val="18"/>
              </w:rPr>
              <w:tab/>
            </w:r>
            <w:r>
              <w:rPr>
                <w:b/>
                <w:i/>
                <w:sz w:val="18"/>
              </w:rPr>
              <w:t>other</w:t>
            </w:r>
            <w:r>
              <w:rPr>
                <w:sz w:val="18"/>
              </w:rPr>
              <w:t xml:space="preserve"> means treatment by any other method and includes the use of external splintage.</w:t>
            </w:r>
          </w:p>
        </w:tc>
        <w:tc>
          <w:tcPr>
            <w:tcW w:w="1276" w:type="dxa"/>
          </w:tcPr>
          <w:p>
            <w:pPr>
              <w:pStyle w:val="yTable"/>
              <w:ind w:right="230"/>
              <w:jc w:val="right"/>
            </w:pPr>
          </w:p>
        </w:tc>
      </w:tr>
      <w:tr>
        <w:tc>
          <w:tcPr>
            <w:tcW w:w="5812" w:type="dxa"/>
          </w:tcPr>
          <w:p>
            <w:pPr>
              <w:pStyle w:val="yTable"/>
            </w:pPr>
            <w:r>
              <w:rPr>
                <w:b/>
                <w:bCs/>
                <w:sz w:val="18"/>
              </w:rPr>
              <w:t>[Where injuries are associated with a compound (open)</w:t>
            </w:r>
            <w:r>
              <w:rPr>
                <w:b/>
                <w:bCs/>
                <w:sz w:val="18"/>
              </w:rPr>
              <w:br/>
              <w:t xml:space="preserve"> wound, an additional fee of 50% of the fee listed is to apply.]</w:t>
            </w:r>
          </w:p>
        </w:tc>
        <w:tc>
          <w:tcPr>
            <w:tcW w:w="1276" w:type="dxa"/>
          </w:tcPr>
          <w:p>
            <w:pPr>
              <w:pStyle w:val="yTable"/>
              <w:ind w:right="230"/>
              <w:jc w:val="right"/>
            </w:pPr>
          </w:p>
        </w:tc>
      </w:tr>
      <w:tr>
        <w:tc>
          <w:tcPr>
            <w:tcW w:w="5812" w:type="dxa"/>
          </w:tcPr>
          <w:p>
            <w:pPr>
              <w:pStyle w:val="yTable"/>
            </w:pPr>
            <w:r>
              <w:t>Distal phalanx of finger or thumb</w:t>
            </w:r>
          </w:p>
        </w:tc>
        <w:tc>
          <w:tcPr>
            <w:tcW w:w="1276" w:type="dxa"/>
          </w:tcPr>
          <w:p>
            <w:pPr>
              <w:pStyle w:val="yTable"/>
              <w:ind w:right="230"/>
              <w:jc w:val="right"/>
            </w:pPr>
          </w:p>
        </w:tc>
      </w:tr>
      <w:tr>
        <w:tc>
          <w:tcPr>
            <w:tcW w:w="5812" w:type="dxa"/>
          </w:tcPr>
          <w:p>
            <w:pPr>
              <w:pStyle w:val="yTable"/>
            </w:pPr>
            <w:r>
              <w:tab/>
              <w:t>fracture, by closed reduction</w:t>
            </w:r>
          </w:p>
        </w:tc>
        <w:tc>
          <w:tcPr>
            <w:tcW w:w="1276" w:type="dxa"/>
          </w:tcPr>
          <w:p>
            <w:pPr>
              <w:pStyle w:val="yTable"/>
              <w:ind w:right="230"/>
              <w:jc w:val="right"/>
            </w:pPr>
            <w:r>
              <w:t>167.80</w:t>
            </w:r>
          </w:p>
        </w:tc>
      </w:tr>
      <w:tr>
        <w:tc>
          <w:tcPr>
            <w:tcW w:w="5812" w:type="dxa"/>
          </w:tcPr>
          <w:p>
            <w:pPr>
              <w:pStyle w:val="yTable"/>
            </w:pPr>
            <w:r>
              <w:tab/>
              <w:t>fracture, intra</w:t>
            </w:r>
            <w:r>
              <w:noBreakHyphen/>
              <w:t>articular, by closed reduction</w:t>
            </w:r>
          </w:p>
        </w:tc>
        <w:tc>
          <w:tcPr>
            <w:tcW w:w="1276" w:type="dxa"/>
          </w:tcPr>
          <w:p>
            <w:pPr>
              <w:pStyle w:val="yTable"/>
              <w:ind w:right="230"/>
              <w:jc w:val="right"/>
            </w:pPr>
            <w:r>
              <w:t>194.50</w:t>
            </w:r>
          </w:p>
        </w:tc>
      </w:tr>
      <w:tr>
        <w:tc>
          <w:tcPr>
            <w:tcW w:w="5812" w:type="dxa"/>
          </w:tcPr>
          <w:p>
            <w:pPr>
              <w:pStyle w:val="yTable"/>
            </w:pPr>
            <w:r>
              <w:tab/>
              <w:t>fracture, by open reduction</w:t>
            </w:r>
          </w:p>
        </w:tc>
        <w:tc>
          <w:tcPr>
            <w:tcW w:w="1276" w:type="dxa"/>
          </w:tcPr>
          <w:p>
            <w:pPr>
              <w:pStyle w:val="yTable"/>
              <w:ind w:right="230"/>
              <w:jc w:val="right"/>
            </w:pPr>
            <w:r>
              <w:t>223.80</w:t>
            </w:r>
          </w:p>
        </w:tc>
      </w:tr>
      <w:tr>
        <w:tc>
          <w:tcPr>
            <w:tcW w:w="5812" w:type="dxa"/>
          </w:tcPr>
          <w:p>
            <w:pPr>
              <w:pStyle w:val="yTable"/>
            </w:pPr>
            <w:r>
              <w:tab/>
              <w:t>fracture, intra</w:t>
            </w:r>
            <w:r>
              <w:noBreakHyphen/>
              <w:t>articular, by open reduction</w:t>
            </w:r>
          </w:p>
        </w:tc>
        <w:tc>
          <w:tcPr>
            <w:tcW w:w="1276" w:type="dxa"/>
          </w:tcPr>
          <w:p>
            <w:pPr>
              <w:pStyle w:val="yTable"/>
              <w:ind w:right="230"/>
              <w:jc w:val="right"/>
            </w:pPr>
            <w:r>
              <w:t>279.75</w:t>
            </w:r>
          </w:p>
        </w:tc>
      </w:tr>
      <w:tr>
        <w:tc>
          <w:tcPr>
            <w:tcW w:w="5812" w:type="dxa"/>
          </w:tcPr>
          <w:p>
            <w:pPr>
              <w:pStyle w:val="yTable"/>
            </w:pPr>
            <w:r>
              <w:t>Middle phalanx of finger</w:t>
            </w:r>
          </w:p>
        </w:tc>
        <w:tc>
          <w:tcPr>
            <w:tcW w:w="1276" w:type="dxa"/>
          </w:tcPr>
          <w:p>
            <w:pPr>
              <w:pStyle w:val="yTable"/>
              <w:ind w:right="230"/>
              <w:jc w:val="right"/>
            </w:pPr>
          </w:p>
        </w:tc>
      </w:tr>
      <w:tr>
        <w:tc>
          <w:tcPr>
            <w:tcW w:w="5812" w:type="dxa"/>
          </w:tcPr>
          <w:p>
            <w:pPr>
              <w:pStyle w:val="yTable"/>
            </w:pPr>
            <w:r>
              <w:tab/>
              <w:t>fracture, by closed reduction</w:t>
            </w:r>
          </w:p>
        </w:tc>
        <w:tc>
          <w:tcPr>
            <w:tcW w:w="1276" w:type="dxa"/>
          </w:tcPr>
          <w:p>
            <w:pPr>
              <w:pStyle w:val="yTable"/>
              <w:ind w:right="230"/>
              <w:jc w:val="right"/>
            </w:pPr>
            <w:r>
              <w:t>253.10</w:t>
            </w:r>
          </w:p>
        </w:tc>
      </w:tr>
      <w:tr>
        <w:tc>
          <w:tcPr>
            <w:tcW w:w="5812" w:type="dxa"/>
          </w:tcPr>
          <w:p>
            <w:pPr>
              <w:pStyle w:val="yTable"/>
            </w:pPr>
            <w:r>
              <w:tab/>
              <w:t>fracture, intra</w:t>
            </w:r>
            <w:r>
              <w:noBreakHyphen/>
              <w:t>articular, by closed reduction</w:t>
            </w:r>
          </w:p>
        </w:tc>
        <w:tc>
          <w:tcPr>
            <w:tcW w:w="1276" w:type="dxa"/>
          </w:tcPr>
          <w:p>
            <w:pPr>
              <w:pStyle w:val="yTable"/>
              <w:ind w:right="230"/>
              <w:jc w:val="right"/>
            </w:pPr>
            <w:r>
              <w:t>286.35</w:t>
            </w:r>
          </w:p>
        </w:tc>
      </w:tr>
      <w:tr>
        <w:tc>
          <w:tcPr>
            <w:tcW w:w="5812" w:type="dxa"/>
          </w:tcPr>
          <w:p>
            <w:pPr>
              <w:pStyle w:val="yTable"/>
            </w:pPr>
            <w:r>
              <w:tab/>
              <w:t>fracture, by open reduction</w:t>
            </w:r>
          </w:p>
        </w:tc>
        <w:tc>
          <w:tcPr>
            <w:tcW w:w="1276" w:type="dxa"/>
          </w:tcPr>
          <w:p>
            <w:pPr>
              <w:pStyle w:val="yTable"/>
              <w:ind w:right="230"/>
              <w:jc w:val="right"/>
            </w:pPr>
            <w:r>
              <w:t>333.00</w:t>
            </w:r>
          </w:p>
        </w:tc>
      </w:tr>
      <w:tr>
        <w:tc>
          <w:tcPr>
            <w:tcW w:w="5812" w:type="dxa"/>
          </w:tcPr>
          <w:p>
            <w:pPr>
              <w:pStyle w:val="yTable"/>
            </w:pPr>
            <w:r>
              <w:tab/>
              <w:t>fracture, intra</w:t>
            </w:r>
            <w:r>
              <w:noBreakHyphen/>
              <w:t>articular, by open reduction</w:t>
            </w:r>
          </w:p>
        </w:tc>
        <w:tc>
          <w:tcPr>
            <w:tcW w:w="1276" w:type="dxa"/>
          </w:tcPr>
          <w:p>
            <w:pPr>
              <w:pStyle w:val="yTable"/>
              <w:ind w:right="230"/>
              <w:jc w:val="right"/>
            </w:pPr>
            <w:r>
              <w:t>419.55</w:t>
            </w:r>
          </w:p>
        </w:tc>
      </w:tr>
      <w:tr>
        <w:tc>
          <w:tcPr>
            <w:tcW w:w="5812" w:type="dxa"/>
          </w:tcPr>
          <w:p>
            <w:pPr>
              <w:pStyle w:val="yTable"/>
            </w:pPr>
            <w:r>
              <w:t>Proximal phalanx of finger or thumb</w:t>
            </w:r>
          </w:p>
        </w:tc>
        <w:tc>
          <w:tcPr>
            <w:tcW w:w="1276" w:type="dxa"/>
          </w:tcPr>
          <w:p>
            <w:pPr>
              <w:pStyle w:val="yTable"/>
              <w:ind w:right="230"/>
              <w:jc w:val="right"/>
            </w:pPr>
          </w:p>
        </w:tc>
      </w:tr>
      <w:tr>
        <w:tc>
          <w:tcPr>
            <w:tcW w:w="5812" w:type="dxa"/>
          </w:tcPr>
          <w:p>
            <w:pPr>
              <w:pStyle w:val="yTable"/>
            </w:pPr>
            <w:r>
              <w:tab/>
              <w:t>fracture, by closed reduction</w:t>
            </w:r>
          </w:p>
        </w:tc>
        <w:tc>
          <w:tcPr>
            <w:tcW w:w="1276" w:type="dxa"/>
          </w:tcPr>
          <w:p>
            <w:pPr>
              <w:pStyle w:val="yTable"/>
              <w:ind w:right="230"/>
              <w:jc w:val="right"/>
            </w:pPr>
            <w:r>
              <w:t>333.00</w:t>
            </w:r>
          </w:p>
        </w:tc>
      </w:tr>
      <w:tr>
        <w:tc>
          <w:tcPr>
            <w:tcW w:w="5812" w:type="dxa"/>
          </w:tcPr>
          <w:p>
            <w:pPr>
              <w:pStyle w:val="yTable"/>
            </w:pPr>
            <w:r>
              <w:tab/>
              <w:t>fracture, intra</w:t>
            </w:r>
            <w:r>
              <w:noBreakHyphen/>
              <w:t>articular, by closed reduction</w:t>
            </w:r>
          </w:p>
        </w:tc>
        <w:tc>
          <w:tcPr>
            <w:tcW w:w="1276" w:type="dxa"/>
          </w:tcPr>
          <w:p>
            <w:pPr>
              <w:pStyle w:val="yTable"/>
              <w:ind w:right="230"/>
              <w:jc w:val="right"/>
            </w:pPr>
            <w:r>
              <w:t>392.85</w:t>
            </w:r>
          </w:p>
        </w:tc>
      </w:tr>
      <w:tr>
        <w:tc>
          <w:tcPr>
            <w:tcW w:w="5812" w:type="dxa"/>
          </w:tcPr>
          <w:p>
            <w:pPr>
              <w:pStyle w:val="yTable"/>
            </w:pPr>
            <w:r>
              <w:tab/>
              <w:t>fracture, by open reduction</w:t>
            </w:r>
          </w:p>
        </w:tc>
        <w:tc>
          <w:tcPr>
            <w:tcW w:w="1276" w:type="dxa"/>
          </w:tcPr>
          <w:p>
            <w:pPr>
              <w:pStyle w:val="yTable"/>
              <w:ind w:right="230"/>
              <w:jc w:val="right"/>
            </w:pPr>
            <w:r>
              <w:t>446.30</w:t>
            </w:r>
          </w:p>
        </w:tc>
      </w:tr>
      <w:tr>
        <w:tc>
          <w:tcPr>
            <w:tcW w:w="5812" w:type="dxa"/>
          </w:tcPr>
          <w:p>
            <w:pPr>
              <w:pStyle w:val="yTable"/>
            </w:pPr>
            <w:r>
              <w:tab/>
              <w:t>fracture, intra</w:t>
            </w:r>
            <w:r>
              <w:noBreakHyphen/>
              <w:t>articular, by open reduction</w:t>
            </w:r>
          </w:p>
        </w:tc>
        <w:tc>
          <w:tcPr>
            <w:tcW w:w="1276" w:type="dxa"/>
          </w:tcPr>
          <w:p>
            <w:pPr>
              <w:pStyle w:val="yTable"/>
              <w:ind w:right="230"/>
              <w:jc w:val="right"/>
            </w:pPr>
            <w:r>
              <w:t>559.45</w:t>
            </w:r>
          </w:p>
        </w:tc>
      </w:tr>
      <w:tr>
        <w:tc>
          <w:tcPr>
            <w:tcW w:w="5812" w:type="dxa"/>
          </w:tcPr>
          <w:p>
            <w:pPr>
              <w:pStyle w:val="yTable"/>
            </w:pPr>
            <w:r>
              <w:t>Metacarpal</w:t>
            </w:r>
          </w:p>
        </w:tc>
        <w:tc>
          <w:tcPr>
            <w:tcW w:w="1276" w:type="dxa"/>
          </w:tcPr>
          <w:p>
            <w:pPr>
              <w:pStyle w:val="yTable"/>
              <w:ind w:right="230"/>
              <w:jc w:val="right"/>
            </w:pPr>
          </w:p>
        </w:tc>
      </w:tr>
      <w:tr>
        <w:tc>
          <w:tcPr>
            <w:tcW w:w="5812" w:type="dxa"/>
          </w:tcPr>
          <w:p>
            <w:pPr>
              <w:pStyle w:val="yTable"/>
            </w:pPr>
            <w:r>
              <w:tab/>
              <w:t>fracture, by closed reduction</w:t>
            </w:r>
          </w:p>
        </w:tc>
        <w:tc>
          <w:tcPr>
            <w:tcW w:w="1276" w:type="dxa"/>
          </w:tcPr>
          <w:p>
            <w:pPr>
              <w:pStyle w:val="yTable"/>
              <w:ind w:right="230"/>
              <w:jc w:val="right"/>
            </w:pPr>
            <w:r>
              <w:t>333.00</w:t>
            </w:r>
          </w:p>
        </w:tc>
      </w:tr>
      <w:tr>
        <w:tc>
          <w:tcPr>
            <w:tcW w:w="5812" w:type="dxa"/>
          </w:tcPr>
          <w:p>
            <w:pPr>
              <w:pStyle w:val="yTable"/>
            </w:pPr>
            <w:r>
              <w:tab/>
              <w:t>fracture, intra</w:t>
            </w:r>
            <w:r>
              <w:noBreakHyphen/>
              <w:t>articular, by closed reduction</w:t>
            </w:r>
          </w:p>
        </w:tc>
        <w:tc>
          <w:tcPr>
            <w:tcW w:w="1276" w:type="dxa"/>
          </w:tcPr>
          <w:p>
            <w:pPr>
              <w:pStyle w:val="yTable"/>
              <w:ind w:right="230"/>
              <w:jc w:val="right"/>
            </w:pPr>
            <w:r>
              <w:t>392.85</w:t>
            </w:r>
          </w:p>
        </w:tc>
      </w:tr>
      <w:tr>
        <w:tc>
          <w:tcPr>
            <w:tcW w:w="5812" w:type="dxa"/>
          </w:tcPr>
          <w:p>
            <w:pPr>
              <w:pStyle w:val="yTable"/>
            </w:pPr>
            <w:r>
              <w:tab/>
              <w:t>fracture, by open reduction</w:t>
            </w:r>
          </w:p>
        </w:tc>
        <w:tc>
          <w:tcPr>
            <w:tcW w:w="1276" w:type="dxa"/>
          </w:tcPr>
          <w:p>
            <w:pPr>
              <w:pStyle w:val="yTable"/>
              <w:ind w:right="230"/>
              <w:jc w:val="right"/>
            </w:pPr>
            <w:r>
              <w:t>446.30</w:t>
            </w:r>
          </w:p>
        </w:tc>
      </w:tr>
      <w:tr>
        <w:tc>
          <w:tcPr>
            <w:tcW w:w="5812" w:type="dxa"/>
          </w:tcPr>
          <w:p>
            <w:pPr>
              <w:pStyle w:val="yTable"/>
            </w:pPr>
            <w:r>
              <w:tab/>
              <w:t>fracture, intra</w:t>
            </w:r>
            <w:r>
              <w:noBreakHyphen/>
              <w:t>articular, by open reduction</w:t>
            </w:r>
          </w:p>
        </w:tc>
        <w:tc>
          <w:tcPr>
            <w:tcW w:w="1276" w:type="dxa"/>
          </w:tcPr>
          <w:p>
            <w:pPr>
              <w:pStyle w:val="yTable"/>
              <w:ind w:right="230"/>
              <w:jc w:val="right"/>
            </w:pPr>
            <w:r>
              <w:t>559.45</w:t>
            </w:r>
          </w:p>
        </w:tc>
      </w:tr>
      <w:tr>
        <w:tc>
          <w:tcPr>
            <w:tcW w:w="5812" w:type="dxa"/>
          </w:tcPr>
          <w:p>
            <w:pPr>
              <w:pStyle w:val="yTable"/>
            </w:pPr>
            <w:r>
              <w:t>Carpal Scaphoid, by open reduction</w:t>
            </w:r>
          </w:p>
        </w:tc>
        <w:tc>
          <w:tcPr>
            <w:tcW w:w="1276" w:type="dxa"/>
          </w:tcPr>
          <w:p>
            <w:pPr>
              <w:pStyle w:val="yTable"/>
              <w:ind w:right="230"/>
              <w:jc w:val="right"/>
            </w:pPr>
            <w:r>
              <w:t>745.95</w:t>
            </w:r>
          </w:p>
        </w:tc>
      </w:tr>
      <w:tr>
        <w:tc>
          <w:tcPr>
            <w:tcW w:w="5812" w:type="dxa"/>
          </w:tcPr>
          <w:p>
            <w:pPr>
              <w:pStyle w:val="yTable"/>
            </w:pPr>
            <w:r>
              <w:t>Carpal Scaphoid, other</w:t>
            </w:r>
          </w:p>
        </w:tc>
        <w:tc>
          <w:tcPr>
            <w:tcW w:w="1276" w:type="dxa"/>
          </w:tcPr>
          <w:p>
            <w:pPr>
              <w:pStyle w:val="yTable"/>
              <w:ind w:right="230"/>
              <w:jc w:val="right"/>
            </w:pPr>
            <w:r>
              <w:t>333.00</w:t>
            </w:r>
          </w:p>
        </w:tc>
      </w:tr>
      <w:tr>
        <w:tc>
          <w:tcPr>
            <w:tcW w:w="5812" w:type="dxa"/>
          </w:tcPr>
          <w:p>
            <w:pPr>
              <w:pStyle w:val="yTable"/>
            </w:pPr>
            <w:r>
              <w:t>Carpus (excluding Scaphoid), by open reduction</w:t>
            </w:r>
          </w:p>
        </w:tc>
        <w:tc>
          <w:tcPr>
            <w:tcW w:w="1276" w:type="dxa"/>
          </w:tcPr>
          <w:p>
            <w:pPr>
              <w:pStyle w:val="yTable"/>
              <w:ind w:right="230"/>
              <w:jc w:val="right"/>
            </w:pPr>
            <w:r>
              <w:t>466.15</w:t>
            </w:r>
          </w:p>
        </w:tc>
      </w:tr>
      <w:tr>
        <w:tc>
          <w:tcPr>
            <w:tcW w:w="5812" w:type="dxa"/>
          </w:tcPr>
          <w:p>
            <w:pPr>
              <w:pStyle w:val="yTable"/>
            </w:pPr>
            <w:r>
              <w:t>Carpus (excluding Scaphoid), other</w:t>
            </w:r>
          </w:p>
        </w:tc>
        <w:tc>
          <w:tcPr>
            <w:tcW w:w="1276" w:type="dxa"/>
          </w:tcPr>
          <w:p>
            <w:pPr>
              <w:pStyle w:val="yTable"/>
              <w:ind w:right="230"/>
              <w:jc w:val="right"/>
            </w:pPr>
            <w:r>
              <w:t>186.45</w:t>
            </w:r>
          </w:p>
        </w:tc>
      </w:tr>
      <w:tr>
        <w:tc>
          <w:tcPr>
            <w:tcW w:w="5812" w:type="dxa"/>
          </w:tcPr>
          <w:p>
            <w:pPr>
              <w:pStyle w:val="yTable"/>
            </w:pPr>
            <w:r>
              <w:t>Radius</w:t>
            </w:r>
          </w:p>
        </w:tc>
        <w:tc>
          <w:tcPr>
            <w:tcW w:w="1276" w:type="dxa"/>
          </w:tcPr>
          <w:p>
            <w:pPr>
              <w:pStyle w:val="yTable"/>
              <w:ind w:right="230"/>
              <w:jc w:val="right"/>
            </w:pPr>
          </w:p>
        </w:tc>
      </w:tr>
      <w:tr>
        <w:tc>
          <w:tcPr>
            <w:tcW w:w="5812" w:type="dxa"/>
          </w:tcPr>
          <w:p>
            <w:pPr>
              <w:pStyle w:val="yTable"/>
            </w:pPr>
            <w:r>
              <w:tab/>
              <w:t>by closed management</w:t>
            </w:r>
          </w:p>
        </w:tc>
        <w:tc>
          <w:tcPr>
            <w:tcW w:w="1276" w:type="dxa"/>
          </w:tcPr>
          <w:p>
            <w:pPr>
              <w:pStyle w:val="yTable"/>
              <w:ind w:right="230"/>
              <w:jc w:val="right"/>
            </w:pPr>
            <w:r>
              <w:t>372.90</w:t>
            </w:r>
          </w:p>
        </w:tc>
      </w:tr>
      <w:tr>
        <w:tc>
          <w:tcPr>
            <w:tcW w:w="5812" w:type="dxa"/>
          </w:tcPr>
          <w:p>
            <w:pPr>
              <w:pStyle w:val="yTable"/>
            </w:pPr>
            <w:r>
              <w:tab/>
              <w:t>by open management</w:t>
            </w:r>
          </w:p>
        </w:tc>
        <w:tc>
          <w:tcPr>
            <w:tcW w:w="1276" w:type="dxa"/>
          </w:tcPr>
          <w:p>
            <w:pPr>
              <w:pStyle w:val="yTable"/>
              <w:ind w:right="230"/>
              <w:jc w:val="right"/>
            </w:pPr>
            <w:r>
              <w:t>745.95</w:t>
            </w:r>
          </w:p>
        </w:tc>
      </w:tr>
      <w:tr>
        <w:tc>
          <w:tcPr>
            <w:tcW w:w="5812" w:type="dxa"/>
          </w:tcPr>
          <w:p>
            <w:pPr>
              <w:pStyle w:val="yTable"/>
            </w:pPr>
            <w:r>
              <w:t>Radius or Ulnar, distal end, (Colies’, Smith’s or Barton’s)</w:t>
            </w:r>
          </w:p>
        </w:tc>
        <w:tc>
          <w:tcPr>
            <w:tcW w:w="1276" w:type="dxa"/>
          </w:tcPr>
          <w:p>
            <w:pPr>
              <w:pStyle w:val="yTable"/>
              <w:ind w:right="230"/>
              <w:jc w:val="right"/>
            </w:pPr>
          </w:p>
        </w:tc>
      </w:tr>
      <w:tr>
        <w:tc>
          <w:tcPr>
            <w:tcW w:w="5812" w:type="dxa"/>
          </w:tcPr>
          <w:p>
            <w:pPr>
              <w:pStyle w:val="yTable"/>
            </w:pPr>
            <w:r>
              <w:tab/>
              <w:t>by closed reduction</w:t>
            </w:r>
          </w:p>
        </w:tc>
        <w:tc>
          <w:tcPr>
            <w:tcW w:w="1276" w:type="dxa"/>
          </w:tcPr>
          <w:p>
            <w:pPr>
              <w:pStyle w:val="yTable"/>
              <w:ind w:right="230"/>
              <w:jc w:val="right"/>
            </w:pPr>
            <w:r>
              <w:t>559.45</w:t>
            </w:r>
          </w:p>
        </w:tc>
      </w:tr>
      <w:tr>
        <w:tc>
          <w:tcPr>
            <w:tcW w:w="5812" w:type="dxa"/>
          </w:tcPr>
          <w:p>
            <w:pPr>
              <w:pStyle w:val="yTable"/>
            </w:pPr>
            <w:r>
              <w:tab/>
              <w:t>by open reduction</w:t>
            </w:r>
          </w:p>
        </w:tc>
        <w:tc>
          <w:tcPr>
            <w:tcW w:w="1276" w:type="dxa"/>
          </w:tcPr>
          <w:p>
            <w:pPr>
              <w:pStyle w:val="yTable"/>
              <w:ind w:right="230"/>
              <w:jc w:val="right"/>
            </w:pPr>
            <w:r>
              <w:t>745.95</w:t>
            </w:r>
          </w:p>
        </w:tc>
      </w:tr>
      <w:tr>
        <w:tc>
          <w:tcPr>
            <w:tcW w:w="5812" w:type="dxa"/>
          </w:tcPr>
          <w:p>
            <w:pPr>
              <w:pStyle w:val="yTable"/>
            </w:pPr>
            <w:r>
              <w:t>Ribs (1 or more), each attendance</w:t>
            </w:r>
          </w:p>
        </w:tc>
        <w:tc>
          <w:tcPr>
            <w:tcW w:w="1276" w:type="dxa"/>
          </w:tcPr>
          <w:p>
            <w:pPr>
              <w:pStyle w:val="yTable"/>
              <w:ind w:right="230"/>
              <w:jc w:val="right"/>
            </w:pPr>
            <w:r>
              <w:t>85.35</w:t>
            </w:r>
          </w:p>
        </w:tc>
      </w:tr>
      <w:tr>
        <w:tc>
          <w:tcPr>
            <w:tcW w:w="5812" w:type="dxa"/>
          </w:tcPr>
          <w:p>
            <w:pPr>
              <w:pStyle w:val="yTable"/>
            </w:pPr>
            <w:r>
              <w:t>Tibia, plateau of, medial or lateral</w:t>
            </w:r>
          </w:p>
        </w:tc>
        <w:tc>
          <w:tcPr>
            <w:tcW w:w="1276" w:type="dxa"/>
          </w:tcPr>
          <w:p>
            <w:pPr>
              <w:pStyle w:val="yTable"/>
              <w:ind w:right="230"/>
              <w:jc w:val="right"/>
            </w:pPr>
          </w:p>
        </w:tc>
      </w:tr>
      <w:tr>
        <w:tc>
          <w:tcPr>
            <w:tcW w:w="5812" w:type="dxa"/>
          </w:tcPr>
          <w:p>
            <w:pPr>
              <w:pStyle w:val="yTable"/>
            </w:pPr>
            <w:r>
              <w:tab/>
              <w:t>by closed reduction</w:t>
            </w:r>
          </w:p>
        </w:tc>
        <w:tc>
          <w:tcPr>
            <w:tcW w:w="1276" w:type="dxa"/>
          </w:tcPr>
          <w:p>
            <w:pPr>
              <w:pStyle w:val="yTable"/>
              <w:ind w:right="230"/>
              <w:jc w:val="right"/>
            </w:pPr>
            <w:r>
              <w:t>672.70</w:t>
            </w:r>
          </w:p>
        </w:tc>
      </w:tr>
      <w:tr>
        <w:tc>
          <w:tcPr>
            <w:tcW w:w="5812" w:type="dxa"/>
          </w:tcPr>
          <w:p>
            <w:pPr>
              <w:pStyle w:val="yTable"/>
            </w:pPr>
            <w:r>
              <w:tab/>
              <w:t>by open reduction</w:t>
            </w:r>
          </w:p>
        </w:tc>
        <w:tc>
          <w:tcPr>
            <w:tcW w:w="1276" w:type="dxa"/>
          </w:tcPr>
          <w:p>
            <w:pPr>
              <w:pStyle w:val="yTable"/>
              <w:ind w:right="230"/>
              <w:jc w:val="right"/>
            </w:pPr>
            <w:r>
              <w:t>892.40</w:t>
            </w:r>
          </w:p>
        </w:tc>
      </w:tr>
      <w:tr>
        <w:tc>
          <w:tcPr>
            <w:tcW w:w="5812" w:type="dxa"/>
          </w:tcPr>
          <w:p>
            <w:pPr>
              <w:pStyle w:val="yTable"/>
            </w:pPr>
            <w:r>
              <w:t>Tibia, plateau of, medial and lateral</w:t>
            </w:r>
          </w:p>
        </w:tc>
        <w:tc>
          <w:tcPr>
            <w:tcW w:w="1276" w:type="dxa"/>
          </w:tcPr>
          <w:p>
            <w:pPr>
              <w:pStyle w:val="yTable"/>
              <w:ind w:right="230"/>
              <w:jc w:val="right"/>
            </w:pPr>
          </w:p>
        </w:tc>
      </w:tr>
      <w:tr>
        <w:tc>
          <w:tcPr>
            <w:tcW w:w="5812" w:type="dxa"/>
          </w:tcPr>
          <w:p>
            <w:pPr>
              <w:pStyle w:val="yTable"/>
            </w:pPr>
            <w:r>
              <w:tab/>
              <w:t>by closed reduction</w:t>
            </w:r>
          </w:p>
        </w:tc>
        <w:tc>
          <w:tcPr>
            <w:tcW w:w="1276" w:type="dxa"/>
          </w:tcPr>
          <w:p>
            <w:pPr>
              <w:pStyle w:val="yTable"/>
              <w:ind w:right="230"/>
              <w:jc w:val="right"/>
            </w:pPr>
            <w:r>
              <w:t>1 118.85</w:t>
            </w:r>
          </w:p>
        </w:tc>
      </w:tr>
      <w:tr>
        <w:tc>
          <w:tcPr>
            <w:tcW w:w="5812" w:type="dxa"/>
          </w:tcPr>
          <w:p>
            <w:pPr>
              <w:pStyle w:val="yTable"/>
            </w:pPr>
            <w:r>
              <w:tab/>
              <w:t>by open reduction</w:t>
            </w:r>
          </w:p>
        </w:tc>
        <w:tc>
          <w:tcPr>
            <w:tcW w:w="1276" w:type="dxa"/>
          </w:tcPr>
          <w:p>
            <w:pPr>
              <w:pStyle w:val="yTable"/>
              <w:ind w:right="230"/>
              <w:jc w:val="right"/>
            </w:pPr>
            <w:r>
              <w:t>1 498.45</w:t>
            </w:r>
          </w:p>
        </w:tc>
      </w:tr>
      <w:tr>
        <w:tc>
          <w:tcPr>
            <w:tcW w:w="5812" w:type="dxa"/>
          </w:tcPr>
          <w:p>
            <w:pPr>
              <w:pStyle w:val="yTable"/>
            </w:pPr>
            <w:r>
              <w:t>SUTURES</w:t>
            </w:r>
          </w:p>
        </w:tc>
        <w:tc>
          <w:tcPr>
            <w:tcW w:w="1276" w:type="dxa"/>
          </w:tcPr>
          <w:p>
            <w:pPr>
              <w:pStyle w:val="yTable"/>
              <w:ind w:right="230"/>
              <w:jc w:val="right"/>
            </w:pPr>
          </w:p>
        </w:tc>
      </w:tr>
      <w:tr>
        <w:tc>
          <w:tcPr>
            <w:tcW w:w="5812" w:type="dxa"/>
          </w:tcPr>
          <w:p>
            <w:pPr>
              <w:pStyle w:val="yTable"/>
            </w:pPr>
            <w:r>
              <w:t>Face or neck</w:t>
            </w:r>
          </w:p>
        </w:tc>
        <w:tc>
          <w:tcPr>
            <w:tcW w:w="1276" w:type="dxa"/>
          </w:tcPr>
          <w:p>
            <w:pPr>
              <w:pStyle w:val="yTable"/>
              <w:ind w:right="230"/>
              <w:jc w:val="right"/>
            </w:pPr>
          </w:p>
        </w:tc>
      </w:tr>
      <w:tr>
        <w:tc>
          <w:tcPr>
            <w:tcW w:w="5812" w:type="dxa"/>
          </w:tcPr>
          <w:p>
            <w:pPr>
              <w:pStyle w:val="yTable"/>
            </w:pPr>
            <w:r>
              <w:tab/>
              <w:t>less than 7 cm, superficial</w:t>
            </w:r>
          </w:p>
        </w:tc>
        <w:tc>
          <w:tcPr>
            <w:tcW w:w="1276" w:type="dxa"/>
          </w:tcPr>
          <w:p>
            <w:pPr>
              <w:pStyle w:val="yTable"/>
              <w:ind w:right="230"/>
              <w:jc w:val="right"/>
            </w:pPr>
            <w:r>
              <w:t>133.20</w:t>
            </w:r>
          </w:p>
        </w:tc>
      </w:tr>
      <w:tr>
        <w:tc>
          <w:tcPr>
            <w:tcW w:w="5812" w:type="dxa"/>
          </w:tcPr>
          <w:p>
            <w:pPr>
              <w:pStyle w:val="yTable"/>
            </w:pPr>
            <w:r>
              <w:tab/>
              <w:t>less than 7 cm, deep</w:t>
            </w:r>
          </w:p>
        </w:tc>
        <w:tc>
          <w:tcPr>
            <w:tcW w:w="1276" w:type="dxa"/>
          </w:tcPr>
          <w:p>
            <w:pPr>
              <w:pStyle w:val="yTable"/>
              <w:ind w:right="230"/>
              <w:jc w:val="right"/>
            </w:pPr>
            <w:r>
              <w:t>202.45</w:t>
            </w:r>
          </w:p>
        </w:tc>
      </w:tr>
      <w:tr>
        <w:tc>
          <w:tcPr>
            <w:tcW w:w="5812" w:type="dxa"/>
          </w:tcPr>
          <w:p>
            <w:pPr>
              <w:pStyle w:val="yTable"/>
            </w:pPr>
            <w:r>
              <w:tab/>
              <w:t>more than 7 cm, superficial</w:t>
            </w:r>
          </w:p>
        </w:tc>
        <w:tc>
          <w:tcPr>
            <w:tcW w:w="1276" w:type="dxa"/>
          </w:tcPr>
          <w:p>
            <w:pPr>
              <w:pStyle w:val="yTable"/>
              <w:ind w:right="230"/>
              <w:jc w:val="right"/>
            </w:pPr>
            <w:r>
              <w:t>202.45</w:t>
            </w:r>
          </w:p>
        </w:tc>
      </w:tr>
      <w:tr>
        <w:tc>
          <w:tcPr>
            <w:tcW w:w="5812" w:type="dxa"/>
          </w:tcPr>
          <w:p>
            <w:pPr>
              <w:pStyle w:val="yTable"/>
            </w:pPr>
            <w:r>
              <w:tab/>
              <w:t>more than 7 cm, deep</w:t>
            </w:r>
          </w:p>
        </w:tc>
        <w:tc>
          <w:tcPr>
            <w:tcW w:w="1276" w:type="dxa"/>
          </w:tcPr>
          <w:p>
            <w:pPr>
              <w:pStyle w:val="yTable"/>
              <w:ind w:right="230"/>
              <w:jc w:val="right"/>
            </w:pPr>
            <w:r>
              <w:t>346.25</w:t>
            </w:r>
          </w:p>
        </w:tc>
      </w:tr>
      <w:tr>
        <w:tc>
          <w:tcPr>
            <w:tcW w:w="5812" w:type="dxa"/>
          </w:tcPr>
          <w:p>
            <w:pPr>
              <w:pStyle w:val="yTable"/>
            </w:pPr>
            <w:r>
              <w:t>Except face or neck</w:t>
            </w:r>
          </w:p>
        </w:tc>
        <w:tc>
          <w:tcPr>
            <w:tcW w:w="1276" w:type="dxa"/>
          </w:tcPr>
          <w:p>
            <w:pPr>
              <w:pStyle w:val="yTable"/>
              <w:ind w:right="230"/>
              <w:jc w:val="right"/>
            </w:pPr>
          </w:p>
        </w:tc>
      </w:tr>
      <w:tr>
        <w:tc>
          <w:tcPr>
            <w:tcW w:w="5812" w:type="dxa"/>
          </w:tcPr>
          <w:p>
            <w:pPr>
              <w:pStyle w:val="yTable"/>
            </w:pPr>
            <w:r>
              <w:tab/>
              <w:t>less than 7 cm, superficial</w:t>
            </w:r>
          </w:p>
        </w:tc>
        <w:tc>
          <w:tcPr>
            <w:tcW w:w="1276" w:type="dxa"/>
          </w:tcPr>
          <w:p>
            <w:pPr>
              <w:pStyle w:val="yTable"/>
              <w:ind w:right="230"/>
              <w:jc w:val="right"/>
            </w:pPr>
            <w:r>
              <w:t>101.20</w:t>
            </w:r>
          </w:p>
        </w:tc>
      </w:tr>
      <w:tr>
        <w:tc>
          <w:tcPr>
            <w:tcW w:w="5812" w:type="dxa"/>
          </w:tcPr>
          <w:p>
            <w:pPr>
              <w:pStyle w:val="yTable"/>
            </w:pPr>
            <w:r>
              <w:tab/>
              <w:t>less than 7 cm, deep</w:t>
            </w:r>
          </w:p>
        </w:tc>
        <w:tc>
          <w:tcPr>
            <w:tcW w:w="1276" w:type="dxa"/>
          </w:tcPr>
          <w:p>
            <w:pPr>
              <w:pStyle w:val="yTable"/>
              <w:ind w:right="230"/>
              <w:jc w:val="right"/>
            </w:pPr>
            <w:r>
              <w:t>151.85</w:t>
            </w:r>
          </w:p>
        </w:tc>
      </w:tr>
      <w:tr>
        <w:tc>
          <w:tcPr>
            <w:tcW w:w="5812" w:type="dxa"/>
          </w:tcPr>
          <w:p>
            <w:pPr>
              <w:pStyle w:val="yTable"/>
            </w:pPr>
            <w:r>
              <w:tab/>
              <w:t>more than 7 cm, superficial</w:t>
            </w:r>
          </w:p>
        </w:tc>
        <w:tc>
          <w:tcPr>
            <w:tcW w:w="1276" w:type="dxa"/>
          </w:tcPr>
          <w:p>
            <w:pPr>
              <w:pStyle w:val="yTable"/>
              <w:ind w:right="230"/>
              <w:jc w:val="right"/>
            </w:pPr>
            <w:r>
              <w:t>151.85</w:t>
            </w:r>
          </w:p>
        </w:tc>
      </w:tr>
      <w:tr>
        <w:tc>
          <w:tcPr>
            <w:tcW w:w="5812" w:type="dxa"/>
          </w:tcPr>
          <w:p>
            <w:pPr>
              <w:pStyle w:val="yTable"/>
            </w:pPr>
            <w:r>
              <w:tab/>
              <w:t>more than 7 cm, deep</w:t>
            </w:r>
          </w:p>
        </w:tc>
        <w:tc>
          <w:tcPr>
            <w:tcW w:w="1276" w:type="dxa"/>
          </w:tcPr>
          <w:p>
            <w:pPr>
              <w:pStyle w:val="yTable"/>
              <w:ind w:right="230"/>
              <w:jc w:val="right"/>
            </w:pPr>
            <w:r>
              <w:t>333.00</w:t>
            </w:r>
          </w:p>
        </w:tc>
      </w:tr>
      <w:tr>
        <w:tc>
          <w:tcPr>
            <w:tcW w:w="5812" w:type="dxa"/>
          </w:tcPr>
          <w:p>
            <w:pPr>
              <w:pStyle w:val="yTable"/>
            </w:pPr>
            <w:r>
              <w:t>AMPUTATIONS</w:t>
            </w:r>
          </w:p>
        </w:tc>
        <w:tc>
          <w:tcPr>
            <w:tcW w:w="1276" w:type="dxa"/>
          </w:tcPr>
          <w:p>
            <w:pPr>
              <w:pStyle w:val="yTable"/>
              <w:ind w:right="230"/>
              <w:jc w:val="right"/>
            </w:pPr>
          </w:p>
        </w:tc>
      </w:tr>
      <w:tr>
        <w:tc>
          <w:tcPr>
            <w:tcW w:w="5812" w:type="dxa"/>
          </w:tcPr>
          <w:p>
            <w:pPr>
              <w:pStyle w:val="yTable"/>
            </w:pPr>
            <w:r>
              <w:t>Hand, midcarpal or transmetacarpal</w:t>
            </w:r>
          </w:p>
        </w:tc>
        <w:tc>
          <w:tcPr>
            <w:tcW w:w="1276" w:type="dxa"/>
          </w:tcPr>
          <w:p>
            <w:pPr>
              <w:pStyle w:val="yTable"/>
              <w:ind w:right="230"/>
              <w:jc w:val="right"/>
            </w:pPr>
            <w:r>
              <w:t>506.25</w:t>
            </w:r>
          </w:p>
        </w:tc>
      </w:tr>
      <w:tr>
        <w:tc>
          <w:tcPr>
            <w:tcW w:w="5812" w:type="dxa"/>
          </w:tcPr>
          <w:p>
            <w:pPr>
              <w:pStyle w:val="yTable"/>
            </w:pPr>
            <w:r>
              <w:t>Hand, forearm or through arm</w:t>
            </w:r>
          </w:p>
        </w:tc>
        <w:tc>
          <w:tcPr>
            <w:tcW w:w="1276" w:type="dxa"/>
          </w:tcPr>
          <w:p>
            <w:pPr>
              <w:pStyle w:val="yTable"/>
              <w:ind w:right="230"/>
              <w:jc w:val="right"/>
            </w:pPr>
            <w:r>
              <w:t>586.10</w:t>
            </w:r>
          </w:p>
        </w:tc>
      </w:tr>
      <w:tr>
        <w:tc>
          <w:tcPr>
            <w:tcW w:w="5812" w:type="dxa"/>
          </w:tcPr>
          <w:p>
            <w:pPr>
              <w:pStyle w:val="yTable"/>
            </w:pPr>
            <w:r>
              <w:t>At shoulder</w:t>
            </w:r>
          </w:p>
        </w:tc>
        <w:tc>
          <w:tcPr>
            <w:tcW w:w="1276" w:type="dxa"/>
          </w:tcPr>
          <w:p>
            <w:pPr>
              <w:pStyle w:val="yTable"/>
              <w:ind w:right="230"/>
              <w:jc w:val="right"/>
            </w:pPr>
            <w:r>
              <w:t>992.25</w:t>
            </w:r>
          </w:p>
        </w:tc>
      </w:tr>
      <w:tr>
        <w:tc>
          <w:tcPr>
            <w:tcW w:w="5812" w:type="dxa"/>
          </w:tcPr>
          <w:p>
            <w:pPr>
              <w:pStyle w:val="yTable"/>
            </w:pPr>
            <w:r>
              <w:t>Interscapulothoracic</w:t>
            </w:r>
          </w:p>
        </w:tc>
        <w:tc>
          <w:tcPr>
            <w:tcW w:w="1276" w:type="dxa"/>
          </w:tcPr>
          <w:p>
            <w:pPr>
              <w:pStyle w:val="yTable"/>
              <w:ind w:right="230"/>
              <w:jc w:val="right"/>
            </w:pPr>
            <w:r>
              <w:t>1 971.25</w:t>
            </w:r>
          </w:p>
        </w:tc>
      </w:tr>
      <w:tr>
        <w:tc>
          <w:tcPr>
            <w:tcW w:w="5812" w:type="dxa"/>
          </w:tcPr>
          <w:p>
            <w:pPr>
              <w:pStyle w:val="yTable"/>
            </w:pPr>
            <w:r>
              <w:t>One digit of foot</w:t>
            </w:r>
          </w:p>
        </w:tc>
        <w:tc>
          <w:tcPr>
            <w:tcW w:w="1276" w:type="dxa"/>
          </w:tcPr>
          <w:p>
            <w:pPr>
              <w:pStyle w:val="yTable"/>
              <w:ind w:right="230"/>
              <w:jc w:val="right"/>
            </w:pPr>
            <w:r>
              <w:t>266.30</w:t>
            </w:r>
          </w:p>
        </w:tc>
      </w:tr>
      <w:tr>
        <w:tc>
          <w:tcPr>
            <w:tcW w:w="5812" w:type="dxa"/>
          </w:tcPr>
          <w:p>
            <w:pPr>
              <w:pStyle w:val="yTable"/>
            </w:pPr>
            <w:r>
              <w:t>Two digits of one foot</w:t>
            </w:r>
          </w:p>
        </w:tc>
        <w:tc>
          <w:tcPr>
            <w:tcW w:w="1276" w:type="dxa"/>
          </w:tcPr>
          <w:p>
            <w:pPr>
              <w:pStyle w:val="yTable"/>
              <w:ind w:right="230"/>
              <w:jc w:val="right"/>
            </w:pPr>
            <w:r>
              <w:t>399.60</w:t>
            </w:r>
          </w:p>
        </w:tc>
      </w:tr>
      <w:tr>
        <w:tc>
          <w:tcPr>
            <w:tcW w:w="5812" w:type="dxa"/>
          </w:tcPr>
          <w:p>
            <w:pPr>
              <w:pStyle w:val="yTable"/>
            </w:pPr>
            <w:r>
              <w:t>Three digits of one foot</w:t>
            </w:r>
          </w:p>
        </w:tc>
        <w:tc>
          <w:tcPr>
            <w:tcW w:w="1276" w:type="dxa"/>
          </w:tcPr>
          <w:p>
            <w:pPr>
              <w:pStyle w:val="yTable"/>
              <w:ind w:right="230"/>
              <w:jc w:val="right"/>
            </w:pPr>
            <w:r>
              <w:t>539.45</w:t>
            </w:r>
          </w:p>
        </w:tc>
      </w:tr>
      <w:tr>
        <w:tc>
          <w:tcPr>
            <w:tcW w:w="5812" w:type="dxa"/>
          </w:tcPr>
          <w:p>
            <w:pPr>
              <w:pStyle w:val="yTable"/>
            </w:pPr>
            <w:r>
              <w:t>Four digits of one foot</w:t>
            </w:r>
          </w:p>
        </w:tc>
        <w:tc>
          <w:tcPr>
            <w:tcW w:w="1276" w:type="dxa"/>
          </w:tcPr>
          <w:p>
            <w:pPr>
              <w:pStyle w:val="yTable"/>
              <w:ind w:right="230"/>
              <w:jc w:val="right"/>
            </w:pPr>
            <w:r>
              <w:t>672.70</w:t>
            </w:r>
          </w:p>
        </w:tc>
      </w:tr>
      <w:tr>
        <w:tc>
          <w:tcPr>
            <w:tcW w:w="5812" w:type="dxa"/>
          </w:tcPr>
          <w:p>
            <w:pPr>
              <w:pStyle w:val="yTable"/>
            </w:pPr>
            <w:r>
              <w:t>Five digits of one foot</w:t>
            </w:r>
          </w:p>
        </w:tc>
        <w:tc>
          <w:tcPr>
            <w:tcW w:w="1276" w:type="dxa"/>
          </w:tcPr>
          <w:p>
            <w:pPr>
              <w:pStyle w:val="yTable"/>
              <w:ind w:right="230"/>
              <w:jc w:val="right"/>
            </w:pPr>
            <w:r>
              <w:t>805.85</w:t>
            </w:r>
          </w:p>
        </w:tc>
      </w:tr>
      <w:tr>
        <w:tc>
          <w:tcPr>
            <w:tcW w:w="5812" w:type="dxa"/>
          </w:tcPr>
          <w:p>
            <w:pPr>
              <w:pStyle w:val="yTable"/>
            </w:pPr>
            <w:r>
              <w:t>Toe including metatarsal or part of metatarsal — each toe</w:t>
            </w:r>
          </w:p>
        </w:tc>
        <w:tc>
          <w:tcPr>
            <w:tcW w:w="1276" w:type="dxa"/>
          </w:tcPr>
          <w:p>
            <w:pPr>
              <w:pStyle w:val="yTable"/>
              <w:ind w:right="230"/>
              <w:jc w:val="right"/>
            </w:pPr>
            <w:r>
              <w:t>314.45</w:t>
            </w:r>
          </w:p>
        </w:tc>
      </w:tr>
      <w:tr>
        <w:tc>
          <w:tcPr>
            <w:tcW w:w="5812" w:type="dxa"/>
          </w:tcPr>
          <w:p>
            <w:pPr>
              <w:pStyle w:val="yTable"/>
            </w:pPr>
            <w:r>
              <w:t>Foot, at ankle</w:t>
            </w:r>
          </w:p>
        </w:tc>
        <w:tc>
          <w:tcPr>
            <w:tcW w:w="1276" w:type="dxa"/>
          </w:tcPr>
          <w:p>
            <w:pPr>
              <w:pStyle w:val="yTable"/>
              <w:ind w:right="230"/>
              <w:jc w:val="right"/>
            </w:pPr>
            <w:r>
              <w:t>586.10</w:t>
            </w:r>
          </w:p>
        </w:tc>
      </w:tr>
      <w:tr>
        <w:tc>
          <w:tcPr>
            <w:tcW w:w="5812" w:type="dxa"/>
          </w:tcPr>
          <w:p>
            <w:pPr>
              <w:pStyle w:val="yTable"/>
            </w:pPr>
            <w:r>
              <w:t>Foot, midtarsal or transmetatarsal</w:t>
            </w:r>
          </w:p>
        </w:tc>
        <w:tc>
          <w:tcPr>
            <w:tcW w:w="1276" w:type="dxa"/>
          </w:tcPr>
          <w:p>
            <w:pPr>
              <w:pStyle w:val="yTable"/>
              <w:ind w:right="230"/>
              <w:jc w:val="right"/>
            </w:pPr>
            <w:r>
              <w:t>506.25</w:t>
            </w:r>
          </w:p>
        </w:tc>
      </w:tr>
      <w:tr>
        <w:tc>
          <w:tcPr>
            <w:tcW w:w="5812" w:type="dxa"/>
          </w:tcPr>
          <w:p>
            <w:pPr>
              <w:pStyle w:val="yTable"/>
            </w:pPr>
            <w:r>
              <w:t>Through thigh, at knee or below knee</w:t>
            </w:r>
          </w:p>
        </w:tc>
        <w:tc>
          <w:tcPr>
            <w:tcW w:w="1276" w:type="dxa"/>
          </w:tcPr>
          <w:p>
            <w:pPr>
              <w:pStyle w:val="yTable"/>
              <w:ind w:right="230"/>
              <w:jc w:val="right"/>
            </w:pPr>
            <w:r>
              <w:t>865.85</w:t>
            </w:r>
          </w:p>
        </w:tc>
      </w:tr>
      <w:tr>
        <w:tc>
          <w:tcPr>
            <w:tcW w:w="5812" w:type="dxa"/>
          </w:tcPr>
          <w:p>
            <w:pPr>
              <w:pStyle w:val="yTable"/>
            </w:pPr>
            <w:r>
              <w:t>At hip</w:t>
            </w:r>
          </w:p>
        </w:tc>
        <w:tc>
          <w:tcPr>
            <w:tcW w:w="1276" w:type="dxa"/>
          </w:tcPr>
          <w:p>
            <w:pPr>
              <w:pStyle w:val="yTable"/>
              <w:ind w:right="230"/>
              <w:jc w:val="right"/>
            </w:pPr>
            <w:r>
              <w:t>1 218.65</w:t>
            </w:r>
          </w:p>
        </w:tc>
      </w:tr>
      <w:tr>
        <w:tc>
          <w:tcPr>
            <w:tcW w:w="5812" w:type="dxa"/>
          </w:tcPr>
          <w:p>
            <w:pPr>
              <w:pStyle w:val="yTable"/>
            </w:pPr>
            <w:r>
              <w:t>ASSISTANCE AT OPERATIONS</w:t>
            </w:r>
          </w:p>
          <w:p>
            <w:pPr>
              <w:pStyle w:val="yTable"/>
            </w:pPr>
            <w:r>
              <w:t>The fee for assistance at any operation (or series or combination of operations) is to be related to the fee listed for the operation (or series or combination of operations) itself.</w:t>
            </w:r>
          </w:p>
        </w:tc>
        <w:tc>
          <w:tcPr>
            <w:tcW w:w="1276" w:type="dxa"/>
          </w:tcPr>
          <w:p>
            <w:pPr>
              <w:pStyle w:val="yTable"/>
              <w:ind w:right="230"/>
              <w:jc w:val="right"/>
            </w:pPr>
          </w:p>
        </w:tc>
      </w:tr>
      <w:tr>
        <w:tc>
          <w:tcPr>
            <w:tcW w:w="5812" w:type="dxa"/>
          </w:tcPr>
          <w:p>
            <w:pPr>
              <w:pStyle w:val="yTable"/>
            </w:pPr>
            <w:r>
              <w:rPr>
                <w:b/>
                <w:bCs/>
              </w:rPr>
              <w:t>The fee is 20% of the total fee or the minimum sum of $167.80, whichever is greater.</w:t>
            </w:r>
          </w:p>
        </w:tc>
        <w:tc>
          <w:tcPr>
            <w:tcW w:w="1276" w:type="dxa"/>
          </w:tcPr>
          <w:p>
            <w:pPr>
              <w:pStyle w:val="yTable"/>
              <w:ind w:right="230"/>
              <w:jc w:val="right"/>
            </w:pPr>
          </w:p>
        </w:tc>
      </w:tr>
    </w:tbl>
    <w:p>
      <w:pPr>
        <w:pStyle w:val="yMiscellaneousBody"/>
      </w:pPr>
    </w:p>
    <w:tbl>
      <w:tblPr>
        <w:tblW w:w="0" w:type="auto"/>
        <w:tblInd w:w="113" w:type="dxa"/>
        <w:tblLayout w:type="fixed"/>
        <w:tblCellMar>
          <w:left w:w="113" w:type="dxa"/>
          <w:right w:w="113" w:type="dxa"/>
        </w:tblCellMar>
        <w:tblLook w:val="0000" w:firstRow="0" w:lastRow="0" w:firstColumn="0" w:lastColumn="0" w:noHBand="0" w:noVBand="0"/>
      </w:tblPr>
      <w:tblGrid>
        <w:gridCol w:w="5812"/>
        <w:gridCol w:w="1276"/>
      </w:tblGrid>
      <w:tr>
        <w:tc>
          <w:tcPr>
            <w:tcW w:w="5812" w:type="dxa"/>
          </w:tcPr>
          <w:p>
            <w:pPr>
              <w:pStyle w:val="yTable"/>
            </w:pPr>
            <w:r>
              <w:t>USE OF PRIVATE THEATRES</w:t>
            </w:r>
          </w:p>
          <w:p>
            <w:pPr>
              <w:pStyle w:val="yTable"/>
            </w:pPr>
            <w:r>
              <w:t xml:space="preserve">A theatre fee of </w:t>
            </w:r>
            <w:r>
              <w:rPr>
                <w:b/>
                <w:bCs/>
              </w:rPr>
              <w:t>$101.20</w:t>
            </w:r>
            <w:r>
              <w:t xml:space="preserve"> will be paid to practitioners for the use of their private theatre, but this fee may only be charged if the patient would otherwise have been sent to hospital.</w:t>
            </w:r>
          </w:p>
        </w:tc>
        <w:tc>
          <w:tcPr>
            <w:tcW w:w="1276" w:type="dxa"/>
          </w:tcPr>
          <w:p>
            <w:pPr>
              <w:pStyle w:val="yTable"/>
              <w:jc w:val="right"/>
            </w:pPr>
          </w:p>
        </w:tc>
      </w:tr>
    </w:tbl>
    <w:p>
      <w:pPr>
        <w:pStyle w:val="yFootnotesection"/>
      </w:pPr>
      <w:r>
        <w:tab/>
        <w:t>[Part 2 inserted in Gazette 17 Dec 2008 p. 5296</w:t>
      </w:r>
      <w:r>
        <w:noBreakHyphen/>
        <w:t>300.]</w:t>
      </w:r>
    </w:p>
    <w:p>
      <w:pPr>
        <w:pStyle w:val="yHeading3"/>
      </w:pPr>
      <w:bookmarkStart w:id="159" w:name="_Toc217355366"/>
      <w:bookmarkStart w:id="160" w:name="_Toc217355396"/>
      <w:r>
        <w:rPr>
          <w:rStyle w:val="CharSDivNo"/>
        </w:rPr>
        <w:t>Part 3</w:t>
      </w:r>
      <w:r>
        <w:t> — </w:t>
      </w:r>
      <w:r>
        <w:rPr>
          <w:rStyle w:val="CharSDivText"/>
        </w:rPr>
        <w:t>Diagnostic Imaging Services</w:t>
      </w:r>
      <w:bookmarkEnd w:id="159"/>
      <w:bookmarkEnd w:id="160"/>
    </w:p>
    <w:p>
      <w:pPr>
        <w:pStyle w:val="yFootnoteheading"/>
      </w:pPr>
      <w:r>
        <w:tab/>
        <w:t>[Heading inserted in Gazette 17 Dec 2008 p. 5301]</w:t>
      </w:r>
    </w:p>
    <w:p>
      <w:pPr>
        <w:pStyle w:val="yMiscellaneousBody"/>
      </w:pPr>
      <w:r>
        <w:t>ULTRASOUND</w:t>
      </w:r>
    </w:p>
    <w:tbl>
      <w:tblPr>
        <w:tblW w:w="0" w:type="auto"/>
        <w:tblInd w:w="113" w:type="dxa"/>
        <w:tblLayout w:type="fixed"/>
        <w:tblCellMar>
          <w:left w:w="113" w:type="dxa"/>
          <w:right w:w="113" w:type="dxa"/>
        </w:tblCellMar>
        <w:tblLook w:val="0000" w:firstRow="0" w:lastRow="0" w:firstColumn="0" w:lastColumn="0" w:noHBand="0" w:noVBand="0"/>
      </w:tblPr>
      <w:tblGrid>
        <w:gridCol w:w="5245"/>
        <w:gridCol w:w="1418"/>
      </w:tblGrid>
      <w:tr>
        <w:trPr>
          <w:tblHeader/>
        </w:trPr>
        <w:tc>
          <w:tcPr>
            <w:tcW w:w="5245" w:type="dxa"/>
            <w:tcBorders>
              <w:top w:val="single" w:sz="4" w:space="0" w:color="auto"/>
              <w:bottom w:val="single" w:sz="4" w:space="0" w:color="auto"/>
            </w:tcBorders>
          </w:tcPr>
          <w:p>
            <w:pPr>
              <w:pStyle w:val="zyMiscellaneousBody"/>
              <w:keepNext/>
              <w:spacing w:before="60"/>
              <w:ind w:left="28" w:right="-6"/>
              <w:rPr>
                <w:i/>
              </w:rPr>
            </w:pPr>
            <w:r>
              <w:rPr>
                <w:b/>
                <w:bCs/>
              </w:rPr>
              <w:t>MBS item number</w:t>
            </w:r>
            <w:r>
              <w:rPr>
                <w:b/>
                <w:bCs/>
              </w:rPr>
              <w:br/>
            </w:r>
            <w:r>
              <w:rPr>
                <w:i/>
              </w:rPr>
              <w:t>(1 November 2007)</w:t>
            </w:r>
          </w:p>
        </w:tc>
        <w:tc>
          <w:tcPr>
            <w:tcW w:w="1418" w:type="dxa"/>
            <w:tcBorders>
              <w:top w:val="single" w:sz="4" w:space="0" w:color="auto"/>
              <w:bottom w:val="single" w:sz="4" w:space="0" w:color="auto"/>
            </w:tcBorders>
          </w:tcPr>
          <w:p>
            <w:pPr>
              <w:pStyle w:val="yTable"/>
              <w:ind w:right="382"/>
              <w:jc w:val="center"/>
            </w:pPr>
            <w:r>
              <w:rPr>
                <w:b/>
                <w:bCs/>
              </w:rPr>
              <w:t>Fee</w:t>
            </w:r>
            <w:r>
              <w:rPr>
                <w:b/>
                <w:bCs/>
              </w:rPr>
              <w:br/>
              <w:t>$</w:t>
            </w:r>
          </w:p>
        </w:tc>
      </w:tr>
      <w:tr>
        <w:tblPrEx>
          <w:tblCellMar>
            <w:left w:w="108" w:type="dxa"/>
            <w:right w:w="108" w:type="dxa"/>
          </w:tblCellMar>
        </w:tblPrEx>
        <w:tc>
          <w:tcPr>
            <w:tcW w:w="5245" w:type="dxa"/>
          </w:tcPr>
          <w:p>
            <w:pPr>
              <w:pStyle w:val="yTable"/>
            </w:pPr>
            <w:r>
              <w:t>55028</w:t>
            </w:r>
          </w:p>
        </w:tc>
        <w:tc>
          <w:tcPr>
            <w:tcW w:w="1418" w:type="dxa"/>
            <w:vAlign w:val="center"/>
          </w:tcPr>
          <w:p>
            <w:pPr>
              <w:pStyle w:val="yTable"/>
              <w:ind w:right="382"/>
              <w:jc w:val="right"/>
            </w:pPr>
            <w:r>
              <w:t>163.15</w:t>
            </w:r>
          </w:p>
        </w:tc>
      </w:tr>
      <w:tr>
        <w:tblPrEx>
          <w:tblCellMar>
            <w:left w:w="108" w:type="dxa"/>
            <w:right w:w="108" w:type="dxa"/>
          </w:tblCellMar>
        </w:tblPrEx>
        <w:tc>
          <w:tcPr>
            <w:tcW w:w="5245" w:type="dxa"/>
          </w:tcPr>
          <w:p>
            <w:pPr>
              <w:pStyle w:val="yTable"/>
            </w:pPr>
            <w:r>
              <w:t>55029</w:t>
            </w:r>
          </w:p>
        </w:tc>
        <w:tc>
          <w:tcPr>
            <w:tcW w:w="1418" w:type="dxa"/>
            <w:vAlign w:val="center"/>
          </w:tcPr>
          <w:p>
            <w:pPr>
              <w:pStyle w:val="yTable"/>
              <w:ind w:right="382"/>
              <w:jc w:val="right"/>
            </w:pPr>
            <w:r>
              <w:t>56.60</w:t>
            </w:r>
          </w:p>
        </w:tc>
      </w:tr>
      <w:tr>
        <w:tblPrEx>
          <w:tblCellMar>
            <w:left w:w="108" w:type="dxa"/>
            <w:right w:w="108" w:type="dxa"/>
          </w:tblCellMar>
        </w:tblPrEx>
        <w:tc>
          <w:tcPr>
            <w:tcW w:w="5245" w:type="dxa"/>
          </w:tcPr>
          <w:p>
            <w:pPr>
              <w:pStyle w:val="yTable"/>
            </w:pPr>
            <w:r>
              <w:t>55030</w:t>
            </w:r>
          </w:p>
        </w:tc>
        <w:tc>
          <w:tcPr>
            <w:tcW w:w="1418" w:type="dxa"/>
            <w:vAlign w:val="center"/>
          </w:tcPr>
          <w:p>
            <w:pPr>
              <w:pStyle w:val="yTable"/>
              <w:ind w:right="382"/>
              <w:jc w:val="right"/>
            </w:pPr>
            <w:r>
              <w:t>163.15</w:t>
            </w:r>
          </w:p>
        </w:tc>
      </w:tr>
      <w:tr>
        <w:tblPrEx>
          <w:tblCellMar>
            <w:left w:w="108" w:type="dxa"/>
            <w:right w:w="108" w:type="dxa"/>
          </w:tblCellMar>
        </w:tblPrEx>
        <w:tc>
          <w:tcPr>
            <w:tcW w:w="5245" w:type="dxa"/>
          </w:tcPr>
          <w:p>
            <w:pPr>
              <w:pStyle w:val="yTable"/>
            </w:pPr>
            <w:r>
              <w:t>55031</w:t>
            </w:r>
          </w:p>
        </w:tc>
        <w:tc>
          <w:tcPr>
            <w:tcW w:w="1418" w:type="dxa"/>
            <w:vAlign w:val="center"/>
          </w:tcPr>
          <w:p>
            <w:pPr>
              <w:pStyle w:val="yTable"/>
              <w:ind w:right="382"/>
              <w:jc w:val="right"/>
            </w:pPr>
            <w:r>
              <w:t>56.60</w:t>
            </w:r>
          </w:p>
        </w:tc>
      </w:tr>
      <w:tr>
        <w:tblPrEx>
          <w:tblCellMar>
            <w:left w:w="108" w:type="dxa"/>
            <w:right w:w="108" w:type="dxa"/>
          </w:tblCellMar>
        </w:tblPrEx>
        <w:tc>
          <w:tcPr>
            <w:tcW w:w="5245" w:type="dxa"/>
          </w:tcPr>
          <w:p>
            <w:pPr>
              <w:pStyle w:val="yTable"/>
            </w:pPr>
            <w:r>
              <w:t>55032</w:t>
            </w:r>
          </w:p>
        </w:tc>
        <w:tc>
          <w:tcPr>
            <w:tcW w:w="1418" w:type="dxa"/>
            <w:vAlign w:val="center"/>
          </w:tcPr>
          <w:p>
            <w:pPr>
              <w:pStyle w:val="yTable"/>
              <w:ind w:right="382"/>
              <w:jc w:val="right"/>
            </w:pPr>
            <w:r>
              <w:t>163.15</w:t>
            </w:r>
          </w:p>
        </w:tc>
      </w:tr>
      <w:tr>
        <w:tblPrEx>
          <w:tblCellMar>
            <w:left w:w="108" w:type="dxa"/>
            <w:right w:w="108" w:type="dxa"/>
          </w:tblCellMar>
        </w:tblPrEx>
        <w:tc>
          <w:tcPr>
            <w:tcW w:w="5245" w:type="dxa"/>
          </w:tcPr>
          <w:p>
            <w:pPr>
              <w:pStyle w:val="yTable"/>
            </w:pPr>
            <w:r>
              <w:t>55033</w:t>
            </w:r>
          </w:p>
        </w:tc>
        <w:tc>
          <w:tcPr>
            <w:tcW w:w="1418" w:type="dxa"/>
            <w:vAlign w:val="center"/>
          </w:tcPr>
          <w:p>
            <w:pPr>
              <w:pStyle w:val="yTable"/>
              <w:ind w:right="382"/>
              <w:jc w:val="right"/>
            </w:pPr>
            <w:r>
              <w:t>56.60</w:t>
            </w:r>
          </w:p>
        </w:tc>
      </w:tr>
      <w:tr>
        <w:tblPrEx>
          <w:tblCellMar>
            <w:left w:w="108" w:type="dxa"/>
            <w:right w:w="108" w:type="dxa"/>
          </w:tblCellMar>
        </w:tblPrEx>
        <w:tc>
          <w:tcPr>
            <w:tcW w:w="5245" w:type="dxa"/>
          </w:tcPr>
          <w:p>
            <w:pPr>
              <w:pStyle w:val="yTable"/>
            </w:pPr>
            <w:r>
              <w:t>55036</w:t>
            </w:r>
          </w:p>
        </w:tc>
        <w:tc>
          <w:tcPr>
            <w:tcW w:w="1418" w:type="dxa"/>
            <w:vAlign w:val="center"/>
          </w:tcPr>
          <w:p>
            <w:pPr>
              <w:pStyle w:val="yTable"/>
              <w:ind w:right="382"/>
              <w:jc w:val="right"/>
            </w:pPr>
            <w:r>
              <w:t>166.40</w:t>
            </w:r>
          </w:p>
        </w:tc>
      </w:tr>
      <w:tr>
        <w:tblPrEx>
          <w:tblCellMar>
            <w:left w:w="108" w:type="dxa"/>
            <w:right w:w="108" w:type="dxa"/>
          </w:tblCellMar>
        </w:tblPrEx>
        <w:tc>
          <w:tcPr>
            <w:tcW w:w="5245" w:type="dxa"/>
          </w:tcPr>
          <w:p>
            <w:pPr>
              <w:pStyle w:val="yTable"/>
            </w:pPr>
            <w:r>
              <w:t>55037</w:t>
            </w:r>
          </w:p>
        </w:tc>
        <w:tc>
          <w:tcPr>
            <w:tcW w:w="1418" w:type="dxa"/>
            <w:vAlign w:val="center"/>
          </w:tcPr>
          <w:p>
            <w:pPr>
              <w:pStyle w:val="yTable"/>
              <w:ind w:right="382"/>
              <w:jc w:val="right"/>
            </w:pPr>
            <w:r>
              <w:t>56.60</w:t>
            </w:r>
          </w:p>
        </w:tc>
      </w:tr>
      <w:tr>
        <w:tblPrEx>
          <w:tblCellMar>
            <w:left w:w="108" w:type="dxa"/>
            <w:right w:w="108" w:type="dxa"/>
          </w:tblCellMar>
        </w:tblPrEx>
        <w:tc>
          <w:tcPr>
            <w:tcW w:w="5245" w:type="dxa"/>
          </w:tcPr>
          <w:p>
            <w:pPr>
              <w:pStyle w:val="yTable"/>
            </w:pPr>
            <w:r>
              <w:t>55038</w:t>
            </w:r>
          </w:p>
        </w:tc>
        <w:tc>
          <w:tcPr>
            <w:tcW w:w="1418" w:type="dxa"/>
            <w:vAlign w:val="center"/>
          </w:tcPr>
          <w:p>
            <w:pPr>
              <w:pStyle w:val="yTable"/>
              <w:ind w:right="382"/>
              <w:jc w:val="right"/>
            </w:pPr>
            <w:r>
              <w:t>163.15</w:t>
            </w:r>
          </w:p>
        </w:tc>
      </w:tr>
      <w:tr>
        <w:tblPrEx>
          <w:tblCellMar>
            <w:left w:w="108" w:type="dxa"/>
            <w:right w:w="108" w:type="dxa"/>
          </w:tblCellMar>
        </w:tblPrEx>
        <w:tc>
          <w:tcPr>
            <w:tcW w:w="5245" w:type="dxa"/>
          </w:tcPr>
          <w:p>
            <w:pPr>
              <w:pStyle w:val="yTable"/>
            </w:pPr>
            <w:r>
              <w:t>55039</w:t>
            </w:r>
          </w:p>
        </w:tc>
        <w:tc>
          <w:tcPr>
            <w:tcW w:w="1418" w:type="dxa"/>
            <w:vAlign w:val="center"/>
          </w:tcPr>
          <w:p>
            <w:pPr>
              <w:pStyle w:val="yTable"/>
              <w:ind w:right="382"/>
              <w:jc w:val="right"/>
            </w:pPr>
            <w:r>
              <w:t>56.60</w:t>
            </w:r>
          </w:p>
        </w:tc>
      </w:tr>
      <w:tr>
        <w:tblPrEx>
          <w:tblCellMar>
            <w:left w:w="108" w:type="dxa"/>
            <w:right w:w="108" w:type="dxa"/>
          </w:tblCellMar>
        </w:tblPrEx>
        <w:tc>
          <w:tcPr>
            <w:tcW w:w="5245" w:type="dxa"/>
          </w:tcPr>
          <w:p>
            <w:pPr>
              <w:pStyle w:val="yTable"/>
            </w:pPr>
            <w:r>
              <w:t>55044</w:t>
            </w:r>
          </w:p>
        </w:tc>
        <w:tc>
          <w:tcPr>
            <w:tcW w:w="1418" w:type="dxa"/>
            <w:vAlign w:val="center"/>
          </w:tcPr>
          <w:p>
            <w:pPr>
              <w:pStyle w:val="yTable"/>
              <w:ind w:right="382"/>
              <w:jc w:val="right"/>
            </w:pPr>
            <w:r>
              <w:t>166.40</w:t>
            </w:r>
          </w:p>
        </w:tc>
      </w:tr>
      <w:tr>
        <w:tblPrEx>
          <w:tblCellMar>
            <w:left w:w="108" w:type="dxa"/>
            <w:right w:w="108" w:type="dxa"/>
          </w:tblCellMar>
        </w:tblPrEx>
        <w:tc>
          <w:tcPr>
            <w:tcW w:w="5245" w:type="dxa"/>
          </w:tcPr>
          <w:p>
            <w:pPr>
              <w:pStyle w:val="yTable"/>
            </w:pPr>
            <w:r>
              <w:t>55045</w:t>
            </w:r>
          </w:p>
        </w:tc>
        <w:tc>
          <w:tcPr>
            <w:tcW w:w="1418" w:type="dxa"/>
            <w:vAlign w:val="center"/>
          </w:tcPr>
          <w:p>
            <w:pPr>
              <w:pStyle w:val="yTable"/>
              <w:ind w:right="382"/>
              <w:jc w:val="right"/>
            </w:pPr>
            <w:r>
              <w:t>56.60</w:t>
            </w:r>
          </w:p>
        </w:tc>
      </w:tr>
      <w:tr>
        <w:tblPrEx>
          <w:tblCellMar>
            <w:left w:w="108" w:type="dxa"/>
            <w:right w:w="108" w:type="dxa"/>
          </w:tblCellMar>
        </w:tblPrEx>
        <w:tc>
          <w:tcPr>
            <w:tcW w:w="5245" w:type="dxa"/>
          </w:tcPr>
          <w:p>
            <w:pPr>
              <w:pStyle w:val="yTable"/>
            </w:pPr>
            <w:r>
              <w:t>55048</w:t>
            </w:r>
          </w:p>
        </w:tc>
        <w:tc>
          <w:tcPr>
            <w:tcW w:w="1418" w:type="dxa"/>
            <w:vAlign w:val="center"/>
          </w:tcPr>
          <w:p>
            <w:pPr>
              <w:pStyle w:val="yTable"/>
              <w:ind w:right="382"/>
              <w:jc w:val="right"/>
            </w:pPr>
            <w:r>
              <w:t>163.15</w:t>
            </w:r>
          </w:p>
        </w:tc>
      </w:tr>
      <w:tr>
        <w:tblPrEx>
          <w:tblCellMar>
            <w:left w:w="108" w:type="dxa"/>
            <w:right w:w="108" w:type="dxa"/>
          </w:tblCellMar>
        </w:tblPrEx>
        <w:tc>
          <w:tcPr>
            <w:tcW w:w="5245" w:type="dxa"/>
          </w:tcPr>
          <w:p>
            <w:pPr>
              <w:pStyle w:val="yTable"/>
            </w:pPr>
            <w:r>
              <w:t>55049</w:t>
            </w:r>
          </w:p>
        </w:tc>
        <w:tc>
          <w:tcPr>
            <w:tcW w:w="1418" w:type="dxa"/>
            <w:vAlign w:val="center"/>
          </w:tcPr>
          <w:p>
            <w:pPr>
              <w:pStyle w:val="yTable"/>
              <w:ind w:right="382"/>
              <w:jc w:val="right"/>
            </w:pPr>
            <w:r>
              <w:t>56.60</w:t>
            </w:r>
          </w:p>
        </w:tc>
      </w:tr>
      <w:tr>
        <w:tblPrEx>
          <w:tblCellMar>
            <w:left w:w="108" w:type="dxa"/>
            <w:right w:w="108" w:type="dxa"/>
          </w:tblCellMar>
        </w:tblPrEx>
        <w:tc>
          <w:tcPr>
            <w:tcW w:w="5245" w:type="dxa"/>
          </w:tcPr>
          <w:p>
            <w:pPr>
              <w:pStyle w:val="yTable"/>
            </w:pPr>
            <w:r>
              <w:t>55054</w:t>
            </w:r>
          </w:p>
        </w:tc>
        <w:tc>
          <w:tcPr>
            <w:tcW w:w="1418" w:type="dxa"/>
            <w:vAlign w:val="center"/>
          </w:tcPr>
          <w:p>
            <w:pPr>
              <w:pStyle w:val="yTable"/>
              <w:ind w:right="382"/>
              <w:jc w:val="right"/>
            </w:pPr>
            <w:r>
              <w:t>163.15</w:t>
            </w:r>
          </w:p>
        </w:tc>
      </w:tr>
      <w:tr>
        <w:tblPrEx>
          <w:tblCellMar>
            <w:left w:w="108" w:type="dxa"/>
            <w:right w:w="108" w:type="dxa"/>
          </w:tblCellMar>
        </w:tblPrEx>
        <w:tc>
          <w:tcPr>
            <w:tcW w:w="5245" w:type="dxa"/>
          </w:tcPr>
          <w:p>
            <w:pPr>
              <w:pStyle w:val="yTable"/>
            </w:pPr>
            <w:r>
              <w:t>55070</w:t>
            </w:r>
          </w:p>
        </w:tc>
        <w:tc>
          <w:tcPr>
            <w:tcW w:w="1418" w:type="dxa"/>
            <w:vAlign w:val="center"/>
          </w:tcPr>
          <w:p>
            <w:pPr>
              <w:pStyle w:val="yTable"/>
              <w:ind w:right="382"/>
              <w:jc w:val="right"/>
            </w:pPr>
            <w:r>
              <w:t>146.90</w:t>
            </w:r>
          </w:p>
        </w:tc>
      </w:tr>
      <w:tr>
        <w:tblPrEx>
          <w:tblCellMar>
            <w:left w:w="108" w:type="dxa"/>
            <w:right w:w="108" w:type="dxa"/>
          </w:tblCellMar>
        </w:tblPrEx>
        <w:tc>
          <w:tcPr>
            <w:tcW w:w="5245" w:type="dxa"/>
          </w:tcPr>
          <w:p>
            <w:pPr>
              <w:pStyle w:val="yTable"/>
            </w:pPr>
            <w:r>
              <w:t>55073</w:t>
            </w:r>
          </w:p>
        </w:tc>
        <w:tc>
          <w:tcPr>
            <w:tcW w:w="1418" w:type="dxa"/>
            <w:vAlign w:val="center"/>
          </w:tcPr>
          <w:p>
            <w:pPr>
              <w:pStyle w:val="yTable"/>
              <w:ind w:right="382"/>
              <w:jc w:val="right"/>
            </w:pPr>
            <w:r>
              <w:t>50.85</w:t>
            </w:r>
          </w:p>
        </w:tc>
      </w:tr>
      <w:tr>
        <w:tblPrEx>
          <w:tblCellMar>
            <w:left w:w="108" w:type="dxa"/>
            <w:right w:w="108" w:type="dxa"/>
          </w:tblCellMar>
        </w:tblPrEx>
        <w:tc>
          <w:tcPr>
            <w:tcW w:w="5245" w:type="dxa"/>
          </w:tcPr>
          <w:p>
            <w:pPr>
              <w:pStyle w:val="yTable"/>
            </w:pPr>
            <w:r>
              <w:t>55076</w:t>
            </w:r>
          </w:p>
        </w:tc>
        <w:tc>
          <w:tcPr>
            <w:tcW w:w="1418" w:type="dxa"/>
            <w:vAlign w:val="center"/>
          </w:tcPr>
          <w:p>
            <w:pPr>
              <w:pStyle w:val="yTable"/>
              <w:ind w:right="382"/>
              <w:jc w:val="right"/>
            </w:pPr>
            <w:r>
              <w:t>163.15</w:t>
            </w:r>
          </w:p>
        </w:tc>
      </w:tr>
      <w:tr>
        <w:tblPrEx>
          <w:tblCellMar>
            <w:left w:w="108" w:type="dxa"/>
            <w:right w:w="108" w:type="dxa"/>
          </w:tblCellMar>
        </w:tblPrEx>
        <w:tc>
          <w:tcPr>
            <w:tcW w:w="5245" w:type="dxa"/>
          </w:tcPr>
          <w:p>
            <w:pPr>
              <w:pStyle w:val="yTable"/>
            </w:pPr>
            <w:r>
              <w:t>55079</w:t>
            </w:r>
          </w:p>
        </w:tc>
        <w:tc>
          <w:tcPr>
            <w:tcW w:w="1418" w:type="dxa"/>
            <w:vAlign w:val="center"/>
          </w:tcPr>
          <w:p>
            <w:pPr>
              <w:pStyle w:val="yTable"/>
              <w:ind w:right="382"/>
              <w:jc w:val="right"/>
            </w:pPr>
            <w:r>
              <w:t>56.60</w:t>
            </w:r>
          </w:p>
        </w:tc>
      </w:tr>
      <w:tr>
        <w:tblPrEx>
          <w:tblCellMar>
            <w:left w:w="108" w:type="dxa"/>
            <w:right w:w="108" w:type="dxa"/>
          </w:tblCellMar>
        </w:tblPrEx>
        <w:tc>
          <w:tcPr>
            <w:tcW w:w="5245" w:type="dxa"/>
          </w:tcPr>
          <w:p>
            <w:pPr>
              <w:pStyle w:val="yTable"/>
            </w:pPr>
            <w:r>
              <w:t>55084</w:t>
            </w:r>
          </w:p>
        </w:tc>
        <w:tc>
          <w:tcPr>
            <w:tcW w:w="1418" w:type="dxa"/>
            <w:vAlign w:val="center"/>
          </w:tcPr>
          <w:p>
            <w:pPr>
              <w:pStyle w:val="yTable"/>
              <w:ind w:right="382"/>
              <w:jc w:val="right"/>
            </w:pPr>
            <w:r>
              <w:t>146.90</w:t>
            </w:r>
          </w:p>
        </w:tc>
      </w:tr>
      <w:tr>
        <w:tblPrEx>
          <w:tblCellMar>
            <w:left w:w="108" w:type="dxa"/>
            <w:right w:w="108" w:type="dxa"/>
          </w:tblCellMar>
        </w:tblPrEx>
        <w:tc>
          <w:tcPr>
            <w:tcW w:w="5245" w:type="dxa"/>
          </w:tcPr>
          <w:p>
            <w:pPr>
              <w:pStyle w:val="yTable"/>
            </w:pPr>
            <w:r>
              <w:t>55085</w:t>
            </w:r>
          </w:p>
        </w:tc>
        <w:tc>
          <w:tcPr>
            <w:tcW w:w="1418" w:type="dxa"/>
            <w:vAlign w:val="center"/>
          </w:tcPr>
          <w:p>
            <w:pPr>
              <w:pStyle w:val="yTable"/>
              <w:ind w:right="382"/>
              <w:jc w:val="right"/>
            </w:pPr>
            <w:r>
              <w:t>50.85</w:t>
            </w:r>
          </w:p>
        </w:tc>
      </w:tr>
      <w:tr>
        <w:tblPrEx>
          <w:tblCellMar>
            <w:left w:w="108" w:type="dxa"/>
            <w:right w:w="108" w:type="dxa"/>
          </w:tblCellMar>
        </w:tblPrEx>
        <w:tc>
          <w:tcPr>
            <w:tcW w:w="5245" w:type="dxa"/>
          </w:tcPr>
          <w:p>
            <w:pPr>
              <w:pStyle w:val="yTable"/>
            </w:pPr>
            <w:r>
              <w:t>55113</w:t>
            </w:r>
          </w:p>
        </w:tc>
        <w:tc>
          <w:tcPr>
            <w:tcW w:w="1418" w:type="dxa"/>
            <w:vAlign w:val="center"/>
          </w:tcPr>
          <w:p>
            <w:pPr>
              <w:pStyle w:val="yTable"/>
              <w:ind w:right="382"/>
              <w:jc w:val="right"/>
            </w:pPr>
            <w:r>
              <w:t>344.90</w:t>
            </w:r>
          </w:p>
        </w:tc>
      </w:tr>
      <w:tr>
        <w:tblPrEx>
          <w:tblCellMar>
            <w:left w:w="108" w:type="dxa"/>
            <w:right w:w="108" w:type="dxa"/>
          </w:tblCellMar>
        </w:tblPrEx>
        <w:tc>
          <w:tcPr>
            <w:tcW w:w="5245" w:type="dxa"/>
          </w:tcPr>
          <w:p>
            <w:pPr>
              <w:pStyle w:val="yTable"/>
            </w:pPr>
            <w:r>
              <w:t>55114</w:t>
            </w:r>
          </w:p>
        </w:tc>
        <w:tc>
          <w:tcPr>
            <w:tcW w:w="1418" w:type="dxa"/>
            <w:vAlign w:val="center"/>
          </w:tcPr>
          <w:p>
            <w:pPr>
              <w:pStyle w:val="yTable"/>
              <w:ind w:right="382"/>
              <w:jc w:val="right"/>
            </w:pPr>
            <w:r>
              <w:t>344.90</w:t>
            </w:r>
          </w:p>
        </w:tc>
      </w:tr>
      <w:tr>
        <w:tblPrEx>
          <w:tblCellMar>
            <w:left w:w="108" w:type="dxa"/>
            <w:right w:w="108" w:type="dxa"/>
          </w:tblCellMar>
        </w:tblPrEx>
        <w:tc>
          <w:tcPr>
            <w:tcW w:w="5245" w:type="dxa"/>
          </w:tcPr>
          <w:p>
            <w:pPr>
              <w:pStyle w:val="yTable"/>
            </w:pPr>
            <w:r>
              <w:t>55115</w:t>
            </w:r>
          </w:p>
        </w:tc>
        <w:tc>
          <w:tcPr>
            <w:tcW w:w="1418" w:type="dxa"/>
            <w:vAlign w:val="center"/>
          </w:tcPr>
          <w:p>
            <w:pPr>
              <w:pStyle w:val="yTable"/>
              <w:ind w:right="382"/>
              <w:jc w:val="right"/>
            </w:pPr>
            <w:r>
              <w:t>344.90</w:t>
            </w:r>
          </w:p>
        </w:tc>
      </w:tr>
      <w:tr>
        <w:tblPrEx>
          <w:tblCellMar>
            <w:left w:w="108" w:type="dxa"/>
            <w:right w:w="108" w:type="dxa"/>
          </w:tblCellMar>
        </w:tblPrEx>
        <w:tc>
          <w:tcPr>
            <w:tcW w:w="5245" w:type="dxa"/>
          </w:tcPr>
          <w:p>
            <w:pPr>
              <w:pStyle w:val="yTable"/>
            </w:pPr>
            <w:r>
              <w:t>55116</w:t>
            </w:r>
          </w:p>
        </w:tc>
        <w:tc>
          <w:tcPr>
            <w:tcW w:w="1418" w:type="dxa"/>
            <w:vAlign w:val="center"/>
          </w:tcPr>
          <w:p>
            <w:pPr>
              <w:pStyle w:val="yTable"/>
              <w:ind w:right="382"/>
              <w:jc w:val="right"/>
            </w:pPr>
            <w:r>
              <w:t>383.50</w:t>
            </w:r>
          </w:p>
        </w:tc>
      </w:tr>
      <w:tr>
        <w:tblPrEx>
          <w:tblCellMar>
            <w:left w:w="108" w:type="dxa"/>
            <w:right w:w="108" w:type="dxa"/>
          </w:tblCellMar>
        </w:tblPrEx>
        <w:tc>
          <w:tcPr>
            <w:tcW w:w="5245" w:type="dxa"/>
          </w:tcPr>
          <w:p>
            <w:pPr>
              <w:pStyle w:val="yTable"/>
            </w:pPr>
            <w:r>
              <w:t>55117</w:t>
            </w:r>
          </w:p>
        </w:tc>
        <w:tc>
          <w:tcPr>
            <w:tcW w:w="1418" w:type="dxa"/>
            <w:vAlign w:val="center"/>
          </w:tcPr>
          <w:p>
            <w:pPr>
              <w:pStyle w:val="yTable"/>
              <w:ind w:right="382"/>
              <w:jc w:val="right"/>
            </w:pPr>
            <w:r>
              <w:t>383.50</w:t>
            </w:r>
          </w:p>
        </w:tc>
      </w:tr>
      <w:tr>
        <w:tblPrEx>
          <w:tblCellMar>
            <w:left w:w="108" w:type="dxa"/>
            <w:right w:w="108" w:type="dxa"/>
          </w:tblCellMar>
        </w:tblPrEx>
        <w:tc>
          <w:tcPr>
            <w:tcW w:w="5245" w:type="dxa"/>
          </w:tcPr>
          <w:p>
            <w:pPr>
              <w:pStyle w:val="yTable"/>
            </w:pPr>
            <w:r>
              <w:t>55118</w:t>
            </w:r>
          </w:p>
        </w:tc>
        <w:tc>
          <w:tcPr>
            <w:tcW w:w="1418" w:type="dxa"/>
            <w:vAlign w:val="center"/>
          </w:tcPr>
          <w:p>
            <w:pPr>
              <w:pStyle w:val="yTable"/>
              <w:ind w:right="382"/>
              <w:jc w:val="right"/>
            </w:pPr>
            <w:r>
              <w:t>411.90</w:t>
            </w:r>
          </w:p>
        </w:tc>
      </w:tr>
      <w:tr>
        <w:tblPrEx>
          <w:tblCellMar>
            <w:left w:w="108" w:type="dxa"/>
            <w:right w:w="108" w:type="dxa"/>
          </w:tblCellMar>
        </w:tblPrEx>
        <w:tc>
          <w:tcPr>
            <w:tcW w:w="5245" w:type="dxa"/>
          </w:tcPr>
          <w:p>
            <w:pPr>
              <w:pStyle w:val="yTable"/>
            </w:pPr>
            <w:r>
              <w:t>55130</w:t>
            </w:r>
          </w:p>
        </w:tc>
        <w:tc>
          <w:tcPr>
            <w:tcW w:w="1418" w:type="dxa"/>
            <w:vAlign w:val="center"/>
          </w:tcPr>
          <w:p>
            <w:pPr>
              <w:pStyle w:val="yTable"/>
              <w:ind w:right="382"/>
              <w:jc w:val="right"/>
            </w:pPr>
            <w:r>
              <w:t>254.25</w:t>
            </w:r>
          </w:p>
        </w:tc>
      </w:tr>
      <w:tr>
        <w:tblPrEx>
          <w:tblCellMar>
            <w:left w:w="108" w:type="dxa"/>
            <w:right w:w="108" w:type="dxa"/>
          </w:tblCellMar>
        </w:tblPrEx>
        <w:tc>
          <w:tcPr>
            <w:tcW w:w="5245" w:type="dxa"/>
          </w:tcPr>
          <w:p>
            <w:pPr>
              <w:pStyle w:val="yTable"/>
            </w:pPr>
            <w:r>
              <w:t>55135</w:t>
            </w:r>
          </w:p>
        </w:tc>
        <w:tc>
          <w:tcPr>
            <w:tcW w:w="1418" w:type="dxa"/>
            <w:vAlign w:val="center"/>
          </w:tcPr>
          <w:p>
            <w:pPr>
              <w:pStyle w:val="yTable"/>
              <w:ind w:right="382"/>
              <w:jc w:val="right"/>
            </w:pPr>
            <w:r>
              <w:t>528.75</w:t>
            </w:r>
          </w:p>
        </w:tc>
      </w:tr>
      <w:tr>
        <w:tblPrEx>
          <w:tblCellMar>
            <w:left w:w="108" w:type="dxa"/>
            <w:right w:w="108" w:type="dxa"/>
          </w:tblCellMar>
        </w:tblPrEx>
        <w:tc>
          <w:tcPr>
            <w:tcW w:w="5245" w:type="dxa"/>
          </w:tcPr>
          <w:p>
            <w:pPr>
              <w:pStyle w:val="yTable"/>
            </w:pPr>
            <w:r>
              <w:t>55238</w:t>
            </w:r>
          </w:p>
        </w:tc>
        <w:tc>
          <w:tcPr>
            <w:tcW w:w="1418" w:type="dxa"/>
            <w:vAlign w:val="center"/>
          </w:tcPr>
          <w:p>
            <w:pPr>
              <w:pStyle w:val="yTable"/>
              <w:ind w:right="382"/>
              <w:jc w:val="right"/>
            </w:pPr>
            <w:r>
              <w:t>253.40</w:t>
            </w:r>
          </w:p>
        </w:tc>
      </w:tr>
      <w:tr>
        <w:tblPrEx>
          <w:tblCellMar>
            <w:left w:w="108" w:type="dxa"/>
            <w:right w:w="108" w:type="dxa"/>
          </w:tblCellMar>
        </w:tblPrEx>
        <w:tc>
          <w:tcPr>
            <w:tcW w:w="5245" w:type="dxa"/>
          </w:tcPr>
          <w:p>
            <w:pPr>
              <w:pStyle w:val="yTable"/>
            </w:pPr>
            <w:r>
              <w:t>55244</w:t>
            </w:r>
          </w:p>
        </w:tc>
        <w:tc>
          <w:tcPr>
            <w:tcW w:w="1418" w:type="dxa"/>
            <w:vAlign w:val="center"/>
          </w:tcPr>
          <w:p>
            <w:pPr>
              <w:pStyle w:val="yTable"/>
              <w:ind w:right="382"/>
              <w:jc w:val="right"/>
            </w:pPr>
            <w:r>
              <w:t>253.40</w:t>
            </w:r>
          </w:p>
        </w:tc>
      </w:tr>
      <w:tr>
        <w:tblPrEx>
          <w:tblCellMar>
            <w:left w:w="108" w:type="dxa"/>
            <w:right w:w="108" w:type="dxa"/>
          </w:tblCellMar>
        </w:tblPrEx>
        <w:tc>
          <w:tcPr>
            <w:tcW w:w="5245" w:type="dxa"/>
          </w:tcPr>
          <w:p>
            <w:pPr>
              <w:pStyle w:val="yTable"/>
            </w:pPr>
            <w:r>
              <w:t>55246</w:t>
            </w:r>
          </w:p>
        </w:tc>
        <w:tc>
          <w:tcPr>
            <w:tcW w:w="1418" w:type="dxa"/>
            <w:vAlign w:val="center"/>
          </w:tcPr>
          <w:p>
            <w:pPr>
              <w:pStyle w:val="yTable"/>
              <w:ind w:right="382"/>
              <w:jc w:val="right"/>
            </w:pPr>
            <w:r>
              <w:t>253.40</w:t>
            </w:r>
          </w:p>
        </w:tc>
      </w:tr>
      <w:tr>
        <w:tblPrEx>
          <w:tblCellMar>
            <w:left w:w="108" w:type="dxa"/>
            <w:right w:w="108" w:type="dxa"/>
          </w:tblCellMar>
        </w:tblPrEx>
        <w:tc>
          <w:tcPr>
            <w:tcW w:w="5245" w:type="dxa"/>
          </w:tcPr>
          <w:p>
            <w:pPr>
              <w:pStyle w:val="yTable"/>
            </w:pPr>
            <w:r>
              <w:t>55248</w:t>
            </w:r>
          </w:p>
        </w:tc>
        <w:tc>
          <w:tcPr>
            <w:tcW w:w="1418" w:type="dxa"/>
            <w:vAlign w:val="center"/>
          </w:tcPr>
          <w:p>
            <w:pPr>
              <w:pStyle w:val="yTable"/>
              <w:ind w:right="382"/>
              <w:jc w:val="right"/>
            </w:pPr>
            <w:r>
              <w:t>253.40</w:t>
            </w:r>
          </w:p>
        </w:tc>
      </w:tr>
      <w:tr>
        <w:tblPrEx>
          <w:tblCellMar>
            <w:left w:w="108" w:type="dxa"/>
            <w:right w:w="108" w:type="dxa"/>
          </w:tblCellMar>
        </w:tblPrEx>
        <w:tc>
          <w:tcPr>
            <w:tcW w:w="5245" w:type="dxa"/>
          </w:tcPr>
          <w:p>
            <w:pPr>
              <w:pStyle w:val="yTable"/>
            </w:pPr>
            <w:r>
              <w:t>55252</w:t>
            </w:r>
          </w:p>
        </w:tc>
        <w:tc>
          <w:tcPr>
            <w:tcW w:w="1418" w:type="dxa"/>
            <w:vAlign w:val="center"/>
          </w:tcPr>
          <w:p>
            <w:pPr>
              <w:pStyle w:val="yTable"/>
              <w:ind w:right="382"/>
              <w:jc w:val="right"/>
            </w:pPr>
            <w:r>
              <w:t>253.40</w:t>
            </w:r>
          </w:p>
        </w:tc>
      </w:tr>
      <w:tr>
        <w:tblPrEx>
          <w:tblCellMar>
            <w:left w:w="108" w:type="dxa"/>
            <w:right w:w="108" w:type="dxa"/>
          </w:tblCellMar>
        </w:tblPrEx>
        <w:tc>
          <w:tcPr>
            <w:tcW w:w="5245" w:type="dxa"/>
          </w:tcPr>
          <w:p>
            <w:pPr>
              <w:pStyle w:val="yTable"/>
            </w:pPr>
            <w:r>
              <w:t>55274</w:t>
            </w:r>
          </w:p>
        </w:tc>
        <w:tc>
          <w:tcPr>
            <w:tcW w:w="1418" w:type="dxa"/>
            <w:vAlign w:val="center"/>
          </w:tcPr>
          <w:p>
            <w:pPr>
              <w:pStyle w:val="yTable"/>
              <w:ind w:right="382"/>
              <w:jc w:val="right"/>
            </w:pPr>
            <w:r>
              <w:t>253.40</w:t>
            </w:r>
          </w:p>
        </w:tc>
      </w:tr>
      <w:tr>
        <w:tblPrEx>
          <w:tblCellMar>
            <w:left w:w="108" w:type="dxa"/>
            <w:right w:w="108" w:type="dxa"/>
          </w:tblCellMar>
        </w:tblPrEx>
        <w:tc>
          <w:tcPr>
            <w:tcW w:w="5245" w:type="dxa"/>
          </w:tcPr>
          <w:p>
            <w:pPr>
              <w:pStyle w:val="yTable"/>
            </w:pPr>
            <w:r>
              <w:t>55276</w:t>
            </w:r>
          </w:p>
        </w:tc>
        <w:tc>
          <w:tcPr>
            <w:tcW w:w="1418" w:type="dxa"/>
            <w:vAlign w:val="center"/>
          </w:tcPr>
          <w:p>
            <w:pPr>
              <w:pStyle w:val="yTable"/>
              <w:ind w:right="382"/>
              <w:jc w:val="right"/>
            </w:pPr>
            <w:r>
              <w:t>253.40</w:t>
            </w:r>
          </w:p>
        </w:tc>
      </w:tr>
      <w:tr>
        <w:tblPrEx>
          <w:tblCellMar>
            <w:left w:w="108" w:type="dxa"/>
            <w:right w:w="108" w:type="dxa"/>
          </w:tblCellMar>
        </w:tblPrEx>
        <w:tc>
          <w:tcPr>
            <w:tcW w:w="5245" w:type="dxa"/>
          </w:tcPr>
          <w:p>
            <w:pPr>
              <w:pStyle w:val="yTable"/>
            </w:pPr>
            <w:r>
              <w:t>55278</w:t>
            </w:r>
          </w:p>
        </w:tc>
        <w:tc>
          <w:tcPr>
            <w:tcW w:w="1418" w:type="dxa"/>
            <w:vAlign w:val="center"/>
          </w:tcPr>
          <w:p>
            <w:pPr>
              <w:pStyle w:val="yTable"/>
              <w:ind w:right="382"/>
              <w:jc w:val="right"/>
            </w:pPr>
            <w:r>
              <w:t>253.40</w:t>
            </w:r>
          </w:p>
        </w:tc>
      </w:tr>
      <w:tr>
        <w:tblPrEx>
          <w:tblCellMar>
            <w:left w:w="108" w:type="dxa"/>
            <w:right w:w="108" w:type="dxa"/>
          </w:tblCellMar>
        </w:tblPrEx>
        <w:tc>
          <w:tcPr>
            <w:tcW w:w="5245" w:type="dxa"/>
          </w:tcPr>
          <w:p>
            <w:pPr>
              <w:pStyle w:val="yTable"/>
            </w:pPr>
            <w:r>
              <w:t>55280</w:t>
            </w:r>
          </w:p>
        </w:tc>
        <w:tc>
          <w:tcPr>
            <w:tcW w:w="1418" w:type="dxa"/>
            <w:vAlign w:val="center"/>
          </w:tcPr>
          <w:p>
            <w:pPr>
              <w:pStyle w:val="yTable"/>
              <w:ind w:right="382"/>
              <w:jc w:val="right"/>
            </w:pPr>
            <w:r>
              <w:t>253.40</w:t>
            </w:r>
          </w:p>
        </w:tc>
      </w:tr>
      <w:tr>
        <w:tblPrEx>
          <w:tblCellMar>
            <w:left w:w="108" w:type="dxa"/>
            <w:right w:w="108" w:type="dxa"/>
          </w:tblCellMar>
        </w:tblPrEx>
        <w:tc>
          <w:tcPr>
            <w:tcW w:w="5245" w:type="dxa"/>
          </w:tcPr>
          <w:p>
            <w:pPr>
              <w:pStyle w:val="yTable"/>
            </w:pPr>
            <w:r>
              <w:t>55282</w:t>
            </w:r>
          </w:p>
        </w:tc>
        <w:tc>
          <w:tcPr>
            <w:tcW w:w="1418" w:type="dxa"/>
            <w:vAlign w:val="center"/>
          </w:tcPr>
          <w:p>
            <w:pPr>
              <w:pStyle w:val="yTable"/>
              <w:ind w:right="382"/>
              <w:jc w:val="right"/>
            </w:pPr>
            <w:r>
              <w:t>253.40</w:t>
            </w:r>
          </w:p>
        </w:tc>
      </w:tr>
      <w:tr>
        <w:tblPrEx>
          <w:tblCellMar>
            <w:left w:w="108" w:type="dxa"/>
            <w:right w:w="108" w:type="dxa"/>
          </w:tblCellMar>
        </w:tblPrEx>
        <w:tc>
          <w:tcPr>
            <w:tcW w:w="5245" w:type="dxa"/>
          </w:tcPr>
          <w:p>
            <w:pPr>
              <w:pStyle w:val="yTable"/>
            </w:pPr>
            <w:r>
              <w:t>55284</w:t>
            </w:r>
          </w:p>
        </w:tc>
        <w:tc>
          <w:tcPr>
            <w:tcW w:w="1418" w:type="dxa"/>
            <w:vAlign w:val="center"/>
          </w:tcPr>
          <w:p>
            <w:pPr>
              <w:pStyle w:val="yTable"/>
              <w:ind w:right="382"/>
              <w:jc w:val="right"/>
            </w:pPr>
            <w:r>
              <w:t>253.40</w:t>
            </w:r>
          </w:p>
        </w:tc>
      </w:tr>
      <w:tr>
        <w:tblPrEx>
          <w:tblCellMar>
            <w:left w:w="108" w:type="dxa"/>
            <w:right w:w="108" w:type="dxa"/>
          </w:tblCellMar>
        </w:tblPrEx>
        <w:tc>
          <w:tcPr>
            <w:tcW w:w="5245" w:type="dxa"/>
          </w:tcPr>
          <w:p>
            <w:pPr>
              <w:pStyle w:val="yTable"/>
            </w:pPr>
            <w:r>
              <w:t>55292</w:t>
            </w:r>
          </w:p>
        </w:tc>
        <w:tc>
          <w:tcPr>
            <w:tcW w:w="1418" w:type="dxa"/>
            <w:vAlign w:val="center"/>
          </w:tcPr>
          <w:p>
            <w:pPr>
              <w:pStyle w:val="yTable"/>
              <w:ind w:right="382"/>
              <w:jc w:val="right"/>
            </w:pPr>
            <w:r>
              <w:t>253.40</w:t>
            </w:r>
          </w:p>
        </w:tc>
      </w:tr>
      <w:tr>
        <w:tblPrEx>
          <w:tblCellMar>
            <w:left w:w="108" w:type="dxa"/>
            <w:right w:w="108" w:type="dxa"/>
          </w:tblCellMar>
        </w:tblPrEx>
        <w:tc>
          <w:tcPr>
            <w:tcW w:w="5245" w:type="dxa"/>
          </w:tcPr>
          <w:p>
            <w:pPr>
              <w:pStyle w:val="yTable"/>
            </w:pPr>
            <w:r>
              <w:t>55294</w:t>
            </w:r>
          </w:p>
        </w:tc>
        <w:tc>
          <w:tcPr>
            <w:tcW w:w="1418" w:type="dxa"/>
            <w:vAlign w:val="center"/>
          </w:tcPr>
          <w:p>
            <w:pPr>
              <w:pStyle w:val="yTable"/>
              <w:ind w:right="382"/>
              <w:jc w:val="right"/>
            </w:pPr>
            <w:r>
              <w:t>253.40</w:t>
            </w:r>
          </w:p>
        </w:tc>
      </w:tr>
      <w:tr>
        <w:tblPrEx>
          <w:tblCellMar>
            <w:left w:w="108" w:type="dxa"/>
            <w:right w:w="108" w:type="dxa"/>
          </w:tblCellMar>
        </w:tblPrEx>
        <w:tc>
          <w:tcPr>
            <w:tcW w:w="5245" w:type="dxa"/>
          </w:tcPr>
          <w:p>
            <w:pPr>
              <w:pStyle w:val="yTable"/>
            </w:pPr>
            <w:r>
              <w:t>55296</w:t>
            </w:r>
          </w:p>
        </w:tc>
        <w:tc>
          <w:tcPr>
            <w:tcW w:w="1418" w:type="dxa"/>
            <w:vAlign w:val="center"/>
          </w:tcPr>
          <w:p>
            <w:pPr>
              <w:pStyle w:val="yTable"/>
              <w:ind w:right="382"/>
              <w:jc w:val="right"/>
            </w:pPr>
            <w:r>
              <w:t>166.10</w:t>
            </w:r>
          </w:p>
        </w:tc>
      </w:tr>
      <w:tr>
        <w:tblPrEx>
          <w:tblCellMar>
            <w:left w:w="108" w:type="dxa"/>
            <w:right w:w="108" w:type="dxa"/>
          </w:tblCellMar>
        </w:tblPrEx>
        <w:tc>
          <w:tcPr>
            <w:tcW w:w="5245" w:type="dxa"/>
          </w:tcPr>
          <w:p>
            <w:pPr>
              <w:pStyle w:val="yTable"/>
            </w:pPr>
            <w:r>
              <w:t>55600</w:t>
            </w:r>
          </w:p>
        </w:tc>
        <w:tc>
          <w:tcPr>
            <w:tcW w:w="1418" w:type="dxa"/>
            <w:vAlign w:val="center"/>
          </w:tcPr>
          <w:p>
            <w:pPr>
              <w:pStyle w:val="yTable"/>
              <w:ind w:right="382"/>
              <w:jc w:val="right"/>
            </w:pPr>
            <w:r>
              <w:t>163.15</w:t>
            </w:r>
          </w:p>
        </w:tc>
      </w:tr>
      <w:tr>
        <w:tblPrEx>
          <w:tblCellMar>
            <w:left w:w="108" w:type="dxa"/>
            <w:right w:w="108" w:type="dxa"/>
          </w:tblCellMar>
        </w:tblPrEx>
        <w:tc>
          <w:tcPr>
            <w:tcW w:w="5245" w:type="dxa"/>
          </w:tcPr>
          <w:p>
            <w:pPr>
              <w:pStyle w:val="yTable"/>
            </w:pPr>
            <w:r>
              <w:t>55603</w:t>
            </w:r>
          </w:p>
        </w:tc>
        <w:tc>
          <w:tcPr>
            <w:tcW w:w="1418" w:type="dxa"/>
            <w:vAlign w:val="center"/>
          </w:tcPr>
          <w:p>
            <w:pPr>
              <w:pStyle w:val="yTable"/>
              <w:ind w:right="382"/>
              <w:jc w:val="right"/>
            </w:pPr>
            <w:r>
              <w:t>163.15</w:t>
            </w:r>
          </w:p>
        </w:tc>
      </w:tr>
      <w:tr>
        <w:tblPrEx>
          <w:tblCellMar>
            <w:left w:w="108" w:type="dxa"/>
            <w:right w:w="108" w:type="dxa"/>
          </w:tblCellMar>
        </w:tblPrEx>
        <w:tc>
          <w:tcPr>
            <w:tcW w:w="5245" w:type="dxa"/>
          </w:tcPr>
          <w:p>
            <w:pPr>
              <w:pStyle w:val="yTable"/>
            </w:pPr>
            <w:r>
              <w:t>55700</w:t>
            </w:r>
          </w:p>
        </w:tc>
        <w:tc>
          <w:tcPr>
            <w:tcW w:w="1418" w:type="dxa"/>
            <w:vAlign w:val="center"/>
          </w:tcPr>
          <w:p>
            <w:pPr>
              <w:pStyle w:val="yTable"/>
              <w:ind w:right="382"/>
              <w:jc w:val="right"/>
            </w:pPr>
            <w:r>
              <w:t>89.65</w:t>
            </w:r>
          </w:p>
        </w:tc>
      </w:tr>
      <w:tr>
        <w:tblPrEx>
          <w:tblCellMar>
            <w:left w:w="108" w:type="dxa"/>
            <w:right w:w="108" w:type="dxa"/>
          </w:tblCellMar>
        </w:tblPrEx>
        <w:tc>
          <w:tcPr>
            <w:tcW w:w="5245" w:type="dxa"/>
          </w:tcPr>
          <w:p>
            <w:pPr>
              <w:pStyle w:val="yTable"/>
            </w:pPr>
            <w:r>
              <w:t>55703</w:t>
            </w:r>
          </w:p>
        </w:tc>
        <w:tc>
          <w:tcPr>
            <w:tcW w:w="1418" w:type="dxa"/>
            <w:vAlign w:val="center"/>
          </w:tcPr>
          <w:p>
            <w:pPr>
              <w:pStyle w:val="yTable"/>
              <w:ind w:right="382"/>
              <w:jc w:val="right"/>
            </w:pPr>
            <w:r>
              <w:t>52.35</w:t>
            </w:r>
          </w:p>
        </w:tc>
      </w:tr>
      <w:tr>
        <w:tblPrEx>
          <w:tblCellMar>
            <w:left w:w="108" w:type="dxa"/>
            <w:right w:w="108" w:type="dxa"/>
          </w:tblCellMar>
        </w:tblPrEx>
        <w:tc>
          <w:tcPr>
            <w:tcW w:w="5245" w:type="dxa"/>
          </w:tcPr>
          <w:p>
            <w:pPr>
              <w:pStyle w:val="yTable"/>
            </w:pPr>
            <w:r>
              <w:t>55704</w:t>
            </w:r>
          </w:p>
        </w:tc>
        <w:tc>
          <w:tcPr>
            <w:tcW w:w="1418" w:type="dxa"/>
            <w:vAlign w:val="center"/>
          </w:tcPr>
          <w:p>
            <w:pPr>
              <w:pStyle w:val="yTable"/>
              <w:ind w:right="382"/>
              <w:jc w:val="right"/>
            </w:pPr>
            <w:r>
              <w:t>104.70</w:t>
            </w:r>
          </w:p>
        </w:tc>
      </w:tr>
      <w:tr>
        <w:tblPrEx>
          <w:tblCellMar>
            <w:left w:w="108" w:type="dxa"/>
            <w:right w:w="108" w:type="dxa"/>
          </w:tblCellMar>
        </w:tblPrEx>
        <w:tc>
          <w:tcPr>
            <w:tcW w:w="5245" w:type="dxa"/>
          </w:tcPr>
          <w:p>
            <w:pPr>
              <w:pStyle w:val="yTable"/>
            </w:pPr>
            <w:r>
              <w:t>55705</w:t>
            </w:r>
          </w:p>
        </w:tc>
        <w:tc>
          <w:tcPr>
            <w:tcW w:w="1418" w:type="dxa"/>
            <w:vAlign w:val="center"/>
          </w:tcPr>
          <w:p>
            <w:pPr>
              <w:pStyle w:val="yTable"/>
              <w:ind w:right="382"/>
              <w:jc w:val="right"/>
            </w:pPr>
            <w:r>
              <w:t>52.35</w:t>
            </w:r>
          </w:p>
        </w:tc>
      </w:tr>
      <w:tr>
        <w:tblPrEx>
          <w:tblCellMar>
            <w:left w:w="108" w:type="dxa"/>
            <w:right w:w="108" w:type="dxa"/>
          </w:tblCellMar>
        </w:tblPrEx>
        <w:tc>
          <w:tcPr>
            <w:tcW w:w="5245" w:type="dxa"/>
          </w:tcPr>
          <w:p>
            <w:pPr>
              <w:pStyle w:val="yTable"/>
            </w:pPr>
            <w:r>
              <w:t>55706</w:t>
            </w:r>
          </w:p>
        </w:tc>
        <w:tc>
          <w:tcPr>
            <w:tcW w:w="1418" w:type="dxa"/>
            <w:vAlign w:val="center"/>
          </w:tcPr>
          <w:p>
            <w:pPr>
              <w:pStyle w:val="yTable"/>
              <w:ind w:right="382"/>
              <w:jc w:val="right"/>
            </w:pPr>
            <w:r>
              <w:t>149.55</w:t>
            </w:r>
          </w:p>
        </w:tc>
      </w:tr>
      <w:tr>
        <w:tblPrEx>
          <w:tblCellMar>
            <w:left w:w="108" w:type="dxa"/>
            <w:right w:w="108" w:type="dxa"/>
          </w:tblCellMar>
        </w:tblPrEx>
        <w:tc>
          <w:tcPr>
            <w:tcW w:w="5245" w:type="dxa"/>
          </w:tcPr>
          <w:p>
            <w:pPr>
              <w:pStyle w:val="yTable"/>
            </w:pPr>
            <w:r>
              <w:t>55707</w:t>
            </w:r>
          </w:p>
        </w:tc>
        <w:tc>
          <w:tcPr>
            <w:tcW w:w="1418" w:type="dxa"/>
            <w:vAlign w:val="center"/>
          </w:tcPr>
          <w:p>
            <w:pPr>
              <w:pStyle w:val="yTable"/>
              <w:ind w:right="382"/>
              <w:jc w:val="right"/>
            </w:pPr>
            <w:r>
              <w:t>104.70</w:t>
            </w:r>
          </w:p>
        </w:tc>
      </w:tr>
      <w:tr>
        <w:tblPrEx>
          <w:tblCellMar>
            <w:left w:w="108" w:type="dxa"/>
            <w:right w:w="108" w:type="dxa"/>
          </w:tblCellMar>
        </w:tblPrEx>
        <w:tc>
          <w:tcPr>
            <w:tcW w:w="5245" w:type="dxa"/>
          </w:tcPr>
          <w:p>
            <w:pPr>
              <w:pStyle w:val="yTable"/>
            </w:pPr>
            <w:r>
              <w:t>55708</w:t>
            </w:r>
          </w:p>
        </w:tc>
        <w:tc>
          <w:tcPr>
            <w:tcW w:w="1418" w:type="dxa"/>
            <w:vAlign w:val="center"/>
          </w:tcPr>
          <w:p>
            <w:pPr>
              <w:pStyle w:val="yTable"/>
              <w:ind w:right="382"/>
              <w:jc w:val="right"/>
            </w:pPr>
            <w:r>
              <w:t>52.35</w:t>
            </w:r>
          </w:p>
        </w:tc>
      </w:tr>
      <w:tr>
        <w:tblPrEx>
          <w:tblCellMar>
            <w:left w:w="108" w:type="dxa"/>
            <w:right w:w="108" w:type="dxa"/>
          </w:tblCellMar>
        </w:tblPrEx>
        <w:tc>
          <w:tcPr>
            <w:tcW w:w="5245" w:type="dxa"/>
          </w:tcPr>
          <w:p>
            <w:pPr>
              <w:pStyle w:val="yTable"/>
            </w:pPr>
            <w:r>
              <w:t>55709</w:t>
            </w:r>
          </w:p>
        </w:tc>
        <w:tc>
          <w:tcPr>
            <w:tcW w:w="1418" w:type="dxa"/>
            <w:vAlign w:val="center"/>
          </w:tcPr>
          <w:p>
            <w:pPr>
              <w:pStyle w:val="yTable"/>
              <w:ind w:right="382"/>
              <w:jc w:val="right"/>
            </w:pPr>
            <w:r>
              <w:t>56.85</w:t>
            </w:r>
          </w:p>
        </w:tc>
      </w:tr>
      <w:tr>
        <w:tblPrEx>
          <w:tblCellMar>
            <w:left w:w="108" w:type="dxa"/>
            <w:right w:w="108" w:type="dxa"/>
          </w:tblCellMar>
        </w:tblPrEx>
        <w:tc>
          <w:tcPr>
            <w:tcW w:w="5245" w:type="dxa"/>
          </w:tcPr>
          <w:p>
            <w:pPr>
              <w:pStyle w:val="yTable"/>
            </w:pPr>
            <w:r>
              <w:t>55712</w:t>
            </w:r>
          </w:p>
        </w:tc>
        <w:tc>
          <w:tcPr>
            <w:tcW w:w="1418" w:type="dxa"/>
            <w:vAlign w:val="center"/>
          </w:tcPr>
          <w:p>
            <w:pPr>
              <w:pStyle w:val="yTable"/>
              <w:ind w:right="382"/>
              <w:jc w:val="right"/>
            </w:pPr>
            <w:r>
              <w:t>171.95</w:t>
            </w:r>
          </w:p>
        </w:tc>
      </w:tr>
      <w:tr>
        <w:tblPrEx>
          <w:tblCellMar>
            <w:left w:w="108" w:type="dxa"/>
            <w:right w:w="108" w:type="dxa"/>
          </w:tblCellMar>
        </w:tblPrEx>
        <w:tc>
          <w:tcPr>
            <w:tcW w:w="5245" w:type="dxa"/>
          </w:tcPr>
          <w:p>
            <w:pPr>
              <w:pStyle w:val="yTable"/>
            </w:pPr>
            <w:r>
              <w:t>55715</w:t>
            </w:r>
          </w:p>
        </w:tc>
        <w:tc>
          <w:tcPr>
            <w:tcW w:w="1418" w:type="dxa"/>
            <w:vAlign w:val="center"/>
          </w:tcPr>
          <w:p>
            <w:pPr>
              <w:pStyle w:val="yTable"/>
              <w:ind w:right="382"/>
              <w:jc w:val="right"/>
            </w:pPr>
            <w:r>
              <w:t>59.80</w:t>
            </w:r>
          </w:p>
        </w:tc>
      </w:tr>
      <w:tr>
        <w:tblPrEx>
          <w:tblCellMar>
            <w:left w:w="108" w:type="dxa"/>
            <w:right w:w="108" w:type="dxa"/>
          </w:tblCellMar>
        </w:tblPrEx>
        <w:tc>
          <w:tcPr>
            <w:tcW w:w="5245" w:type="dxa"/>
          </w:tcPr>
          <w:p>
            <w:pPr>
              <w:pStyle w:val="yTable"/>
            </w:pPr>
            <w:r>
              <w:t>55718</w:t>
            </w:r>
          </w:p>
        </w:tc>
        <w:tc>
          <w:tcPr>
            <w:tcW w:w="1418" w:type="dxa"/>
            <w:vAlign w:val="center"/>
          </w:tcPr>
          <w:p>
            <w:pPr>
              <w:pStyle w:val="yTable"/>
              <w:ind w:right="382"/>
              <w:jc w:val="right"/>
            </w:pPr>
            <w:r>
              <w:t>149.55</w:t>
            </w:r>
          </w:p>
        </w:tc>
      </w:tr>
      <w:tr>
        <w:tblPrEx>
          <w:tblCellMar>
            <w:left w:w="108" w:type="dxa"/>
            <w:right w:w="108" w:type="dxa"/>
          </w:tblCellMar>
        </w:tblPrEx>
        <w:tc>
          <w:tcPr>
            <w:tcW w:w="5245" w:type="dxa"/>
          </w:tcPr>
          <w:p>
            <w:pPr>
              <w:pStyle w:val="yTable"/>
            </w:pPr>
            <w:r>
              <w:t>55721</w:t>
            </w:r>
          </w:p>
        </w:tc>
        <w:tc>
          <w:tcPr>
            <w:tcW w:w="1418" w:type="dxa"/>
            <w:vAlign w:val="center"/>
          </w:tcPr>
          <w:p>
            <w:pPr>
              <w:pStyle w:val="yTable"/>
              <w:ind w:right="382"/>
              <w:jc w:val="right"/>
            </w:pPr>
            <w:r>
              <w:t>171.95</w:t>
            </w:r>
          </w:p>
        </w:tc>
      </w:tr>
      <w:tr>
        <w:tblPrEx>
          <w:tblCellMar>
            <w:left w:w="108" w:type="dxa"/>
            <w:right w:w="108" w:type="dxa"/>
          </w:tblCellMar>
        </w:tblPrEx>
        <w:tc>
          <w:tcPr>
            <w:tcW w:w="5245" w:type="dxa"/>
          </w:tcPr>
          <w:p>
            <w:pPr>
              <w:pStyle w:val="yTable"/>
            </w:pPr>
            <w:r>
              <w:t>55723</w:t>
            </w:r>
          </w:p>
        </w:tc>
        <w:tc>
          <w:tcPr>
            <w:tcW w:w="1418" w:type="dxa"/>
            <w:vAlign w:val="center"/>
          </w:tcPr>
          <w:p>
            <w:pPr>
              <w:pStyle w:val="yTable"/>
              <w:ind w:right="382"/>
              <w:jc w:val="right"/>
            </w:pPr>
            <w:r>
              <w:t>56.85</w:t>
            </w:r>
          </w:p>
        </w:tc>
      </w:tr>
      <w:tr>
        <w:tblPrEx>
          <w:tblCellMar>
            <w:left w:w="108" w:type="dxa"/>
            <w:right w:w="108" w:type="dxa"/>
          </w:tblCellMar>
        </w:tblPrEx>
        <w:tc>
          <w:tcPr>
            <w:tcW w:w="5245" w:type="dxa"/>
          </w:tcPr>
          <w:p>
            <w:pPr>
              <w:pStyle w:val="yTable"/>
            </w:pPr>
            <w:r>
              <w:t>55725</w:t>
            </w:r>
          </w:p>
        </w:tc>
        <w:tc>
          <w:tcPr>
            <w:tcW w:w="1418" w:type="dxa"/>
            <w:vAlign w:val="center"/>
          </w:tcPr>
          <w:p>
            <w:pPr>
              <w:pStyle w:val="yTable"/>
              <w:ind w:right="382"/>
              <w:jc w:val="right"/>
            </w:pPr>
            <w:r>
              <w:t>59.80</w:t>
            </w:r>
          </w:p>
        </w:tc>
      </w:tr>
      <w:tr>
        <w:tblPrEx>
          <w:tblCellMar>
            <w:left w:w="108" w:type="dxa"/>
            <w:right w:w="108" w:type="dxa"/>
          </w:tblCellMar>
        </w:tblPrEx>
        <w:tc>
          <w:tcPr>
            <w:tcW w:w="5245" w:type="dxa"/>
          </w:tcPr>
          <w:p>
            <w:pPr>
              <w:pStyle w:val="yTable"/>
            </w:pPr>
            <w:r>
              <w:t>55729</w:t>
            </w:r>
          </w:p>
        </w:tc>
        <w:tc>
          <w:tcPr>
            <w:tcW w:w="1418" w:type="dxa"/>
            <w:vAlign w:val="center"/>
          </w:tcPr>
          <w:p>
            <w:pPr>
              <w:pStyle w:val="yTable"/>
              <w:ind w:right="382"/>
              <w:jc w:val="right"/>
            </w:pPr>
            <w:r>
              <w:t>40.75</w:t>
            </w:r>
          </w:p>
        </w:tc>
      </w:tr>
      <w:tr>
        <w:tblPrEx>
          <w:tblCellMar>
            <w:left w:w="108" w:type="dxa"/>
            <w:right w:w="108" w:type="dxa"/>
          </w:tblCellMar>
        </w:tblPrEx>
        <w:tc>
          <w:tcPr>
            <w:tcW w:w="5245" w:type="dxa"/>
          </w:tcPr>
          <w:p>
            <w:pPr>
              <w:pStyle w:val="yTable"/>
            </w:pPr>
            <w:r>
              <w:t>55731</w:t>
            </w:r>
          </w:p>
        </w:tc>
        <w:tc>
          <w:tcPr>
            <w:tcW w:w="1418" w:type="dxa"/>
            <w:vAlign w:val="center"/>
          </w:tcPr>
          <w:p>
            <w:pPr>
              <w:pStyle w:val="yTable"/>
              <w:ind w:right="382"/>
              <w:jc w:val="right"/>
            </w:pPr>
            <w:r>
              <w:t>146.60</w:t>
            </w:r>
          </w:p>
        </w:tc>
      </w:tr>
      <w:tr>
        <w:tblPrEx>
          <w:tblCellMar>
            <w:left w:w="108" w:type="dxa"/>
            <w:right w:w="108" w:type="dxa"/>
          </w:tblCellMar>
        </w:tblPrEx>
        <w:tc>
          <w:tcPr>
            <w:tcW w:w="5245" w:type="dxa"/>
          </w:tcPr>
          <w:p>
            <w:pPr>
              <w:pStyle w:val="yTable"/>
            </w:pPr>
            <w:r>
              <w:t>55733</w:t>
            </w:r>
          </w:p>
        </w:tc>
        <w:tc>
          <w:tcPr>
            <w:tcW w:w="1418" w:type="dxa"/>
            <w:vAlign w:val="center"/>
          </w:tcPr>
          <w:p>
            <w:pPr>
              <w:pStyle w:val="yTable"/>
              <w:ind w:right="382"/>
              <w:jc w:val="right"/>
            </w:pPr>
            <w:r>
              <w:t>52.35</w:t>
            </w:r>
          </w:p>
        </w:tc>
      </w:tr>
      <w:tr>
        <w:tblPrEx>
          <w:tblCellMar>
            <w:left w:w="108" w:type="dxa"/>
            <w:right w:w="108" w:type="dxa"/>
          </w:tblCellMar>
        </w:tblPrEx>
        <w:tc>
          <w:tcPr>
            <w:tcW w:w="5245" w:type="dxa"/>
          </w:tcPr>
          <w:p>
            <w:pPr>
              <w:pStyle w:val="yTable"/>
            </w:pPr>
            <w:r>
              <w:t>55736</w:t>
            </w:r>
          </w:p>
        </w:tc>
        <w:tc>
          <w:tcPr>
            <w:tcW w:w="1418" w:type="dxa"/>
            <w:vAlign w:val="center"/>
          </w:tcPr>
          <w:p>
            <w:pPr>
              <w:pStyle w:val="yTable"/>
              <w:ind w:right="382"/>
              <w:jc w:val="right"/>
            </w:pPr>
            <w:r>
              <w:t>189.85</w:t>
            </w:r>
          </w:p>
        </w:tc>
      </w:tr>
      <w:tr>
        <w:tblPrEx>
          <w:tblCellMar>
            <w:left w:w="108" w:type="dxa"/>
            <w:right w:w="108" w:type="dxa"/>
          </w:tblCellMar>
        </w:tblPrEx>
        <w:tc>
          <w:tcPr>
            <w:tcW w:w="5245" w:type="dxa"/>
          </w:tcPr>
          <w:p>
            <w:pPr>
              <w:pStyle w:val="yTable"/>
            </w:pPr>
            <w:r>
              <w:t>55739</w:t>
            </w:r>
          </w:p>
        </w:tc>
        <w:tc>
          <w:tcPr>
            <w:tcW w:w="1418" w:type="dxa"/>
            <w:vAlign w:val="center"/>
          </w:tcPr>
          <w:p>
            <w:pPr>
              <w:pStyle w:val="yTable"/>
              <w:ind w:right="382"/>
              <w:jc w:val="right"/>
            </w:pPr>
            <w:r>
              <w:t>85.20</w:t>
            </w:r>
          </w:p>
        </w:tc>
      </w:tr>
      <w:tr>
        <w:tblPrEx>
          <w:tblCellMar>
            <w:left w:w="108" w:type="dxa"/>
            <w:right w:w="108" w:type="dxa"/>
          </w:tblCellMar>
        </w:tblPrEx>
        <w:tc>
          <w:tcPr>
            <w:tcW w:w="5245" w:type="dxa"/>
          </w:tcPr>
          <w:p>
            <w:pPr>
              <w:pStyle w:val="yTable"/>
            </w:pPr>
            <w:r>
              <w:t>55759</w:t>
            </w:r>
          </w:p>
        </w:tc>
        <w:tc>
          <w:tcPr>
            <w:tcW w:w="1418" w:type="dxa"/>
            <w:vAlign w:val="center"/>
          </w:tcPr>
          <w:p>
            <w:pPr>
              <w:pStyle w:val="yTable"/>
              <w:ind w:right="382"/>
              <w:jc w:val="right"/>
            </w:pPr>
            <w:r>
              <w:t>224.30</w:t>
            </w:r>
          </w:p>
        </w:tc>
      </w:tr>
      <w:tr>
        <w:tblPrEx>
          <w:tblCellMar>
            <w:left w:w="108" w:type="dxa"/>
            <w:right w:w="108" w:type="dxa"/>
          </w:tblCellMar>
        </w:tblPrEx>
        <w:tc>
          <w:tcPr>
            <w:tcW w:w="5245" w:type="dxa"/>
          </w:tcPr>
          <w:p>
            <w:pPr>
              <w:pStyle w:val="yTable"/>
            </w:pPr>
            <w:r>
              <w:t>55762</w:t>
            </w:r>
          </w:p>
        </w:tc>
        <w:tc>
          <w:tcPr>
            <w:tcW w:w="1418" w:type="dxa"/>
            <w:vAlign w:val="center"/>
          </w:tcPr>
          <w:p>
            <w:pPr>
              <w:pStyle w:val="yTable"/>
              <w:ind w:right="382"/>
              <w:jc w:val="right"/>
            </w:pPr>
            <w:r>
              <w:t>89.65</w:t>
            </w:r>
          </w:p>
        </w:tc>
      </w:tr>
      <w:tr>
        <w:tblPrEx>
          <w:tblCellMar>
            <w:left w:w="108" w:type="dxa"/>
            <w:right w:w="108" w:type="dxa"/>
          </w:tblCellMar>
        </w:tblPrEx>
        <w:tc>
          <w:tcPr>
            <w:tcW w:w="5245" w:type="dxa"/>
          </w:tcPr>
          <w:p>
            <w:pPr>
              <w:pStyle w:val="yTable"/>
            </w:pPr>
            <w:r>
              <w:t>55764</w:t>
            </w:r>
          </w:p>
        </w:tc>
        <w:tc>
          <w:tcPr>
            <w:tcW w:w="1418" w:type="dxa"/>
            <w:vAlign w:val="center"/>
          </w:tcPr>
          <w:p>
            <w:pPr>
              <w:pStyle w:val="yTable"/>
              <w:ind w:right="382"/>
              <w:jc w:val="right"/>
            </w:pPr>
            <w:r>
              <w:t>239.20</w:t>
            </w:r>
          </w:p>
        </w:tc>
      </w:tr>
      <w:tr>
        <w:tblPrEx>
          <w:tblCellMar>
            <w:left w:w="108" w:type="dxa"/>
            <w:right w:w="108" w:type="dxa"/>
          </w:tblCellMar>
        </w:tblPrEx>
        <w:tc>
          <w:tcPr>
            <w:tcW w:w="5245" w:type="dxa"/>
          </w:tcPr>
          <w:p>
            <w:pPr>
              <w:pStyle w:val="yTable"/>
            </w:pPr>
            <w:r>
              <w:t>55766</w:t>
            </w:r>
          </w:p>
        </w:tc>
        <w:tc>
          <w:tcPr>
            <w:tcW w:w="1418" w:type="dxa"/>
            <w:vAlign w:val="center"/>
          </w:tcPr>
          <w:p>
            <w:pPr>
              <w:pStyle w:val="yTable"/>
              <w:ind w:right="382"/>
              <w:jc w:val="right"/>
            </w:pPr>
            <w:r>
              <w:t>97.15</w:t>
            </w:r>
          </w:p>
        </w:tc>
      </w:tr>
      <w:tr>
        <w:tblPrEx>
          <w:tblCellMar>
            <w:left w:w="108" w:type="dxa"/>
            <w:right w:w="108" w:type="dxa"/>
          </w:tblCellMar>
        </w:tblPrEx>
        <w:tc>
          <w:tcPr>
            <w:tcW w:w="5245" w:type="dxa"/>
          </w:tcPr>
          <w:p>
            <w:pPr>
              <w:pStyle w:val="yTable"/>
            </w:pPr>
            <w:r>
              <w:t>55768</w:t>
            </w:r>
          </w:p>
        </w:tc>
        <w:tc>
          <w:tcPr>
            <w:tcW w:w="1418" w:type="dxa"/>
            <w:vAlign w:val="center"/>
          </w:tcPr>
          <w:p>
            <w:pPr>
              <w:pStyle w:val="yTable"/>
              <w:ind w:right="382"/>
              <w:jc w:val="right"/>
            </w:pPr>
            <w:r>
              <w:t>224.30</w:t>
            </w:r>
          </w:p>
        </w:tc>
      </w:tr>
      <w:tr>
        <w:tblPrEx>
          <w:tblCellMar>
            <w:left w:w="108" w:type="dxa"/>
            <w:right w:w="108" w:type="dxa"/>
          </w:tblCellMar>
        </w:tblPrEx>
        <w:tc>
          <w:tcPr>
            <w:tcW w:w="5245" w:type="dxa"/>
          </w:tcPr>
          <w:p>
            <w:pPr>
              <w:pStyle w:val="yTable"/>
            </w:pPr>
            <w:r>
              <w:t>55770</w:t>
            </w:r>
          </w:p>
        </w:tc>
        <w:tc>
          <w:tcPr>
            <w:tcW w:w="1418" w:type="dxa"/>
            <w:vAlign w:val="center"/>
          </w:tcPr>
          <w:p>
            <w:pPr>
              <w:pStyle w:val="yTable"/>
              <w:ind w:right="382"/>
              <w:jc w:val="right"/>
            </w:pPr>
            <w:r>
              <w:t>89.65</w:t>
            </w:r>
          </w:p>
        </w:tc>
      </w:tr>
      <w:tr>
        <w:tblPrEx>
          <w:tblCellMar>
            <w:left w:w="108" w:type="dxa"/>
            <w:right w:w="108" w:type="dxa"/>
          </w:tblCellMar>
        </w:tblPrEx>
        <w:tc>
          <w:tcPr>
            <w:tcW w:w="5245" w:type="dxa"/>
          </w:tcPr>
          <w:p>
            <w:pPr>
              <w:pStyle w:val="yTable"/>
            </w:pPr>
            <w:r>
              <w:t>55772</w:t>
            </w:r>
          </w:p>
        </w:tc>
        <w:tc>
          <w:tcPr>
            <w:tcW w:w="1418" w:type="dxa"/>
            <w:vAlign w:val="center"/>
          </w:tcPr>
          <w:p>
            <w:pPr>
              <w:pStyle w:val="yTable"/>
              <w:ind w:right="382"/>
              <w:jc w:val="right"/>
            </w:pPr>
            <w:r>
              <w:t>239.20</w:t>
            </w:r>
          </w:p>
        </w:tc>
      </w:tr>
      <w:tr>
        <w:tblPrEx>
          <w:tblCellMar>
            <w:left w:w="108" w:type="dxa"/>
            <w:right w:w="108" w:type="dxa"/>
          </w:tblCellMar>
        </w:tblPrEx>
        <w:tc>
          <w:tcPr>
            <w:tcW w:w="5245" w:type="dxa"/>
          </w:tcPr>
          <w:p>
            <w:pPr>
              <w:pStyle w:val="yTable"/>
            </w:pPr>
            <w:r>
              <w:t>55774</w:t>
            </w:r>
          </w:p>
        </w:tc>
        <w:tc>
          <w:tcPr>
            <w:tcW w:w="1418" w:type="dxa"/>
            <w:vAlign w:val="center"/>
          </w:tcPr>
          <w:p>
            <w:pPr>
              <w:pStyle w:val="yTable"/>
              <w:ind w:right="382"/>
              <w:jc w:val="right"/>
            </w:pPr>
            <w:r>
              <w:t>97.15</w:t>
            </w:r>
          </w:p>
        </w:tc>
      </w:tr>
      <w:tr>
        <w:tblPrEx>
          <w:tblCellMar>
            <w:left w:w="108" w:type="dxa"/>
            <w:right w:w="108" w:type="dxa"/>
          </w:tblCellMar>
        </w:tblPrEx>
        <w:tc>
          <w:tcPr>
            <w:tcW w:w="5245" w:type="dxa"/>
          </w:tcPr>
          <w:p>
            <w:pPr>
              <w:pStyle w:val="yTable"/>
            </w:pPr>
            <w:r>
              <w:t>55800</w:t>
            </w:r>
          </w:p>
        </w:tc>
        <w:tc>
          <w:tcPr>
            <w:tcW w:w="1418" w:type="dxa"/>
            <w:vAlign w:val="center"/>
          </w:tcPr>
          <w:p>
            <w:pPr>
              <w:pStyle w:val="yTable"/>
              <w:ind w:right="382"/>
              <w:jc w:val="right"/>
            </w:pPr>
            <w:r>
              <w:t>163.15</w:t>
            </w:r>
          </w:p>
        </w:tc>
      </w:tr>
      <w:tr>
        <w:tblPrEx>
          <w:tblCellMar>
            <w:left w:w="108" w:type="dxa"/>
            <w:right w:w="108" w:type="dxa"/>
          </w:tblCellMar>
        </w:tblPrEx>
        <w:tc>
          <w:tcPr>
            <w:tcW w:w="5245" w:type="dxa"/>
          </w:tcPr>
          <w:p>
            <w:pPr>
              <w:pStyle w:val="yTable"/>
            </w:pPr>
            <w:r>
              <w:t>55802</w:t>
            </w:r>
          </w:p>
        </w:tc>
        <w:tc>
          <w:tcPr>
            <w:tcW w:w="1418" w:type="dxa"/>
            <w:vAlign w:val="center"/>
          </w:tcPr>
          <w:p>
            <w:pPr>
              <w:pStyle w:val="yTable"/>
              <w:ind w:right="382"/>
              <w:jc w:val="right"/>
            </w:pPr>
            <w:r>
              <w:t>56.60</w:t>
            </w:r>
          </w:p>
        </w:tc>
      </w:tr>
      <w:tr>
        <w:tblPrEx>
          <w:tblCellMar>
            <w:left w:w="108" w:type="dxa"/>
            <w:right w:w="108" w:type="dxa"/>
          </w:tblCellMar>
        </w:tblPrEx>
        <w:tc>
          <w:tcPr>
            <w:tcW w:w="5245" w:type="dxa"/>
          </w:tcPr>
          <w:p>
            <w:pPr>
              <w:pStyle w:val="yTable"/>
            </w:pPr>
            <w:r>
              <w:t>55804</w:t>
            </w:r>
          </w:p>
        </w:tc>
        <w:tc>
          <w:tcPr>
            <w:tcW w:w="1418" w:type="dxa"/>
            <w:vAlign w:val="center"/>
          </w:tcPr>
          <w:p>
            <w:pPr>
              <w:pStyle w:val="yTable"/>
              <w:ind w:right="382"/>
              <w:jc w:val="right"/>
            </w:pPr>
            <w:r>
              <w:t>163.15</w:t>
            </w:r>
          </w:p>
        </w:tc>
      </w:tr>
      <w:tr>
        <w:tblPrEx>
          <w:tblCellMar>
            <w:left w:w="108" w:type="dxa"/>
            <w:right w:w="108" w:type="dxa"/>
          </w:tblCellMar>
        </w:tblPrEx>
        <w:tc>
          <w:tcPr>
            <w:tcW w:w="5245" w:type="dxa"/>
          </w:tcPr>
          <w:p>
            <w:pPr>
              <w:pStyle w:val="yTable"/>
            </w:pPr>
            <w:r>
              <w:t>55806</w:t>
            </w:r>
          </w:p>
        </w:tc>
        <w:tc>
          <w:tcPr>
            <w:tcW w:w="1418" w:type="dxa"/>
            <w:vAlign w:val="center"/>
          </w:tcPr>
          <w:p>
            <w:pPr>
              <w:pStyle w:val="yTable"/>
              <w:ind w:right="382"/>
              <w:jc w:val="right"/>
            </w:pPr>
            <w:r>
              <w:t>56.60</w:t>
            </w:r>
          </w:p>
        </w:tc>
      </w:tr>
      <w:tr>
        <w:tblPrEx>
          <w:tblCellMar>
            <w:left w:w="108" w:type="dxa"/>
            <w:right w:w="108" w:type="dxa"/>
          </w:tblCellMar>
        </w:tblPrEx>
        <w:tc>
          <w:tcPr>
            <w:tcW w:w="5245" w:type="dxa"/>
          </w:tcPr>
          <w:p>
            <w:pPr>
              <w:pStyle w:val="yTable"/>
            </w:pPr>
            <w:r>
              <w:t>55808</w:t>
            </w:r>
          </w:p>
        </w:tc>
        <w:tc>
          <w:tcPr>
            <w:tcW w:w="1418" w:type="dxa"/>
            <w:vAlign w:val="center"/>
          </w:tcPr>
          <w:p>
            <w:pPr>
              <w:pStyle w:val="yTable"/>
              <w:ind w:right="382"/>
              <w:jc w:val="right"/>
            </w:pPr>
            <w:r>
              <w:t>163.15</w:t>
            </w:r>
          </w:p>
        </w:tc>
      </w:tr>
      <w:tr>
        <w:tblPrEx>
          <w:tblCellMar>
            <w:left w:w="108" w:type="dxa"/>
            <w:right w:w="108" w:type="dxa"/>
          </w:tblCellMar>
        </w:tblPrEx>
        <w:tc>
          <w:tcPr>
            <w:tcW w:w="5245" w:type="dxa"/>
          </w:tcPr>
          <w:p>
            <w:pPr>
              <w:pStyle w:val="yTable"/>
            </w:pPr>
            <w:r>
              <w:t>55810</w:t>
            </w:r>
          </w:p>
        </w:tc>
        <w:tc>
          <w:tcPr>
            <w:tcW w:w="1418" w:type="dxa"/>
            <w:vAlign w:val="center"/>
          </w:tcPr>
          <w:p>
            <w:pPr>
              <w:pStyle w:val="yTable"/>
              <w:ind w:right="382"/>
              <w:jc w:val="right"/>
            </w:pPr>
            <w:r>
              <w:t>56.60</w:t>
            </w:r>
          </w:p>
        </w:tc>
      </w:tr>
      <w:tr>
        <w:tblPrEx>
          <w:tblCellMar>
            <w:left w:w="108" w:type="dxa"/>
            <w:right w:w="108" w:type="dxa"/>
          </w:tblCellMar>
        </w:tblPrEx>
        <w:tc>
          <w:tcPr>
            <w:tcW w:w="5245" w:type="dxa"/>
          </w:tcPr>
          <w:p>
            <w:pPr>
              <w:pStyle w:val="yTable"/>
            </w:pPr>
            <w:r>
              <w:t>55812</w:t>
            </w:r>
          </w:p>
        </w:tc>
        <w:tc>
          <w:tcPr>
            <w:tcW w:w="1418" w:type="dxa"/>
            <w:vAlign w:val="center"/>
          </w:tcPr>
          <w:p>
            <w:pPr>
              <w:pStyle w:val="yTable"/>
              <w:ind w:right="382"/>
              <w:jc w:val="right"/>
            </w:pPr>
            <w:r>
              <w:t>163.15</w:t>
            </w:r>
          </w:p>
        </w:tc>
      </w:tr>
      <w:tr>
        <w:tblPrEx>
          <w:tblCellMar>
            <w:left w:w="108" w:type="dxa"/>
            <w:right w:w="108" w:type="dxa"/>
          </w:tblCellMar>
        </w:tblPrEx>
        <w:tc>
          <w:tcPr>
            <w:tcW w:w="5245" w:type="dxa"/>
          </w:tcPr>
          <w:p>
            <w:pPr>
              <w:pStyle w:val="yTable"/>
            </w:pPr>
            <w:r>
              <w:t>55814</w:t>
            </w:r>
          </w:p>
        </w:tc>
        <w:tc>
          <w:tcPr>
            <w:tcW w:w="1418" w:type="dxa"/>
            <w:vAlign w:val="center"/>
          </w:tcPr>
          <w:p>
            <w:pPr>
              <w:pStyle w:val="yTable"/>
              <w:ind w:right="382"/>
              <w:jc w:val="right"/>
            </w:pPr>
            <w:r>
              <w:t>56.60</w:t>
            </w:r>
          </w:p>
        </w:tc>
      </w:tr>
      <w:tr>
        <w:tblPrEx>
          <w:tblCellMar>
            <w:left w:w="108" w:type="dxa"/>
            <w:right w:w="108" w:type="dxa"/>
          </w:tblCellMar>
        </w:tblPrEx>
        <w:tc>
          <w:tcPr>
            <w:tcW w:w="5245" w:type="dxa"/>
          </w:tcPr>
          <w:p>
            <w:pPr>
              <w:pStyle w:val="yTable"/>
            </w:pPr>
            <w:r>
              <w:t>55816</w:t>
            </w:r>
          </w:p>
        </w:tc>
        <w:tc>
          <w:tcPr>
            <w:tcW w:w="1418" w:type="dxa"/>
            <w:vAlign w:val="center"/>
          </w:tcPr>
          <w:p>
            <w:pPr>
              <w:pStyle w:val="yTable"/>
              <w:ind w:right="382"/>
              <w:jc w:val="right"/>
            </w:pPr>
            <w:r>
              <w:t>163.15</w:t>
            </w:r>
          </w:p>
        </w:tc>
      </w:tr>
      <w:tr>
        <w:tblPrEx>
          <w:tblCellMar>
            <w:left w:w="108" w:type="dxa"/>
            <w:right w:w="108" w:type="dxa"/>
          </w:tblCellMar>
        </w:tblPrEx>
        <w:tc>
          <w:tcPr>
            <w:tcW w:w="5245" w:type="dxa"/>
          </w:tcPr>
          <w:p>
            <w:pPr>
              <w:pStyle w:val="yTable"/>
            </w:pPr>
            <w:r>
              <w:t>55818</w:t>
            </w:r>
          </w:p>
        </w:tc>
        <w:tc>
          <w:tcPr>
            <w:tcW w:w="1418" w:type="dxa"/>
            <w:vAlign w:val="center"/>
          </w:tcPr>
          <w:p>
            <w:pPr>
              <w:pStyle w:val="yTable"/>
              <w:ind w:right="382"/>
              <w:jc w:val="right"/>
            </w:pPr>
            <w:r>
              <w:t>56.60</w:t>
            </w:r>
          </w:p>
        </w:tc>
      </w:tr>
      <w:tr>
        <w:tblPrEx>
          <w:tblCellMar>
            <w:left w:w="108" w:type="dxa"/>
            <w:right w:w="108" w:type="dxa"/>
          </w:tblCellMar>
        </w:tblPrEx>
        <w:tc>
          <w:tcPr>
            <w:tcW w:w="5245" w:type="dxa"/>
          </w:tcPr>
          <w:p>
            <w:pPr>
              <w:pStyle w:val="yTable"/>
            </w:pPr>
            <w:r>
              <w:t>55820</w:t>
            </w:r>
          </w:p>
        </w:tc>
        <w:tc>
          <w:tcPr>
            <w:tcW w:w="1418" w:type="dxa"/>
            <w:vAlign w:val="center"/>
          </w:tcPr>
          <w:p>
            <w:pPr>
              <w:pStyle w:val="yTable"/>
              <w:ind w:right="382"/>
              <w:jc w:val="right"/>
            </w:pPr>
            <w:r>
              <w:t>163.15</w:t>
            </w:r>
          </w:p>
        </w:tc>
      </w:tr>
      <w:tr>
        <w:tblPrEx>
          <w:tblCellMar>
            <w:left w:w="108" w:type="dxa"/>
            <w:right w:w="108" w:type="dxa"/>
          </w:tblCellMar>
        </w:tblPrEx>
        <w:tc>
          <w:tcPr>
            <w:tcW w:w="5245" w:type="dxa"/>
          </w:tcPr>
          <w:p>
            <w:pPr>
              <w:pStyle w:val="yTable"/>
            </w:pPr>
            <w:r>
              <w:t>55822</w:t>
            </w:r>
          </w:p>
        </w:tc>
        <w:tc>
          <w:tcPr>
            <w:tcW w:w="1418" w:type="dxa"/>
            <w:vAlign w:val="center"/>
          </w:tcPr>
          <w:p>
            <w:pPr>
              <w:pStyle w:val="yTable"/>
              <w:ind w:right="382"/>
              <w:jc w:val="right"/>
            </w:pPr>
            <w:r>
              <w:t>56.60</w:t>
            </w:r>
          </w:p>
        </w:tc>
      </w:tr>
      <w:tr>
        <w:tblPrEx>
          <w:tblCellMar>
            <w:left w:w="108" w:type="dxa"/>
            <w:right w:w="108" w:type="dxa"/>
          </w:tblCellMar>
        </w:tblPrEx>
        <w:tc>
          <w:tcPr>
            <w:tcW w:w="5245" w:type="dxa"/>
          </w:tcPr>
          <w:p>
            <w:pPr>
              <w:pStyle w:val="yTable"/>
            </w:pPr>
            <w:r>
              <w:t>55824</w:t>
            </w:r>
          </w:p>
        </w:tc>
        <w:tc>
          <w:tcPr>
            <w:tcW w:w="1418" w:type="dxa"/>
            <w:vAlign w:val="center"/>
          </w:tcPr>
          <w:p>
            <w:pPr>
              <w:pStyle w:val="yTable"/>
              <w:ind w:right="382"/>
              <w:jc w:val="right"/>
            </w:pPr>
            <w:r>
              <w:t>163.15</w:t>
            </w:r>
          </w:p>
        </w:tc>
      </w:tr>
      <w:tr>
        <w:tblPrEx>
          <w:tblCellMar>
            <w:left w:w="108" w:type="dxa"/>
            <w:right w:w="108" w:type="dxa"/>
          </w:tblCellMar>
        </w:tblPrEx>
        <w:tc>
          <w:tcPr>
            <w:tcW w:w="5245" w:type="dxa"/>
          </w:tcPr>
          <w:p>
            <w:pPr>
              <w:pStyle w:val="yTable"/>
            </w:pPr>
            <w:r>
              <w:t>55826</w:t>
            </w:r>
          </w:p>
        </w:tc>
        <w:tc>
          <w:tcPr>
            <w:tcW w:w="1418" w:type="dxa"/>
            <w:vAlign w:val="center"/>
          </w:tcPr>
          <w:p>
            <w:pPr>
              <w:pStyle w:val="yTable"/>
              <w:ind w:right="382"/>
              <w:jc w:val="right"/>
            </w:pPr>
            <w:r>
              <w:t>56.60</w:t>
            </w:r>
          </w:p>
        </w:tc>
      </w:tr>
      <w:tr>
        <w:tblPrEx>
          <w:tblCellMar>
            <w:left w:w="108" w:type="dxa"/>
            <w:right w:w="108" w:type="dxa"/>
          </w:tblCellMar>
        </w:tblPrEx>
        <w:tc>
          <w:tcPr>
            <w:tcW w:w="5245" w:type="dxa"/>
          </w:tcPr>
          <w:p>
            <w:pPr>
              <w:pStyle w:val="yTable"/>
            </w:pPr>
            <w:r>
              <w:t>55828</w:t>
            </w:r>
          </w:p>
        </w:tc>
        <w:tc>
          <w:tcPr>
            <w:tcW w:w="1418" w:type="dxa"/>
            <w:vAlign w:val="center"/>
          </w:tcPr>
          <w:p>
            <w:pPr>
              <w:pStyle w:val="yTable"/>
              <w:ind w:right="382"/>
              <w:jc w:val="right"/>
            </w:pPr>
            <w:r>
              <w:t>163.15</w:t>
            </w:r>
          </w:p>
        </w:tc>
      </w:tr>
      <w:tr>
        <w:tblPrEx>
          <w:tblCellMar>
            <w:left w:w="108" w:type="dxa"/>
            <w:right w:w="108" w:type="dxa"/>
          </w:tblCellMar>
        </w:tblPrEx>
        <w:tc>
          <w:tcPr>
            <w:tcW w:w="5245" w:type="dxa"/>
          </w:tcPr>
          <w:p>
            <w:pPr>
              <w:pStyle w:val="yTable"/>
            </w:pPr>
            <w:r>
              <w:t>55830</w:t>
            </w:r>
          </w:p>
        </w:tc>
        <w:tc>
          <w:tcPr>
            <w:tcW w:w="1418" w:type="dxa"/>
            <w:vAlign w:val="center"/>
          </w:tcPr>
          <w:p>
            <w:pPr>
              <w:pStyle w:val="yTable"/>
              <w:ind w:right="382"/>
              <w:jc w:val="right"/>
            </w:pPr>
            <w:r>
              <w:t>56.60</w:t>
            </w:r>
          </w:p>
        </w:tc>
      </w:tr>
      <w:tr>
        <w:tblPrEx>
          <w:tblCellMar>
            <w:left w:w="108" w:type="dxa"/>
            <w:right w:w="108" w:type="dxa"/>
          </w:tblCellMar>
        </w:tblPrEx>
        <w:tc>
          <w:tcPr>
            <w:tcW w:w="5245" w:type="dxa"/>
          </w:tcPr>
          <w:p>
            <w:pPr>
              <w:pStyle w:val="yTable"/>
            </w:pPr>
            <w:r>
              <w:t>55832</w:t>
            </w:r>
          </w:p>
        </w:tc>
        <w:tc>
          <w:tcPr>
            <w:tcW w:w="1418" w:type="dxa"/>
            <w:vAlign w:val="center"/>
          </w:tcPr>
          <w:p>
            <w:pPr>
              <w:pStyle w:val="yTable"/>
              <w:ind w:right="382"/>
              <w:jc w:val="right"/>
            </w:pPr>
            <w:r>
              <w:t>163.15</w:t>
            </w:r>
          </w:p>
        </w:tc>
      </w:tr>
      <w:tr>
        <w:tblPrEx>
          <w:tblCellMar>
            <w:left w:w="108" w:type="dxa"/>
            <w:right w:w="108" w:type="dxa"/>
          </w:tblCellMar>
        </w:tblPrEx>
        <w:tc>
          <w:tcPr>
            <w:tcW w:w="5245" w:type="dxa"/>
          </w:tcPr>
          <w:p>
            <w:pPr>
              <w:pStyle w:val="yTable"/>
            </w:pPr>
            <w:r>
              <w:t>55834</w:t>
            </w:r>
          </w:p>
        </w:tc>
        <w:tc>
          <w:tcPr>
            <w:tcW w:w="1418" w:type="dxa"/>
            <w:vAlign w:val="center"/>
          </w:tcPr>
          <w:p>
            <w:pPr>
              <w:pStyle w:val="yTable"/>
              <w:ind w:right="382"/>
              <w:jc w:val="right"/>
            </w:pPr>
            <w:r>
              <w:t>56.60</w:t>
            </w:r>
          </w:p>
        </w:tc>
      </w:tr>
      <w:tr>
        <w:tblPrEx>
          <w:tblCellMar>
            <w:left w:w="108" w:type="dxa"/>
            <w:right w:w="108" w:type="dxa"/>
          </w:tblCellMar>
        </w:tblPrEx>
        <w:tc>
          <w:tcPr>
            <w:tcW w:w="5245" w:type="dxa"/>
          </w:tcPr>
          <w:p>
            <w:pPr>
              <w:pStyle w:val="yTable"/>
            </w:pPr>
            <w:r>
              <w:t>55836</w:t>
            </w:r>
          </w:p>
        </w:tc>
        <w:tc>
          <w:tcPr>
            <w:tcW w:w="1418" w:type="dxa"/>
            <w:vAlign w:val="center"/>
          </w:tcPr>
          <w:p>
            <w:pPr>
              <w:pStyle w:val="yTable"/>
              <w:ind w:right="382"/>
              <w:jc w:val="right"/>
            </w:pPr>
            <w:r>
              <w:t>163.15</w:t>
            </w:r>
          </w:p>
        </w:tc>
      </w:tr>
      <w:tr>
        <w:tblPrEx>
          <w:tblCellMar>
            <w:left w:w="108" w:type="dxa"/>
            <w:right w:w="108" w:type="dxa"/>
          </w:tblCellMar>
        </w:tblPrEx>
        <w:tc>
          <w:tcPr>
            <w:tcW w:w="5245" w:type="dxa"/>
          </w:tcPr>
          <w:p>
            <w:pPr>
              <w:pStyle w:val="yTable"/>
            </w:pPr>
            <w:r>
              <w:t>55838</w:t>
            </w:r>
          </w:p>
        </w:tc>
        <w:tc>
          <w:tcPr>
            <w:tcW w:w="1418" w:type="dxa"/>
            <w:vAlign w:val="center"/>
          </w:tcPr>
          <w:p>
            <w:pPr>
              <w:pStyle w:val="yTable"/>
              <w:ind w:right="382"/>
              <w:jc w:val="right"/>
            </w:pPr>
            <w:r>
              <w:t>56.60</w:t>
            </w:r>
          </w:p>
        </w:tc>
      </w:tr>
      <w:tr>
        <w:tblPrEx>
          <w:tblCellMar>
            <w:left w:w="108" w:type="dxa"/>
            <w:right w:w="108" w:type="dxa"/>
          </w:tblCellMar>
        </w:tblPrEx>
        <w:tc>
          <w:tcPr>
            <w:tcW w:w="5245" w:type="dxa"/>
          </w:tcPr>
          <w:p>
            <w:pPr>
              <w:pStyle w:val="yTable"/>
            </w:pPr>
            <w:r>
              <w:t>55840</w:t>
            </w:r>
          </w:p>
        </w:tc>
        <w:tc>
          <w:tcPr>
            <w:tcW w:w="1418" w:type="dxa"/>
            <w:vAlign w:val="center"/>
          </w:tcPr>
          <w:p>
            <w:pPr>
              <w:pStyle w:val="yTable"/>
              <w:ind w:right="382"/>
              <w:jc w:val="right"/>
            </w:pPr>
            <w:r>
              <w:t>163.15</w:t>
            </w:r>
          </w:p>
        </w:tc>
      </w:tr>
      <w:tr>
        <w:tblPrEx>
          <w:tblCellMar>
            <w:left w:w="108" w:type="dxa"/>
            <w:right w:w="108" w:type="dxa"/>
          </w:tblCellMar>
        </w:tblPrEx>
        <w:tc>
          <w:tcPr>
            <w:tcW w:w="5245" w:type="dxa"/>
          </w:tcPr>
          <w:p>
            <w:pPr>
              <w:pStyle w:val="yTable"/>
            </w:pPr>
            <w:r>
              <w:t>55842</w:t>
            </w:r>
          </w:p>
        </w:tc>
        <w:tc>
          <w:tcPr>
            <w:tcW w:w="1418" w:type="dxa"/>
            <w:vAlign w:val="center"/>
          </w:tcPr>
          <w:p>
            <w:pPr>
              <w:pStyle w:val="yTable"/>
              <w:ind w:right="382"/>
              <w:jc w:val="right"/>
            </w:pPr>
            <w:r>
              <w:t>56.60</w:t>
            </w:r>
          </w:p>
        </w:tc>
      </w:tr>
      <w:tr>
        <w:tblPrEx>
          <w:tblCellMar>
            <w:left w:w="108" w:type="dxa"/>
            <w:right w:w="108" w:type="dxa"/>
          </w:tblCellMar>
        </w:tblPrEx>
        <w:tc>
          <w:tcPr>
            <w:tcW w:w="5245" w:type="dxa"/>
          </w:tcPr>
          <w:p>
            <w:pPr>
              <w:pStyle w:val="yTable"/>
            </w:pPr>
            <w:r>
              <w:t>55844</w:t>
            </w:r>
          </w:p>
        </w:tc>
        <w:tc>
          <w:tcPr>
            <w:tcW w:w="1418" w:type="dxa"/>
            <w:vAlign w:val="center"/>
          </w:tcPr>
          <w:p>
            <w:pPr>
              <w:pStyle w:val="yTable"/>
              <w:ind w:right="382"/>
              <w:jc w:val="right"/>
            </w:pPr>
            <w:r>
              <w:t>130.60</w:t>
            </w:r>
          </w:p>
        </w:tc>
      </w:tr>
      <w:tr>
        <w:tblPrEx>
          <w:tblCellMar>
            <w:left w:w="108" w:type="dxa"/>
            <w:right w:w="108" w:type="dxa"/>
          </w:tblCellMar>
        </w:tblPrEx>
        <w:tc>
          <w:tcPr>
            <w:tcW w:w="5245" w:type="dxa"/>
          </w:tcPr>
          <w:p>
            <w:pPr>
              <w:pStyle w:val="yTable"/>
            </w:pPr>
            <w:r>
              <w:t>55846</w:t>
            </w:r>
          </w:p>
        </w:tc>
        <w:tc>
          <w:tcPr>
            <w:tcW w:w="1418" w:type="dxa"/>
            <w:vAlign w:val="center"/>
          </w:tcPr>
          <w:p>
            <w:pPr>
              <w:pStyle w:val="yTable"/>
              <w:ind w:right="382"/>
              <w:jc w:val="right"/>
            </w:pPr>
            <w:r>
              <w:t>56.60</w:t>
            </w:r>
          </w:p>
        </w:tc>
      </w:tr>
      <w:tr>
        <w:tblPrEx>
          <w:tblCellMar>
            <w:left w:w="108" w:type="dxa"/>
            <w:right w:w="108" w:type="dxa"/>
          </w:tblCellMar>
        </w:tblPrEx>
        <w:tc>
          <w:tcPr>
            <w:tcW w:w="5245" w:type="dxa"/>
          </w:tcPr>
          <w:p>
            <w:pPr>
              <w:pStyle w:val="yTable"/>
            </w:pPr>
            <w:r>
              <w:t>55848</w:t>
            </w:r>
          </w:p>
        </w:tc>
        <w:tc>
          <w:tcPr>
            <w:tcW w:w="1418" w:type="dxa"/>
            <w:vAlign w:val="center"/>
          </w:tcPr>
          <w:p>
            <w:pPr>
              <w:pStyle w:val="yTable"/>
              <w:ind w:right="382"/>
              <w:jc w:val="right"/>
            </w:pPr>
            <w:r>
              <w:t>163.15</w:t>
            </w:r>
          </w:p>
        </w:tc>
      </w:tr>
      <w:tr>
        <w:tblPrEx>
          <w:tblCellMar>
            <w:left w:w="108" w:type="dxa"/>
            <w:right w:w="108" w:type="dxa"/>
          </w:tblCellMar>
        </w:tblPrEx>
        <w:tc>
          <w:tcPr>
            <w:tcW w:w="5245" w:type="dxa"/>
          </w:tcPr>
          <w:p>
            <w:pPr>
              <w:pStyle w:val="yTable"/>
            </w:pPr>
            <w:r>
              <w:t>55850</w:t>
            </w:r>
          </w:p>
        </w:tc>
        <w:tc>
          <w:tcPr>
            <w:tcW w:w="1418" w:type="dxa"/>
            <w:vAlign w:val="center"/>
          </w:tcPr>
          <w:p>
            <w:pPr>
              <w:pStyle w:val="yTable"/>
              <w:ind w:right="382"/>
              <w:jc w:val="right"/>
            </w:pPr>
            <w:r>
              <w:t>228.55</w:t>
            </w:r>
          </w:p>
        </w:tc>
      </w:tr>
      <w:tr>
        <w:tblPrEx>
          <w:tblCellMar>
            <w:left w:w="108" w:type="dxa"/>
            <w:right w:w="108" w:type="dxa"/>
          </w:tblCellMar>
        </w:tblPrEx>
        <w:tc>
          <w:tcPr>
            <w:tcW w:w="5245" w:type="dxa"/>
          </w:tcPr>
          <w:p>
            <w:pPr>
              <w:pStyle w:val="yTable"/>
            </w:pPr>
            <w:r>
              <w:t>55852</w:t>
            </w:r>
          </w:p>
        </w:tc>
        <w:tc>
          <w:tcPr>
            <w:tcW w:w="1418" w:type="dxa"/>
            <w:vAlign w:val="center"/>
          </w:tcPr>
          <w:p>
            <w:pPr>
              <w:pStyle w:val="yTable"/>
              <w:ind w:right="382"/>
              <w:jc w:val="right"/>
            </w:pPr>
            <w:r>
              <w:t>163.15</w:t>
            </w:r>
          </w:p>
        </w:tc>
      </w:tr>
      <w:tr>
        <w:tblPrEx>
          <w:tblCellMar>
            <w:left w:w="108" w:type="dxa"/>
            <w:right w:w="108" w:type="dxa"/>
          </w:tblCellMar>
        </w:tblPrEx>
        <w:tc>
          <w:tcPr>
            <w:tcW w:w="5245" w:type="dxa"/>
            <w:tcBorders>
              <w:bottom w:val="single" w:sz="4" w:space="0" w:color="auto"/>
            </w:tcBorders>
          </w:tcPr>
          <w:p>
            <w:pPr>
              <w:pStyle w:val="yTable"/>
            </w:pPr>
            <w:r>
              <w:t>55854</w:t>
            </w:r>
          </w:p>
        </w:tc>
        <w:tc>
          <w:tcPr>
            <w:tcW w:w="1418" w:type="dxa"/>
            <w:tcBorders>
              <w:bottom w:val="single" w:sz="4" w:space="0" w:color="auto"/>
            </w:tcBorders>
            <w:vAlign w:val="center"/>
          </w:tcPr>
          <w:p>
            <w:pPr>
              <w:pStyle w:val="yTable"/>
              <w:ind w:right="382"/>
              <w:jc w:val="right"/>
            </w:pPr>
            <w:r>
              <w:t>56.60</w:t>
            </w:r>
          </w:p>
        </w:tc>
      </w:tr>
    </w:tbl>
    <w:p>
      <w:pPr>
        <w:pStyle w:val="yMiscellaneousBody"/>
        <w:keepNext/>
        <w:keepLines/>
      </w:pPr>
      <w:r>
        <w:t>COMPUTED TOMOGRAPHY — </w:t>
      </w:r>
      <w:r>
        <w:br/>
        <w:t>EXAMINATION AND REPORT</w:t>
      </w:r>
    </w:p>
    <w:tbl>
      <w:tblPr>
        <w:tblW w:w="0" w:type="auto"/>
        <w:tblInd w:w="113" w:type="dxa"/>
        <w:tblLayout w:type="fixed"/>
        <w:tblCellMar>
          <w:left w:w="113" w:type="dxa"/>
          <w:right w:w="113" w:type="dxa"/>
        </w:tblCellMar>
        <w:tblLook w:val="0000" w:firstRow="0" w:lastRow="0" w:firstColumn="0" w:lastColumn="0" w:noHBand="0" w:noVBand="0"/>
      </w:tblPr>
      <w:tblGrid>
        <w:gridCol w:w="5208"/>
        <w:gridCol w:w="1455"/>
      </w:tblGrid>
      <w:tr>
        <w:trPr>
          <w:tblHeader/>
        </w:trPr>
        <w:tc>
          <w:tcPr>
            <w:tcW w:w="5208" w:type="dxa"/>
            <w:tcBorders>
              <w:top w:val="single" w:sz="4" w:space="0" w:color="auto"/>
              <w:bottom w:val="single" w:sz="4" w:space="0" w:color="auto"/>
            </w:tcBorders>
          </w:tcPr>
          <w:p>
            <w:pPr>
              <w:pStyle w:val="yTable"/>
              <w:keepNext/>
              <w:keepLines/>
            </w:pPr>
            <w:r>
              <w:rPr>
                <w:b/>
                <w:bCs/>
              </w:rPr>
              <w:t>MBS item number</w:t>
            </w:r>
            <w:r>
              <w:rPr>
                <w:b/>
                <w:bCs/>
              </w:rPr>
              <w:br/>
            </w:r>
            <w:r>
              <w:rPr>
                <w:i/>
              </w:rPr>
              <w:t>(1 November 2007)</w:t>
            </w:r>
          </w:p>
        </w:tc>
        <w:tc>
          <w:tcPr>
            <w:tcW w:w="1455" w:type="dxa"/>
            <w:tcBorders>
              <w:top w:val="single" w:sz="4" w:space="0" w:color="auto"/>
              <w:bottom w:val="single" w:sz="4" w:space="0" w:color="auto"/>
            </w:tcBorders>
          </w:tcPr>
          <w:p>
            <w:pPr>
              <w:pStyle w:val="yTable"/>
              <w:keepNext/>
              <w:keepLines/>
              <w:ind w:right="315"/>
              <w:jc w:val="center"/>
            </w:pPr>
            <w:r>
              <w:rPr>
                <w:b/>
                <w:bCs/>
              </w:rPr>
              <w:t>Fee</w:t>
            </w:r>
            <w:r>
              <w:rPr>
                <w:b/>
                <w:bCs/>
              </w:rPr>
              <w:br/>
              <w:t>$</w:t>
            </w:r>
          </w:p>
        </w:tc>
      </w:tr>
      <w:tr>
        <w:tblPrEx>
          <w:tblCellMar>
            <w:left w:w="108" w:type="dxa"/>
            <w:right w:w="108" w:type="dxa"/>
          </w:tblCellMar>
        </w:tblPrEx>
        <w:tc>
          <w:tcPr>
            <w:tcW w:w="5208" w:type="dxa"/>
          </w:tcPr>
          <w:p>
            <w:pPr>
              <w:pStyle w:val="yTable"/>
            </w:pPr>
            <w:r>
              <w:t>56001</w:t>
            </w:r>
          </w:p>
        </w:tc>
        <w:tc>
          <w:tcPr>
            <w:tcW w:w="1455" w:type="dxa"/>
          </w:tcPr>
          <w:p>
            <w:pPr>
              <w:pStyle w:val="yTable"/>
              <w:ind w:right="315"/>
              <w:jc w:val="right"/>
            </w:pPr>
            <w:r>
              <w:t>267.80</w:t>
            </w:r>
          </w:p>
        </w:tc>
      </w:tr>
      <w:tr>
        <w:tblPrEx>
          <w:tblCellMar>
            <w:left w:w="108" w:type="dxa"/>
            <w:right w:w="108" w:type="dxa"/>
          </w:tblCellMar>
        </w:tblPrEx>
        <w:tc>
          <w:tcPr>
            <w:tcW w:w="5208" w:type="dxa"/>
          </w:tcPr>
          <w:p>
            <w:pPr>
              <w:pStyle w:val="yTable"/>
            </w:pPr>
            <w:r>
              <w:t>56007</w:t>
            </w:r>
          </w:p>
        </w:tc>
        <w:tc>
          <w:tcPr>
            <w:tcW w:w="1455" w:type="dxa"/>
          </w:tcPr>
          <w:p>
            <w:pPr>
              <w:pStyle w:val="yTable"/>
              <w:ind w:right="315"/>
              <w:jc w:val="right"/>
            </w:pPr>
            <w:r>
              <w:t>343.35</w:t>
            </w:r>
          </w:p>
        </w:tc>
      </w:tr>
      <w:tr>
        <w:tblPrEx>
          <w:tblCellMar>
            <w:left w:w="108" w:type="dxa"/>
            <w:right w:w="108" w:type="dxa"/>
          </w:tblCellMar>
        </w:tblPrEx>
        <w:tc>
          <w:tcPr>
            <w:tcW w:w="5208" w:type="dxa"/>
          </w:tcPr>
          <w:p>
            <w:pPr>
              <w:pStyle w:val="yTable"/>
            </w:pPr>
            <w:r>
              <w:t>56010</w:t>
            </w:r>
          </w:p>
        </w:tc>
        <w:tc>
          <w:tcPr>
            <w:tcW w:w="1455" w:type="dxa"/>
          </w:tcPr>
          <w:p>
            <w:pPr>
              <w:pStyle w:val="yTable"/>
              <w:ind w:right="315"/>
              <w:jc w:val="right"/>
            </w:pPr>
            <w:r>
              <w:t>346.15</w:t>
            </w:r>
          </w:p>
        </w:tc>
      </w:tr>
      <w:tr>
        <w:tblPrEx>
          <w:tblCellMar>
            <w:left w:w="108" w:type="dxa"/>
            <w:right w:w="108" w:type="dxa"/>
          </w:tblCellMar>
        </w:tblPrEx>
        <w:tc>
          <w:tcPr>
            <w:tcW w:w="5208" w:type="dxa"/>
          </w:tcPr>
          <w:p>
            <w:pPr>
              <w:pStyle w:val="yTable"/>
            </w:pPr>
            <w:r>
              <w:t>56013</w:t>
            </w:r>
          </w:p>
        </w:tc>
        <w:tc>
          <w:tcPr>
            <w:tcW w:w="1455" w:type="dxa"/>
          </w:tcPr>
          <w:p>
            <w:pPr>
              <w:pStyle w:val="yTable"/>
              <w:ind w:right="315"/>
              <w:jc w:val="right"/>
            </w:pPr>
            <w:r>
              <w:t>343.35</w:t>
            </w:r>
          </w:p>
        </w:tc>
      </w:tr>
      <w:tr>
        <w:tblPrEx>
          <w:tblCellMar>
            <w:left w:w="108" w:type="dxa"/>
            <w:right w:w="108" w:type="dxa"/>
          </w:tblCellMar>
        </w:tblPrEx>
        <w:tc>
          <w:tcPr>
            <w:tcW w:w="5208" w:type="dxa"/>
          </w:tcPr>
          <w:p>
            <w:pPr>
              <w:pStyle w:val="yTable"/>
            </w:pPr>
            <w:r>
              <w:t>56016</w:t>
            </w:r>
          </w:p>
        </w:tc>
        <w:tc>
          <w:tcPr>
            <w:tcW w:w="1455" w:type="dxa"/>
          </w:tcPr>
          <w:p>
            <w:pPr>
              <w:pStyle w:val="yTable"/>
              <w:ind w:right="315"/>
              <w:jc w:val="right"/>
            </w:pPr>
            <w:r>
              <w:t>398.30</w:t>
            </w:r>
          </w:p>
        </w:tc>
      </w:tr>
      <w:tr>
        <w:tblPrEx>
          <w:tblCellMar>
            <w:left w:w="108" w:type="dxa"/>
            <w:right w:w="108" w:type="dxa"/>
          </w:tblCellMar>
        </w:tblPrEx>
        <w:tc>
          <w:tcPr>
            <w:tcW w:w="5208" w:type="dxa"/>
          </w:tcPr>
          <w:p>
            <w:pPr>
              <w:pStyle w:val="yTable"/>
            </w:pPr>
            <w:r>
              <w:t>56022</w:t>
            </w:r>
          </w:p>
        </w:tc>
        <w:tc>
          <w:tcPr>
            <w:tcW w:w="1455" w:type="dxa"/>
          </w:tcPr>
          <w:p>
            <w:pPr>
              <w:pStyle w:val="yTable"/>
              <w:ind w:right="315"/>
              <w:jc w:val="right"/>
            </w:pPr>
            <w:r>
              <w:t>309.00</w:t>
            </w:r>
          </w:p>
        </w:tc>
      </w:tr>
      <w:tr>
        <w:tblPrEx>
          <w:tblCellMar>
            <w:left w:w="108" w:type="dxa"/>
            <w:right w:w="108" w:type="dxa"/>
          </w:tblCellMar>
        </w:tblPrEx>
        <w:tc>
          <w:tcPr>
            <w:tcW w:w="5208" w:type="dxa"/>
          </w:tcPr>
          <w:p>
            <w:pPr>
              <w:pStyle w:val="yTable"/>
            </w:pPr>
            <w:r>
              <w:t>56028</w:t>
            </w:r>
          </w:p>
        </w:tc>
        <w:tc>
          <w:tcPr>
            <w:tcW w:w="1455" w:type="dxa"/>
          </w:tcPr>
          <w:p>
            <w:pPr>
              <w:pStyle w:val="yTable"/>
              <w:ind w:right="315"/>
              <w:jc w:val="right"/>
            </w:pPr>
            <w:r>
              <w:t>462.50</w:t>
            </w:r>
          </w:p>
        </w:tc>
      </w:tr>
      <w:tr>
        <w:tblPrEx>
          <w:tblCellMar>
            <w:left w:w="108" w:type="dxa"/>
            <w:right w:w="108" w:type="dxa"/>
          </w:tblCellMar>
        </w:tblPrEx>
        <w:tc>
          <w:tcPr>
            <w:tcW w:w="5208" w:type="dxa"/>
          </w:tcPr>
          <w:p>
            <w:pPr>
              <w:pStyle w:val="yTable"/>
            </w:pPr>
            <w:r>
              <w:t>56030</w:t>
            </w:r>
          </w:p>
        </w:tc>
        <w:tc>
          <w:tcPr>
            <w:tcW w:w="1455" w:type="dxa"/>
          </w:tcPr>
          <w:p>
            <w:pPr>
              <w:pStyle w:val="yTable"/>
              <w:ind w:right="315"/>
              <w:jc w:val="right"/>
            </w:pPr>
            <w:r>
              <w:t>309.00</w:t>
            </w:r>
          </w:p>
        </w:tc>
      </w:tr>
      <w:tr>
        <w:tblPrEx>
          <w:tblCellMar>
            <w:left w:w="108" w:type="dxa"/>
            <w:right w:w="108" w:type="dxa"/>
          </w:tblCellMar>
        </w:tblPrEx>
        <w:tc>
          <w:tcPr>
            <w:tcW w:w="5208" w:type="dxa"/>
          </w:tcPr>
          <w:p>
            <w:pPr>
              <w:pStyle w:val="yTable"/>
            </w:pPr>
            <w:r>
              <w:t>56036</w:t>
            </w:r>
          </w:p>
        </w:tc>
        <w:tc>
          <w:tcPr>
            <w:tcW w:w="1455" w:type="dxa"/>
          </w:tcPr>
          <w:p>
            <w:pPr>
              <w:pStyle w:val="yTable"/>
              <w:ind w:right="315"/>
              <w:jc w:val="right"/>
            </w:pPr>
            <w:r>
              <w:t>462.50</w:t>
            </w:r>
          </w:p>
        </w:tc>
      </w:tr>
      <w:tr>
        <w:tblPrEx>
          <w:tblCellMar>
            <w:left w:w="108" w:type="dxa"/>
            <w:right w:w="108" w:type="dxa"/>
          </w:tblCellMar>
        </w:tblPrEx>
        <w:tc>
          <w:tcPr>
            <w:tcW w:w="5208" w:type="dxa"/>
          </w:tcPr>
          <w:p>
            <w:pPr>
              <w:pStyle w:val="yTable"/>
            </w:pPr>
            <w:r>
              <w:t>56041</w:t>
            </w:r>
          </w:p>
        </w:tc>
        <w:tc>
          <w:tcPr>
            <w:tcW w:w="1455" w:type="dxa"/>
          </w:tcPr>
          <w:p>
            <w:pPr>
              <w:pStyle w:val="yTable"/>
              <w:ind w:right="315"/>
              <w:jc w:val="right"/>
            </w:pPr>
            <w:r>
              <w:t>135.65</w:t>
            </w:r>
          </w:p>
        </w:tc>
      </w:tr>
      <w:tr>
        <w:tblPrEx>
          <w:tblCellMar>
            <w:left w:w="108" w:type="dxa"/>
            <w:right w:w="108" w:type="dxa"/>
          </w:tblCellMar>
        </w:tblPrEx>
        <w:tc>
          <w:tcPr>
            <w:tcW w:w="5208" w:type="dxa"/>
          </w:tcPr>
          <w:p>
            <w:pPr>
              <w:pStyle w:val="yTable"/>
            </w:pPr>
            <w:r>
              <w:t>56047</w:t>
            </w:r>
          </w:p>
        </w:tc>
        <w:tc>
          <w:tcPr>
            <w:tcW w:w="1455" w:type="dxa"/>
          </w:tcPr>
          <w:p>
            <w:pPr>
              <w:pStyle w:val="yTable"/>
              <w:ind w:right="315"/>
              <w:jc w:val="right"/>
            </w:pPr>
            <w:r>
              <w:t>173.20</w:t>
            </w:r>
          </w:p>
        </w:tc>
      </w:tr>
      <w:tr>
        <w:tblPrEx>
          <w:tblCellMar>
            <w:left w:w="108" w:type="dxa"/>
            <w:right w:w="108" w:type="dxa"/>
          </w:tblCellMar>
        </w:tblPrEx>
        <w:tc>
          <w:tcPr>
            <w:tcW w:w="5208" w:type="dxa"/>
          </w:tcPr>
          <w:p>
            <w:pPr>
              <w:pStyle w:val="yTable"/>
            </w:pPr>
            <w:r>
              <w:t>56050</w:t>
            </w:r>
          </w:p>
        </w:tc>
        <w:tc>
          <w:tcPr>
            <w:tcW w:w="1455" w:type="dxa"/>
          </w:tcPr>
          <w:p>
            <w:pPr>
              <w:pStyle w:val="yTable"/>
              <w:ind w:right="315"/>
              <w:jc w:val="right"/>
            </w:pPr>
            <w:r>
              <w:t>176.10</w:t>
            </w:r>
          </w:p>
        </w:tc>
      </w:tr>
      <w:tr>
        <w:tblPrEx>
          <w:tblCellMar>
            <w:left w:w="108" w:type="dxa"/>
            <w:right w:w="108" w:type="dxa"/>
          </w:tblCellMar>
        </w:tblPrEx>
        <w:tc>
          <w:tcPr>
            <w:tcW w:w="5208" w:type="dxa"/>
          </w:tcPr>
          <w:p>
            <w:pPr>
              <w:pStyle w:val="yTable"/>
            </w:pPr>
            <w:r>
              <w:t>56053</w:t>
            </w:r>
          </w:p>
        </w:tc>
        <w:tc>
          <w:tcPr>
            <w:tcW w:w="1455" w:type="dxa"/>
          </w:tcPr>
          <w:p>
            <w:pPr>
              <w:pStyle w:val="yTable"/>
              <w:ind w:right="315"/>
              <w:jc w:val="right"/>
            </w:pPr>
            <w:r>
              <w:t>176.10</w:t>
            </w:r>
          </w:p>
        </w:tc>
      </w:tr>
      <w:tr>
        <w:tblPrEx>
          <w:tblCellMar>
            <w:left w:w="108" w:type="dxa"/>
            <w:right w:w="108" w:type="dxa"/>
          </w:tblCellMar>
        </w:tblPrEx>
        <w:tc>
          <w:tcPr>
            <w:tcW w:w="5208" w:type="dxa"/>
          </w:tcPr>
          <w:p>
            <w:pPr>
              <w:pStyle w:val="yTable"/>
            </w:pPr>
            <w:r>
              <w:t>56056</w:t>
            </w:r>
          </w:p>
        </w:tc>
        <w:tc>
          <w:tcPr>
            <w:tcW w:w="1455" w:type="dxa"/>
          </w:tcPr>
          <w:p>
            <w:pPr>
              <w:pStyle w:val="yTable"/>
              <w:ind w:right="315"/>
              <w:jc w:val="right"/>
            </w:pPr>
            <w:r>
              <w:t>213.40</w:t>
            </w:r>
          </w:p>
        </w:tc>
      </w:tr>
      <w:tr>
        <w:tblPrEx>
          <w:tblCellMar>
            <w:left w:w="108" w:type="dxa"/>
            <w:right w:w="108" w:type="dxa"/>
          </w:tblCellMar>
        </w:tblPrEx>
        <w:tc>
          <w:tcPr>
            <w:tcW w:w="5208" w:type="dxa"/>
          </w:tcPr>
          <w:p>
            <w:pPr>
              <w:pStyle w:val="yTable"/>
            </w:pPr>
            <w:r>
              <w:t>56062</w:t>
            </w:r>
          </w:p>
        </w:tc>
        <w:tc>
          <w:tcPr>
            <w:tcW w:w="1455" w:type="dxa"/>
          </w:tcPr>
          <w:p>
            <w:pPr>
              <w:pStyle w:val="yTable"/>
              <w:ind w:right="315"/>
              <w:jc w:val="right"/>
            </w:pPr>
            <w:r>
              <w:t>155.35</w:t>
            </w:r>
          </w:p>
        </w:tc>
      </w:tr>
      <w:tr>
        <w:tblPrEx>
          <w:tblCellMar>
            <w:left w:w="108" w:type="dxa"/>
            <w:right w:w="108" w:type="dxa"/>
          </w:tblCellMar>
        </w:tblPrEx>
        <w:tc>
          <w:tcPr>
            <w:tcW w:w="5208" w:type="dxa"/>
          </w:tcPr>
          <w:p>
            <w:pPr>
              <w:pStyle w:val="yTable"/>
            </w:pPr>
            <w:r>
              <w:t>56068</w:t>
            </w:r>
          </w:p>
        </w:tc>
        <w:tc>
          <w:tcPr>
            <w:tcW w:w="1455" w:type="dxa"/>
          </w:tcPr>
          <w:p>
            <w:pPr>
              <w:pStyle w:val="yTable"/>
              <w:ind w:right="315"/>
              <w:jc w:val="right"/>
            </w:pPr>
            <w:r>
              <w:t>231.25</w:t>
            </w:r>
          </w:p>
        </w:tc>
      </w:tr>
      <w:tr>
        <w:tblPrEx>
          <w:tblCellMar>
            <w:left w:w="108" w:type="dxa"/>
            <w:right w:w="108" w:type="dxa"/>
          </w:tblCellMar>
        </w:tblPrEx>
        <w:tc>
          <w:tcPr>
            <w:tcW w:w="5208" w:type="dxa"/>
          </w:tcPr>
          <w:p>
            <w:pPr>
              <w:pStyle w:val="yTable"/>
            </w:pPr>
            <w:r>
              <w:t>56070</w:t>
            </w:r>
          </w:p>
        </w:tc>
        <w:tc>
          <w:tcPr>
            <w:tcW w:w="1455" w:type="dxa"/>
          </w:tcPr>
          <w:p>
            <w:pPr>
              <w:pStyle w:val="yTable"/>
              <w:ind w:right="315"/>
              <w:jc w:val="right"/>
            </w:pPr>
            <w:r>
              <w:t>155.35</w:t>
            </w:r>
          </w:p>
        </w:tc>
      </w:tr>
      <w:tr>
        <w:tblPrEx>
          <w:tblCellMar>
            <w:left w:w="108" w:type="dxa"/>
            <w:right w:w="108" w:type="dxa"/>
          </w:tblCellMar>
        </w:tblPrEx>
        <w:tc>
          <w:tcPr>
            <w:tcW w:w="5208" w:type="dxa"/>
          </w:tcPr>
          <w:p>
            <w:pPr>
              <w:pStyle w:val="yTable"/>
            </w:pPr>
            <w:r>
              <w:t>56076</w:t>
            </w:r>
          </w:p>
        </w:tc>
        <w:tc>
          <w:tcPr>
            <w:tcW w:w="1455" w:type="dxa"/>
          </w:tcPr>
          <w:p>
            <w:pPr>
              <w:pStyle w:val="yTable"/>
              <w:ind w:right="315"/>
              <w:jc w:val="right"/>
            </w:pPr>
            <w:r>
              <w:t>231.25</w:t>
            </w:r>
          </w:p>
        </w:tc>
      </w:tr>
      <w:tr>
        <w:tblPrEx>
          <w:tblCellMar>
            <w:left w:w="108" w:type="dxa"/>
            <w:right w:w="108" w:type="dxa"/>
          </w:tblCellMar>
        </w:tblPrEx>
        <w:tc>
          <w:tcPr>
            <w:tcW w:w="5208" w:type="dxa"/>
          </w:tcPr>
          <w:p>
            <w:pPr>
              <w:pStyle w:val="yTable"/>
            </w:pPr>
            <w:r>
              <w:t>56101</w:t>
            </w:r>
          </w:p>
        </w:tc>
        <w:tc>
          <w:tcPr>
            <w:tcW w:w="1455" w:type="dxa"/>
          </w:tcPr>
          <w:p>
            <w:pPr>
              <w:pStyle w:val="yTable"/>
              <w:ind w:right="315"/>
              <w:jc w:val="right"/>
            </w:pPr>
            <w:r>
              <w:t>315.90</w:t>
            </w:r>
          </w:p>
        </w:tc>
      </w:tr>
      <w:tr>
        <w:tblPrEx>
          <w:tblCellMar>
            <w:left w:w="108" w:type="dxa"/>
            <w:right w:w="108" w:type="dxa"/>
          </w:tblCellMar>
        </w:tblPrEx>
        <w:tc>
          <w:tcPr>
            <w:tcW w:w="5208" w:type="dxa"/>
          </w:tcPr>
          <w:p>
            <w:pPr>
              <w:pStyle w:val="yTable"/>
            </w:pPr>
            <w:r>
              <w:t>56107</w:t>
            </w:r>
          </w:p>
        </w:tc>
        <w:tc>
          <w:tcPr>
            <w:tcW w:w="1455" w:type="dxa"/>
          </w:tcPr>
          <w:p>
            <w:pPr>
              <w:pStyle w:val="yTable"/>
              <w:ind w:right="315"/>
              <w:jc w:val="right"/>
            </w:pPr>
            <w:r>
              <w:t>467.00</w:t>
            </w:r>
          </w:p>
        </w:tc>
      </w:tr>
      <w:tr>
        <w:tblPrEx>
          <w:tblCellMar>
            <w:left w:w="108" w:type="dxa"/>
            <w:right w:w="108" w:type="dxa"/>
          </w:tblCellMar>
        </w:tblPrEx>
        <w:tc>
          <w:tcPr>
            <w:tcW w:w="5208" w:type="dxa"/>
          </w:tcPr>
          <w:p>
            <w:pPr>
              <w:pStyle w:val="yTable"/>
            </w:pPr>
            <w:r>
              <w:t>56141</w:t>
            </w:r>
          </w:p>
        </w:tc>
        <w:tc>
          <w:tcPr>
            <w:tcW w:w="1455" w:type="dxa"/>
          </w:tcPr>
          <w:p>
            <w:pPr>
              <w:pStyle w:val="yTable"/>
              <w:ind w:right="315"/>
              <w:jc w:val="right"/>
            </w:pPr>
            <w:r>
              <w:t>159.90</w:t>
            </w:r>
          </w:p>
        </w:tc>
      </w:tr>
      <w:tr>
        <w:tblPrEx>
          <w:tblCellMar>
            <w:left w:w="108" w:type="dxa"/>
            <w:right w:w="108" w:type="dxa"/>
          </w:tblCellMar>
        </w:tblPrEx>
        <w:tc>
          <w:tcPr>
            <w:tcW w:w="5208" w:type="dxa"/>
          </w:tcPr>
          <w:p>
            <w:pPr>
              <w:pStyle w:val="yTable"/>
            </w:pPr>
            <w:r>
              <w:t>56147</w:t>
            </w:r>
          </w:p>
        </w:tc>
        <w:tc>
          <w:tcPr>
            <w:tcW w:w="1455" w:type="dxa"/>
          </w:tcPr>
          <w:p>
            <w:pPr>
              <w:pStyle w:val="yTable"/>
              <w:ind w:right="315"/>
              <w:jc w:val="right"/>
            </w:pPr>
            <w:r>
              <w:t>235.70</w:t>
            </w:r>
          </w:p>
        </w:tc>
      </w:tr>
      <w:tr>
        <w:tblPrEx>
          <w:tblCellMar>
            <w:left w:w="108" w:type="dxa"/>
            <w:right w:w="108" w:type="dxa"/>
          </w:tblCellMar>
        </w:tblPrEx>
        <w:tc>
          <w:tcPr>
            <w:tcW w:w="5208" w:type="dxa"/>
          </w:tcPr>
          <w:p>
            <w:pPr>
              <w:pStyle w:val="yTable"/>
            </w:pPr>
            <w:r>
              <w:t>56219</w:t>
            </w:r>
          </w:p>
        </w:tc>
        <w:tc>
          <w:tcPr>
            <w:tcW w:w="1455" w:type="dxa"/>
          </w:tcPr>
          <w:p>
            <w:pPr>
              <w:pStyle w:val="yTable"/>
              <w:ind w:right="315"/>
              <w:jc w:val="right"/>
            </w:pPr>
            <w:r>
              <w:t>447.95</w:t>
            </w:r>
          </w:p>
        </w:tc>
      </w:tr>
      <w:tr>
        <w:tblPrEx>
          <w:tblCellMar>
            <w:left w:w="108" w:type="dxa"/>
            <w:right w:w="108" w:type="dxa"/>
          </w:tblCellMar>
        </w:tblPrEx>
        <w:tc>
          <w:tcPr>
            <w:tcW w:w="5208" w:type="dxa"/>
          </w:tcPr>
          <w:p>
            <w:pPr>
              <w:pStyle w:val="yTable"/>
            </w:pPr>
            <w:r>
              <w:t>56220</w:t>
            </w:r>
          </w:p>
        </w:tc>
        <w:tc>
          <w:tcPr>
            <w:tcW w:w="1455" w:type="dxa"/>
          </w:tcPr>
          <w:p>
            <w:pPr>
              <w:pStyle w:val="yTable"/>
              <w:ind w:right="315"/>
              <w:jc w:val="right"/>
            </w:pPr>
            <w:r>
              <w:t>329.65</w:t>
            </w:r>
          </w:p>
        </w:tc>
      </w:tr>
      <w:tr>
        <w:tblPrEx>
          <w:tblCellMar>
            <w:left w:w="108" w:type="dxa"/>
            <w:right w:w="108" w:type="dxa"/>
          </w:tblCellMar>
        </w:tblPrEx>
        <w:tc>
          <w:tcPr>
            <w:tcW w:w="5208" w:type="dxa"/>
          </w:tcPr>
          <w:p>
            <w:pPr>
              <w:pStyle w:val="yTable"/>
            </w:pPr>
            <w:r>
              <w:t>56221</w:t>
            </w:r>
          </w:p>
        </w:tc>
        <w:tc>
          <w:tcPr>
            <w:tcW w:w="1455" w:type="dxa"/>
          </w:tcPr>
          <w:p>
            <w:pPr>
              <w:pStyle w:val="yTable"/>
              <w:ind w:right="315"/>
              <w:jc w:val="right"/>
            </w:pPr>
            <w:r>
              <w:t>329.65</w:t>
            </w:r>
          </w:p>
        </w:tc>
      </w:tr>
      <w:tr>
        <w:tblPrEx>
          <w:tblCellMar>
            <w:left w:w="108" w:type="dxa"/>
            <w:right w:w="108" w:type="dxa"/>
          </w:tblCellMar>
        </w:tblPrEx>
        <w:tc>
          <w:tcPr>
            <w:tcW w:w="5208" w:type="dxa"/>
          </w:tcPr>
          <w:p>
            <w:pPr>
              <w:pStyle w:val="yTable"/>
            </w:pPr>
            <w:r>
              <w:t>56223</w:t>
            </w:r>
          </w:p>
        </w:tc>
        <w:tc>
          <w:tcPr>
            <w:tcW w:w="1455" w:type="dxa"/>
          </w:tcPr>
          <w:p>
            <w:pPr>
              <w:pStyle w:val="yTable"/>
              <w:ind w:right="315"/>
              <w:jc w:val="right"/>
            </w:pPr>
            <w:r>
              <w:t>329.65</w:t>
            </w:r>
          </w:p>
        </w:tc>
      </w:tr>
      <w:tr>
        <w:tblPrEx>
          <w:tblCellMar>
            <w:left w:w="108" w:type="dxa"/>
            <w:right w:w="108" w:type="dxa"/>
          </w:tblCellMar>
        </w:tblPrEx>
        <w:tc>
          <w:tcPr>
            <w:tcW w:w="5208" w:type="dxa"/>
          </w:tcPr>
          <w:p>
            <w:pPr>
              <w:pStyle w:val="yTable"/>
            </w:pPr>
            <w:r>
              <w:t>56224</w:t>
            </w:r>
          </w:p>
        </w:tc>
        <w:tc>
          <w:tcPr>
            <w:tcW w:w="1455" w:type="dxa"/>
          </w:tcPr>
          <w:p>
            <w:pPr>
              <w:pStyle w:val="yTable"/>
              <w:ind w:right="315"/>
              <w:jc w:val="right"/>
            </w:pPr>
            <w:r>
              <w:t>482.60</w:t>
            </w:r>
          </w:p>
        </w:tc>
      </w:tr>
      <w:tr>
        <w:tblPrEx>
          <w:tblCellMar>
            <w:left w:w="108" w:type="dxa"/>
            <w:right w:w="108" w:type="dxa"/>
          </w:tblCellMar>
        </w:tblPrEx>
        <w:tc>
          <w:tcPr>
            <w:tcW w:w="5208" w:type="dxa"/>
          </w:tcPr>
          <w:p>
            <w:pPr>
              <w:pStyle w:val="yTable"/>
            </w:pPr>
            <w:r>
              <w:t>56225</w:t>
            </w:r>
          </w:p>
        </w:tc>
        <w:tc>
          <w:tcPr>
            <w:tcW w:w="1455" w:type="dxa"/>
          </w:tcPr>
          <w:p>
            <w:pPr>
              <w:pStyle w:val="yTable"/>
              <w:ind w:right="315"/>
              <w:jc w:val="right"/>
            </w:pPr>
            <w:r>
              <w:t>482.60</w:t>
            </w:r>
          </w:p>
        </w:tc>
      </w:tr>
      <w:tr>
        <w:tblPrEx>
          <w:tblCellMar>
            <w:left w:w="108" w:type="dxa"/>
            <w:right w:w="108" w:type="dxa"/>
          </w:tblCellMar>
        </w:tblPrEx>
        <w:tc>
          <w:tcPr>
            <w:tcW w:w="5208" w:type="dxa"/>
          </w:tcPr>
          <w:p>
            <w:pPr>
              <w:pStyle w:val="yTable"/>
            </w:pPr>
            <w:r>
              <w:t>56226</w:t>
            </w:r>
          </w:p>
        </w:tc>
        <w:tc>
          <w:tcPr>
            <w:tcW w:w="1455" w:type="dxa"/>
          </w:tcPr>
          <w:p>
            <w:pPr>
              <w:pStyle w:val="yTable"/>
              <w:ind w:right="315"/>
              <w:jc w:val="right"/>
            </w:pPr>
            <w:r>
              <w:t>482.60</w:t>
            </w:r>
          </w:p>
        </w:tc>
      </w:tr>
      <w:tr>
        <w:tblPrEx>
          <w:tblCellMar>
            <w:left w:w="108" w:type="dxa"/>
            <w:right w:w="108" w:type="dxa"/>
          </w:tblCellMar>
        </w:tblPrEx>
        <w:tc>
          <w:tcPr>
            <w:tcW w:w="5208" w:type="dxa"/>
          </w:tcPr>
          <w:p>
            <w:pPr>
              <w:pStyle w:val="yTable"/>
            </w:pPr>
            <w:r>
              <w:t>56227</w:t>
            </w:r>
          </w:p>
        </w:tc>
        <w:tc>
          <w:tcPr>
            <w:tcW w:w="1455" w:type="dxa"/>
          </w:tcPr>
          <w:p>
            <w:pPr>
              <w:pStyle w:val="yTable"/>
              <w:ind w:right="315"/>
              <w:jc w:val="right"/>
            </w:pPr>
            <w:r>
              <w:t>168.20</w:t>
            </w:r>
          </w:p>
        </w:tc>
      </w:tr>
      <w:tr>
        <w:tblPrEx>
          <w:tblCellMar>
            <w:left w:w="108" w:type="dxa"/>
            <w:right w:w="108" w:type="dxa"/>
          </w:tblCellMar>
        </w:tblPrEx>
        <w:tc>
          <w:tcPr>
            <w:tcW w:w="5208" w:type="dxa"/>
          </w:tcPr>
          <w:p>
            <w:pPr>
              <w:pStyle w:val="yTable"/>
            </w:pPr>
            <w:r>
              <w:t>56228</w:t>
            </w:r>
          </w:p>
        </w:tc>
        <w:tc>
          <w:tcPr>
            <w:tcW w:w="1455" w:type="dxa"/>
          </w:tcPr>
          <w:p>
            <w:pPr>
              <w:pStyle w:val="yTable"/>
              <w:ind w:right="315"/>
              <w:jc w:val="right"/>
            </w:pPr>
            <w:r>
              <w:t>168.20</w:t>
            </w:r>
          </w:p>
        </w:tc>
      </w:tr>
      <w:tr>
        <w:tblPrEx>
          <w:tblCellMar>
            <w:left w:w="108" w:type="dxa"/>
            <w:right w:w="108" w:type="dxa"/>
          </w:tblCellMar>
        </w:tblPrEx>
        <w:tc>
          <w:tcPr>
            <w:tcW w:w="5208" w:type="dxa"/>
          </w:tcPr>
          <w:p>
            <w:pPr>
              <w:pStyle w:val="yTable"/>
            </w:pPr>
            <w:r>
              <w:t>56229</w:t>
            </w:r>
          </w:p>
        </w:tc>
        <w:tc>
          <w:tcPr>
            <w:tcW w:w="1455" w:type="dxa"/>
          </w:tcPr>
          <w:p>
            <w:pPr>
              <w:pStyle w:val="yTable"/>
              <w:ind w:right="315"/>
              <w:jc w:val="right"/>
            </w:pPr>
            <w:r>
              <w:t>168.20</w:t>
            </w:r>
          </w:p>
        </w:tc>
      </w:tr>
      <w:tr>
        <w:tblPrEx>
          <w:tblCellMar>
            <w:left w:w="108" w:type="dxa"/>
            <w:right w:w="108" w:type="dxa"/>
          </w:tblCellMar>
        </w:tblPrEx>
        <w:tc>
          <w:tcPr>
            <w:tcW w:w="5208" w:type="dxa"/>
          </w:tcPr>
          <w:p>
            <w:pPr>
              <w:pStyle w:val="yTable"/>
            </w:pPr>
            <w:r>
              <w:t>56230</w:t>
            </w:r>
          </w:p>
        </w:tc>
        <w:tc>
          <w:tcPr>
            <w:tcW w:w="1455" w:type="dxa"/>
          </w:tcPr>
          <w:p>
            <w:pPr>
              <w:pStyle w:val="yTable"/>
              <w:ind w:right="315"/>
              <w:jc w:val="right"/>
            </w:pPr>
            <w:r>
              <w:t>243.70</w:t>
            </w:r>
          </w:p>
        </w:tc>
      </w:tr>
      <w:tr>
        <w:tblPrEx>
          <w:tblCellMar>
            <w:left w:w="108" w:type="dxa"/>
            <w:right w:w="108" w:type="dxa"/>
          </w:tblCellMar>
        </w:tblPrEx>
        <w:tc>
          <w:tcPr>
            <w:tcW w:w="5208" w:type="dxa"/>
          </w:tcPr>
          <w:p>
            <w:pPr>
              <w:pStyle w:val="yTable"/>
            </w:pPr>
            <w:r>
              <w:t>56231</w:t>
            </w:r>
          </w:p>
        </w:tc>
        <w:tc>
          <w:tcPr>
            <w:tcW w:w="1455" w:type="dxa"/>
          </w:tcPr>
          <w:p>
            <w:pPr>
              <w:pStyle w:val="yTable"/>
              <w:ind w:right="315"/>
              <w:jc w:val="right"/>
            </w:pPr>
            <w:r>
              <w:t>243.70</w:t>
            </w:r>
          </w:p>
        </w:tc>
      </w:tr>
      <w:tr>
        <w:tblPrEx>
          <w:tblCellMar>
            <w:left w:w="108" w:type="dxa"/>
            <w:right w:w="108" w:type="dxa"/>
          </w:tblCellMar>
        </w:tblPrEx>
        <w:tc>
          <w:tcPr>
            <w:tcW w:w="5208" w:type="dxa"/>
          </w:tcPr>
          <w:p>
            <w:pPr>
              <w:pStyle w:val="yTable"/>
            </w:pPr>
            <w:r>
              <w:t>56232</w:t>
            </w:r>
          </w:p>
        </w:tc>
        <w:tc>
          <w:tcPr>
            <w:tcW w:w="1455" w:type="dxa"/>
          </w:tcPr>
          <w:p>
            <w:pPr>
              <w:pStyle w:val="yTable"/>
              <w:ind w:right="315"/>
              <w:jc w:val="right"/>
            </w:pPr>
            <w:r>
              <w:t>243.70</w:t>
            </w:r>
          </w:p>
        </w:tc>
      </w:tr>
      <w:tr>
        <w:tblPrEx>
          <w:tblCellMar>
            <w:left w:w="108" w:type="dxa"/>
            <w:right w:w="108" w:type="dxa"/>
          </w:tblCellMar>
        </w:tblPrEx>
        <w:tc>
          <w:tcPr>
            <w:tcW w:w="5208" w:type="dxa"/>
          </w:tcPr>
          <w:p>
            <w:pPr>
              <w:pStyle w:val="yTable"/>
            </w:pPr>
            <w:r>
              <w:t>56233</w:t>
            </w:r>
          </w:p>
        </w:tc>
        <w:tc>
          <w:tcPr>
            <w:tcW w:w="1455" w:type="dxa"/>
          </w:tcPr>
          <w:p>
            <w:pPr>
              <w:pStyle w:val="yTable"/>
              <w:ind w:right="315"/>
              <w:jc w:val="right"/>
            </w:pPr>
            <w:r>
              <w:t>329.65</w:t>
            </w:r>
          </w:p>
        </w:tc>
      </w:tr>
      <w:tr>
        <w:tblPrEx>
          <w:tblCellMar>
            <w:left w:w="108" w:type="dxa"/>
            <w:right w:w="108" w:type="dxa"/>
          </w:tblCellMar>
        </w:tblPrEx>
        <w:tc>
          <w:tcPr>
            <w:tcW w:w="5208" w:type="dxa"/>
          </w:tcPr>
          <w:p>
            <w:pPr>
              <w:pStyle w:val="yTable"/>
            </w:pPr>
            <w:r>
              <w:t>56234</w:t>
            </w:r>
          </w:p>
        </w:tc>
        <w:tc>
          <w:tcPr>
            <w:tcW w:w="1455" w:type="dxa"/>
          </w:tcPr>
          <w:p>
            <w:pPr>
              <w:pStyle w:val="yTable"/>
              <w:ind w:right="315"/>
              <w:jc w:val="right"/>
            </w:pPr>
            <w:r>
              <w:t>482.60</w:t>
            </w:r>
          </w:p>
        </w:tc>
      </w:tr>
      <w:tr>
        <w:tblPrEx>
          <w:tblCellMar>
            <w:left w:w="108" w:type="dxa"/>
            <w:right w:w="108" w:type="dxa"/>
          </w:tblCellMar>
        </w:tblPrEx>
        <w:tc>
          <w:tcPr>
            <w:tcW w:w="5208" w:type="dxa"/>
          </w:tcPr>
          <w:p>
            <w:pPr>
              <w:pStyle w:val="yTable"/>
            </w:pPr>
            <w:r>
              <w:t>56235</w:t>
            </w:r>
          </w:p>
        </w:tc>
        <w:tc>
          <w:tcPr>
            <w:tcW w:w="1455" w:type="dxa"/>
          </w:tcPr>
          <w:p>
            <w:pPr>
              <w:pStyle w:val="yTable"/>
              <w:ind w:right="315"/>
              <w:jc w:val="right"/>
            </w:pPr>
            <w:r>
              <w:t>168.15</w:t>
            </w:r>
          </w:p>
        </w:tc>
      </w:tr>
      <w:tr>
        <w:tblPrEx>
          <w:tblCellMar>
            <w:left w:w="108" w:type="dxa"/>
            <w:right w:w="108" w:type="dxa"/>
          </w:tblCellMar>
        </w:tblPrEx>
        <w:tc>
          <w:tcPr>
            <w:tcW w:w="5208" w:type="dxa"/>
          </w:tcPr>
          <w:p>
            <w:pPr>
              <w:pStyle w:val="yTable"/>
            </w:pPr>
            <w:r>
              <w:t>56236</w:t>
            </w:r>
          </w:p>
        </w:tc>
        <w:tc>
          <w:tcPr>
            <w:tcW w:w="1455" w:type="dxa"/>
          </w:tcPr>
          <w:p>
            <w:pPr>
              <w:pStyle w:val="yTable"/>
              <w:ind w:right="315"/>
              <w:jc w:val="right"/>
            </w:pPr>
            <w:r>
              <w:t>243.70</w:t>
            </w:r>
          </w:p>
        </w:tc>
      </w:tr>
      <w:tr>
        <w:tblPrEx>
          <w:tblCellMar>
            <w:left w:w="108" w:type="dxa"/>
            <w:right w:w="108" w:type="dxa"/>
          </w:tblCellMar>
        </w:tblPrEx>
        <w:tc>
          <w:tcPr>
            <w:tcW w:w="5208" w:type="dxa"/>
          </w:tcPr>
          <w:p>
            <w:pPr>
              <w:pStyle w:val="yTable"/>
            </w:pPr>
            <w:r>
              <w:t>56237</w:t>
            </w:r>
          </w:p>
        </w:tc>
        <w:tc>
          <w:tcPr>
            <w:tcW w:w="1455" w:type="dxa"/>
          </w:tcPr>
          <w:p>
            <w:pPr>
              <w:pStyle w:val="yTable"/>
              <w:ind w:right="315"/>
              <w:jc w:val="right"/>
            </w:pPr>
            <w:r>
              <w:t>329.65</w:t>
            </w:r>
          </w:p>
        </w:tc>
      </w:tr>
      <w:tr>
        <w:tblPrEx>
          <w:tblCellMar>
            <w:left w:w="108" w:type="dxa"/>
            <w:right w:w="108" w:type="dxa"/>
          </w:tblCellMar>
        </w:tblPrEx>
        <w:tc>
          <w:tcPr>
            <w:tcW w:w="5208" w:type="dxa"/>
          </w:tcPr>
          <w:p>
            <w:pPr>
              <w:pStyle w:val="yTable"/>
            </w:pPr>
            <w:r>
              <w:t>56238</w:t>
            </w:r>
          </w:p>
        </w:tc>
        <w:tc>
          <w:tcPr>
            <w:tcW w:w="1455" w:type="dxa"/>
          </w:tcPr>
          <w:p>
            <w:pPr>
              <w:pStyle w:val="yTable"/>
              <w:ind w:right="315"/>
              <w:jc w:val="right"/>
            </w:pPr>
            <w:r>
              <w:t>482.60</w:t>
            </w:r>
          </w:p>
        </w:tc>
      </w:tr>
      <w:tr>
        <w:tblPrEx>
          <w:tblCellMar>
            <w:left w:w="108" w:type="dxa"/>
            <w:right w:w="108" w:type="dxa"/>
          </w:tblCellMar>
        </w:tblPrEx>
        <w:tc>
          <w:tcPr>
            <w:tcW w:w="5208" w:type="dxa"/>
          </w:tcPr>
          <w:p>
            <w:pPr>
              <w:pStyle w:val="yTable"/>
            </w:pPr>
            <w:r>
              <w:t>56239</w:t>
            </w:r>
          </w:p>
        </w:tc>
        <w:tc>
          <w:tcPr>
            <w:tcW w:w="1455" w:type="dxa"/>
          </w:tcPr>
          <w:p>
            <w:pPr>
              <w:pStyle w:val="yTable"/>
              <w:ind w:right="315"/>
              <w:jc w:val="right"/>
            </w:pPr>
            <w:r>
              <w:t>168.15</w:t>
            </w:r>
          </w:p>
        </w:tc>
      </w:tr>
      <w:tr>
        <w:tblPrEx>
          <w:tblCellMar>
            <w:left w:w="108" w:type="dxa"/>
            <w:right w:w="108" w:type="dxa"/>
          </w:tblCellMar>
        </w:tblPrEx>
        <w:tc>
          <w:tcPr>
            <w:tcW w:w="5208" w:type="dxa"/>
          </w:tcPr>
          <w:p>
            <w:pPr>
              <w:pStyle w:val="yTable"/>
            </w:pPr>
            <w:r>
              <w:t>56240</w:t>
            </w:r>
          </w:p>
        </w:tc>
        <w:tc>
          <w:tcPr>
            <w:tcW w:w="1455" w:type="dxa"/>
          </w:tcPr>
          <w:p>
            <w:pPr>
              <w:pStyle w:val="yTable"/>
              <w:ind w:right="315"/>
              <w:jc w:val="right"/>
            </w:pPr>
            <w:r>
              <w:t>243.70</w:t>
            </w:r>
          </w:p>
        </w:tc>
      </w:tr>
      <w:tr>
        <w:tblPrEx>
          <w:tblCellMar>
            <w:left w:w="108" w:type="dxa"/>
            <w:right w:w="108" w:type="dxa"/>
          </w:tblCellMar>
        </w:tblPrEx>
        <w:tc>
          <w:tcPr>
            <w:tcW w:w="5208" w:type="dxa"/>
          </w:tcPr>
          <w:p>
            <w:pPr>
              <w:pStyle w:val="yTable"/>
            </w:pPr>
            <w:r>
              <w:t>56259</w:t>
            </w:r>
          </w:p>
        </w:tc>
        <w:tc>
          <w:tcPr>
            <w:tcW w:w="1455" w:type="dxa"/>
          </w:tcPr>
          <w:p>
            <w:pPr>
              <w:pStyle w:val="yTable"/>
              <w:ind w:right="315"/>
              <w:jc w:val="right"/>
            </w:pPr>
            <w:r>
              <w:t>226.30</w:t>
            </w:r>
          </w:p>
        </w:tc>
      </w:tr>
      <w:tr>
        <w:tblPrEx>
          <w:tblCellMar>
            <w:left w:w="108" w:type="dxa"/>
            <w:right w:w="108" w:type="dxa"/>
          </w:tblCellMar>
        </w:tblPrEx>
        <w:tc>
          <w:tcPr>
            <w:tcW w:w="5208" w:type="dxa"/>
          </w:tcPr>
          <w:p>
            <w:pPr>
              <w:pStyle w:val="yTable"/>
            </w:pPr>
            <w:r>
              <w:t>56301</w:t>
            </w:r>
          </w:p>
        </w:tc>
        <w:tc>
          <w:tcPr>
            <w:tcW w:w="1455" w:type="dxa"/>
          </w:tcPr>
          <w:p>
            <w:pPr>
              <w:pStyle w:val="yTable"/>
              <w:ind w:right="315"/>
              <w:jc w:val="right"/>
            </w:pPr>
            <w:r>
              <w:t>405.15</w:t>
            </w:r>
          </w:p>
        </w:tc>
      </w:tr>
      <w:tr>
        <w:tblPrEx>
          <w:tblCellMar>
            <w:left w:w="108" w:type="dxa"/>
            <w:right w:w="108" w:type="dxa"/>
          </w:tblCellMar>
        </w:tblPrEx>
        <w:tc>
          <w:tcPr>
            <w:tcW w:w="5208" w:type="dxa"/>
          </w:tcPr>
          <w:p>
            <w:pPr>
              <w:pStyle w:val="yTable"/>
            </w:pPr>
            <w:r>
              <w:t>56307</w:t>
            </w:r>
          </w:p>
        </w:tc>
        <w:tc>
          <w:tcPr>
            <w:tcW w:w="1455" w:type="dxa"/>
          </w:tcPr>
          <w:p>
            <w:pPr>
              <w:pStyle w:val="yTable"/>
              <w:ind w:right="315"/>
              <w:jc w:val="right"/>
            </w:pPr>
            <w:r>
              <w:t>549.25</w:t>
            </w:r>
          </w:p>
        </w:tc>
      </w:tr>
      <w:tr>
        <w:tblPrEx>
          <w:tblCellMar>
            <w:left w:w="108" w:type="dxa"/>
            <w:right w:w="108" w:type="dxa"/>
          </w:tblCellMar>
        </w:tblPrEx>
        <w:tc>
          <w:tcPr>
            <w:tcW w:w="5208" w:type="dxa"/>
          </w:tcPr>
          <w:p>
            <w:pPr>
              <w:pStyle w:val="yTable"/>
            </w:pPr>
            <w:r>
              <w:t>56341</w:t>
            </w:r>
          </w:p>
        </w:tc>
        <w:tc>
          <w:tcPr>
            <w:tcW w:w="1455" w:type="dxa"/>
          </w:tcPr>
          <w:p>
            <w:pPr>
              <w:pStyle w:val="yTable"/>
              <w:ind w:right="315"/>
              <w:jc w:val="right"/>
            </w:pPr>
            <w:r>
              <w:t>205.25</w:t>
            </w:r>
          </w:p>
        </w:tc>
      </w:tr>
      <w:tr>
        <w:tblPrEx>
          <w:tblCellMar>
            <w:left w:w="108" w:type="dxa"/>
            <w:right w:w="108" w:type="dxa"/>
          </w:tblCellMar>
        </w:tblPrEx>
        <w:tc>
          <w:tcPr>
            <w:tcW w:w="5208" w:type="dxa"/>
          </w:tcPr>
          <w:p>
            <w:pPr>
              <w:pStyle w:val="yTable"/>
            </w:pPr>
            <w:r>
              <w:t>56347</w:t>
            </w:r>
          </w:p>
        </w:tc>
        <w:tc>
          <w:tcPr>
            <w:tcW w:w="1455" w:type="dxa"/>
          </w:tcPr>
          <w:p>
            <w:pPr>
              <w:pStyle w:val="yTable"/>
              <w:ind w:right="315"/>
              <w:jc w:val="right"/>
            </w:pPr>
            <w:r>
              <w:t>277.40</w:t>
            </w:r>
          </w:p>
        </w:tc>
      </w:tr>
      <w:tr>
        <w:tblPrEx>
          <w:tblCellMar>
            <w:left w:w="108" w:type="dxa"/>
            <w:right w:w="108" w:type="dxa"/>
          </w:tblCellMar>
        </w:tblPrEx>
        <w:tc>
          <w:tcPr>
            <w:tcW w:w="5208" w:type="dxa"/>
          </w:tcPr>
          <w:p>
            <w:pPr>
              <w:pStyle w:val="yTable"/>
            </w:pPr>
            <w:r>
              <w:t>56401</w:t>
            </w:r>
          </w:p>
        </w:tc>
        <w:tc>
          <w:tcPr>
            <w:tcW w:w="1455" w:type="dxa"/>
          </w:tcPr>
          <w:p>
            <w:pPr>
              <w:pStyle w:val="yTable"/>
              <w:ind w:right="315"/>
              <w:jc w:val="right"/>
            </w:pPr>
            <w:r>
              <w:t>343.35</w:t>
            </w:r>
          </w:p>
        </w:tc>
      </w:tr>
      <w:tr>
        <w:tblPrEx>
          <w:tblCellMar>
            <w:left w:w="108" w:type="dxa"/>
            <w:right w:w="108" w:type="dxa"/>
          </w:tblCellMar>
        </w:tblPrEx>
        <w:tc>
          <w:tcPr>
            <w:tcW w:w="5208" w:type="dxa"/>
          </w:tcPr>
          <w:p>
            <w:pPr>
              <w:pStyle w:val="yTable"/>
            </w:pPr>
            <w:r>
              <w:t>56407</w:t>
            </w:r>
          </w:p>
        </w:tc>
        <w:tc>
          <w:tcPr>
            <w:tcW w:w="1455" w:type="dxa"/>
          </w:tcPr>
          <w:p>
            <w:pPr>
              <w:pStyle w:val="yTable"/>
              <w:ind w:right="315"/>
              <w:jc w:val="right"/>
            </w:pPr>
            <w:r>
              <w:t>494.35</w:t>
            </w:r>
          </w:p>
        </w:tc>
      </w:tr>
      <w:tr>
        <w:tblPrEx>
          <w:tblCellMar>
            <w:left w:w="108" w:type="dxa"/>
            <w:right w:w="108" w:type="dxa"/>
          </w:tblCellMar>
        </w:tblPrEx>
        <w:tc>
          <w:tcPr>
            <w:tcW w:w="5208" w:type="dxa"/>
          </w:tcPr>
          <w:p>
            <w:pPr>
              <w:pStyle w:val="yTable"/>
            </w:pPr>
            <w:r>
              <w:t>56409</w:t>
            </w:r>
          </w:p>
        </w:tc>
        <w:tc>
          <w:tcPr>
            <w:tcW w:w="1455" w:type="dxa"/>
          </w:tcPr>
          <w:p>
            <w:pPr>
              <w:pStyle w:val="yTable"/>
              <w:ind w:right="315"/>
              <w:jc w:val="right"/>
            </w:pPr>
            <w:r>
              <w:t>343.35</w:t>
            </w:r>
          </w:p>
        </w:tc>
      </w:tr>
      <w:tr>
        <w:tblPrEx>
          <w:tblCellMar>
            <w:left w:w="108" w:type="dxa"/>
            <w:right w:w="108" w:type="dxa"/>
          </w:tblCellMar>
        </w:tblPrEx>
        <w:tc>
          <w:tcPr>
            <w:tcW w:w="5208" w:type="dxa"/>
          </w:tcPr>
          <w:p>
            <w:pPr>
              <w:pStyle w:val="yTable"/>
            </w:pPr>
            <w:r>
              <w:t>56412</w:t>
            </w:r>
          </w:p>
        </w:tc>
        <w:tc>
          <w:tcPr>
            <w:tcW w:w="1455" w:type="dxa"/>
          </w:tcPr>
          <w:p>
            <w:pPr>
              <w:pStyle w:val="yTable"/>
              <w:ind w:right="315"/>
              <w:jc w:val="right"/>
            </w:pPr>
            <w:r>
              <w:t>494.35</w:t>
            </w:r>
          </w:p>
        </w:tc>
      </w:tr>
      <w:tr>
        <w:tblPrEx>
          <w:tblCellMar>
            <w:left w:w="108" w:type="dxa"/>
            <w:right w:w="108" w:type="dxa"/>
          </w:tblCellMar>
        </w:tblPrEx>
        <w:tc>
          <w:tcPr>
            <w:tcW w:w="5208" w:type="dxa"/>
          </w:tcPr>
          <w:p>
            <w:pPr>
              <w:pStyle w:val="yTable"/>
            </w:pPr>
            <w:r>
              <w:t>56441</w:t>
            </w:r>
          </w:p>
        </w:tc>
        <w:tc>
          <w:tcPr>
            <w:tcW w:w="1455" w:type="dxa"/>
          </w:tcPr>
          <w:p>
            <w:pPr>
              <w:pStyle w:val="yTable"/>
              <w:ind w:right="315"/>
              <w:jc w:val="right"/>
            </w:pPr>
            <w:r>
              <w:t>174.10</w:t>
            </w:r>
          </w:p>
        </w:tc>
      </w:tr>
      <w:tr>
        <w:tblPrEx>
          <w:tblCellMar>
            <w:left w:w="108" w:type="dxa"/>
            <w:right w:w="108" w:type="dxa"/>
          </w:tblCellMar>
        </w:tblPrEx>
        <w:tc>
          <w:tcPr>
            <w:tcW w:w="5208" w:type="dxa"/>
          </w:tcPr>
          <w:p>
            <w:pPr>
              <w:pStyle w:val="yTable"/>
            </w:pPr>
            <w:r>
              <w:t>56447</w:t>
            </w:r>
          </w:p>
        </w:tc>
        <w:tc>
          <w:tcPr>
            <w:tcW w:w="1455" w:type="dxa"/>
          </w:tcPr>
          <w:p>
            <w:pPr>
              <w:pStyle w:val="yTable"/>
              <w:ind w:right="315"/>
              <w:jc w:val="right"/>
            </w:pPr>
            <w:r>
              <w:t>249.20</w:t>
            </w:r>
          </w:p>
        </w:tc>
      </w:tr>
      <w:tr>
        <w:tblPrEx>
          <w:tblCellMar>
            <w:left w:w="108" w:type="dxa"/>
            <w:right w:w="108" w:type="dxa"/>
          </w:tblCellMar>
        </w:tblPrEx>
        <w:tc>
          <w:tcPr>
            <w:tcW w:w="5208" w:type="dxa"/>
          </w:tcPr>
          <w:p>
            <w:pPr>
              <w:pStyle w:val="yTable"/>
            </w:pPr>
            <w:r>
              <w:t>56449</w:t>
            </w:r>
          </w:p>
        </w:tc>
        <w:tc>
          <w:tcPr>
            <w:tcW w:w="1455" w:type="dxa"/>
          </w:tcPr>
          <w:p>
            <w:pPr>
              <w:pStyle w:val="yTable"/>
              <w:ind w:right="315"/>
              <w:jc w:val="right"/>
            </w:pPr>
            <w:r>
              <w:t>174.10</w:t>
            </w:r>
          </w:p>
        </w:tc>
      </w:tr>
      <w:tr>
        <w:tblPrEx>
          <w:tblCellMar>
            <w:left w:w="108" w:type="dxa"/>
            <w:right w:w="108" w:type="dxa"/>
          </w:tblCellMar>
        </w:tblPrEx>
        <w:tc>
          <w:tcPr>
            <w:tcW w:w="5208" w:type="dxa"/>
          </w:tcPr>
          <w:p>
            <w:pPr>
              <w:pStyle w:val="yTable"/>
            </w:pPr>
            <w:r>
              <w:t>56452</w:t>
            </w:r>
          </w:p>
        </w:tc>
        <w:tc>
          <w:tcPr>
            <w:tcW w:w="1455" w:type="dxa"/>
          </w:tcPr>
          <w:p>
            <w:pPr>
              <w:pStyle w:val="yTable"/>
              <w:ind w:right="315"/>
              <w:jc w:val="right"/>
            </w:pPr>
            <w:r>
              <w:t>249.20</w:t>
            </w:r>
          </w:p>
        </w:tc>
      </w:tr>
      <w:tr>
        <w:tblPrEx>
          <w:tblCellMar>
            <w:left w:w="108" w:type="dxa"/>
            <w:right w:w="108" w:type="dxa"/>
          </w:tblCellMar>
        </w:tblPrEx>
        <w:tc>
          <w:tcPr>
            <w:tcW w:w="5208" w:type="dxa"/>
          </w:tcPr>
          <w:p>
            <w:pPr>
              <w:pStyle w:val="yTable"/>
            </w:pPr>
            <w:r>
              <w:t>56501</w:t>
            </w:r>
          </w:p>
        </w:tc>
        <w:tc>
          <w:tcPr>
            <w:tcW w:w="1455" w:type="dxa"/>
          </w:tcPr>
          <w:p>
            <w:pPr>
              <w:pStyle w:val="yTable"/>
              <w:ind w:right="315"/>
              <w:jc w:val="right"/>
            </w:pPr>
            <w:r>
              <w:t>528.75</w:t>
            </w:r>
          </w:p>
        </w:tc>
      </w:tr>
      <w:tr>
        <w:tblPrEx>
          <w:tblCellMar>
            <w:left w:w="108" w:type="dxa"/>
            <w:right w:w="108" w:type="dxa"/>
          </w:tblCellMar>
        </w:tblPrEx>
        <w:tc>
          <w:tcPr>
            <w:tcW w:w="5208" w:type="dxa"/>
          </w:tcPr>
          <w:p>
            <w:pPr>
              <w:pStyle w:val="yTable"/>
            </w:pPr>
            <w:r>
              <w:t>56507</w:t>
            </w:r>
          </w:p>
        </w:tc>
        <w:tc>
          <w:tcPr>
            <w:tcW w:w="1455" w:type="dxa"/>
          </w:tcPr>
          <w:p>
            <w:pPr>
              <w:pStyle w:val="yTable"/>
              <w:ind w:right="315"/>
              <w:jc w:val="right"/>
            </w:pPr>
            <w:r>
              <w:t>659.20</w:t>
            </w:r>
          </w:p>
        </w:tc>
      </w:tr>
      <w:tr>
        <w:tblPrEx>
          <w:tblCellMar>
            <w:left w:w="108" w:type="dxa"/>
            <w:right w:w="108" w:type="dxa"/>
          </w:tblCellMar>
        </w:tblPrEx>
        <w:tc>
          <w:tcPr>
            <w:tcW w:w="5208" w:type="dxa"/>
          </w:tcPr>
          <w:p>
            <w:pPr>
              <w:pStyle w:val="yTable"/>
            </w:pPr>
            <w:r>
              <w:t>56541</w:t>
            </w:r>
          </w:p>
        </w:tc>
        <w:tc>
          <w:tcPr>
            <w:tcW w:w="1455" w:type="dxa"/>
          </w:tcPr>
          <w:p>
            <w:pPr>
              <w:pStyle w:val="yTable"/>
              <w:ind w:right="315"/>
              <w:jc w:val="right"/>
            </w:pPr>
            <w:r>
              <w:t>265.25</w:t>
            </w:r>
          </w:p>
        </w:tc>
      </w:tr>
      <w:tr>
        <w:tblPrEx>
          <w:tblCellMar>
            <w:left w:w="108" w:type="dxa"/>
            <w:right w:w="108" w:type="dxa"/>
          </w:tblCellMar>
        </w:tblPrEx>
        <w:tc>
          <w:tcPr>
            <w:tcW w:w="5208" w:type="dxa"/>
          </w:tcPr>
          <w:p>
            <w:pPr>
              <w:pStyle w:val="yTable"/>
            </w:pPr>
            <w:r>
              <w:t>56547</w:t>
            </w:r>
          </w:p>
        </w:tc>
        <w:tc>
          <w:tcPr>
            <w:tcW w:w="1455" w:type="dxa"/>
          </w:tcPr>
          <w:p>
            <w:pPr>
              <w:pStyle w:val="yTable"/>
              <w:ind w:right="315"/>
              <w:jc w:val="right"/>
            </w:pPr>
            <w:r>
              <w:t>334.70</w:t>
            </w:r>
          </w:p>
        </w:tc>
      </w:tr>
      <w:tr>
        <w:tblPrEx>
          <w:tblCellMar>
            <w:left w:w="108" w:type="dxa"/>
            <w:right w:w="108" w:type="dxa"/>
          </w:tblCellMar>
        </w:tblPrEx>
        <w:tc>
          <w:tcPr>
            <w:tcW w:w="5208" w:type="dxa"/>
          </w:tcPr>
          <w:p>
            <w:pPr>
              <w:pStyle w:val="yTable"/>
            </w:pPr>
            <w:r>
              <w:t>56549</w:t>
            </w:r>
          </w:p>
        </w:tc>
        <w:tc>
          <w:tcPr>
            <w:tcW w:w="1455" w:type="dxa"/>
          </w:tcPr>
          <w:p>
            <w:pPr>
              <w:pStyle w:val="yTable"/>
              <w:ind w:right="315"/>
              <w:jc w:val="right"/>
            </w:pPr>
            <w:r>
              <w:t>528.75</w:t>
            </w:r>
          </w:p>
        </w:tc>
      </w:tr>
      <w:tr>
        <w:tblPrEx>
          <w:tblCellMar>
            <w:left w:w="108" w:type="dxa"/>
            <w:right w:w="108" w:type="dxa"/>
          </w:tblCellMar>
        </w:tblPrEx>
        <w:tc>
          <w:tcPr>
            <w:tcW w:w="5208" w:type="dxa"/>
          </w:tcPr>
          <w:p>
            <w:pPr>
              <w:pStyle w:val="yTable"/>
            </w:pPr>
            <w:r>
              <w:t>56551</w:t>
            </w:r>
          </w:p>
        </w:tc>
        <w:tc>
          <w:tcPr>
            <w:tcW w:w="1455" w:type="dxa"/>
          </w:tcPr>
          <w:p>
            <w:pPr>
              <w:pStyle w:val="yTable"/>
              <w:ind w:right="315"/>
              <w:jc w:val="right"/>
            </w:pPr>
            <w:r>
              <w:t>528.75</w:t>
            </w:r>
          </w:p>
        </w:tc>
      </w:tr>
      <w:tr>
        <w:tblPrEx>
          <w:tblCellMar>
            <w:left w:w="108" w:type="dxa"/>
            <w:right w:w="108" w:type="dxa"/>
          </w:tblCellMar>
        </w:tblPrEx>
        <w:tc>
          <w:tcPr>
            <w:tcW w:w="5208" w:type="dxa"/>
          </w:tcPr>
          <w:p>
            <w:pPr>
              <w:pStyle w:val="yTable"/>
            </w:pPr>
            <w:r>
              <w:t>56619</w:t>
            </w:r>
          </w:p>
        </w:tc>
        <w:tc>
          <w:tcPr>
            <w:tcW w:w="1455" w:type="dxa"/>
          </w:tcPr>
          <w:p>
            <w:pPr>
              <w:pStyle w:val="yTable"/>
              <w:ind w:right="315"/>
              <w:jc w:val="right"/>
            </w:pPr>
            <w:r>
              <w:t>302.15</w:t>
            </w:r>
          </w:p>
        </w:tc>
      </w:tr>
      <w:tr>
        <w:tblPrEx>
          <w:tblCellMar>
            <w:left w:w="108" w:type="dxa"/>
            <w:right w:w="108" w:type="dxa"/>
          </w:tblCellMar>
        </w:tblPrEx>
        <w:tc>
          <w:tcPr>
            <w:tcW w:w="5208" w:type="dxa"/>
          </w:tcPr>
          <w:p>
            <w:pPr>
              <w:pStyle w:val="yTable"/>
            </w:pPr>
            <w:r>
              <w:t>56625</w:t>
            </w:r>
          </w:p>
        </w:tc>
        <w:tc>
          <w:tcPr>
            <w:tcW w:w="1455" w:type="dxa"/>
          </w:tcPr>
          <w:p>
            <w:pPr>
              <w:pStyle w:val="yTable"/>
              <w:ind w:right="315"/>
              <w:jc w:val="right"/>
            </w:pPr>
            <w:r>
              <w:t>459.55</w:t>
            </w:r>
          </w:p>
        </w:tc>
      </w:tr>
      <w:tr>
        <w:tblPrEx>
          <w:tblCellMar>
            <w:left w:w="108" w:type="dxa"/>
            <w:right w:w="108" w:type="dxa"/>
          </w:tblCellMar>
        </w:tblPrEx>
        <w:tc>
          <w:tcPr>
            <w:tcW w:w="5208" w:type="dxa"/>
          </w:tcPr>
          <w:p>
            <w:pPr>
              <w:pStyle w:val="yTable"/>
            </w:pPr>
            <w:r>
              <w:t>56659</w:t>
            </w:r>
          </w:p>
        </w:tc>
        <w:tc>
          <w:tcPr>
            <w:tcW w:w="1455" w:type="dxa"/>
          </w:tcPr>
          <w:p>
            <w:pPr>
              <w:pStyle w:val="yTable"/>
              <w:ind w:right="315"/>
              <w:jc w:val="right"/>
            </w:pPr>
            <w:r>
              <w:t>153.90</w:t>
            </w:r>
          </w:p>
        </w:tc>
      </w:tr>
      <w:tr>
        <w:tblPrEx>
          <w:tblCellMar>
            <w:left w:w="108" w:type="dxa"/>
            <w:right w:w="108" w:type="dxa"/>
          </w:tblCellMar>
        </w:tblPrEx>
        <w:tc>
          <w:tcPr>
            <w:tcW w:w="5208" w:type="dxa"/>
          </w:tcPr>
          <w:p>
            <w:pPr>
              <w:pStyle w:val="yTable"/>
            </w:pPr>
            <w:r>
              <w:t>56665</w:t>
            </w:r>
          </w:p>
        </w:tc>
        <w:tc>
          <w:tcPr>
            <w:tcW w:w="1455" w:type="dxa"/>
          </w:tcPr>
          <w:p>
            <w:pPr>
              <w:pStyle w:val="yTable"/>
              <w:ind w:right="315"/>
              <w:jc w:val="right"/>
            </w:pPr>
            <w:r>
              <w:t>229.90</w:t>
            </w:r>
          </w:p>
        </w:tc>
      </w:tr>
      <w:tr>
        <w:tblPrEx>
          <w:tblCellMar>
            <w:left w:w="108" w:type="dxa"/>
            <w:right w:w="108" w:type="dxa"/>
          </w:tblCellMar>
        </w:tblPrEx>
        <w:tc>
          <w:tcPr>
            <w:tcW w:w="5208" w:type="dxa"/>
          </w:tcPr>
          <w:p>
            <w:pPr>
              <w:pStyle w:val="yTable"/>
            </w:pPr>
            <w:r>
              <w:t>56801</w:t>
            </w:r>
          </w:p>
        </w:tc>
        <w:tc>
          <w:tcPr>
            <w:tcW w:w="1455" w:type="dxa"/>
          </w:tcPr>
          <w:p>
            <w:pPr>
              <w:pStyle w:val="yTable"/>
              <w:ind w:right="315"/>
              <w:jc w:val="right"/>
            </w:pPr>
            <w:r>
              <w:t>640.75</w:t>
            </w:r>
          </w:p>
        </w:tc>
      </w:tr>
      <w:tr>
        <w:tblPrEx>
          <w:tblCellMar>
            <w:left w:w="108" w:type="dxa"/>
            <w:right w:w="108" w:type="dxa"/>
          </w:tblCellMar>
        </w:tblPrEx>
        <w:tc>
          <w:tcPr>
            <w:tcW w:w="5208" w:type="dxa"/>
          </w:tcPr>
          <w:p>
            <w:pPr>
              <w:pStyle w:val="yTable"/>
            </w:pPr>
            <w:r>
              <w:t>56807</w:t>
            </w:r>
          </w:p>
        </w:tc>
        <w:tc>
          <w:tcPr>
            <w:tcW w:w="1455" w:type="dxa"/>
          </w:tcPr>
          <w:p>
            <w:pPr>
              <w:pStyle w:val="yTable"/>
              <w:ind w:right="315"/>
              <w:jc w:val="right"/>
            </w:pPr>
            <w:r>
              <w:t>769.05</w:t>
            </w:r>
          </w:p>
        </w:tc>
      </w:tr>
      <w:tr>
        <w:tblPrEx>
          <w:tblCellMar>
            <w:left w:w="108" w:type="dxa"/>
            <w:right w:w="108" w:type="dxa"/>
          </w:tblCellMar>
        </w:tblPrEx>
        <w:tc>
          <w:tcPr>
            <w:tcW w:w="5208" w:type="dxa"/>
          </w:tcPr>
          <w:p>
            <w:pPr>
              <w:pStyle w:val="yTable"/>
            </w:pPr>
            <w:r>
              <w:t>56841</w:t>
            </w:r>
          </w:p>
        </w:tc>
        <w:tc>
          <w:tcPr>
            <w:tcW w:w="1455" w:type="dxa"/>
          </w:tcPr>
          <w:p>
            <w:pPr>
              <w:pStyle w:val="yTable"/>
              <w:ind w:right="315"/>
              <w:jc w:val="right"/>
            </w:pPr>
            <w:r>
              <w:t>320.45</w:t>
            </w:r>
          </w:p>
        </w:tc>
      </w:tr>
      <w:tr>
        <w:tblPrEx>
          <w:tblCellMar>
            <w:left w:w="108" w:type="dxa"/>
            <w:right w:w="108" w:type="dxa"/>
          </w:tblCellMar>
        </w:tblPrEx>
        <w:tc>
          <w:tcPr>
            <w:tcW w:w="5208" w:type="dxa"/>
          </w:tcPr>
          <w:p>
            <w:pPr>
              <w:pStyle w:val="yTable"/>
            </w:pPr>
            <w:r>
              <w:t>56847</w:t>
            </w:r>
          </w:p>
        </w:tc>
        <w:tc>
          <w:tcPr>
            <w:tcW w:w="1455" w:type="dxa"/>
          </w:tcPr>
          <w:p>
            <w:pPr>
              <w:pStyle w:val="yTable"/>
              <w:ind w:right="315"/>
              <w:jc w:val="right"/>
            </w:pPr>
            <w:r>
              <w:t>389.85</w:t>
            </w:r>
          </w:p>
        </w:tc>
      </w:tr>
      <w:tr>
        <w:tblPrEx>
          <w:tblCellMar>
            <w:left w:w="108" w:type="dxa"/>
            <w:right w:w="108" w:type="dxa"/>
          </w:tblCellMar>
        </w:tblPrEx>
        <w:tc>
          <w:tcPr>
            <w:tcW w:w="5208" w:type="dxa"/>
          </w:tcPr>
          <w:p>
            <w:pPr>
              <w:pStyle w:val="yTable"/>
            </w:pPr>
            <w:r>
              <w:t>57001</w:t>
            </w:r>
          </w:p>
        </w:tc>
        <w:tc>
          <w:tcPr>
            <w:tcW w:w="1455" w:type="dxa"/>
          </w:tcPr>
          <w:p>
            <w:pPr>
              <w:pStyle w:val="yTable"/>
              <w:ind w:right="315"/>
              <w:jc w:val="right"/>
            </w:pPr>
            <w:r>
              <w:t>640.85</w:t>
            </w:r>
          </w:p>
        </w:tc>
      </w:tr>
      <w:tr>
        <w:tblPrEx>
          <w:tblCellMar>
            <w:left w:w="108" w:type="dxa"/>
            <w:right w:w="108" w:type="dxa"/>
          </w:tblCellMar>
        </w:tblPrEx>
        <w:tc>
          <w:tcPr>
            <w:tcW w:w="5208" w:type="dxa"/>
          </w:tcPr>
          <w:p>
            <w:pPr>
              <w:pStyle w:val="yTable"/>
            </w:pPr>
            <w:r>
              <w:t>57007</w:t>
            </w:r>
          </w:p>
        </w:tc>
        <w:tc>
          <w:tcPr>
            <w:tcW w:w="1455" w:type="dxa"/>
          </w:tcPr>
          <w:p>
            <w:pPr>
              <w:pStyle w:val="yTable"/>
              <w:ind w:right="315"/>
              <w:jc w:val="right"/>
            </w:pPr>
            <w:r>
              <w:t>779.70</w:t>
            </w:r>
          </w:p>
        </w:tc>
      </w:tr>
      <w:tr>
        <w:tblPrEx>
          <w:tblCellMar>
            <w:left w:w="108" w:type="dxa"/>
            <w:right w:w="108" w:type="dxa"/>
          </w:tblCellMar>
        </w:tblPrEx>
        <w:tc>
          <w:tcPr>
            <w:tcW w:w="5208" w:type="dxa"/>
          </w:tcPr>
          <w:p>
            <w:pPr>
              <w:pStyle w:val="yTable"/>
            </w:pPr>
            <w:r>
              <w:t>57041</w:t>
            </w:r>
          </w:p>
        </w:tc>
        <w:tc>
          <w:tcPr>
            <w:tcW w:w="1455" w:type="dxa"/>
          </w:tcPr>
          <w:p>
            <w:pPr>
              <w:pStyle w:val="yTable"/>
              <w:ind w:right="315"/>
              <w:jc w:val="right"/>
            </w:pPr>
            <w:r>
              <w:t>320.50</w:t>
            </w:r>
          </w:p>
        </w:tc>
      </w:tr>
      <w:tr>
        <w:tblPrEx>
          <w:tblCellMar>
            <w:left w:w="108" w:type="dxa"/>
            <w:right w:w="108" w:type="dxa"/>
          </w:tblCellMar>
        </w:tblPrEx>
        <w:tc>
          <w:tcPr>
            <w:tcW w:w="5208" w:type="dxa"/>
          </w:tcPr>
          <w:p>
            <w:pPr>
              <w:pStyle w:val="yTable"/>
            </w:pPr>
            <w:r>
              <w:t>57047</w:t>
            </w:r>
          </w:p>
        </w:tc>
        <w:tc>
          <w:tcPr>
            <w:tcW w:w="1455" w:type="dxa"/>
          </w:tcPr>
          <w:p>
            <w:pPr>
              <w:pStyle w:val="yTable"/>
              <w:ind w:right="315"/>
              <w:jc w:val="right"/>
            </w:pPr>
            <w:r>
              <w:t>389.90</w:t>
            </w:r>
          </w:p>
        </w:tc>
      </w:tr>
      <w:tr>
        <w:tblPrEx>
          <w:tblCellMar>
            <w:left w:w="108" w:type="dxa"/>
            <w:right w:w="108" w:type="dxa"/>
          </w:tblCellMar>
        </w:tblPrEx>
        <w:tc>
          <w:tcPr>
            <w:tcW w:w="5208" w:type="dxa"/>
          </w:tcPr>
          <w:p>
            <w:pPr>
              <w:pStyle w:val="yTable"/>
            </w:pPr>
            <w:r>
              <w:t>57201</w:t>
            </w:r>
          </w:p>
        </w:tc>
        <w:tc>
          <w:tcPr>
            <w:tcW w:w="1455" w:type="dxa"/>
          </w:tcPr>
          <w:p>
            <w:pPr>
              <w:pStyle w:val="yTable"/>
              <w:ind w:right="315"/>
              <w:jc w:val="right"/>
            </w:pPr>
            <w:r>
              <w:t>213.10</w:t>
            </w:r>
          </w:p>
        </w:tc>
      </w:tr>
      <w:tr>
        <w:tblPrEx>
          <w:tblCellMar>
            <w:left w:w="108" w:type="dxa"/>
            <w:right w:w="108" w:type="dxa"/>
          </w:tblCellMar>
        </w:tblPrEx>
        <w:tc>
          <w:tcPr>
            <w:tcW w:w="5208" w:type="dxa"/>
          </w:tcPr>
          <w:p>
            <w:pPr>
              <w:pStyle w:val="yTable"/>
            </w:pPr>
            <w:r>
              <w:t>57247</w:t>
            </w:r>
          </w:p>
        </w:tc>
        <w:tc>
          <w:tcPr>
            <w:tcW w:w="1455" w:type="dxa"/>
          </w:tcPr>
          <w:p>
            <w:pPr>
              <w:pStyle w:val="yTable"/>
              <w:ind w:right="315"/>
              <w:jc w:val="right"/>
            </w:pPr>
            <w:r>
              <w:t>106.45</w:t>
            </w:r>
          </w:p>
        </w:tc>
      </w:tr>
      <w:tr>
        <w:tblPrEx>
          <w:tblCellMar>
            <w:left w:w="108" w:type="dxa"/>
            <w:right w:w="108" w:type="dxa"/>
          </w:tblCellMar>
        </w:tblPrEx>
        <w:tc>
          <w:tcPr>
            <w:tcW w:w="5208" w:type="dxa"/>
          </w:tcPr>
          <w:p>
            <w:pPr>
              <w:pStyle w:val="yTable"/>
            </w:pPr>
            <w:r>
              <w:t>57341</w:t>
            </w:r>
          </w:p>
        </w:tc>
        <w:tc>
          <w:tcPr>
            <w:tcW w:w="1455" w:type="dxa"/>
          </w:tcPr>
          <w:p>
            <w:pPr>
              <w:pStyle w:val="yTable"/>
              <w:ind w:right="315"/>
              <w:jc w:val="right"/>
            </w:pPr>
            <w:r>
              <w:t>645.45</w:t>
            </w:r>
          </w:p>
        </w:tc>
      </w:tr>
      <w:tr>
        <w:tblPrEx>
          <w:tblCellMar>
            <w:left w:w="108" w:type="dxa"/>
            <w:right w:w="108" w:type="dxa"/>
          </w:tblCellMar>
        </w:tblPrEx>
        <w:tc>
          <w:tcPr>
            <w:tcW w:w="5208" w:type="dxa"/>
          </w:tcPr>
          <w:p>
            <w:pPr>
              <w:pStyle w:val="yTable"/>
            </w:pPr>
            <w:r>
              <w:t>57345</w:t>
            </w:r>
          </w:p>
        </w:tc>
        <w:tc>
          <w:tcPr>
            <w:tcW w:w="1455" w:type="dxa"/>
          </w:tcPr>
          <w:p>
            <w:pPr>
              <w:pStyle w:val="yTable"/>
              <w:ind w:right="315"/>
              <w:jc w:val="right"/>
            </w:pPr>
            <w:r>
              <w:t>331.80</w:t>
            </w:r>
          </w:p>
        </w:tc>
      </w:tr>
      <w:tr>
        <w:tblPrEx>
          <w:tblCellMar>
            <w:left w:w="108" w:type="dxa"/>
            <w:right w:w="108" w:type="dxa"/>
          </w:tblCellMar>
        </w:tblPrEx>
        <w:tc>
          <w:tcPr>
            <w:tcW w:w="5208" w:type="dxa"/>
          </w:tcPr>
          <w:p>
            <w:pPr>
              <w:pStyle w:val="yTable"/>
            </w:pPr>
            <w:r>
              <w:t>57350</w:t>
            </w:r>
          </w:p>
        </w:tc>
        <w:tc>
          <w:tcPr>
            <w:tcW w:w="1455" w:type="dxa"/>
          </w:tcPr>
          <w:p>
            <w:pPr>
              <w:pStyle w:val="yTable"/>
              <w:ind w:right="315"/>
              <w:jc w:val="right"/>
            </w:pPr>
            <w:r>
              <w:t>700.40</w:t>
            </w:r>
          </w:p>
        </w:tc>
      </w:tr>
      <w:tr>
        <w:tblPrEx>
          <w:tblCellMar>
            <w:left w:w="108" w:type="dxa"/>
            <w:right w:w="108" w:type="dxa"/>
          </w:tblCellMar>
        </w:tblPrEx>
        <w:tc>
          <w:tcPr>
            <w:tcW w:w="5208" w:type="dxa"/>
          </w:tcPr>
          <w:p>
            <w:pPr>
              <w:pStyle w:val="yTable"/>
            </w:pPr>
            <w:r>
              <w:t>57351</w:t>
            </w:r>
          </w:p>
        </w:tc>
        <w:tc>
          <w:tcPr>
            <w:tcW w:w="1455" w:type="dxa"/>
          </w:tcPr>
          <w:p>
            <w:pPr>
              <w:pStyle w:val="yTable"/>
              <w:ind w:right="315"/>
              <w:jc w:val="right"/>
            </w:pPr>
            <w:r>
              <w:t>700.40</w:t>
            </w:r>
          </w:p>
        </w:tc>
      </w:tr>
      <w:tr>
        <w:tblPrEx>
          <w:tblCellMar>
            <w:left w:w="108" w:type="dxa"/>
            <w:right w:w="108" w:type="dxa"/>
          </w:tblCellMar>
        </w:tblPrEx>
        <w:tc>
          <w:tcPr>
            <w:tcW w:w="5208" w:type="dxa"/>
          </w:tcPr>
          <w:p>
            <w:pPr>
              <w:pStyle w:val="yTable"/>
            </w:pPr>
            <w:r>
              <w:t>57355</w:t>
            </w:r>
          </w:p>
        </w:tc>
        <w:tc>
          <w:tcPr>
            <w:tcW w:w="1455" w:type="dxa"/>
          </w:tcPr>
          <w:p>
            <w:pPr>
              <w:pStyle w:val="yTable"/>
              <w:ind w:right="315"/>
              <w:jc w:val="right"/>
            </w:pPr>
            <w:r>
              <w:t>362.75</w:t>
            </w:r>
          </w:p>
        </w:tc>
      </w:tr>
      <w:tr>
        <w:tblPrEx>
          <w:tblCellMar>
            <w:left w:w="108" w:type="dxa"/>
            <w:right w:w="108" w:type="dxa"/>
          </w:tblCellMar>
        </w:tblPrEx>
        <w:tc>
          <w:tcPr>
            <w:tcW w:w="5208" w:type="dxa"/>
            <w:tcBorders>
              <w:bottom w:val="single" w:sz="4" w:space="0" w:color="auto"/>
            </w:tcBorders>
          </w:tcPr>
          <w:p>
            <w:pPr>
              <w:pStyle w:val="yTable"/>
            </w:pPr>
            <w:r>
              <w:t>57356</w:t>
            </w:r>
          </w:p>
        </w:tc>
        <w:tc>
          <w:tcPr>
            <w:tcW w:w="1455" w:type="dxa"/>
            <w:tcBorders>
              <w:bottom w:val="single" w:sz="4" w:space="0" w:color="auto"/>
            </w:tcBorders>
          </w:tcPr>
          <w:p>
            <w:pPr>
              <w:pStyle w:val="yTable"/>
              <w:ind w:right="315"/>
              <w:jc w:val="right"/>
            </w:pPr>
            <w:r>
              <w:t>362.75</w:t>
            </w:r>
          </w:p>
        </w:tc>
      </w:tr>
    </w:tbl>
    <w:p>
      <w:pPr>
        <w:pStyle w:val="yMiscellaneousBody"/>
      </w:pPr>
      <w:r>
        <w:t>DIAGNOSTIC RADIOLOGY</w:t>
      </w:r>
    </w:p>
    <w:tbl>
      <w:tblPr>
        <w:tblW w:w="0" w:type="auto"/>
        <w:tblInd w:w="113" w:type="dxa"/>
        <w:tblLayout w:type="fixed"/>
        <w:tblCellMar>
          <w:left w:w="113" w:type="dxa"/>
          <w:right w:w="113" w:type="dxa"/>
        </w:tblCellMar>
        <w:tblLook w:val="0000" w:firstRow="0" w:lastRow="0" w:firstColumn="0" w:lastColumn="0" w:noHBand="0" w:noVBand="0"/>
      </w:tblPr>
      <w:tblGrid>
        <w:gridCol w:w="5194"/>
        <w:gridCol w:w="1469"/>
      </w:tblGrid>
      <w:tr>
        <w:trPr>
          <w:tblHeader/>
        </w:trPr>
        <w:tc>
          <w:tcPr>
            <w:tcW w:w="5194" w:type="dxa"/>
            <w:tcBorders>
              <w:top w:val="single" w:sz="4" w:space="0" w:color="auto"/>
              <w:bottom w:val="single" w:sz="4" w:space="0" w:color="auto"/>
            </w:tcBorders>
          </w:tcPr>
          <w:p>
            <w:pPr>
              <w:pStyle w:val="yTable"/>
            </w:pPr>
            <w:r>
              <w:rPr>
                <w:b/>
              </w:rPr>
              <w:t>MBS item number</w:t>
            </w:r>
            <w:r>
              <w:rPr>
                <w:b/>
              </w:rPr>
              <w:br/>
            </w:r>
            <w:r>
              <w:rPr>
                <w:i/>
                <w:iCs/>
              </w:rPr>
              <w:t>(1 November 2007)</w:t>
            </w:r>
          </w:p>
        </w:tc>
        <w:tc>
          <w:tcPr>
            <w:tcW w:w="1469" w:type="dxa"/>
            <w:tcBorders>
              <w:top w:val="single" w:sz="4" w:space="0" w:color="auto"/>
              <w:bottom w:val="single" w:sz="4" w:space="0" w:color="auto"/>
            </w:tcBorders>
          </w:tcPr>
          <w:p>
            <w:pPr>
              <w:pStyle w:val="yTable"/>
              <w:ind w:right="315"/>
              <w:jc w:val="center"/>
            </w:pPr>
            <w:r>
              <w:rPr>
                <w:b/>
                <w:bCs/>
              </w:rPr>
              <w:t>Fee</w:t>
            </w:r>
            <w:r>
              <w:rPr>
                <w:b/>
                <w:bCs/>
              </w:rPr>
              <w:br/>
              <w:t>$</w:t>
            </w:r>
          </w:p>
        </w:tc>
      </w:tr>
      <w:tr>
        <w:tblPrEx>
          <w:tblCellMar>
            <w:left w:w="108" w:type="dxa"/>
            <w:right w:w="108" w:type="dxa"/>
          </w:tblCellMar>
        </w:tblPrEx>
        <w:tc>
          <w:tcPr>
            <w:tcW w:w="5194" w:type="dxa"/>
          </w:tcPr>
          <w:p>
            <w:pPr>
              <w:pStyle w:val="yTable"/>
            </w:pPr>
            <w:r>
              <w:t>57506</w:t>
            </w:r>
          </w:p>
        </w:tc>
        <w:tc>
          <w:tcPr>
            <w:tcW w:w="1469" w:type="dxa"/>
            <w:vAlign w:val="center"/>
          </w:tcPr>
          <w:p>
            <w:pPr>
              <w:pStyle w:val="yTable"/>
              <w:ind w:right="315"/>
              <w:jc w:val="right"/>
            </w:pPr>
            <w:r>
              <w:t>47.20</w:t>
            </w:r>
          </w:p>
        </w:tc>
      </w:tr>
      <w:tr>
        <w:tblPrEx>
          <w:tblCellMar>
            <w:left w:w="108" w:type="dxa"/>
            <w:right w:w="108" w:type="dxa"/>
          </w:tblCellMar>
        </w:tblPrEx>
        <w:tc>
          <w:tcPr>
            <w:tcW w:w="5194" w:type="dxa"/>
          </w:tcPr>
          <w:p>
            <w:pPr>
              <w:pStyle w:val="yTable"/>
            </w:pPr>
            <w:r>
              <w:t>57509</w:t>
            </w:r>
          </w:p>
        </w:tc>
        <w:tc>
          <w:tcPr>
            <w:tcW w:w="1469" w:type="dxa"/>
            <w:vAlign w:val="center"/>
          </w:tcPr>
          <w:p>
            <w:pPr>
              <w:pStyle w:val="yTable"/>
              <w:ind w:right="315"/>
              <w:jc w:val="right"/>
            </w:pPr>
            <w:r>
              <w:t>63.05</w:t>
            </w:r>
          </w:p>
        </w:tc>
      </w:tr>
      <w:tr>
        <w:tblPrEx>
          <w:tblCellMar>
            <w:left w:w="108" w:type="dxa"/>
            <w:right w:w="108" w:type="dxa"/>
          </w:tblCellMar>
        </w:tblPrEx>
        <w:tc>
          <w:tcPr>
            <w:tcW w:w="5194" w:type="dxa"/>
          </w:tcPr>
          <w:p>
            <w:pPr>
              <w:pStyle w:val="yTable"/>
            </w:pPr>
            <w:r>
              <w:t>57512</w:t>
            </w:r>
          </w:p>
        </w:tc>
        <w:tc>
          <w:tcPr>
            <w:tcW w:w="1469" w:type="dxa"/>
            <w:vAlign w:val="center"/>
          </w:tcPr>
          <w:p>
            <w:pPr>
              <w:pStyle w:val="yTable"/>
              <w:ind w:right="315"/>
              <w:jc w:val="right"/>
            </w:pPr>
            <w:r>
              <w:t>64.25</w:t>
            </w:r>
          </w:p>
        </w:tc>
      </w:tr>
      <w:tr>
        <w:tblPrEx>
          <w:tblCellMar>
            <w:left w:w="108" w:type="dxa"/>
            <w:right w:w="108" w:type="dxa"/>
          </w:tblCellMar>
        </w:tblPrEx>
        <w:tc>
          <w:tcPr>
            <w:tcW w:w="5194" w:type="dxa"/>
          </w:tcPr>
          <w:p>
            <w:pPr>
              <w:pStyle w:val="yTable"/>
            </w:pPr>
            <w:r>
              <w:t>57515</w:t>
            </w:r>
          </w:p>
        </w:tc>
        <w:tc>
          <w:tcPr>
            <w:tcW w:w="1469" w:type="dxa"/>
            <w:vAlign w:val="center"/>
          </w:tcPr>
          <w:p>
            <w:pPr>
              <w:pStyle w:val="yTable"/>
              <w:ind w:right="315"/>
              <w:jc w:val="right"/>
            </w:pPr>
            <w:r>
              <w:t>85.60</w:t>
            </w:r>
          </w:p>
        </w:tc>
      </w:tr>
      <w:tr>
        <w:tblPrEx>
          <w:tblCellMar>
            <w:left w:w="108" w:type="dxa"/>
            <w:right w:w="108" w:type="dxa"/>
          </w:tblCellMar>
        </w:tblPrEx>
        <w:tc>
          <w:tcPr>
            <w:tcW w:w="5194" w:type="dxa"/>
          </w:tcPr>
          <w:p>
            <w:pPr>
              <w:pStyle w:val="yTable"/>
            </w:pPr>
            <w:r>
              <w:t>57518</w:t>
            </w:r>
          </w:p>
        </w:tc>
        <w:tc>
          <w:tcPr>
            <w:tcW w:w="1469" w:type="dxa"/>
            <w:vAlign w:val="center"/>
          </w:tcPr>
          <w:p>
            <w:pPr>
              <w:pStyle w:val="yTable"/>
              <w:ind w:right="315"/>
              <w:jc w:val="right"/>
            </w:pPr>
            <w:r>
              <w:t>51.55</w:t>
            </w:r>
          </w:p>
        </w:tc>
      </w:tr>
      <w:tr>
        <w:tblPrEx>
          <w:tblCellMar>
            <w:left w:w="108" w:type="dxa"/>
            <w:right w:w="108" w:type="dxa"/>
          </w:tblCellMar>
        </w:tblPrEx>
        <w:tc>
          <w:tcPr>
            <w:tcW w:w="5194" w:type="dxa"/>
          </w:tcPr>
          <w:p>
            <w:pPr>
              <w:pStyle w:val="yTable"/>
            </w:pPr>
            <w:r>
              <w:t>57521</w:t>
            </w:r>
          </w:p>
        </w:tc>
        <w:tc>
          <w:tcPr>
            <w:tcW w:w="1469" w:type="dxa"/>
            <w:vAlign w:val="center"/>
          </w:tcPr>
          <w:p>
            <w:pPr>
              <w:pStyle w:val="yTable"/>
              <w:ind w:right="315"/>
              <w:jc w:val="right"/>
            </w:pPr>
            <w:r>
              <w:t>68.80</w:t>
            </w:r>
          </w:p>
        </w:tc>
      </w:tr>
      <w:tr>
        <w:tblPrEx>
          <w:tblCellMar>
            <w:left w:w="108" w:type="dxa"/>
            <w:right w:w="108" w:type="dxa"/>
          </w:tblCellMar>
        </w:tblPrEx>
        <w:tc>
          <w:tcPr>
            <w:tcW w:w="5194" w:type="dxa"/>
          </w:tcPr>
          <w:p>
            <w:pPr>
              <w:pStyle w:val="yTable"/>
            </w:pPr>
            <w:r>
              <w:t>57524</w:t>
            </w:r>
          </w:p>
        </w:tc>
        <w:tc>
          <w:tcPr>
            <w:tcW w:w="1469" w:type="dxa"/>
            <w:vAlign w:val="center"/>
          </w:tcPr>
          <w:p>
            <w:pPr>
              <w:pStyle w:val="yTable"/>
              <w:ind w:right="315"/>
              <w:jc w:val="right"/>
            </w:pPr>
            <w:r>
              <w:t>78.45</w:t>
            </w:r>
          </w:p>
        </w:tc>
      </w:tr>
      <w:tr>
        <w:tblPrEx>
          <w:tblCellMar>
            <w:left w:w="108" w:type="dxa"/>
            <w:right w:w="108" w:type="dxa"/>
          </w:tblCellMar>
        </w:tblPrEx>
        <w:tc>
          <w:tcPr>
            <w:tcW w:w="5194" w:type="dxa"/>
          </w:tcPr>
          <w:p>
            <w:pPr>
              <w:pStyle w:val="yTable"/>
            </w:pPr>
            <w:r>
              <w:t>57527</w:t>
            </w:r>
          </w:p>
        </w:tc>
        <w:tc>
          <w:tcPr>
            <w:tcW w:w="1469" w:type="dxa"/>
            <w:vAlign w:val="center"/>
          </w:tcPr>
          <w:p>
            <w:pPr>
              <w:pStyle w:val="yTable"/>
              <w:ind w:right="315"/>
              <w:jc w:val="right"/>
            </w:pPr>
            <w:r>
              <w:t>104.30</w:t>
            </w:r>
          </w:p>
        </w:tc>
      </w:tr>
      <w:tr>
        <w:tblPrEx>
          <w:tblCellMar>
            <w:left w:w="108" w:type="dxa"/>
            <w:right w:w="108" w:type="dxa"/>
          </w:tblCellMar>
        </w:tblPrEx>
        <w:tc>
          <w:tcPr>
            <w:tcW w:w="5194" w:type="dxa"/>
          </w:tcPr>
          <w:p>
            <w:pPr>
              <w:pStyle w:val="yTable"/>
            </w:pPr>
            <w:r>
              <w:t>57700</w:t>
            </w:r>
          </w:p>
        </w:tc>
        <w:tc>
          <w:tcPr>
            <w:tcW w:w="1469" w:type="dxa"/>
            <w:vAlign w:val="center"/>
          </w:tcPr>
          <w:p>
            <w:pPr>
              <w:pStyle w:val="yTable"/>
              <w:ind w:right="315"/>
              <w:jc w:val="right"/>
            </w:pPr>
            <w:r>
              <w:t>64.25</w:t>
            </w:r>
          </w:p>
        </w:tc>
      </w:tr>
      <w:tr>
        <w:tblPrEx>
          <w:tblCellMar>
            <w:left w:w="108" w:type="dxa"/>
            <w:right w:w="108" w:type="dxa"/>
          </w:tblCellMar>
        </w:tblPrEx>
        <w:tc>
          <w:tcPr>
            <w:tcW w:w="5194" w:type="dxa"/>
          </w:tcPr>
          <w:p>
            <w:pPr>
              <w:pStyle w:val="yTable"/>
            </w:pPr>
            <w:r>
              <w:t>57703</w:t>
            </w:r>
          </w:p>
        </w:tc>
        <w:tc>
          <w:tcPr>
            <w:tcW w:w="1469" w:type="dxa"/>
            <w:vAlign w:val="center"/>
          </w:tcPr>
          <w:p>
            <w:pPr>
              <w:pStyle w:val="yTable"/>
              <w:ind w:right="315"/>
              <w:jc w:val="right"/>
            </w:pPr>
            <w:r>
              <w:t>85.60</w:t>
            </w:r>
          </w:p>
        </w:tc>
      </w:tr>
      <w:tr>
        <w:tblPrEx>
          <w:tblCellMar>
            <w:left w:w="108" w:type="dxa"/>
            <w:right w:w="108" w:type="dxa"/>
          </w:tblCellMar>
        </w:tblPrEx>
        <w:tc>
          <w:tcPr>
            <w:tcW w:w="5194" w:type="dxa"/>
          </w:tcPr>
          <w:p>
            <w:pPr>
              <w:pStyle w:val="yTable"/>
            </w:pPr>
            <w:r>
              <w:t>57706</w:t>
            </w:r>
          </w:p>
        </w:tc>
        <w:tc>
          <w:tcPr>
            <w:tcW w:w="1469" w:type="dxa"/>
            <w:vAlign w:val="center"/>
          </w:tcPr>
          <w:p>
            <w:pPr>
              <w:pStyle w:val="yTable"/>
              <w:ind w:right="315"/>
              <w:jc w:val="right"/>
            </w:pPr>
            <w:r>
              <w:t>51.55</w:t>
            </w:r>
          </w:p>
        </w:tc>
      </w:tr>
      <w:tr>
        <w:tblPrEx>
          <w:tblCellMar>
            <w:left w:w="108" w:type="dxa"/>
            <w:right w:w="108" w:type="dxa"/>
          </w:tblCellMar>
        </w:tblPrEx>
        <w:tc>
          <w:tcPr>
            <w:tcW w:w="5194" w:type="dxa"/>
          </w:tcPr>
          <w:p>
            <w:pPr>
              <w:pStyle w:val="yTable"/>
            </w:pPr>
            <w:r>
              <w:t>57709</w:t>
            </w:r>
          </w:p>
        </w:tc>
        <w:tc>
          <w:tcPr>
            <w:tcW w:w="1469" w:type="dxa"/>
            <w:vAlign w:val="center"/>
          </w:tcPr>
          <w:p>
            <w:pPr>
              <w:pStyle w:val="yTable"/>
              <w:ind w:right="315"/>
              <w:jc w:val="right"/>
            </w:pPr>
            <w:r>
              <w:t>68.80</w:t>
            </w:r>
          </w:p>
        </w:tc>
      </w:tr>
      <w:tr>
        <w:tblPrEx>
          <w:tblCellMar>
            <w:left w:w="108" w:type="dxa"/>
            <w:right w:w="108" w:type="dxa"/>
          </w:tblCellMar>
        </w:tblPrEx>
        <w:tc>
          <w:tcPr>
            <w:tcW w:w="5194" w:type="dxa"/>
          </w:tcPr>
          <w:p>
            <w:pPr>
              <w:pStyle w:val="yTable"/>
            </w:pPr>
            <w:r>
              <w:t>57712</w:t>
            </w:r>
          </w:p>
        </w:tc>
        <w:tc>
          <w:tcPr>
            <w:tcW w:w="1469" w:type="dxa"/>
            <w:vAlign w:val="center"/>
          </w:tcPr>
          <w:p>
            <w:pPr>
              <w:pStyle w:val="yTable"/>
              <w:ind w:right="315"/>
              <w:jc w:val="right"/>
            </w:pPr>
            <w:r>
              <w:t>74.75</w:t>
            </w:r>
          </w:p>
        </w:tc>
      </w:tr>
      <w:tr>
        <w:tblPrEx>
          <w:tblCellMar>
            <w:left w:w="108" w:type="dxa"/>
            <w:right w:w="108" w:type="dxa"/>
          </w:tblCellMar>
        </w:tblPrEx>
        <w:tc>
          <w:tcPr>
            <w:tcW w:w="5194" w:type="dxa"/>
          </w:tcPr>
          <w:p>
            <w:pPr>
              <w:pStyle w:val="yTable"/>
            </w:pPr>
            <w:r>
              <w:t>57715</w:t>
            </w:r>
          </w:p>
        </w:tc>
        <w:tc>
          <w:tcPr>
            <w:tcW w:w="1469" w:type="dxa"/>
            <w:vAlign w:val="center"/>
          </w:tcPr>
          <w:p>
            <w:pPr>
              <w:pStyle w:val="yTable"/>
              <w:ind w:right="315"/>
              <w:jc w:val="right"/>
            </w:pPr>
            <w:r>
              <w:t>96.60</w:t>
            </w:r>
          </w:p>
        </w:tc>
      </w:tr>
      <w:tr>
        <w:tblPrEx>
          <w:tblCellMar>
            <w:left w:w="108" w:type="dxa"/>
            <w:right w:w="108" w:type="dxa"/>
          </w:tblCellMar>
        </w:tblPrEx>
        <w:tc>
          <w:tcPr>
            <w:tcW w:w="5194" w:type="dxa"/>
          </w:tcPr>
          <w:p>
            <w:pPr>
              <w:pStyle w:val="yTable"/>
            </w:pPr>
            <w:r>
              <w:t>57721</w:t>
            </w:r>
          </w:p>
        </w:tc>
        <w:tc>
          <w:tcPr>
            <w:tcW w:w="1469" w:type="dxa"/>
            <w:vAlign w:val="center"/>
          </w:tcPr>
          <w:p>
            <w:pPr>
              <w:pStyle w:val="yTable"/>
              <w:ind w:right="315"/>
              <w:jc w:val="right"/>
            </w:pPr>
            <w:r>
              <w:t>157.40</w:t>
            </w:r>
          </w:p>
        </w:tc>
      </w:tr>
      <w:tr>
        <w:tblPrEx>
          <w:tblCellMar>
            <w:left w:w="108" w:type="dxa"/>
            <w:right w:w="108" w:type="dxa"/>
          </w:tblCellMar>
        </w:tblPrEx>
        <w:tc>
          <w:tcPr>
            <w:tcW w:w="5194" w:type="dxa"/>
          </w:tcPr>
          <w:p>
            <w:pPr>
              <w:pStyle w:val="yTable"/>
            </w:pPr>
            <w:r>
              <w:t>57901</w:t>
            </w:r>
          </w:p>
        </w:tc>
        <w:tc>
          <w:tcPr>
            <w:tcW w:w="1469" w:type="dxa"/>
            <w:vAlign w:val="center"/>
          </w:tcPr>
          <w:p>
            <w:pPr>
              <w:pStyle w:val="yTable"/>
              <w:ind w:right="315"/>
              <w:jc w:val="right"/>
            </w:pPr>
            <w:r>
              <w:t>102.25</w:t>
            </w:r>
          </w:p>
        </w:tc>
      </w:tr>
      <w:tr>
        <w:tblPrEx>
          <w:tblCellMar>
            <w:left w:w="108" w:type="dxa"/>
            <w:right w:w="108" w:type="dxa"/>
          </w:tblCellMar>
        </w:tblPrEx>
        <w:tc>
          <w:tcPr>
            <w:tcW w:w="5194" w:type="dxa"/>
          </w:tcPr>
          <w:p>
            <w:pPr>
              <w:pStyle w:val="yTable"/>
            </w:pPr>
            <w:r>
              <w:t>57902</w:t>
            </w:r>
          </w:p>
        </w:tc>
        <w:tc>
          <w:tcPr>
            <w:tcW w:w="1469" w:type="dxa"/>
            <w:vAlign w:val="center"/>
          </w:tcPr>
          <w:p>
            <w:pPr>
              <w:pStyle w:val="yTable"/>
              <w:ind w:right="315"/>
              <w:jc w:val="right"/>
            </w:pPr>
            <w:r>
              <w:t>102.25</w:t>
            </w:r>
          </w:p>
        </w:tc>
      </w:tr>
      <w:tr>
        <w:tblPrEx>
          <w:tblCellMar>
            <w:left w:w="108" w:type="dxa"/>
            <w:right w:w="108" w:type="dxa"/>
          </w:tblCellMar>
        </w:tblPrEx>
        <w:tc>
          <w:tcPr>
            <w:tcW w:w="5194" w:type="dxa"/>
          </w:tcPr>
          <w:p>
            <w:pPr>
              <w:pStyle w:val="yTable"/>
            </w:pPr>
            <w:r>
              <w:t>57903</w:t>
            </w:r>
          </w:p>
        </w:tc>
        <w:tc>
          <w:tcPr>
            <w:tcW w:w="1469" w:type="dxa"/>
            <w:vAlign w:val="center"/>
          </w:tcPr>
          <w:p>
            <w:pPr>
              <w:pStyle w:val="yTable"/>
              <w:ind w:right="315"/>
              <w:jc w:val="right"/>
            </w:pPr>
            <w:r>
              <w:t>75.00</w:t>
            </w:r>
          </w:p>
        </w:tc>
      </w:tr>
      <w:tr>
        <w:tblPrEx>
          <w:tblCellMar>
            <w:left w:w="108" w:type="dxa"/>
            <w:right w:w="108" w:type="dxa"/>
          </w:tblCellMar>
        </w:tblPrEx>
        <w:tc>
          <w:tcPr>
            <w:tcW w:w="5194" w:type="dxa"/>
          </w:tcPr>
          <w:p>
            <w:pPr>
              <w:pStyle w:val="yTable"/>
            </w:pPr>
            <w:r>
              <w:t>57906</w:t>
            </w:r>
          </w:p>
        </w:tc>
        <w:tc>
          <w:tcPr>
            <w:tcW w:w="1469" w:type="dxa"/>
            <w:vAlign w:val="center"/>
          </w:tcPr>
          <w:p>
            <w:pPr>
              <w:pStyle w:val="yTable"/>
              <w:ind w:right="315"/>
              <w:jc w:val="right"/>
            </w:pPr>
            <w:r>
              <w:t>102.25</w:t>
            </w:r>
          </w:p>
        </w:tc>
      </w:tr>
      <w:tr>
        <w:tblPrEx>
          <w:tblCellMar>
            <w:left w:w="108" w:type="dxa"/>
            <w:right w:w="108" w:type="dxa"/>
          </w:tblCellMar>
        </w:tblPrEx>
        <w:tc>
          <w:tcPr>
            <w:tcW w:w="5194" w:type="dxa"/>
          </w:tcPr>
          <w:p>
            <w:pPr>
              <w:pStyle w:val="yTable"/>
            </w:pPr>
            <w:r>
              <w:t>57909</w:t>
            </w:r>
          </w:p>
        </w:tc>
        <w:tc>
          <w:tcPr>
            <w:tcW w:w="1469" w:type="dxa"/>
            <w:vAlign w:val="center"/>
          </w:tcPr>
          <w:p>
            <w:pPr>
              <w:pStyle w:val="yTable"/>
              <w:ind w:right="315"/>
              <w:jc w:val="right"/>
            </w:pPr>
            <w:r>
              <w:t>102.25</w:t>
            </w:r>
          </w:p>
        </w:tc>
      </w:tr>
      <w:tr>
        <w:tblPrEx>
          <w:tblCellMar>
            <w:left w:w="108" w:type="dxa"/>
            <w:right w:w="108" w:type="dxa"/>
          </w:tblCellMar>
        </w:tblPrEx>
        <w:tc>
          <w:tcPr>
            <w:tcW w:w="5194" w:type="dxa"/>
          </w:tcPr>
          <w:p>
            <w:pPr>
              <w:pStyle w:val="yTable"/>
            </w:pPr>
            <w:r>
              <w:t>57912</w:t>
            </w:r>
          </w:p>
        </w:tc>
        <w:tc>
          <w:tcPr>
            <w:tcW w:w="1469" w:type="dxa"/>
            <w:vAlign w:val="center"/>
          </w:tcPr>
          <w:p>
            <w:pPr>
              <w:pStyle w:val="yTable"/>
              <w:ind w:right="315"/>
              <w:jc w:val="right"/>
            </w:pPr>
            <w:r>
              <w:t>74.75</w:t>
            </w:r>
          </w:p>
        </w:tc>
      </w:tr>
      <w:tr>
        <w:tblPrEx>
          <w:tblCellMar>
            <w:left w:w="108" w:type="dxa"/>
            <w:right w:w="108" w:type="dxa"/>
          </w:tblCellMar>
        </w:tblPrEx>
        <w:tc>
          <w:tcPr>
            <w:tcW w:w="5194" w:type="dxa"/>
          </w:tcPr>
          <w:p>
            <w:pPr>
              <w:pStyle w:val="yTable"/>
            </w:pPr>
            <w:r>
              <w:t>57915</w:t>
            </w:r>
          </w:p>
        </w:tc>
        <w:tc>
          <w:tcPr>
            <w:tcW w:w="1469" w:type="dxa"/>
            <w:vAlign w:val="center"/>
          </w:tcPr>
          <w:p>
            <w:pPr>
              <w:pStyle w:val="yTable"/>
              <w:ind w:right="315"/>
              <w:jc w:val="right"/>
            </w:pPr>
            <w:r>
              <w:t>74.75</w:t>
            </w:r>
          </w:p>
        </w:tc>
      </w:tr>
      <w:tr>
        <w:tblPrEx>
          <w:tblCellMar>
            <w:left w:w="108" w:type="dxa"/>
            <w:right w:w="108" w:type="dxa"/>
          </w:tblCellMar>
        </w:tblPrEx>
        <w:tc>
          <w:tcPr>
            <w:tcW w:w="5194" w:type="dxa"/>
          </w:tcPr>
          <w:p>
            <w:pPr>
              <w:pStyle w:val="yTable"/>
            </w:pPr>
            <w:r>
              <w:t>57918</w:t>
            </w:r>
          </w:p>
        </w:tc>
        <w:tc>
          <w:tcPr>
            <w:tcW w:w="1469" w:type="dxa"/>
            <w:vAlign w:val="center"/>
          </w:tcPr>
          <w:p>
            <w:pPr>
              <w:pStyle w:val="yTable"/>
              <w:ind w:right="315"/>
              <w:jc w:val="right"/>
            </w:pPr>
            <w:r>
              <w:t>74.75</w:t>
            </w:r>
          </w:p>
        </w:tc>
      </w:tr>
      <w:tr>
        <w:tblPrEx>
          <w:tblCellMar>
            <w:left w:w="108" w:type="dxa"/>
            <w:right w:w="108" w:type="dxa"/>
          </w:tblCellMar>
        </w:tblPrEx>
        <w:tc>
          <w:tcPr>
            <w:tcW w:w="5194" w:type="dxa"/>
          </w:tcPr>
          <w:p>
            <w:pPr>
              <w:pStyle w:val="yTable"/>
            </w:pPr>
            <w:r>
              <w:t>57921</w:t>
            </w:r>
          </w:p>
        </w:tc>
        <w:tc>
          <w:tcPr>
            <w:tcW w:w="1469" w:type="dxa"/>
            <w:vAlign w:val="center"/>
          </w:tcPr>
          <w:p>
            <w:pPr>
              <w:pStyle w:val="yTable"/>
              <w:ind w:right="315"/>
              <w:jc w:val="right"/>
            </w:pPr>
            <w:r>
              <w:t>74.75</w:t>
            </w:r>
          </w:p>
        </w:tc>
      </w:tr>
      <w:tr>
        <w:tblPrEx>
          <w:tblCellMar>
            <w:left w:w="108" w:type="dxa"/>
            <w:right w:w="108" w:type="dxa"/>
          </w:tblCellMar>
        </w:tblPrEx>
        <w:tc>
          <w:tcPr>
            <w:tcW w:w="5194" w:type="dxa"/>
          </w:tcPr>
          <w:p>
            <w:pPr>
              <w:pStyle w:val="yTable"/>
            </w:pPr>
            <w:r>
              <w:t>57924</w:t>
            </w:r>
          </w:p>
        </w:tc>
        <w:tc>
          <w:tcPr>
            <w:tcW w:w="1469" w:type="dxa"/>
            <w:vAlign w:val="center"/>
          </w:tcPr>
          <w:p>
            <w:pPr>
              <w:pStyle w:val="yTable"/>
              <w:ind w:right="315"/>
              <w:jc w:val="right"/>
            </w:pPr>
            <w:r>
              <w:t>74.75</w:t>
            </w:r>
          </w:p>
        </w:tc>
      </w:tr>
      <w:tr>
        <w:tblPrEx>
          <w:tblCellMar>
            <w:left w:w="108" w:type="dxa"/>
            <w:right w:w="108" w:type="dxa"/>
          </w:tblCellMar>
        </w:tblPrEx>
        <w:tc>
          <w:tcPr>
            <w:tcW w:w="5194" w:type="dxa"/>
          </w:tcPr>
          <w:p>
            <w:pPr>
              <w:pStyle w:val="yTable"/>
            </w:pPr>
            <w:r>
              <w:t>57927</w:t>
            </w:r>
          </w:p>
        </w:tc>
        <w:tc>
          <w:tcPr>
            <w:tcW w:w="1469" w:type="dxa"/>
            <w:vAlign w:val="center"/>
          </w:tcPr>
          <w:p>
            <w:pPr>
              <w:pStyle w:val="yTable"/>
              <w:ind w:right="315"/>
              <w:jc w:val="right"/>
            </w:pPr>
            <w:r>
              <w:t>78.70</w:t>
            </w:r>
          </w:p>
        </w:tc>
      </w:tr>
      <w:tr>
        <w:tblPrEx>
          <w:tblCellMar>
            <w:left w:w="108" w:type="dxa"/>
            <w:right w:w="108" w:type="dxa"/>
          </w:tblCellMar>
        </w:tblPrEx>
        <w:tc>
          <w:tcPr>
            <w:tcW w:w="5194" w:type="dxa"/>
          </w:tcPr>
          <w:p>
            <w:pPr>
              <w:pStyle w:val="yTable"/>
            </w:pPr>
            <w:r>
              <w:t>57930</w:t>
            </w:r>
          </w:p>
        </w:tc>
        <w:tc>
          <w:tcPr>
            <w:tcW w:w="1469" w:type="dxa"/>
            <w:vAlign w:val="center"/>
          </w:tcPr>
          <w:p>
            <w:pPr>
              <w:pStyle w:val="yTable"/>
              <w:ind w:right="315"/>
              <w:jc w:val="right"/>
            </w:pPr>
            <w:r>
              <w:t>52.15</w:t>
            </w:r>
          </w:p>
        </w:tc>
      </w:tr>
      <w:tr>
        <w:tblPrEx>
          <w:tblCellMar>
            <w:left w:w="108" w:type="dxa"/>
            <w:right w:w="108" w:type="dxa"/>
          </w:tblCellMar>
        </w:tblPrEx>
        <w:tc>
          <w:tcPr>
            <w:tcW w:w="5194" w:type="dxa"/>
          </w:tcPr>
          <w:p>
            <w:pPr>
              <w:pStyle w:val="yTable"/>
            </w:pPr>
            <w:r>
              <w:t>57933</w:t>
            </w:r>
          </w:p>
        </w:tc>
        <w:tc>
          <w:tcPr>
            <w:tcW w:w="1469" w:type="dxa"/>
            <w:vAlign w:val="center"/>
          </w:tcPr>
          <w:p>
            <w:pPr>
              <w:pStyle w:val="yTable"/>
              <w:ind w:right="315"/>
              <w:jc w:val="right"/>
            </w:pPr>
            <w:r>
              <w:t>124.10</w:t>
            </w:r>
          </w:p>
        </w:tc>
      </w:tr>
      <w:tr>
        <w:tblPrEx>
          <w:tblCellMar>
            <w:left w:w="108" w:type="dxa"/>
            <w:right w:w="108" w:type="dxa"/>
          </w:tblCellMar>
        </w:tblPrEx>
        <w:tc>
          <w:tcPr>
            <w:tcW w:w="5194" w:type="dxa"/>
          </w:tcPr>
          <w:p>
            <w:pPr>
              <w:pStyle w:val="yTable"/>
            </w:pPr>
            <w:r>
              <w:t>57939</w:t>
            </w:r>
          </w:p>
        </w:tc>
        <w:tc>
          <w:tcPr>
            <w:tcW w:w="1469" w:type="dxa"/>
            <w:vAlign w:val="center"/>
          </w:tcPr>
          <w:p>
            <w:pPr>
              <w:pStyle w:val="yTable"/>
              <w:ind w:right="315"/>
              <w:jc w:val="right"/>
            </w:pPr>
            <w:r>
              <w:t>102.25</w:t>
            </w:r>
          </w:p>
        </w:tc>
      </w:tr>
      <w:tr>
        <w:tblPrEx>
          <w:tblCellMar>
            <w:left w:w="108" w:type="dxa"/>
            <w:right w:w="108" w:type="dxa"/>
          </w:tblCellMar>
        </w:tblPrEx>
        <w:tc>
          <w:tcPr>
            <w:tcW w:w="5194" w:type="dxa"/>
          </w:tcPr>
          <w:p>
            <w:pPr>
              <w:pStyle w:val="yTable"/>
            </w:pPr>
            <w:r>
              <w:t>57942</w:t>
            </w:r>
          </w:p>
        </w:tc>
        <w:tc>
          <w:tcPr>
            <w:tcW w:w="1469" w:type="dxa"/>
            <w:vAlign w:val="center"/>
          </w:tcPr>
          <w:p>
            <w:pPr>
              <w:pStyle w:val="yTable"/>
              <w:ind w:right="315"/>
              <w:jc w:val="right"/>
            </w:pPr>
            <w:r>
              <w:t>78.70</w:t>
            </w:r>
          </w:p>
        </w:tc>
      </w:tr>
      <w:tr>
        <w:tblPrEx>
          <w:tblCellMar>
            <w:left w:w="108" w:type="dxa"/>
            <w:right w:w="108" w:type="dxa"/>
          </w:tblCellMar>
        </w:tblPrEx>
        <w:tc>
          <w:tcPr>
            <w:tcW w:w="5194" w:type="dxa"/>
          </w:tcPr>
          <w:p>
            <w:pPr>
              <w:pStyle w:val="yTable"/>
            </w:pPr>
            <w:r>
              <w:t>57945</w:t>
            </w:r>
          </w:p>
        </w:tc>
        <w:tc>
          <w:tcPr>
            <w:tcW w:w="1469" w:type="dxa"/>
            <w:vAlign w:val="center"/>
          </w:tcPr>
          <w:p>
            <w:pPr>
              <w:pStyle w:val="yTable"/>
              <w:ind w:right="315"/>
              <w:jc w:val="right"/>
            </w:pPr>
            <w:r>
              <w:t>68.80</w:t>
            </w:r>
          </w:p>
        </w:tc>
      </w:tr>
      <w:tr>
        <w:tblPrEx>
          <w:tblCellMar>
            <w:left w:w="108" w:type="dxa"/>
            <w:right w:w="108" w:type="dxa"/>
          </w:tblCellMar>
        </w:tblPrEx>
        <w:tc>
          <w:tcPr>
            <w:tcW w:w="5194" w:type="dxa"/>
          </w:tcPr>
          <w:p>
            <w:pPr>
              <w:pStyle w:val="yTable"/>
            </w:pPr>
            <w:r>
              <w:t>57960</w:t>
            </w:r>
          </w:p>
        </w:tc>
        <w:tc>
          <w:tcPr>
            <w:tcW w:w="1469" w:type="dxa"/>
            <w:vAlign w:val="center"/>
          </w:tcPr>
          <w:p>
            <w:pPr>
              <w:pStyle w:val="yTable"/>
              <w:ind w:right="315"/>
              <w:jc w:val="right"/>
            </w:pPr>
            <w:r>
              <w:t>75.20</w:t>
            </w:r>
          </w:p>
        </w:tc>
      </w:tr>
      <w:tr>
        <w:tblPrEx>
          <w:tblCellMar>
            <w:left w:w="108" w:type="dxa"/>
            <w:right w:w="108" w:type="dxa"/>
          </w:tblCellMar>
        </w:tblPrEx>
        <w:tc>
          <w:tcPr>
            <w:tcW w:w="5194" w:type="dxa"/>
          </w:tcPr>
          <w:p>
            <w:pPr>
              <w:pStyle w:val="yTable"/>
            </w:pPr>
            <w:r>
              <w:t>57963</w:t>
            </w:r>
          </w:p>
        </w:tc>
        <w:tc>
          <w:tcPr>
            <w:tcW w:w="1469" w:type="dxa"/>
            <w:vAlign w:val="center"/>
          </w:tcPr>
          <w:p>
            <w:pPr>
              <w:pStyle w:val="yTable"/>
              <w:ind w:right="315"/>
              <w:jc w:val="right"/>
            </w:pPr>
            <w:r>
              <w:t>75.20</w:t>
            </w:r>
          </w:p>
        </w:tc>
      </w:tr>
      <w:tr>
        <w:tblPrEx>
          <w:tblCellMar>
            <w:left w:w="108" w:type="dxa"/>
            <w:right w:w="108" w:type="dxa"/>
          </w:tblCellMar>
        </w:tblPrEx>
        <w:tc>
          <w:tcPr>
            <w:tcW w:w="5194" w:type="dxa"/>
          </w:tcPr>
          <w:p>
            <w:pPr>
              <w:pStyle w:val="yTable"/>
            </w:pPr>
            <w:r>
              <w:t>57966</w:t>
            </w:r>
          </w:p>
        </w:tc>
        <w:tc>
          <w:tcPr>
            <w:tcW w:w="1469" w:type="dxa"/>
            <w:vAlign w:val="center"/>
          </w:tcPr>
          <w:p>
            <w:pPr>
              <w:pStyle w:val="yTable"/>
              <w:ind w:right="315"/>
              <w:jc w:val="right"/>
            </w:pPr>
            <w:r>
              <w:t>75.20</w:t>
            </w:r>
          </w:p>
        </w:tc>
      </w:tr>
      <w:tr>
        <w:tblPrEx>
          <w:tblCellMar>
            <w:left w:w="108" w:type="dxa"/>
            <w:right w:w="108" w:type="dxa"/>
          </w:tblCellMar>
        </w:tblPrEx>
        <w:tc>
          <w:tcPr>
            <w:tcW w:w="5194" w:type="dxa"/>
          </w:tcPr>
          <w:p>
            <w:pPr>
              <w:pStyle w:val="yTable"/>
            </w:pPr>
            <w:r>
              <w:t>57969</w:t>
            </w:r>
          </w:p>
        </w:tc>
        <w:tc>
          <w:tcPr>
            <w:tcW w:w="1469" w:type="dxa"/>
            <w:vAlign w:val="center"/>
          </w:tcPr>
          <w:p>
            <w:pPr>
              <w:pStyle w:val="yTable"/>
              <w:ind w:right="315"/>
              <w:jc w:val="right"/>
            </w:pPr>
            <w:r>
              <w:t>75.20</w:t>
            </w:r>
          </w:p>
        </w:tc>
      </w:tr>
      <w:tr>
        <w:tblPrEx>
          <w:tblCellMar>
            <w:left w:w="108" w:type="dxa"/>
            <w:right w:w="108" w:type="dxa"/>
          </w:tblCellMar>
        </w:tblPrEx>
        <w:tc>
          <w:tcPr>
            <w:tcW w:w="5194" w:type="dxa"/>
          </w:tcPr>
          <w:p>
            <w:pPr>
              <w:pStyle w:val="yTable"/>
            </w:pPr>
            <w:r>
              <w:t>58100</w:t>
            </w:r>
          </w:p>
        </w:tc>
        <w:tc>
          <w:tcPr>
            <w:tcW w:w="1469" w:type="dxa"/>
            <w:vAlign w:val="center"/>
          </w:tcPr>
          <w:p>
            <w:pPr>
              <w:pStyle w:val="yTable"/>
              <w:ind w:right="315"/>
              <w:jc w:val="right"/>
            </w:pPr>
            <w:r>
              <w:t>106.45</w:t>
            </w:r>
          </w:p>
        </w:tc>
      </w:tr>
      <w:tr>
        <w:tblPrEx>
          <w:tblCellMar>
            <w:left w:w="108" w:type="dxa"/>
            <w:right w:w="108" w:type="dxa"/>
          </w:tblCellMar>
        </w:tblPrEx>
        <w:tc>
          <w:tcPr>
            <w:tcW w:w="5194" w:type="dxa"/>
          </w:tcPr>
          <w:p>
            <w:pPr>
              <w:pStyle w:val="yTable"/>
            </w:pPr>
            <w:r>
              <w:t>58103</w:t>
            </w:r>
          </w:p>
        </w:tc>
        <w:tc>
          <w:tcPr>
            <w:tcW w:w="1469" w:type="dxa"/>
            <w:vAlign w:val="center"/>
          </w:tcPr>
          <w:p>
            <w:pPr>
              <w:pStyle w:val="yTable"/>
              <w:ind w:right="315"/>
              <w:jc w:val="right"/>
            </w:pPr>
            <w:r>
              <w:t>87.40</w:t>
            </w:r>
          </w:p>
        </w:tc>
      </w:tr>
      <w:tr>
        <w:tblPrEx>
          <w:tblCellMar>
            <w:left w:w="108" w:type="dxa"/>
            <w:right w:w="108" w:type="dxa"/>
          </w:tblCellMar>
        </w:tblPrEx>
        <w:tc>
          <w:tcPr>
            <w:tcW w:w="5194" w:type="dxa"/>
          </w:tcPr>
          <w:p>
            <w:pPr>
              <w:pStyle w:val="yTable"/>
            </w:pPr>
            <w:r>
              <w:t>58106</w:t>
            </w:r>
          </w:p>
        </w:tc>
        <w:tc>
          <w:tcPr>
            <w:tcW w:w="1469" w:type="dxa"/>
            <w:vAlign w:val="center"/>
          </w:tcPr>
          <w:p>
            <w:pPr>
              <w:pStyle w:val="yTable"/>
              <w:ind w:right="315"/>
              <w:jc w:val="right"/>
            </w:pPr>
            <w:r>
              <w:t>122.10</w:t>
            </w:r>
          </w:p>
        </w:tc>
      </w:tr>
      <w:tr>
        <w:tblPrEx>
          <w:tblCellMar>
            <w:left w:w="108" w:type="dxa"/>
            <w:right w:w="108" w:type="dxa"/>
          </w:tblCellMar>
        </w:tblPrEx>
        <w:tc>
          <w:tcPr>
            <w:tcW w:w="5194" w:type="dxa"/>
          </w:tcPr>
          <w:p>
            <w:pPr>
              <w:pStyle w:val="yTable"/>
            </w:pPr>
            <w:r>
              <w:t>58108</w:t>
            </w:r>
          </w:p>
        </w:tc>
        <w:tc>
          <w:tcPr>
            <w:tcW w:w="1469" w:type="dxa"/>
            <w:vAlign w:val="center"/>
          </w:tcPr>
          <w:p>
            <w:pPr>
              <w:pStyle w:val="yTable"/>
              <w:ind w:right="315"/>
              <w:jc w:val="right"/>
            </w:pPr>
            <w:r>
              <w:t>210.75</w:t>
            </w:r>
          </w:p>
        </w:tc>
      </w:tr>
      <w:tr>
        <w:tblPrEx>
          <w:tblCellMar>
            <w:left w:w="108" w:type="dxa"/>
            <w:right w:w="108" w:type="dxa"/>
          </w:tblCellMar>
        </w:tblPrEx>
        <w:tc>
          <w:tcPr>
            <w:tcW w:w="5194" w:type="dxa"/>
          </w:tcPr>
          <w:p>
            <w:pPr>
              <w:pStyle w:val="yTable"/>
            </w:pPr>
            <w:r>
              <w:t>58109</w:t>
            </w:r>
          </w:p>
        </w:tc>
        <w:tc>
          <w:tcPr>
            <w:tcW w:w="1469" w:type="dxa"/>
            <w:vAlign w:val="center"/>
          </w:tcPr>
          <w:p>
            <w:pPr>
              <w:pStyle w:val="yTable"/>
              <w:ind w:right="315"/>
              <w:jc w:val="right"/>
            </w:pPr>
            <w:r>
              <w:t>74.55</w:t>
            </w:r>
          </w:p>
        </w:tc>
      </w:tr>
      <w:tr>
        <w:tblPrEx>
          <w:tblCellMar>
            <w:left w:w="108" w:type="dxa"/>
            <w:right w:w="108" w:type="dxa"/>
          </w:tblCellMar>
        </w:tblPrEx>
        <w:tc>
          <w:tcPr>
            <w:tcW w:w="5194" w:type="dxa"/>
          </w:tcPr>
          <w:p>
            <w:pPr>
              <w:pStyle w:val="yTable"/>
            </w:pPr>
            <w:r>
              <w:t>58112</w:t>
            </w:r>
          </w:p>
        </w:tc>
        <w:tc>
          <w:tcPr>
            <w:tcW w:w="1469" w:type="dxa"/>
            <w:vAlign w:val="center"/>
          </w:tcPr>
          <w:p>
            <w:pPr>
              <w:pStyle w:val="yTable"/>
              <w:ind w:right="315"/>
              <w:jc w:val="right"/>
            </w:pPr>
            <w:r>
              <w:t>154.25</w:t>
            </w:r>
          </w:p>
        </w:tc>
      </w:tr>
      <w:tr>
        <w:tblPrEx>
          <w:tblCellMar>
            <w:left w:w="108" w:type="dxa"/>
            <w:right w:w="108" w:type="dxa"/>
          </w:tblCellMar>
        </w:tblPrEx>
        <w:tc>
          <w:tcPr>
            <w:tcW w:w="5194" w:type="dxa"/>
          </w:tcPr>
          <w:p>
            <w:pPr>
              <w:pStyle w:val="yTable"/>
            </w:pPr>
            <w:r>
              <w:t>58115</w:t>
            </w:r>
          </w:p>
        </w:tc>
        <w:tc>
          <w:tcPr>
            <w:tcW w:w="1469" w:type="dxa"/>
            <w:vAlign w:val="center"/>
          </w:tcPr>
          <w:p>
            <w:pPr>
              <w:pStyle w:val="yTable"/>
              <w:ind w:right="315"/>
              <w:jc w:val="right"/>
            </w:pPr>
            <w:r>
              <w:t>210.75</w:t>
            </w:r>
          </w:p>
        </w:tc>
      </w:tr>
      <w:tr>
        <w:tblPrEx>
          <w:tblCellMar>
            <w:left w:w="108" w:type="dxa"/>
            <w:right w:w="108" w:type="dxa"/>
          </w:tblCellMar>
        </w:tblPrEx>
        <w:tc>
          <w:tcPr>
            <w:tcW w:w="5194" w:type="dxa"/>
          </w:tcPr>
          <w:p>
            <w:pPr>
              <w:pStyle w:val="yTable"/>
            </w:pPr>
            <w:r>
              <w:t>58300</w:t>
            </w:r>
          </w:p>
        </w:tc>
        <w:tc>
          <w:tcPr>
            <w:tcW w:w="1469" w:type="dxa"/>
            <w:vAlign w:val="center"/>
          </w:tcPr>
          <w:p>
            <w:pPr>
              <w:pStyle w:val="yTable"/>
              <w:ind w:right="315"/>
              <w:jc w:val="right"/>
            </w:pPr>
            <w:r>
              <w:t>63.60</w:t>
            </w:r>
          </w:p>
        </w:tc>
      </w:tr>
      <w:tr>
        <w:tblPrEx>
          <w:tblCellMar>
            <w:left w:w="108" w:type="dxa"/>
            <w:right w:w="108" w:type="dxa"/>
          </w:tblCellMar>
        </w:tblPrEx>
        <w:tc>
          <w:tcPr>
            <w:tcW w:w="5194" w:type="dxa"/>
          </w:tcPr>
          <w:p>
            <w:pPr>
              <w:pStyle w:val="yTable"/>
            </w:pPr>
            <w:r>
              <w:t>58306</w:t>
            </w:r>
          </w:p>
        </w:tc>
        <w:tc>
          <w:tcPr>
            <w:tcW w:w="1469" w:type="dxa"/>
            <w:vAlign w:val="center"/>
          </w:tcPr>
          <w:p>
            <w:pPr>
              <w:pStyle w:val="yTable"/>
              <w:ind w:right="315"/>
              <w:jc w:val="right"/>
            </w:pPr>
            <w:r>
              <w:t>141.80</w:t>
            </w:r>
          </w:p>
        </w:tc>
      </w:tr>
      <w:tr>
        <w:tblPrEx>
          <w:tblCellMar>
            <w:left w:w="108" w:type="dxa"/>
            <w:right w:w="108" w:type="dxa"/>
          </w:tblCellMar>
        </w:tblPrEx>
        <w:tc>
          <w:tcPr>
            <w:tcW w:w="5194" w:type="dxa"/>
          </w:tcPr>
          <w:p>
            <w:pPr>
              <w:pStyle w:val="yTable"/>
            </w:pPr>
            <w:r>
              <w:t>58500</w:t>
            </w:r>
          </w:p>
        </w:tc>
        <w:tc>
          <w:tcPr>
            <w:tcW w:w="1469" w:type="dxa"/>
            <w:vAlign w:val="center"/>
          </w:tcPr>
          <w:p>
            <w:pPr>
              <w:pStyle w:val="yTable"/>
              <w:ind w:right="315"/>
              <w:jc w:val="right"/>
            </w:pPr>
            <w:r>
              <w:t>56.05</w:t>
            </w:r>
          </w:p>
        </w:tc>
      </w:tr>
      <w:tr>
        <w:tblPrEx>
          <w:tblCellMar>
            <w:left w:w="108" w:type="dxa"/>
            <w:right w:w="108" w:type="dxa"/>
          </w:tblCellMar>
        </w:tblPrEx>
        <w:tc>
          <w:tcPr>
            <w:tcW w:w="5194" w:type="dxa"/>
          </w:tcPr>
          <w:p>
            <w:pPr>
              <w:pStyle w:val="yTable"/>
            </w:pPr>
            <w:r>
              <w:t>58503</w:t>
            </w:r>
          </w:p>
        </w:tc>
        <w:tc>
          <w:tcPr>
            <w:tcW w:w="1469" w:type="dxa"/>
            <w:vAlign w:val="center"/>
          </w:tcPr>
          <w:p>
            <w:pPr>
              <w:pStyle w:val="yTable"/>
              <w:ind w:right="315"/>
              <w:jc w:val="right"/>
            </w:pPr>
            <w:r>
              <w:t>74.75</w:t>
            </w:r>
          </w:p>
        </w:tc>
      </w:tr>
      <w:tr>
        <w:tblPrEx>
          <w:tblCellMar>
            <w:left w:w="108" w:type="dxa"/>
            <w:right w:w="108" w:type="dxa"/>
          </w:tblCellMar>
        </w:tblPrEx>
        <w:tc>
          <w:tcPr>
            <w:tcW w:w="5194" w:type="dxa"/>
          </w:tcPr>
          <w:p>
            <w:pPr>
              <w:pStyle w:val="yTable"/>
            </w:pPr>
            <w:r>
              <w:t>58506</w:t>
            </w:r>
          </w:p>
        </w:tc>
        <w:tc>
          <w:tcPr>
            <w:tcW w:w="1469" w:type="dxa"/>
            <w:vAlign w:val="center"/>
          </w:tcPr>
          <w:p>
            <w:pPr>
              <w:pStyle w:val="yTable"/>
              <w:ind w:right="315"/>
              <w:jc w:val="right"/>
            </w:pPr>
            <w:r>
              <w:t>96.40</w:t>
            </w:r>
          </w:p>
        </w:tc>
      </w:tr>
      <w:tr>
        <w:tblPrEx>
          <w:tblCellMar>
            <w:left w:w="108" w:type="dxa"/>
            <w:right w:w="108" w:type="dxa"/>
          </w:tblCellMar>
        </w:tblPrEx>
        <w:tc>
          <w:tcPr>
            <w:tcW w:w="5194" w:type="dxa"/>
          </w:tcPr>
          <w:p>
            <w:pPr>
              <w:pStyle w:val="yTable"/>
            </w:pPr>
            <w:r>
              <w:t>58509</w:t>
            </w:r>
          </w:p>
        </w:tc>
        <w:tc>
          <w:tcPr>
            <w:tcW w:w="1469" w:type="dxa"/>
            <w:vAlign w:val="center"/>
          </w:tcPr>
          <w:p>
            <w:pPr>
              <w:pStyle w:val="yTable"/>
              <w:ind w:right="315"/>
              <w:jc w:val="right"/>
            </w:pPr>
            <w:r>
              <w:t>63.05</w:t>
            </w:r>
          </w:p>
        </w:tc>
      </w:tr>
      <w:tr>
        <w:tblPrEx>
          <w:tblCellMar>
            <w:left w:w="108" w:type="dxa"/>
            <w:right w:w="108" w:type="dxa"/>
          </w:tblCellMar>
        </w:tblPrEx>
        <w:tc>
          <w:tcPr>
            <w:tcW w:w="5194" w:type="dxa"/>
          </w:tcPr>
          <w:p>
            <w:pPr>
              <w:pStyle w:val="yTable"/>
            </w:pPr>
            <w:r>
              <w:t>58521</w:t>
            </w:r>
          </w:p>
        </w:tc>
        <w:tc>
          <w:tcPr>
            <w:tcW w:w="1469" w:type="dxa"/>
            <w:vAlign w:val="center"/>
          </w:tcPr>
          <w:p>
            <w:pPr>
              <w:pStyle w:val="yTable"/>
              <w:ind w:right="315"/>
              <w:jc w:val="right"/>
            </w:pPr>
            <w:r>
              <w:t>68.80</w:t>
            </w:r>
          </w:p>
        </w:tc>
      </w:tr>
      <w:tr>
        <w:tblPrEx>
          <w:tblCellMar>
            <w:left w:w="108" w:type="dxa"/>
            <w:right w:w="108" w:type="dxa"/>
          </w:tblCellMar>
        </w:tblPrEx>
        <w:tc>
          <w:tcPr>
            <w:tcW w:w="5194" w:type="dxa"/>
          </w:tcPr>
          <w:p>
            <w:pPr>
              <w:pStyle w:val="yTable"/>
            </w:pPr>
            <w:r>
              <w:t>58524</w:t>
            </w:r>
          </w:p>
        </w:tc>
        <w:tc>
          <w:tcPr>
            <w:tcW w:w="1469" w:type="dxa"/>
            <w:vAlign w:val="center"/>
          </w:tcPr>
          <w:p>
            <w:pPr>
              <w:pStyle w:val="yTable"/>
              <w:ind w:right="315"/>
              <w:jc w:val="right"/>
            </w:pPr>
            <w:r>
              <w:t>89.60</w:t>
            </w:r>
          </w:p>
        </w:tc>
      </w:tr>
      <w:tr>
        <w:tblPrEx>
          <w:tblCellMar>
            <w:left w:w="108" w:type="dxa"/>
            <w:right w:w="108" w:type="dxa"/>
          </w:tblCellMar>
        </w:tblPrEx>
        <w:tc>
          <w:tcPr>
            <w:tcW w:w="5194" w:type="dxa"/>
          </w:tcPr>
          <w:p>
            <w:pPr>
              <w:pStyle w:val="yTable"/>
            </w:pPr>
            <w:r>
              <w:t>58527</w:t>
            </w:r>
          </w:p>
        </w:tc>
        <w:tc>
          <w:tcPr>
            <w:tcW w:w="1469" w:type="dxa"/>
            <w:vAlign w:val="center"/>
          </w:tcPr>
          <w:p>
            <w:pPr>
              <w:pStyle w:val="yTable"/>
              <w:ind w:right="315"/>
              <w:jc w:val="right"/>
            </w:pPr>
            <w:r>
              <w:t>110.05</w:t>
            </w:r>
          </w:p>
        </w:tc>
      </w:tr>
      <w:tr>
        <w:tblPrEx>
          <w:tblCellMar>
            <w:left w:w="108" w:type="dxa"/>
            <w:right w:w="108" w:type="dxa"/>
          </w:tblCellMar>
        </w:tblPrEx>
        <w:tc>
          <w:tcPr>
            <w:tcW w:w="5194" w:type="dxa"/>
          </w:tcPr>
          <w:p>
            <w:pPr>
              <w:pStyle w:val="yTable"/>
            </w:pPr>
            <w:r>
              <w:t>58700</w:t>
            </w:r>
          </w:p>
        </w:tc>
        <w:tc>
          <w:tcPr>
            <w:tcW w:w="1469" w:type="dxa"/>
            <w:vAlign w:val="center"/>
          </w:tcPr>
          <w:p>
            <w:pPr>
              <w:pStyle w:val="yTable"/>
              <w:ind w:right="315"/>
              <w:jc w:val="right"/>
            </w:pPr>
            <w:r>
              <w:t>73.10</w:t>
            </w:r>
          </w:p>
        </w:tc>
      </w:tr>
      <w:tr>
        <w:tblPrEx>
          <w:tblCellMar>
            <w:left w:w="108" w:type="dxa"/>
            <w:right w:w="108" w:type="dxa"/>
          </w:tblCellMar>
        </w:tblPrEx>
        <w:tc>
          <w:tcPr>
            <w:tcW w:w="5194" w:type="dxa"/>
          </w:tcPr>
          <w:p>
            <w:pPr>
              <w:pStyle w:val="yTable"/>
            </w:pPr>
            <w:r>
              <w:t>58706</w:t>
            </w:r>
          </w:p>
        </w:tc>
        <w:tc>
          <w:tcPr>
            <w:tcW w:w="1469" w:type="dxa"/>
            <w:vAlign w:val="center"/>
          </w:tcPr>
          <w:p>
            <w:pPr>
              <w:pStyle w:val="yTable"/>
              <w:ind w:right="315"/>
              <w:jc w:val="right"/>
            </w:pPr>
            <w:r>
              <w:t>250.40</w:t>
            </w:r>
          </w:p>
        </w:tc>
      </w:tr>
      <w:tr>
        <w:tblPrEx>
          <w:tblCellMar>
            <w:left w:w="108" w:type="dxa"/>
            <w:right w:w="108" w:type="dxa"/>
          </w:tblCellMar>
        </w:tblPrEx>
        <w:tc>
          <w:tcPr>
            <w:tcW w:w="5194" w:type="dxa"/>
          </w:tcPr>
          <w:p>
            <w:pPr>
              <w:pStyle w:val="yTable"/>
            </w:pPr>
            <w:r>
              <w:t>58715</w:t>
            </w:r>
          </w:p>
        </w:tc>
        <w:tc>
          <w:tcPr>
            <w:tcW w:w="1469" w:type="dxa"/>
            <w:vAlign w:val="center"/>
          </w:tcPr>
          <w:p>
            <w:pPr>
              <w:pStyle w:val="yTable"/>
              <w:ind w:right="315"/>
              <w:jc w:val="right"/>
            </w:pPr>
            <w:r>
              <w:t>240.35</w:t>
            </w:r>
          </w:p>
        </w:tc>
      </w:tr>
      <w:tr>
        <w:tblPrEx>
          <w:tblCellMar>
            <w:left w:w="108" w:type="dxa"/>
            <w:right w:w="108" w:type="dxa"/>
          </w:tblCellMar>
        </w:tblPrEx>
        <w:tc>
          <w:tcPr>
            <w:tcW w:w="5194" w:type="dxa"/>
          </w:tcPr>
          <w:p>
            <w:pPr>
              <w:pStyle w:val="yTable"/>
            </w:pPr>
            <w:r>
              <w:t>58718</w:t>
            </w:r>
          </w:p>
        </w:tc>
        <w:tc>
          <w:tcPr>
            <w:tcW w:w="1469" w:type="dxa"/>
            <w:vAlign w:val="center"/>
          </w:tcPr>
          <w:p>
            <w:pPr>
              <w:pStyle w:val="yTable"/>
              <w:ind w:right="315"/>
              <w:jc w:val="right"/>
            </w:pPr>
            <w:r>
              <w:t>200.05</w:t>
            </w:r>
          </w:p>
        </w:tc>
      </w:tr>
      <w:tr>
        <w:tblPrEx>
          <w:tblCellMar>
            <w:left w:w="108" w:type="dxa"/>
            <w:right w:w="108" w:type="dxa"/>
          </w:tblCellMar>
        </w:tblPrEx>
        <w:tc>
          <w:tcPr>
            <w:tcW w:w="5194" w:type="dxa"/>
          </w:tcPr>
          <w:p>
            <w:pPr>
              <w:pStyle w:val="yTable"/>
            </w:pPr>
            <w:r>
              <w:t>58721</w:t>
            </w:r>
          </w:p>
        </w:tc>
        <w:tc>
          <w:tcPr>
            <w:tcW w:w="1469" w:type="dxa"/>
            <w:vAlign w:val="center"/>
          </w:tcPr>
          <w:p>
            <w:pPr>
              <w:pStyle w:val="yTable"/>
              <w:ind w:right="315"/>
              <w:jc w:val="right"/>
            </w:pPr>
            <w:r>
              <w:t>219.25</w:t>
            </w:r>
          </w:p>
        </w:tc>
      </w:tr>
      <w:tr>
        <w:tblPrEx>
          <w:tblCellMar>
            <w:left w:w="108" w:type="dxa"/>
            <w:right w:w="108" w:type="dxa"/>
          </w:tblCellMar>
        </w:tblPrEx>
        <w:tc>
          <w:tcPr>
            <w:tcW w:w="5194" w:type="dxa"/>
          </w:tcPr>
          <w:p>
            <w:pPr>
              <w:pStyle w:val="yTable"/>
            </w:pPr>
            <w:r>
              <w:t>58900</w:t>
            </w:r>
          </w:p>
        </w:tc>
        <w:tc>
          <w:tcPr>
            <w:tcW w:w="1469" w:type="dxa"/>
            <w:vAlign w:val="center"/>
          </w:tcPr>
          <w:p>
            <w:pPr>
              <w:pStyle w:val="yTable"/>
              <w:ind w:right="315"/>
              <w:jc w:val="right"/>
            </w:pPr>
            <w:r>
              <w:t>56.60</w:t>
            </w:r>
          </w:p>
        </w:tc>
      </w:tr>
      <w:tr>
        <w:tblPrEx>
          <w:tblCellMar>
            <w:left w:w="108" w:type="dxa"/>
            <w:right w:w="108" w:type="dxa"/>
          </w:tblCellMar>
        </w:tblPrEx>
        <w:tc>
          <w:tcPr>
            <w:tcW w:w="5194" w:type="dxa"/>
          </w:tcPr>
          <w:p>
            <w:pPr>
              <w:pStyle w:val="yTable"/>
            </w:pPr>
            <w:r>
              <w:t>58903</w:t>
            </w:r>
          </w:p>
        </w:tc>
        <w:tc>
          <w:tcPr>
            <w:tcW w:w="1469" w:type="dxa"/>
            <w:vAlign w:val="center"/>
          </w:tcPr>
          <w:p>
            <w:pPr>
              <w:pStyle w:val="yTable"/>
              <w:ind w:right="315"/>
              <w:jc w:val="right"/>
            </w:pPr>
            <w:r>
              <w:t>75.45</w:t>
            </w:r>
          </w:p>
        </w:tc>
      </w:tr>
      <w:tr>
        <w:tblPrEx>
          <w:tblCellMar>
            <w:left w:w="108" w:type="dxa"/>
            <w:right w:w="108" w:type="dxa"/>
          </w:tblCellMar>
        </w:tblPrEx>
        <w:tc>
          <w:tcPr>
            <w:tcW w:w="5194" w:type="dxa"/>
          </w:tcPr>
          <w:p>
            <w:pPr>
              <w:pStyle w:val="yTable"/>
            </w:pPr>
            <w:r>
              <w:t>58909</w:t>
            </w:r>
          </w:p>
        </w:tc>
        <w:tc>
          <w:tcPr>
            <w:tcW w:w="1469" w:type="dxa"/>
            <w:vAlign w:val="center"/>
          </w:tcPr>
          <w:p>
            <w:pPr>
              <w:pStyle w:val="yTable"/>
              <w:ind w:right="315"/>
              <w:jc w:val="right"/>
            </w:pPr>
            <w:r>
              <w:t>142.60</w:t>
            </w:r>
          </w:p>
        </w:tc>
      </w:tr>
      <w:tr>
        <w:tblPrEx>
          <w:tblCellMar>
            <w:left w:w="108" w:type="dxa"/>
            <w:right w:w="108" w:type="dxa"/>
          </w:tblCellMar>
        </w:tblPrEx>
        <w:tc>
          <w:tcPr>
            <w:tcW w:w="5194" w:type="dxa"/>
          </w:tcPr>
          <w:p>
            <w:pPr>
              <w:pStyle w:val="yTable"/>
            </w:pPr>
            <w:r>
              <w:t>58912</w:t>
            </w:r>
          </w:p>
        </w:tc>
        <w:tc>
          <w:tcPr>
            <w:tcW w:w="1469" w:type="dxa"/>
            <w:vAlign w:val="center"/>
          </w:tcPr>
          <w:p>
            <w:pPr>
              <w:pStyle w:val="yTable"/>
              <w:ind w:right="315"/>
              <w:jc w:val="right"/>
            </w:pPr>
            <w:r>
              <w:t>174.85</w:t>
            </w:r>
          </w:p>
        </w:tc>
      </w:tr>
      <w:tr>
        <w:tblPrEx>
          <w:tblCellMar>
            <w:left w:w="108" w:type="dxa"/>
            <w:right w:w="108" w:type="dxa"/>
          </w:tblCellMar>
        </w:tblPrEx>
        <w:tc>
          <w:tcPr>
            <w:tcW w:w="5194" w:type="dxa"/>
          </w:tcPr>
          <w:p>
            <w:pPr>
              <w:pStyle w:val="yTable"/>
            </w:pPr>
            <w:r>
              <w:t>58915</w:t>
            </w:r>
          </w:p>
        </w:tc>
        <w:tc>
          <w:tcPr>
            <w:tcW w:w="1469" w:type="dxa"/>
            <w:vAlign w:val="center"/>
          </w:tcPr>
          <w:p>
            <w:pPr>
              <w:pStyle w:val="yTable"/>
              <w:ind w:right="315"/>
              <w:jc w:val="right"/>
            </w:pPr>
            <w:r>
              <w:t>125.15</w:t>
            </w:r>
          </w:p>
        </w:tc>
      </w:tr>
      <w:tr>
        <w:tblPrEx>
          <w:tblCellMar>
            <w:left w:w="108" w:type="dxa"/>
            <w:right w:w="108" w:type="dxa"/>
          </w:tblCellMar>
        </w:tblPrEx>
        <w:tc>
          <w:tcPr>
            <w:tcW w:w="5194" w:type="dxa"/>
          </w:tcPr>
          <w:p>
            <w:pPr>
              <w:pStyle w:val="yTable"/>
            </w:pPr>
            <w:r>
              <w:t>58916</w:t>
            </w:r>
          </w:p>
        </w:tc>
        <w:tc>
          <w:tcPr>
            <w:tcW w:w="1469" w:type="dxa"/>
            <w:vAlign w:val="center"/>
          </w:tcPr>
          <w:p>
            <w:pPr>
              <w:pStyle w:val="yTable"/>
              <w:ind w:right="315"/>
              <w:jc w:val="right"/>
            </w:pPr>
            <w:r>
              <w:t>219.60</w:t>
            </w:r>
          </w:p>
        </w:tc>
      </w:tr>
      <w:tr>
        <w:tblPrEx>
          <w:tblCellMar>
            <w:left w:w="108" w:type="dxa"/>
            <w:right w:w="108" w:type="dxa"/>
          </w:tblCellMar>
        </w:tblPrEx>
        <w:tc>
          <w:tcPr>
            <w:tcW w:w="5194" w:type="dxa"/>
          </w:tcPr>
          <w:p>
            <w:pPr>
              <w:pStyle w:val="yTable"/>
            </w:pPr>
            <w:r>
              <w:t>58921</w:t>
            </w:r>
          </w:p>
        </w:tc>
        <w:tc>
          <w:tcPr>
            <w:tcW w:w="1469" w:type="dxa"/>
            <w:vAlign w:val="center"/>
          </w:tcPr>
          <w:p>
            <w:pPr>
              <w:pStyle w:val="yTable"/>
              <w:ind w:right="315"/>
              <w:jc w:val="right"/>
            </w:pPr>
            <w:r>
              <w:t>214.50</w:t>
            </w:r>
          </w:p>
        </w:tc>
      </w:tr>
      <w:tr>
        <w:tblPrEx>
          <w:tblCellMar>
            <w:left w:w="108" w:type="dxa"/>
            <w:right w:w="108" w:type="dxa"/>
          </w:tblCellMar>
        </w:tblPrEx>
        <w:tc>
          <w:tcPr>
            <w:tcW w:w="5194" w:type="dxa"/>
          </w:tcPr>
          <w:p>
            <w:pPr>
              <w:pStyle w:val="yTable"/>
            </w:pPr>
            <w:r>
              <w:t>58924</w:t>
            </w:r>
          </w:p>
        </w:tc>
        <w:tc>
          <w:tcPr>
            <w:tcW w:w="1469" w:type="dxa"/>
            <w:vAlign w:val="center"/>
          </w:tcPr>
          <w:p>
            <w:pPr>
              <w:pStyle w:val="yTable"/>
              <w:ind w:right="315"/>
              <w:jc w:val="right"/>
            </w:pPr>
            <w:r>
              <w:t>133.30</w:t>
            </w:r>
          </w:p>
        </w:tc>
      </w:tr>
      <w:tr>
        <w:tblPrEx>
          <w:tblCellMar>
            <w:left w:w="108" w:type="dxa"/>
            <w:right w:w="108" w:type="dxa"/>
          </w:tblCellMar>
        </w:tblPrEx>
        <w:tc>
          <w:tcPr>
            <w:tcW w:w="5194" w:type="dxa"/>
          </w:tcPr>
          <w:p>
            <w:pPr>
              <w:pStyle w:val="yTable"/>
            </w:pPr>
            <w:r>
              <w:t>58927</w:t>
            </w:r>
          </w:p>
        </w:tc>
        <w:tc>
          <w:tcPr>
            <w:tcW w:w="1469" w:type="dxa"/>
            <w:vAlign w:val="center"/>
          </w:tcPr>
          <w:p>
            <w:pPr>
              <w:pStyle w:val="yTable"/>
              <w:ind w:right="315"/>
              <w:jc w:val="right"/>
            </w:pPr>
            <w:r>
              <w:t>121.30</w:t>
            </w:r>
          </w:p>
        </w:tc>
      </w:tr>
      <w:tr>
        <w:tblPrEx>
          <w:tblCellMar>
            <w:left w:w="108" w:type="dxa"/>
            <w:right w:w="108" w:type="dxa"/>
          </w:tblCellMar>
        </w:tblPrEx>
        <w:tc>
          <w:tcPr>
            <w:tcW w:w="5194" w:type="dxa"/>
          </w:tcPr>
          <w:p>
            <w:pPr>
              <w:pStyle w:val="yTable"/>
            </w:pPr>
            <w:r>
              <w:t>58933</w:t>
            </w:r>
          </w:p>
        </w:tc>
        <w:tc>
          <w:tcPr>
            <w:tcW w:w="1469" w:type="dxa"/>
            <w:vAlign w:val="center"/>
          </w:tcPr>
          <w:p>
            <w:pPr>
              <w:pStyle w:val="yTable"/>
              <w:ind w:right="315"/>
              <w:jc w:val="right"/>
            </w:pPr>
            <w:r>
              <w:t>326.10</w:t>
            </w:r>
          </w:p>
        </w:tc>
      </w:tr>
      <w:tr>
        <w:tblPrEx>
          <w:tblCellMar>
            <w:left w:w="108" w:type="dxa"/>
            <w:right w:w="108" w:type="dxa"/>
          </w:tblCellMar>
        </w:tblPrEx>
        <w:tc>
          <w:tcPr>
            <w:tcW w:w="5194" w:type="dxa"/>
          </w:tcPr>
          <w:p>
            <w:pPr>
              <w:pStyle w:val="yTable"/>
            </w:pPr>
            <w:r>
              <w:t>58936</w:t>
            </w:r>
          </w:p>
        </w:tc>
        <w:tc>
          <w:tcPr>
            <w:tcW w:w="1469" w:type="dxa"/>
            <w:vAlign w:val="center"/>
          </w:tcPr>
          <w:p>
            <w:pPr>
              <w:pStyle w:val="yTable"/>
              <w:ind w:right="315"/>
              <w:jc w:val="right"/>
            </w:pPr>
            <w:r>
              <w:t>310.80</w:t>
            </w:r>
          </w:p>
        </w:tc>
      </w:tr>
      <w:tr>
        <w:tblPrEx>
          <w:tblCellMar>
            <w:left w:w="108" w:type="dxa"/>
            <w:right w:w="108" w:type="dxa"/>
          </w:tblCellMar>
        </w:tblPrEx>
        <w:tc>
          <w:tcPr>
            <w:tcW w:w="5194" w:type="dxa"/>
          </w:tcPr>
          <w:p>
            <w:pPr>
              <w:pStyle w:val="yTable"/>
            </w:pPr>
            <w:r>
              <w:t>58939</w:t>
            </w:r>
          </w:p>
        </w:tc>
        <w:tc>
          <w:tcPr>
            <w:tcW w:w="1469" w:type="dxa"/>
            <w:vAlign w:val="center"/>
          </w:tcPr>
          <w:p>
            <w:pPr>
              <w:pStyle w:val="yTable"/>
              <w:ind w:right="315"/>
              <w:jc w:val="right"/>
            </w:pPr>
            <w:r>
              <w:t>220.95</w:t>
            </w:r>
          </w:p>
        </w:tc>
      </w:tr>
      <w:tr>
        <w:tblPrEx>
          <w:tblCellMar>
            <w:left w:w="108" w:type="dxa"/>
            <w:right w:w="108" w:type="dxa"/>
          </w:tblCellMar>
        </w:tblPrEx>
        <w:tc>
          <w:tcPr>
            <w:tcW w:w="5194" w:type="dxa"/>
          </w:tcPr>
          <w:p>
            <w:pPr>
              <w:pStyle w:val="yTable"/>
            </w:pPr>
            <w:r>
              <w:t>59103</w:t>
            </w:r>
          </w:p>
        </w:tc>
        <w:tc>
          <w:tcPr>
            <w:tcW w:w="1469" w:type="dxa"/>
            <w:vAlign w:val="center"/>
          </w:tcPr>
          <w:p>
            <w:pPr>
              <w:pStyle w:val="yTable"/>
              <w:ind w:right="315"/>
              <w:jc w:val="right"/>
            </w:pPr>
            <w:r>
              <w:t>33.80</w:t>
            </w:r>
          </w:p>
        </w:tc>
      </w:tr>
      <w:tr>
        <w:tblPrEx>
          <w:tblCellMar>
            <w:left w:w="108" w:type="dxa"/>
            <w:right w:w="108" w:type="dxa"/>
          </w:tblCellMar>
        </w:tblPrEx>
        <w:tc>
          <w:tcPr>
            <w:tcW w:w="5194" w:type="dxa"/>
          </w:tcPr>
          <w:p>
            <w:pPr>
              <w:pStyle w:val="yTable"/>
            </w:pPr>
            <w:r>
              <w:t>59300</w:t>
            </w:r>
          </w:p>
        </w:tc>
        <w:tc>
          <w:tcPr>
            <w:tcW w:w="1469" w:type="dxa"/>
            <w:vAlign w:val="center"/>
          </w:tcPr>
          <w:p>
            <w:pPr>
              <w:pStyle w:val="yTable"/>
              <w:ind w:right="315"/>
              <w:jc w:val="right"/>
            </w:pPr>
            <w:r>
              <w:t>141.90</w:t>
            </w:r>
          </w:p>
        </w:tc>
      </w:tr>
      <w:tr>
        <w:tblPrEx>
          <w:tblCellMar>
            <w:left w:w="108" w:type="dxa"/>
            <w:right w:w="108" w:type="dxa"/>
          </w:tblCellMar>
        </w:tblPrEx>
        <w:tc>
          <w:tcPr>
            <w:tcW w:w="5194" w:type="dxa"/>
          </w:tcPr>
          <w:p>
            <w:pPr>
              <w:pStyle w:val="yTable"/>
            </w:pPr>
            <w:r>
              <w:t>59303</w:t>
            </w:r>
          </w:p>
        </w:tc>
        <w:tc>
          <w:tcPr>
            <w:tcW w:w="1469" w:type="dxa"/>
            <w:vAlign w:val="center"/>
          </w:tcPr>
          <w:p>
            <w:pPr>
              <w:pStyle w:val="yTable"/>
              <w:ind w:right="315"/>
              <w:jc w:val="right"/>
            </w:pPr>
            <w:r>
              <w:t>85.55</w:t>
            </w:r>
          </w:p>
        </w:tc>
      </w:tr>
      <w:tr>
        <w:tblPrEx>
          <w:tblCellMar>
            <w:left w:w="108" w:type="dxa"/>
            <w:right w:w="108" w:type="dxa"/>
          </w:tblCellMar>
        </w:tblPrEx>
        <w:tc>
          <w:tcPr>
            <w:tcW w:w="5194" w:type="dxa"/>
          </w:tcPr>
          <w:p>
            <w:pPr>
              <w:pStyle w:val="yTable"/>
            </w:pPr>
            <w:r>
              <w:t>59306</w:t>
            </w:r>
          </w:p>
        </w:tc>
        <w:tc>
          <w:tcPr>
            <w:tcW w:w="1469" w:type="dxa"/>
            <w:vAlign w:val="center"/>
          </w:tcPr>
          <w:p>
            <w:pPr>
              <w:pStyle w:val="yTable"/>
              <w:ind w:right="315"/>
              <w:jc w:val="right"/>
            </w:pPr>
            <w:r>
              <w:t>159.10</w:t>
            </w:r>
          </w:p>
        </w:tc>
      </w:tr>
      <w:tr>
        <w:tblPrEx>
          <w:tblCellMar>
            <w:left w:w="108" w:type="dxa"/>
            <w:right w:w="108" w:type="dxa"/>
          </w:tblCellMar>
        </w:tblPrEx>
        <w:tc>
          <w:tcPr>
            <w:tcW w:w="5194" w:type="dxa"/>
          </w:tcPr>
          <w:p>
            <w:pPr>
              <w:pStyle w:val="yTable"/>
            </w:pPr>
            <w:r>
              <w:t>59309</w:t>
            </w:r>
          </w:p>
        </w:tc>
        <w:tc>
          <w:tcPr>
            <w:tcW w:w="1469" w:type="dxa"/>
            <w:vAlign w:val="center"/>
          </w:tcPr>
          <w:p>
            <w:pPr>
              <w:pStyle w:val="yTable"/>
              <w:ind w:right="315"/>
              <w:jc w:val="right"/>
            </w:pPr>
            <w:r>
              <w:t>318.05</w:t>
            </w:r>
          </w:p>
        </w:tc>
      </w:tr>
      <w:tr>
        <w:tblPrEx>
          <w:tblCellMar>
            <w:left w:w="108" w:type="dxa"/>
            <w:right w:w="108" w:type="dxa"/>
          </w:tblCellMar>
        </w:tblPrEx>
        <w:tc>
          <w:tcPr>
            <w:tcW w:w="5194" w:type="dxa"/>
          </w:tcPr>
          <w:p>
            <w:pPr>
              <w:pStyle w:val="yTable"/>
            </w:pPr>
            <w:r>
              <w:t>59312</w:t>
            </w:r>
          </w:p>
        </w:tc>
        <w:tc>
          <w:tcPr>
            <w:tcW w:w="1469" w:type="dxa"/>
            <w:vAlign w:val="center"/>
          </w:tcPr>
          <w:p>
            <w:pPr>
              <w:pStyle w:val="yTable"/>
              <w:ind w:right="315"/>
              <w:jc w:val="right"/>
            </w:pPr>
            <w:r>
              <w:t>138.00</w:t>
            </w:r>
          </w:p>
        </w:tc>
      </w:tr>
      <w:tr>
        <w:tblPrEx>
          <w:tblCellMar>
            <w:left w:w="108" w:type="dxa"/>
            <w:right w:w="108" w:type="dxa"/>
          </w:tblCellMar>
        </w:tblPrEx>
        <w:tc>
          <w:tcPr>
            <w:tcW w:w="5194" w:type="dxa"/>
          </w:tcPr>
          <w:p>
            <w:pPr>
              <w:pStyle w:val="yTable"/>
            </w:pPr>
            <w:r>
              <w:t>59314</w:t>
            </w:r>
          </w:p>
        </w:tc>
        <w:tc>
          <w:tcPr>
            <w:tcW w:w="1469" w:type="dxa"/>
            <w:vAlign w:val="center"/>
          </w:tcPr>
          <w:p>
            <w:pPr>
              <w:pStyle w:val="yTable"/>
              <w:ind w:right="315"/>
              <w:jc w:val="right"/>
            </w:pPr>
            <w:r>
              <w:t>83.20</w:t>
            </w:r>
          </w:p>
        </w:tc>
      </w:tr>
      <w:tr>
        <w:tblPrEx>
          <w:tblCellMar>
            <w:left w:w="108" w:type="dxa"/>
            <w:right w:w="108" w:type="dxa"/>
          </w:tblCellMar>
        </w:tblPrEx>
        <w:tc>
          <w:tcPr>
            <w:tcW w:w="5194" w:type="dxa"/>
          </w:tcPr>
          <w:p>
            <w:pPr>
              <w:pStyle w:val="yTable"/>
            </w:pPr>
            <w:r>
              <w:t>59318</w:t>
            </w:r>
          </w:p>
        </w:tc>
        <w:tc>
          <w:tcPr>
            <w:tcW w:w="1469" w:type="dxa"/>
            <w:vAlign w:val="center"/>
          </w:tcPr>
          <w:p>
            <w:pPr>
              <w:pStyle w:val="yTable"/>
              <w:ind w:right="315"/>
              <w:jc w:val="right"/>
            </w:pPr>
            <w:r>
              <w:t>74.60</w:t>
            </w:r>
          </w:p>
        </w:tc>
      </w:tr>
      <w:tr>
        <w:tblPrEx>
          <w:tblCellMar>
            <w:left w:w="108" w:type="dxa"/>
            <w:right w:w="108" w:type="dxa"/>
          </w:tblCellMar>
        </w:tblPrEx>
        <w:tc>
          <w:tcPr>
            <w:tcW w:w="5194" w:type="dxa"/>
          </w:tcPr>
          <w:p>
            <w:pPr>
              <w:pStyle w:val="yTable"/>
            </w:pPr>
            <w:r>
              <w:t>59503</w:t>
            </w:r>
          </w:p>
        </w:tc>
        <w:tc>
          <w:tcPr>
            <w:tcW w:w="1469" w:type="dxa"/>
            <w:vAlign w:val="center"/>
          </w:tcPr>
          <w:p>
            <w:pPr>
              <w:pStyle w:val="yTable"/>
              <w:ind w:right="315"/>
              <w:jc w:val="right"/>
            </w:pPr>
            <w:r>
              <w:t>141.80</w:t>
            </w:r>
          </w:p>
        </w:tc>
      </w:tr>
      <w:tr>
        <w:tblPrEx>
          <w:tblCellMar>
            <w:left w:w="108" w:type="dxa"/>
            <w:right w:w="108" w:type="dxa"/>
          </w:tblCellMar>
        </w:tblPrEx>
        <w:tc>
          <w:tcPr>
            <w:tcW w:w="5194" w:type="dxa"/>
          </w:tcPr>
          <w:p>
            <w:pPr>
              <w:pStyle w:val="yTable"/>
            </w:pPr>
            <w:r>
              <w:t>59700</w:t>
            </w:r>
          </w:p>
        </w:tc>
        <w:tc>
          <w:tcPr>
            <w:tcW w:w="1469" w:type="dxa"/>
            <w:vAlign w:val="center"/>
          </w:tcPr>
          <w:p>
            <w:pPr>
              <w:pStyle w:val="yTable"/>
              <w:ind w:right="315"/>
              <w:jc w:val="right"/>
            </w:pPr>
            <w:r>
              <w:t>153.15</w:t>
            </w:r>
          </w:p>
        </w:tc>
      </w:tr>
      <w:tr>
        <w:tblPrEx>
          <w:tblCellMar>
            <w:left w:w="108" w:type="dxa"/>
            <w:right w:w="108" w:type="dxa"/>
          </w:tblCellMar>
        </w:tblPrEx>
        <w:tc>
          <w:tcPr>
            <w:tcW w:w="5194" w:type="dxa"/>
          </w:tcPr>
          <w:p>
            <w:pPr>
              <w:pStyle w:val="yTable"/>
            </w:pPr>
            <w:r>
              <w:t>59703</w:t>
            </w:r>
          </w:p>
        </w:tc>
        <w:tc>
          <w:tcPr>
            <w:tcW w:w="1469" w:type="dxa"/>
            <w:vAlign w:val="center"/>
          </w:tcPr>
          <w:p>
            <w:pPr>
              <w:pStyle w:val="yTable"/>
              <w:ind w:right="315"/>
              <w:jc w:val="right"/>
            </w:pPr>
            <w:r>
              <w:t>120.35</w:t>
            </w:r>
          </w:p>
        </w:tc>
      </w:tr>
      <w:tr>
        <w:tblPrEx>
          <w:tblCellMar>
            <w:left w:w="108" w:type="dxa"/>
            <w:right w:w="108" w:type="dxa"/>
          </w:tblCellMar>
        </w:tblPrEx>
        <w:tc>
          <w:tcPr>
            <w:tcW w:w="5194" w:type="dxa"/>
          </w:tcPr>
          <w:p>
            <w:pPr>
              <w:pStyle w:val="yTable"/>
            </w:pPr>
            <w:r>
              <w:t>59712</w:t>
            </w:r>
          </w:p>
        </w:tc>
        <w:tc>
          <w:tcPr>
            <w:tcW w:w="1469" w:type="dxa"/>
            <w:vAlign w:val="center"/>
          </w:tcPr>
          <w:p>
            <w:pPr>
              <w:pStyle w:val="yTable"/>
              <w:ind w:right="315"/>
              <w:jc w:val="right"/>
            </w:pPr>
            <w:r>
              <w:t>180.35</w:t>
            </w:r>
          </w:p>
        </w:tc>
      </w:tr>
      <w:tr>
        <w:tblPrEx>
          <w:tblCellMar>
            <w:left w:w="108" w:type="dxa"/>
            <w:right w:w="108" w:type="dxa"/>
          </w:tblCellMar>
        </w:tblPrEx>
        <w:tc>
          <w:tcPr>
            <w:tcW w:w="5194" w:type="dxa"/>
          </w:tcPr>
          <w:p>
            <w:pPr>
              <w:pStyle w:val="yTable"/>
            </w:pPr>
            <w:r>
              <w:t>59715</w:t>
            </w:r>
          </w:p>
        </w:tc>
        <w:tc>
          <w:tcPr>
            <w:tcW w:w="1469" w:type="dxa"/>
            <w:vAlign w:val="center"/>
          </w:tcPr>
          <w:p>
            <w:pPr>
              <w:pStyle w:val="yTable"/>
              <w:ind w:right="315"/>
              <w:jc w:val="right"/>
            </w:pPr>
            <w:r>
              <w:t>227.70</w:t>
            </w:r>
          </w:p>
        </w:tc>
      </w:tr>
      <w:tr>
        <w:tblPrEx>
          <w:tblCellMar>
            <w:left w:w="108" w:type="dxa"/>
            <w:right w:w="108" w:type="dxa"/>
          </w:tblCellMar>
        </w:tblPrEx>
        <w:tc>
          <w:tcPr>
            <w:tcW w:w="5194" w:type="dxa"/>
          </w:tcPr>
          <w:p>
            <w:pPr>
              <w:pStyle w:val="yTable"/>
            </w:pPr>
            <w:r>
              <w:t>59718</w:t>
            </w:r>
          </w:p>
        </w:tc>
        <w:tc>
          <w:tcPr>
            <w:tcW w:w="1469" w:type="dxa"/>
            <w:vAlign w:val="center"/>
          </w:tcPr>
          <w:p>
            <w:pPr>
              <w:pStyle w:val="yTable"/>
              <w:ind w:right="315"/>
              <w:jc w:val="right"/>
            </w:pPr>
            <w:r>
              <w:t>213.60</w:t>
            </w:r>
          </w:p>
        </w:tc>
      </w:tr>
      <w:tr>
        <w:tblPrEx>
          <w:tblCellMar>
            <w:left w:w="108" w:type="dxa"/>
            <w:right w:w="108" w:type="dxa"/>
          </w:tblCellMar>
        </w:tblPrEx>
        <w:tc>
          <w:tcPr>
            <w:tcW w:w="5194" w:type="dxa"/>
          </w:tcPr>
          <w:p>
            <w:pPr>
              <w:pStyle w:val="yTable"/>
            </w:pPr>
            <w:r>
              <w:t>59724</w:t>
            </w:r>
          </w:p>
        </w:tc>
        <w:tc>
          <w:tcPr>
            <w:tcW w:w="1469" w:type="dxa"/>
            <w:vAlign w:val="center"/>
          </w:tcPr>
          <w:p>
            <w:pPr>
              <w:pStyle w:val="yTable"/>
              <w:ind w:right="315"/>
              <w:jc w:val="right"/>
            </w:pPr>
            <w:r>
              <w:t>359.20</w:t>
            </w:r>
          </w:p>
        </w:tc>
      </w:tr>
      <w:tr>
        <w:tblPrEx>
          <w:tblCellMar>
            <w:left w:w="108" w:type="dxa"/>
            <w:right w:w="108" w:type="dxa"/>
          </w:tblCellMar>
        </w:tblPrEx>
        <w:tc>
          <w:tcPr>
            <w:tcW w:w="5194" w:type="dxa"/>
          </w:tcPr>
          <w:p>
            <w:pPr>
              <w:pStyle w:val="yTable"/>
            </w:pPr>
            <w:r>
              <w:t>59733</w:t>
            </w:r>
          </w:p>
        </w:tc>
        <w:tc>
          <w:tcPr>
            <w:tcW w:w="1469" w:type="dxa"/>
            <w:vAlign w:val="center"/>
          </w:tcPr>
          <w:p>
            <w:pPr>
              <w:pStyle w:val="yTable"/>
              <w:ind w:right="315"/>
              <w:jc w:val="right"/>
            </w:pPr>
            <w:r>
              <w:t>170.80</w:t>
            </w:r>
          </w:p>
        </w:tc>
      </w:tr>
      <w:tr>
        <w:tblPrEx>
          <w:tblCellMar>
            <w:left w:w="108" w:type="dxa"/>
            <w:right w:w="108" w:type="dxa"/>
          </w:tblCellMar>
        </w:tblPrEx>
        <w:tc>
          <w:tcPr>
            <w:tcW w:w="5194" w:type="dxa"/>
          </w:tcPr>
          <w:p>
            <w:pPr>
              <w:pStyle w:val="yTable"/>
            </w:pPr>
            <w:r>
              <w:t>59736</w:t>
            </w:r>
          </w:p>
        </w:tc>
        <w:tc>
          <w:tcPr>
            <w:tcW w:w="1469" w:type="dxa"/>
            <w:vAlign w:val="center"/>
          </w:tcPr>
          <w:p>
            <w:pPr>
              <w:pStyle w:val="yTable"/>
              <w:ind w:right="315"/>
              <w:jc w:val="right"/>
            </w:pPr>
            <w:r>
              <w:t>98.35</w:t>
            </w:r>
          </w:p>
        </w:tc>
      </w:tr>
      <w:tr>
        <w:tblPrEx>
          <w:tblCellMar>
            <w:left w:w="108" w:type="dxa"/>
            <w:right w:w="108" w:type="dxa"/>
          </w:tblCellMar>
        </w:tblPrEx>
        <w:tc>
          <w:tcPr>
            <w:tcW w:w="5194" w:type="dxa"/>
          </w:tcPr>
          <w:p>
            <w:pPr>
              <w:pStyle w:val="yTable"/>
            </w:pPr>
            <w:r>
              <w:t>59739</w:t>
            </w:r>
          </w:p>
        </w:tc>
        <w:tc>
          <w:tcPr>
            <w:tcW w:w="1469" w:type="dxa"/>
            <w:vAlign w:val="center"/>
          </w:tcPr>
          <w:p>
            <w:pPr>
              <w:pStyle w:val="yTable"/>
              <w:ind w:right="315"/>
              <w:jc w:val="right"/>
            </w:pPr>
            <w:r>
              <w:t>117.05</w:t>
            </w:r>
          </w:p>
        </w:tc>
      </w:tr>
      <w:tr>
        <w:tblPrEx>
          <w:tblCellMar>
            <w:left w:w="108" w:type="dxa"/>
            <w:right w:w="108" w:type="dxa"/>
          </w:tblCellMar>
        </w:tblPrEx>
        <w:tc>
          <w:tcPr>
            <w:tcW w:w="5194" w:type="dxa"/>
          </w:tcPr>
          <w:p>
            <w:pPr>
              <w:pStyle w:val="yTable"/>
            </w:pPr>
            <w:r>
              <w:t>59751</w:t>
            </w:r>
          </w:p>
        </w:tc>
        <w:tc>
          <w:tcPr>
            <w:tcW w:w="1469" w:type="dxa"/>
            <w:vAlign w:val="center"/>
          </w:tcPr>
          <w:p>
            <w:pPr>
              <w:pStyle w:val="yTable"/>
              <w:ind w:right="315"/>
              <w:jc w:val="right"/>
            </w:pPr>
            <w:r>
              <w:t>220.70</w:t>
            </w:r>
          </w:p>
        </w:tc>
      </w:tr>
      <w:tr>
        <w:tblPrEx>
          <w:tblCellMar>
            <w:left w:w="108" w:type="dxa"/>
            <w:right w:w="108" w:type="dxa"/>
          </w:tblCellMar>
        </w:tblPrEx>
        <w:tc>
          <w:tcPr>
            <w:tcW w:w="5194" w:type="dxa"/>
          </w:tcPr>
          <w:p>
            <w:pPr>
              <w:pStyle w:val="yTable"/>
            </w:pPr>
            <w:r>
              <w:t>59754</w:t>
            </w:r>
          </w:p>
        </w:tc>
        <w:tc>
          <w:tcPr>
            <w:tcW w:w="1469" w:type="dxa"/>
            <w:vAlign w:val="center"/>
          </w:tcPr>
          <w:p>
            <w:pPr>
              <w:pStyle w:val="yTable"/>
              <w:ind w:right="315"/>
              <w:jc w:val="right"/>
            </w:pPr>
            <w:r>
              <w:t>347.85</w:t>
            </w:r>
          </w:p>
        </w:tc>
      </w:tr>
      <w:tr>
        <w:tblPrEx>
          <w:tblCellMar>
            <w:left w:w="108" w:type="dxa"/>
            <w:right w:w="108" w:type="dxa"/>
          </w:tblCellMar>
        </w:tblPrEx>
        <w:tc>
          <w:tcPr>
            <w:tcW w:w="5194" w:type="dxa"/>
          </w:tcPr>
          <w:p>
            <w:pPr>
              <w:pStyle w:val="yTable"/>
            </w:pPr>
            <w:r>
              <w:t>59760</w:t>
            </w:r>
          </w:p>
        </w:tc>
        <w:tc>
          <w:tcPr>
            <w:tcW w:w="1469" w:type="dxa"/>
            <w:vAlign w:val="center"/>
          </w:tcPr>
          <w:p>
            <w:pPr>
              <w:pStyle w:val="yTable"/>
              <w:ind w:right="315"/>
              <w:jc w:val="right"/>
            </w:pPr>
            <w:r>
              <w:t>182.60</w:t>
            </w:r>
          </w:p>
        </w:tc>
      </w:tr>
      <w:tr>
        <w:tblPrEx>
          <w:tblCellMar>
            <w:left w:w="108" w:type="dxa"/>
            <w:right w:w="108" w:type="dxa"/>
          </w:tblCellMar>
        </w:tblPrEx>
        <w:tc>
          <w:tcPr>
            <w:tcW w:w="5194" w:type="dxa"/>
          </w:tcPr>
          <w:p>
            <w:pPr>
              <w:pStyle w:val="yTable"/>
            </w:pPr>
            <w:r>
              <w:t>59763</w:t>
            </w:r>
          </w:p>
        </w:tc>
        <w:tc>
          <w:tcPr>
            <w:tcW w:w="1469" w:type="dxa"/>
            <w:vAlign w:val="center"/>
          </w:tcPr>
          <w:p>
            <w:pPr>
              <w:pStyle w:val="yTable"/>
              <w:ind w:right="315"/>
              <w:jc w:val="right"/>
            </w:pPr>
            <w:r>
              <w:t>212.40</w:t>
            </w:r>
          </w:p>
        </w:tc>
      </w:tr>
      <w:tr>
        <w:tblPrEx>
          <w:tblCellMar>
            <w:left w:w="108" w:type="dxa"/>
            <w:right w:w="108" w:type="dxa"/>
          </w:tblCellMar>
        </w:tblPrEx>
        <w:tc>
          <w:tcPr>
            <w:tcW w:w="5194" w:type="dxa"/>
          </w:tcPr>
          <w:p>
            <w:pPr>
              <w:pStyle w:val="yTable"/>
            </w:pPr>
            <w:r>
              <w:t>59903</w:t>
            </w:r>
          </w:p>
        </w:tc>
        <w:tc>
          <w:tcPr>
            <w:tcW w:w="1469" w:type="dxa"/>
            <w:vAlign w:val="center"/>
          </w:tcPr>
          <w:p>
            <w:pPr>
              <w:pStyle w:val="yTable"/>
              <w:ind w:right="315"/>
              <w:jc w:val="right"/>
            </w:pPr>
            <w:r>
              <w:t>181.70</w:t>
            </w:r>
          </w:p>
        </w:tc>
      </w:tr>
      <w:tr>
        <w:tblPrEx>
          <w:tblCellMar>
            <w:left w:w="108" w:type="dxa"/>
            <w:right w:w="108" w:type="dxa"/>
          </w:tblCellMar>
        </w:tblPrEx>
        <w:tc>
          <w:tcPr>
            <w:tcW w:w="5194" w:type="dxa"/>
          </w:tcPr>
          <w:p>
            <w:pPr>
              <w:pStyle w:val="yTable"/>
            </w:pPr>
            <w:r>
              <w:t>59912</w:t>
            </w:r>
          </w:p>
        </w:tc>
        <w:tc>
          <w:tcPr>
            <w:tcW w:w="1469" w:type="dxa"/>
            <w:vAlign w:val="center"/>
          </w:tcPr>
          <w:p>
            <w:pPr>
              <w:pStyle w:val="yTable"/>
              <w:ind w:right="315"/>
              <w:jc w:val="right"/>
            </w:pPr>
            <w:r>
              <w:t>484.05</w:t>
            </w:r>
          </w:p>
        </w:tc>
      </w:tr>
      <w:tr>
        <w:tblPrEx>
          <w:tblCellMar>
            <w:left w:w="108" w:type="dxa"/>
            <w:right w:w="108" w:type="dxa"/>
          </w:tblCellMar>
        </w:tblPrEx>
        <w:tc>
          <w:tcPr>
            <w:tcW w:w="5194" w:type="dxa"/>
          </w:tcPr>
          <w:p>
            <w:pPr>
              <w:pStyle w:val="yTable"/>
            </w:pPr>
            <w:r>
              <w:t>59925</w:t>
            </w:r>
          </w:p>
        </w:tc>
        <w:tc>
          <w:tcPr>
            <w:tcW w:w="1469" w:type="dxa"/>
            <w:vAlign w:val="center"/>
          </w:tcPr>
          <w:p>
            <w:pPr>
              <w:pStyle w:val="yTable"/>
              <w:ind w:right="315"/>
              <w:jc w:val="right"/>
            </w:pPr>
            <w:r>
              <w:t>574.75</w:t>
            </w:r>
          </w:p>
        </w:tc>
      </w:tr>
      <w:tr>
        <w:tblPrEx>
          <w:tblCellMar>
            <w:left w:w="108" w:type="dxa"/>
            <w:right w:w="108" w:type="dxa"/>
          </w:tblCellMar>
        </w:tblPrEx>
        <w:tc>
          <w:tcPr>
            <w:tcW w:w="5194" w:type="dxa"/>
          </w:tcPr>
          <w:p>
            <w:pPr>
              <w:pStyle w:val="yTable"/>
            </w:pPr>
            <w:r>
              <w:t>59970</w:t>
            </w:r>
          </w:p>
        </w:tc>
        <w:tc>
          <w:tcPr>
            <w:tcW w:w="1469" w:type="dxa"/>
            <w:vAlign w:val="center"/>
          </w:tcPr>
          <w:p>
            <w:pPr>
              <w:pStyle w:val="yTable"/>
              <w:ind w:right="315"/>
              <w:jc w:val="right"/>
            </w:pPr>
            <w:r>
              <w:t>267.00</w:t>
            </w:r>
          </w:p>
        </w:tc>
      </w:tr>
      <w:tr>
        <w:tblPrEx>
          <w:tblCellMar>
            <w:left w:w="108" w:type="dxa"/>
            <w:right w:w="108" w:type="dxa"/>
          </w:tblCellMar>
        </w:tblPrEx>
        <w:tc>
          <w:tcPr>
            <w:tcW w:w="5194" w:type="dxa"/>
          </w:tcPr>
          <w:p>
            <w:pPr>
              <w:pStyle w:val="yTable"/>
            </w:pPr>
            <w:r>
              <w:t>59971</w:t>
            </w:r>
          </w:p>
        </w:tc>
        <w:tc>
          <w:tcPr>
            <w:tcW w:w="1469" w:type="dxa"/>
            <w:vAlign w:val="center"/>
          </w:tcPr>
          <w:p>
            <w:pPr>
              <w:pStyle w:val="yTable"/>
              <w:ind w:right="315"/>
              <w:jc w:val="right"/>
            </w:pPr>
            <w:r>
              <w:t>90.85</w:t>
            </w:r>
          </w:p>
        </w:tc>
      </w:tr>
      <w:tr>
        <w:tblPrEx>
          <w:tblCellMar>
            <w:left w:w="108" w:type="dxa"/>
            <w:right w:w="108" w:type="dxa"/>
          </w:tblCellMar>
        </w:tblPrEx>
        <w:tc>
          <w:tcPr>
            <w:tcW w:w="5194" w:type="dxa"/>
          </w:tcPr>
          <w:p>
            <w:pPr>
              <w:pStyle w:val="yTable"/>
            </w:pPr>
            <w:r>
              <w:t>59972</w:t>
            </w:r>
          </w:p>
        </w:tc>
        <w:tc>
          <w:tcPr>
            <w:tcW w:w="1469" w:type="dxa"/>
            <w:vAlign w:val="center"/>
          </w:tcPr>
          <w:p>
            <w:pPr>
              <w:pStyle w:val="yTable"/>
              <w:ind w:right="315"/>
              <w:jc w:val="right"/>
            </w:pPr>
            <w:r>
              <w:t>242.00</w:t>
            </w:r>
          </w:p>
        </w:tc>
      </w:tr>
      <w:tr>
        <w:tblPrEx>
          <w:tblCellMar>
            <w:left w:w="108" w:type="dxa"/>
            <w:right w:w="108" w:type="dxa"/>
          </w:tblCellMar>
        </w:tblPrEx>
        <w:tc>
          <w:tcPr>
            <w:tcW w:w="5194" w:type="dxa"/>
          </w:tcPr>
          <w:p>
            <w:pPr>
              <w:pStyle w:val="yTable"/>
            </w:pPr>
            <w:r>
              <w:t>59973</w:t>
            </w:r>
          </w:p>
        </w:tc>
        <w:tc>
          <w:tcPr>
            <w:tcW w:w="1469" w:type="dxa"/>
            <w:vAlign w:val="center"/>
          </w:tcPr>
          <w:p>
            <w:pPr>
              <w:pStyle w:val="yTable"/>
              <w:ind w:right="315"/>
              <w:jc w:val="right"/>
            </w:pPr>
            <w:r>
              <w:t>287.45</w:t>
            </w:r>
          </w:p>
        </w:tc>
      </w:tr>
      <w:tr>
        <w:tblPrEx>
          <w:tblCellMar>
            <w:left w:w="108" w:type="dxa"/>
            <w:right w:w="108" w:type="dxa"/>
          </w:tblCellMar>
        </w:tblPrEx>
        <w:tc>
          <w:tcPr>
            <w:tcW w:w="5194" w:type="dxa"/>
          </w:tcPr>
          <w:p>
            <w:pPr>
              <w:pStyle w:val="yTable"/>
            </w:pPr>
            <w:r>
              <w:t>59974</w:t>
            </w:r>
          </w:p>
        </w:tc>
        <w:tc>
          <w:tcPr>
            <w:tcW w:w="1469" w:type="dxa"/>
            <w:vAlign w:val="center"/>
          </w:tcPr>
          <w:p>
            <w:pPr>
              <w:pStyle w:val="yTable"/>
              <w:ind w:right="315"/>
              <w:jc w:val="right"/>
            </w:pPr>
            <w:r>
              <w:t>133.50</w:t>
            </w:r>
          </w:p>
        </w:tc>
      </w:tr>
      <w:tr>
        <w:tblPrEx>
          <w:tblCellMar>
            <w:left w:w="108" w:type="dxa"/>
            <w:right w:w="108" w:type="dxa"/>
          </w:tblCellMar>
        </w:tblPrEx>
        <w:tc>
          <w:tcPr>
            <w:tcW w:w="5194" w:type="dxa"/>
          </w:tcPr>
          <w:p>
            <w:pPr>
              <w:pStyle w:val="yTable"/>
            </w:pPr>
            <w:r>
              <w:t>60000</w:t>
            </w:r>
          </w:p>
        </w:tc>
        <w:tc>
          <w:tcPr>
            <w:tcW w:w="1469" w:type="dxa"/>
            <w:vAlign w:val="center"/>
          </w:tcPr>
          <w:p>
            <w:pPr>
              <w:pStyle w:val="yTable"/>
              <w:ind w:right="315"/>
              <w:jc w:val="right"/>
            </w:pPr>
            <w:r>
              <w:t>894.45</w:t>
            </w:r>
          </w:p>
        </w:tc>
      </w:tr>
      <w:tr>
        <w:tblPrEx>
          <w:tblCellMar>
            <w:left w:w="108" w:type="dxa"/>
            <w:right w:w="108" w:type="dxa"/>
          </w:tblCellMar>
        </w:tblPrEx>
        <w:tc>
          <w:tcPr>
            <w:tcW w:w="5194" w:type="dxa"/>
          </w:tcPr>
          <w:p>
            <w:pPr>
              <w:pStyle w:val="yTable"/>
            </w:pPr>
            <w:r>
              <w:t>60003</w:t>
            </w:r>
          </w:p>
        </w:tc>
        <w:tc>
          <w:tcPr>
            <w:tcW w:w="1469" w:type="dxa"/>
            <w:vAlign w:val="center"/>
          </w:tcPr>
          <w:p>
            <w:pPr>
              <w:pStyle w:val="yTable"/>
              <w:ind w:right="315"/>
              <w:jc w:val="right"/>
            </w:pPr>
            <w:r>
              <w:t>1 311.75</w:t>
            </w:r>
          </w:p>
        </w:tc>
      </w:tr>
      <w:tr>
        <w:tblPrEx>
          <w:tblCellMar>
            <w:left w:w="108" w:type="dxa"/>
            <w:right w:w="108" w:type="dxa"/>
          </w:tblCellMar>
        </w:tblPrEx>
        <w:tc>
          <w:tcPr>
            <w:tcW w:w="5194" w:type="dxa"/>
          </w:tcPr>
          <w:p>
            <w:pPr>
              <w:pStyle w:val="yTable"/>
            </w:pPr>
            <w:r>
              <w:t>60006</w:t>
            </w:r>
          </w:p>
        </w:tc>
        <w:tc>
          <w:tcPr>
            <w:tcW w:w="1469" w:type="dxa"/>
            <w:vAlign w:val="center"/>
          </w:tcPr>
          <w:p>
            <w:pPr>
              <w:pStyle w:val="yTable"/>
              <w:ind w:right="315"/>
              <w:jc w:val="right"/>
            </w:pPr>
            <w:r>
              <w:t>1 865.25</w:t>
            </w:r>
          </w:p>
        </w:tc>
      </w:tr>
      <w:tr>
        <w:tblPrEx>
          <w:tblCellMar>
            <w:left w:w="108" w:type="dxa"/>
            <w:right w:w="108" w:type="dxa"/>
          </w:tblCellMar>
        </w:tblPrEx>
        <w:tc>
          <w:tcPr>
            <w:tcW w:w="5194" w:type="dxa"/>
          </w:tcPr>
          <w:p>
            <w:pPr>
              <w:pStyle w:val="yTable"/>
            </w:pPr>
            <w:r>
              <w:t>60009</w:t>
            </w:r>
          </w:p>
        </w:tc>
        <w:tc>
          <w:tcPr>
            <w:tcW w:w="1469" w:type="dxa"/>
            <w:vAlign w:val="center"/>
          </w:tcPr>
          <w:p>
            <w:pPr>
              <w:pStyle w:val="yTable"/>
              <w:ind w:right="315"/>
              <w:jc w:val="right"/>
            </w:pPr>
            <w:r>
              <w:t>2 182.80</w:t>
            </w:r>
          </w:p>
        </w:tc>
      </w:tr>
      <w:tr>
        <w:tblPrEx>
          <w:tblCellMar>
            <w:left w:w="108" w:type="dxa"/>
            <w:right w:w="108" w:type="dxa"/>
          </w:tblCellMar>
        </w:tblPrEx>
        <w:tc>
          <w:tcPr>
            <w:tcW w:w="5194" w:type="dxa"/>
          </w:tcPr>
          <w:p>
            <w:pPr>
              <w:pStyle w:val="yTable"/>
            </w:pPr>
            <w:r>
              <w:t>60012</w:t>
            </w:r>
          </w:p>
        </w:tc>
        <w:tc>
          <w:tcPr>
            <w:tcW w:w="1469" w:type="dxa"/>
            <w:vAlign w:val="center"/>
          </w:tcPr>
          <w:p>
            <w:pPr>
              <w:pStyle w:val="yTable"/>
              <w:ind w:right="315"/>
              <w:jc w:val="right"/>
            </w:pPr>
            <w:r>
              <w:t>894.45</w:t>
            </w:r>
          </w:p>
        </w:tc>
      </w:tr>
      <w:tr>
        <w:tblPrEx>
          <w:tblCellMar>
            <w:left w:w="108" w:type="dxa"/>
            <w:right w:w="108" w:type="dxa"/>
          </w:tblCellMar>
        </w:tblPrEx>
        <w:tc>
          <w:tcPr>
            <w:tcW w:w="5194" w:type="dxa"/>
          </w:tcPr>
          <w:p>
            <w:pPr>
              <w:pStyle w:val="yTable"/>
            </w:pPr>
            <w:r>
              <w:t>60015</w:t>
            </w:r>
          </w:p>
        </w:tc>
        <w:tc>
          <w:tcPr>
            <w:tcW w:w="1469" w:type="dxa"/>
            <w:vAlign w:val="center"/>
          </w:tcPr>
          <w:p>
            <w:pPr>
              <w:pStyle w:val="yTable"/>
              <w:ind w:right="315"/>
              <w:jc w:val="right"/>
            </w:pPr>
            <w:r>
              <w:t>1 311.75</w:t>
            </w:r>
          </w:p>
        </w:tc>
      </w:tr>
      <w:tr>
        <w:tblPrEx>
          <w:tblCellMar>
            <w:left w:w="108" w:type="dxa"/>
            <w:right w:w="108" w:type="dxa"/>
          </w:tblCellMar>
        </w:tblPrEx>
        <w:tc>
          <w:tcPr>
            <w:tcW w:w="5194" w:type="dxa"/>
          </w:tcPr>
          <w:p>
            <w:pPr>
              <w:pStyle w:val="yTable"/>
            </w:pPr>
            <w:r>
              <w:t>60018</w:t>
            </w:r>
          </w:p>
        </w:tc>
        <w:tc>
          <w:tcPr>
            <w:tcW w:w="1469" w:type="dxa"/>
            <w:vAlign w:val="center"/>
          </w:tcPr>
          <w:p>
            <w:pPr>
              <w:pStyle w:val="yTable"/>
              <w:ind w:right="315"/>
              <w:jc w:val="right"/>
            </w:pPr>
            <w:r>
              <w:t>1 865.25</w:t>
            </w:r>
          </w:p>
        </w:tc>
      </w:tr>
      <w:tr>
        <w:tblPrEx>
          <w:tblCellMar>
            <w:left w:w="108" w:type="dxa"/>
            <w:right w:w="108" w:type="dxa"/>
          </w:tblCellMar>
        </w:tblPrEx>
        <w:tc>
          <w:tcPr>
            <w:tcW w:w="5194" w:type="dxa"/>
          </w:tcPr>
          <w:p>
            <w:pPr>
              <w:pStyle w:val="yTable"/>
            </w:pPr>
            <w:r>
              <w:t>60021</w:t>
            </w:r>
          </w:p>
        </w:tc>
        <w:tc>
          <w:tcPr>
            <w:tcW w:w="1469" w:type="dxa"/>
            <w:vAlign w:val="center"/>
          </w:tcPr>
          <w:p>
            <w:pPr>
              <w:pStyle w:val="yTable"/>
              <w:ind w:right="315"/>
              <w:jc w:val="right"/>
            </w:pPr>
            <w:r>
              <w:t>2 182.80</w:t>
            </w:r>
          </w:p>
        </w:tc>
      </w:tr>
      <w:tr>
        <w:tblPrEx>
          <w:tblCellMar>
            <w:left w:w="108" w:type="dxa"/>
            <w:right w:w="108" w:type="dxa"/>
          </w:tblCellMar>
        </w:tblPrEx>
        <w:tc>
          <w:tcPr>
            <w:tcW w:w="5194" w:type="dxa"/>
          </w:tcPr>
          <w:p>
            <w:pPr>
              <w:pStyle w:val="yTable"/>
            </w:pPr>
            <w:r>
              <w:t>60024</w:t>
            </w:r>
          </w:p>
        </w:tc>
        <w:tc>
          <w:tcPr>
            <w:tcW w:w="1469" w:type="dxa"/>
            <w:vAlign w:val="center"/>
          </w:tcPr>
          <w:p>
            <w:pPr>
              <w:pStyle w:val="yTable"/>
              <w:ind w:right="315"/>
              <w:jc w:val="right"/>
            </w:pPr>
            <w:r>
              <w:t>894.45</w:t>
            </w:r>
          </w:p>
        </w:tc>
      </w:tr>
      <w:tr>
        <w:tblPrEx>
          <w:tblCellMar>
            <w:left w:w="108" w:type="dxa"/>
            <w:right w:w="108" w:type="dxa"/>
          </w:tblCellMar>
        </w:tblPrEx>
        <w:tc>
          <w:tcPr>
            <w:tcW w:w="5194" w:type="dxa"/>
          </w:tcPr>
          <w:p>
            <w:pPr>
              <w:pStyle w:val="yTable"/>
            </w:pPr>
            <w:r>
              <w:t>60027</w:t>
            </w:r>
          </w:p>
        </w:tc>
        <w:tc>
          <w:tcPr>
            <w:tcW w:w="1469" w:type="dxa"/>
            <w:vAlign w:val="center"/>
          </w:tcPr>
          <w:p>
            <w:pPr>
              <w:pStyle w:val="yTable"/>
              <w:ind w:right="315"/>
              <w:jc w:val="right"/>
            </w:pPr>
            <w:r>
              <w:t>1 311.75</w:t>
            </w:r>
          </w:p>
        </w:tc>
      </w:tr>
      <w:tr>
        <w:tblPrEx>
          <w:tblCellMar>
            <w:left w:w="108" w:type="dxa"/>
            <w:right w:w="108" w:type="dxa"/>
          </w:tblCellMar>
        </w:tblPrEx>
        <w:tc>
          <w:tcPr>
            <w:tcW w:w="5194" w:type="dxa"/>
          </w:tcPr>
          <w:p>
            <w:pPr>
              <w:pStyle w:val="yTable"/>
            </w:pPr>
            <w:r>
              <w:t>60030</w:t>
            </w:r>
          </w:p>
        </w:tc>
        <w:tc>
          <w:tcPr>
            <w:tcW w:w="1469" w:type="dxa"/>
            <w:vAlign w:val="center"/>
          </w:tcPr>
          <w:p>
            <w:pPr>
              <w:pStyle w:val="yTable"/>
              <w:ind w:right="315"/>
              <w:jc w:val="right"/>
            </w:pPr>
            <w:r>
              <w:t>1 865.25</w:t>
            </w:r>
          </w:p>
        </w:tc>
      </w:tr>
      <w:tr>
        <w:tblPrEx>
          <w:tblCellMar>
            <w:left w:w="108" w:type="dxa"/>
            <w:right w:w="108" w:type="dxa"/>
          </w:tblCellMar>
        </w:tblPrEx>
        <w:tc>
          <w:tcPr>
            <w:tcW w:w="5194" w:type="dxa"/>
          </w:tcPr>
          <w:p>
            <w:pPr>
              <w:pStyle w:val="yTable"/>
            </w:pPr>
            <w:r>
              <w:t>60033</w:t>
            </w:r>
          </w:p>
        </w:tc>
        <w:tc>
          <w:tcPr>
            <w:tcW w:w="1469" w:type="dxa"/>
            <w:vAlign w:val="center"/>
          </w:tcPr>
          <w:p>
            <w:pPr>
              <w:pStyle w:val="yTable"/>
              <w:ind w:right="315"/>
              <w:jc w:val="right"/>
            </w:pPr>
            <w:r>
              <w:t>2 182.80</w:t>
            </w:r>
          </w:p>
        </w:tc>
      </w:tr>
      <w:tr>
        <w:tblPrEx>
          <w:tblCellMar>
            <w:left w:w="108" w:type="dxa"/>
            <w:right w:w="108" w:type="dxa"/>
          </w:tblCellMar>
        </w:tblPrEx>
        <w:tc>
          <w:tcPr>
            <w:tcW w:w="5194" w:type="dxa"/>
          </w:tcPr>
          <w:p>
            <w:pPr>
              <w:pStyle w:val="yTable"/>
            </w:pPr>
            <w:r>
              <w:t>60036</w:t>
            </w:r>
          </w:p>
        </w:tc>
        <w:tc>
          <w:tcPr>
            <w:tcW w:w="1469" w:type="dxa"/>
            <w:vAlign w:val="center"/>
          </w:tcPr>
          <w:p>
            <w:pPr>
              <w:pStyle w:val="yTable"/>
              <w:ind w:right="315"/>
              <w:jc w:val="right"/>
            </w:pPr>
            <w:r>
              <w:t>894.45</w:t>
            </w:r>
          </w:p>
        </w:tc>
      </w:tr>
      <w:tr>
        <w:tblPrEx>
          <w:tblCellMar>
            <w:left w:w="108" w:type="dxa"/>
            <w:right w:w="108" w:type="dxa"/>
          </w:tblCellMar>
        </w:tblPrEx>
        <w:tc>
          <w:tcPr>
            <w:tcW w:w="5194" w:type="dxa"/>
          </w:tcPr>
          <w:p>
            <w:pPr>
              <w:pStyle w:val="yTable"/>
            </w:pPr>
            <w:r>
              <w:t>60039</w:t>
            </w:r>
          </w:p>
        </w:tc>
        <w:tc>
          <w:tcPr>
            <w:tcW w:w="1469" w:type="dxa"/>
            <w:vAlign w:val="center"/>
          </w:tcPr>
          <w:p>
            <w:pPr>
              <w:pStyle w:val="yTable"/>
              <w:ind w:right="315"/>
              <w:jc w:val="right"/>
            </w:pPr>
            <w:r>
              <w:t>1 311.75</w:t>
            </w:r>
          </w:p>
        </w:tc>
      </w:tr>
      <w:tr>
        <w:tblPrEx>
          <w:tblCellMar>
            <w:left w:w="108" w:type="dxa"/>
            <w:right w:w="108" w:type="dxa"/>
          </w:tblCellMar>
        </w:tblPrEx>
        <w:tc>
          <w:tcPr>
            <w:tcW w:w="5194" w:type="dxa"/>
          </w:tcPr>
          <w:p>
            <w:pPr>
              <w:pStyle w:val="yTable"/>
            </w:pPr>
            <w:r>
              <w:t>60042</w:t>
            </w:r>
          </w:p>
        </w:tc>
        <w:tc>
          <w:tcPr>
            <w:tcW w:w="1469" w:type="dxa"/>
            <w:vAlign w:val="center"/>
          </w:tcPr>
          <w:p>
            <w:pPr>
              <w:pStyle w:val="yTable"/>
              <w:ind w:right="315"/>
              <w:jc w:val="right"/>
            </w:pPr>
            <w:r>
              <w:t>1 865.25</w:t>
            </w:r>
          </w:p>
        </w:tc>
      </w:tr>
      <w:tr>
        <w:tblPrEx>
          <w:tblCellMar>
            <w:left w:w="108" w:type="dxa"/>
            <w:right w:w="108" w:type="dxa"/>
          </w:tblCellMar>
        </w:tblPrEx>
        <w:tc>
          <w:tcPr>
            <w:tcW w:w="5194" w:type="dxa"/>
          </w:tcPr>
          <w:p>
            <w:pPr>
              <w:pStyle w:val="yTable"/>
            </w:pPr>
            <w:r>
              <w:t>60045</w:t>
            </w:r>
          </w:p>
        </w:tc>
        <w:tc>
          <w:tcPr>
            <w:tcW w:w="1469" w:type="dxa"/>
            <w:vAlign w:val="center"/>
          </w:tcPr>
          <w:p>
            <w:pPr>
              <w:pStyle w:val="yTable"/>
              <w:ind w:right="315"/>
              <w:jc w:val="right"/>
            </w:pPr>
            <w:r>
              <w:t>2 182.80</w:t>
            </w:r>
          </w:p>
        </w:tc>
      </w:tr>
      <w:tr>
        <w:tblPrEx>
          <w:tblCellMar>
            <w:left w:w="108" w:type="dxa"/>
            <w:right w:w="108" w:type="dxa"/>
          </w:tblCellMar>
        </w:tblPrEx>
        <w:tc>
          <w:tcPr>
            <w:tcW w:w="5194" w:type="dxa"/>
          </w:tcPr>
          <w:p>
            <w:pPr>
              <w:pStyle w:val="yTable"/>
            </w:pPr>
            <w:r>
              <w:t>60048</w:t>
            </w:r>
          </w:p>
        </w:tc>
        <w:tc>
          <w:tcPr>
            <w:tcW w:w="1469" w:type="dxa"/>
            <w:vAlign w:val="center"/>
          </w:tcPr>
          <w:p>
            <w:pPr>
              <w:pStyle w:val="yTable"/>
              <w:ind w:right="315"/>
              <w:jc w:val="right"/>
            </w:pPr>
            <w:r>
              <w:t>894.45</w:t>
            </w:r>
          </w:p>
        </w:tc>
      </w:tr>
      <w:tr>
        <w:tblPrEx>
          <w:tblCellMar>
            <w:left w:w="108" w:type="dxa"/>
            <w:right w:w="108" w:type="dxa"/>
          </w:tblCellMar>
        </w:tblPrEx>
        <w:tc>
          <w:tcPr>
            <w:tcW w:w="5194" w:type="dxa"/>
          </w:tcPr>
          <w:p>
            <w:pPr>
              <w:pStyle w:val="yTable"/>
            </w:pPr>
            <w:r>
              <w:t>60051</w:t>
            </w:r>
          </w:p>
        </w:tc>
        <w:tc>
          <w:tcPr>
            <w:tcW w:w="1469" w:type="dxa"/>
            <w:vAlign w:val="center"/>
          </w:tcPr>
          <w:p>
            <w:pPr>
              <w:pStyle w:val="yTable"/>
              <w:ind w:right="315"/>
              <w:jc w:val="right"/>
            </w:pPr>
            <w:r>
              <w:t>1 311.75</w:t>
            </w:r>
          </w:p>
        </w:tc>
      </w:tr>
      <w:tr>
        <w:tblPrEx>
          <w:tblCellMar>
            <w:left w:w="108" w:type="dxa"/>
            <w:right w:w="108" w:type="dxa"/>
          </w:tblCellMar>
        </w:tblPrEx>
        <w:tc>
          <w:tcPr>
            <w:tcW w:w="5194" w:type="dxa"/>
          </w:tcPr>
          <w:p>
            <w:pPr>
              <w:pStyle w:val="yTable"/>
            </w:pPr>
            <w:r>
              <w:t>60054</w:t>
            </w:r>
          </w:p>
        </w:tc>
        <w:tc>
          <w:tcPr>
            <w:tcW w:w="1469" w:type="dxa"/>
            <w:vAlign w:val="center"/>
          </w:tcPr>
          <w:p>
            <w:pPr>
              <w:pStyle w:val="yTable"/>
              <w:ind w:right="315"/>
              <w:jc w:val="right"/>
            </w:pPr>
            <w:r>
              <w:t>1 865.25</w:t>
            </w:r>
          </w:p>
        </w:tc>
      </w:tr>
      <w:tr>
        <w:tblPrEx>
          <w:tblCellMar>
            <w:left w:w="108" w:type="dxa"/>
            <w:right w:w="108" w:type="dxa"/>
          </w:tblCellMar>
        </w:tblPrEx>
        <w:tc>
          <w:tcPr>
            <w:tcW w:w="5194" w:type="dxa"/>
          </w:tcPr>
          <w:p>
            <w:pPr>
              <w:pStyle w:val="yTable"/>
            </w:pPr>
            <w:r>
              <w:t>60057</w:t>
            </w:r>
          </w:p>
        </w:tc>
        <w:tc>
          <w:tcPr>
            <w:tcW w:w="1469" w:type="dxa"/>
            <w:vAlign w:val="center"/>
          </w:tcPr>
          <w:p>
            <w:pPr>
              <w:pStyle w:val="yTable"/>
              <w:ind w:right="315"/>
              <w:jc w:val="right"/>
            </w:pPr>
            <w:r>
              <w:t>2 182.80</w:t>
            </w:r>
          </w:p>
        </w:tc>
      </w:tr>
      <w:tr>
        <w:tblPrEx>
          <w:tblCellMar>
            <w:left w:w="108" w:type="dxa"/>
            <w:right w:w="108" w:type="dxa"/>
          </w:tblCellMar>
        </w:tblPrEx>
        <w:tc>
          <w:tcPr>
            <w:tcW w:w="5194" w:type="dxa"/>
          </w:tcPr>
          <w:p>
            <w:pPr>
              <w:pStyle w:val="yTable"/>
            </w:pPr>
            <w:r>
              <w:t>60060</w:t>
            </w:r>
          </w:p>
        </w:tc>
        <w:tc>
          <w:tcPr>
            <w:tcW w:w="1469" w:type="dxa"/>
            <w:vAlign w:val="center"/>
          </w:tcPr>
          <w:p>
            <w:pPr>
              <w:pStyle w:val="yTable"/>
              <w:ind w:right="315"/>
              <w:jc w:val="right"/>
            </w:pPr>
            <w:r>
              <w:t>894.45</w:t>
            </w:r>
          </w:p>
        </w:tc>
      </w:tr>
      <w:tr>
        <w:tblPrEx>
          <w:tblCellMar>
            <w:left w:w="108" w:type="dxa"/>
            <w:right w:w="108" w:type="dxa"/>
          </w:tblCellMar>
        </w:tblPrEx>
        <w:tc>
          <w:tcPr>
            <w:tcW w:w="5194" w:type="dxa"/>
          </w:tcPr>
          <w:p>
            <w:pPr>
              <w:pStyle w:val="yTable"/>
            </w:pPr>
            <w:r>
              <w:t>60063</w:t>
            </w:r>
          </w:p>
        </w:tc>
        <w:tc>
          <w:tcPr>
            <w:tcW w:w="1469" w:type="dxa"/>
            <w:vAlign w:val="center"/>
          </w:tcPr>
          <w:p>
            <w:pPr>
              <w:pStyle w:val="yTable"/>
              <w:ind w:right="315"/>
              <w:jc w:val="right"/>
            </w:pPr>
            <w:r>
              <w:t>1 311.75</w:t>
            </w:r>
          </w:p>
        </w:tc>
      </w:tr>
      <w:tr>
        <w:tblPrEx>
          <w:tblCellMar>
            <w:left w:w="108" w:type="dxa"/>
            <w:right w:w="108" w:type="dxa"/>
          </w:tblCellMar>
        </w:tblPrEx>
        <w:tc>
          <w:tcPr>
            <w:tcW w:w="5194" w:type="dxa"/>
          </w:tcPr>
          <w:p>
            <w:pPr>
              <w:pStyle w:val="yTable"/>
            </w:pPr>
            <w:r>
              <w:t>60066</w:t>
            </w:r>
          </w:p>
        </w:tc>
        <w:tc>
          <w:tcPr>
            <w:tcW w:w="1469" w:type="dxa"/>
            <w:vAlign w:val="center"/>
          </w:tcPr>
          <w:p>
            <w:pPr>
              <w:pStyle w:val="yTable"/>
              <w:ind w:right="315"/>
              <w:jc w:val="right"/>
            </w:pPr>
            <w:r>
              <w:t>1 865.25</w:t>
            </w:r>
          </w:p>
        </w:tc>
      </w:tr>
      <w:tr>
        <w:tblPrEx>
          <w:tblCellMar>
            <w:left w:w="108" w:type="dxa"/>
            <w:right w:w="108" w:type="dxa"/>
          </w:tblCellMar>
        </w:tblPrEx>
        <w:tc>
          <w:tcPr>
            <w:tcW w:w="5194" w:type="dxa"/>
          </w:tcPr>
          <w:p>
            <w:pPr>
              <w:pStyle w:val="yTable"/>
            </w:pPr>
            <w:r>
              <w:t>60069</w:t>
            </w:r>
          </w:p>
        </w:tc>
        <w:tc>
          <w:tcPr>
            <w:tcW w:w="1469" w:type="dxa"/>
            <w:vAlign w:val="center"/>
          </w:tcPr>
          <w:p>
            <w:pPr>
              <w:pStyle w:val="yTable"/>
              <w:ind w:right="315"/>
              <w:jc w:val="right"/>
            </w:pPr>
            <w:r>
              <w:t>2 182.80</w:t>
            </w:r>
          </w:p>
        </w:tc>
      </w:tr>
      <w:tr>
        <w:tblPrEx>
          <w:tblCellMar>
            <w:left w:w="108" w:type="dxa"/>
            <w:right w:w="108" w:type="dxa"/>
          </w:tblCellMar>
        </w:tblPrEx>
        <w:tc>
          <w:tcPr>
            <w:tcW w:w="5194" w:type="dxa"/>
          </w:tcPr>
          <w:p>
            <w:pPr>
              <w:pStyle w:val="yTable"/>
            </w:pPr>
            <w:r>
              <w:t>60072</w:t>
            </w:r>
          </w:p>
        </w:tc>
        <w:tc>
          <w:tcPr>
            <w:tcW w:w="1469" w:type="dxa"/>
            <w:vAlign w:val="center"/>
          </w:tcPr>
          <w:p>
            <w:pPr>
              <w:pStyle w:val="yTable"/>
              <w:ind w:right="315"/>
              <w:jc w:val="right"/>
            </w:pPr>
            <w:r>
              <w:t>76.35</w:t>
            </w:r>
          </w:p>
        </w:tc>
      </w:tr>
      <w:tr>
        <w:tblPrEx>
          <w:tblCellMar>
            <w:left w:w="108" w:type="dxa"/>
            <w:right w:w="108" w:type="dxa"/>
          </w:tblCellMar>
        </w:tblPrEx>
        <w:tc>
          <w:tcPr>
            <w:tcW w:w="5194" w:type="dxa"/>
          </w:tcPr>
          <w:p>
            <w:pPr>
              <w:pStyle w:val="yTable"/>
            </w:pPr>
            <w:r>
              <w:t>60075</w:t>
            </w:r>
          </w:p>
        </w:tc>
        <w:tc>
          <w:tcPr>
            <w:tcW w:w="1469" w:type="dxa"/>
            <w:vAlign w:val="center"/>
          </w:tcPr>
          <w:p>
            <w:pPr>
              <w:pStyle w:val="yTable"/>
              <w:ind w:right="315"/>
              <w:jc w:val="right"/>
            </w:pPr>
            <w:r>
              <w:t>152.40</w:t>
            </w:r>
          </w:p>
        </w:tc>
      </w:tr>
      <w:tr>
        <w:tblPrEx>
          <w:tblCellMar>
            <w:left w:w="108" w:type="dxa"/>
            <w:right w:w="108" w:type="dxa"/>
          </w:tblCellMar>
        </w:tblPrEx>
        <w:tc>
          <w:tcPr>
            <w:tcW w:w="5194" w:type="dxa"/>
          </w:tcPr>
          <w:p>
            <w:pPr>
              <w:pStyle w:val="yTable"/>
            </w:pPr>
            <w:r>
              <w:t>60078</w:t>
            </w:r>
          </w:p>
        </w:tc>
        <w:tc>
          <w:tcPr>
            <w:tcW w:w="1469" w:type="dxa"/>
            <w:vAlign w:val="center"/>
          </w:tcPr>
          <w:p>
            <w:pPr>
              <w:pStyle w:val="yTable"/>
              <w:ind w:right="315"/>
              <w:jc w:val="right"/>
            </w:pPr>
            <w:r>
              <w:t>228.75</w:t>
            </w:r>
          </w:p>
        </w:tc>
      </w:tr>
      <w:tr>
        <w:tblPrEx>
          <w:tblCellMar>
            <w:left w:w="108" w:type="dxa"/>
            <w:right w:w="108" w:type="dxa"/>
          </w:tblCellMar>
        </w:tblPrEx>
        <w:tc>
          <w:tcPr>
            <w:tcW w:w="5194" w:type="dxa"/>
          </w:tcPr>
          <w:p>
            <w:pPr>
              <w:pStyle w:val="yTable"/>
            </w:pPr>
            <w:r>
              <w:t>60100</w:t>
            </w:r>
          </w:p>
        </w:tc>
        <w:tc>
          <w:tcPr>
            <w:tcW w:w="1469" w:type="dxa"/>
            <w:vAlign w:val="center"/>
          </w:tcPr>
          <w:p>
            <w:pPr>
              <w:pStyle w:val="yTable"/>
              <w:ind w:right="315"/>
              <w:jc w:val="right"/>
            </w:pPr>
            <w:r>
              <w:t>96.40</w:t>
            </w:r>
          </w:p>
        </w:tc>
      </w:tr>
      <w:tr>
        <w:tblPrEx>
          <w:tblCellMar>
            <w:left w:w="108" w:type="dxa"/>
            <w:right w:w="108" w:type="dxa"/>
          </w:tblCellMar>
        </w:tblPrEx>
        <w:tc>
          <w:tcPr>
            <w:tcW w:w="5194" w:type="dxa"/>
          </w:tcPr>
          <w:p>
            <w:pPr>
              <w:pStyle w:val="yTable"/>
            </w:pPr>
            <w:r>
              <w:t>60500</w:t>
            </w:r>
          </w:p>
        </w:tc>
        <w:tc>
          <w:tcPr>
            <w:tcW w:w="1469" w:type="dxa"/>
            <w:vAlign w:val="center"/>
          </w:tcPr>
          <w:p>
            <w:pPr>
              <w:pStyle w:val="yTable"/>
              <w:ind w:right="315"/>
              <w:jc w:val="right"/>
            </w:pPr>
            <w:r>
              <w:t>68.80</w:t>
            </w:r>
          </w:p>
        </w:tc>
      </w:tr>
      <w:tr>
        <w:tblPrEx>
          <w:tblCellMar>
            <w:left w:w="108" w:type="dxa"/>
            <w:right w:w="108" w:type="dxa"/>
          </w:tblCellMar>
        </w:tblPrEx>
        <w:tc>
          <w:tcPr>
            <w:tcW w:w="5194" w:type="dxa"/>
          </w:tcPr>
          <w:p>
            <w:pPr>
              <w:pStyle w:val="yTable"/>
            </w:pPr>
            <w:r>
              <w:t>60503</w:t>
            </w:r>
          </w:p>
        </w:tc>
        <w:tc>
          <w:tcPr>
            <w:tcW w:w="1469" w:type="dxa"/>
            <w:vAlign w:val="center"/>
          </w:tcPr>
          <w:p>
            <w:pPr>
              <w:pStyle w:val="yTable"/>
              <w:ind w:right="315"/>
              <w:jc w:val="right"/>
            </w:pPr>
            <w:r>
              <w:t>47.20</w:t>
            </w:r>
          </w:p>
        </w:tc>
      </w:tr>
      <w:tr>
        <w:tblPrEx>
          <w:tblCellMar>
            <w:left w:w="108" w:type="dxa"/>
            <w:right w:w="108" w:type="dxa"/>
          </w:tblCellMar>
        </w:tblPrEx>
        <w:tc>
          <w:tcPr>
            <w:tcW w:w="5194" w:type="dxa"/>
          </w:tcPr>
          <w:p>
            <w:pPr>
              <w:pStyle w:val="yTable"/>
            </w:pPr>
            <w:r>
              <w:t>60506</w:t>
            </w:r>
          </w:p>
        </w:tc>
        <w:tc>
          <w:tcPr>
            <w:tcW w:w="1469" w:type="dxa"/>
            <w:vAlign w:val="center"/>
          </w:tcPr>
          <w:p>
            <w:pPr>
              <w:pStyle w:val="yTable"/>
              <w:ind w:right="315"/>
              <w:jc w:val="right"/>
            </w:pPr>
            <w:r>
              <w:t>101.10</w:t>
            </w:r>
          </w:p>
        </w:tc>
      </w:tr>
      <w:tr>
        <w:tblPrEx>
          <w:tblCellMar>
            <w:left w:w="108" w:type="dxa"/>
            <w:right w:w="108" w:type="dxa"/>
          </w:tblCellMar>
        </w:tblPrEx>
        <w:tc>
          <w:tcPr>
            <w:tcW w:w="5194" w:type="dxa"/>
          </w:tcPr>
          <w:p>
            <w:pPr>
              <w:pStyle w:val="yTable"/>
            </w:pPr>
            <w:r>
              <w:t>60509</w:t>
            </w:r>
          </w:p>
        </w:tc>
        <w:tc>
          <w:tcPr>
            <w:tcW w:w="1469" w:type="dxa"/>
            <w:vAlign w:val="center"/>
          </w:tcPr>
          <w:p>
            <w:pPr>
              <w:pStyle w:val="yTable"/>
              <w:ind w:right="315"/>
              <w:jc w:val="right"/>
            </w:pPr>
            <w:r>
              <w:t>156.80</w:t>
            </w:r>
          </w:p>
        </w:tc>
      </w:tr>
      <w:tr>
        <w:tblPrEx>
          <w:tblCellMar>
            <w:left w:w="108" w:type="dxa"/>
            <w:right w:w="108" w:type="dxa"/>
          </w:tblCellMar>
        </w:tblPrEx>
        <w:tc>
          <w:tcPr>
            <w:tcW w:w="5194" w:type="dxa"/>
          </w:tcPr>
          <w:p>
            <w:pPr>
              <w:pStyle w:val="yTable"/>
            </w:pPr>
            <w:r>
              <w:t>60918</w:t>
            </w:r>
          </w:p>
        </w:tc>
        <w:tc>
          <w:tcPr>
            <w:tcW w:w="1469" w:type="dxa"/>
            <w:vAlign w:val="center"/>
          </w:tcPr>
          <w:p>
            <w:pPr>
              <w:pStyle w:val="yTable"/>
              <w:ind w:right="315"/>
              <w:jc w:val="right"/>
            </w:pPr>
            <w:r>
              <w:t>74.75</w:t>
            </w:r>
          </w:p>
        </w:tc>
      </w:tr>
      <w:tr>
        <w:tblPrEx>
          <w:tblCellMar>
            <w:left w:w="108" w:type="dxa"/>
            <w:right w:w="108" w:type="dxa"/>
          </w:tblCellMar>
        </w:tblPrEx>
        <w:tc>
          <w:tcPr>
            <w:tcW w:w="5194" w:type="dxa"/>
          </w:tcPr>
          <w:p>
            <w:pPr>
              <w:pStyle w:val="yTable"/>
            </w:pPr>
            <w:r>
              <w:t>60927</w:t>
            </w:r>
          </w:p>
        </w:tc>
        <w:tc>
          <w:tcPr>
            <w:tcW w:w="1469" w:type="dxa"/>
            <w:vAlign w:val="center"/>
          </w:tcPr>
          <w:p>
            <w:pPr>
              <w:pStyle w:val="yTable"/>
              <w:ind w:right="315"/>
              <w:jc w:val="right"/>
            </w:pPr>
            <w:r>
              <w:t>60.35</w:t>
            </w:r>
          </w:p>
        </w:tc>
      </w:tr>
      <w:tr>
        <w:tblPrEx>
          <w:tblCellMar>
            <w:left w:w="108" w:type="dxa"/>
            <w:right w:w="108" w:type="dxa"/>
          </w:tblCellMar>
        </w:tblPrEx>
        <w:tc>
          <w:tcPr>
            <w:tcW w:w="5194" w:type="dxa"/>
            <w:tcBorders>
              <w:bottom w:val="single" w:sz="4" w:space="0" w:color="auto"/>
            </w:tcBorders>
          </w:tcPr>
          <w:p>
            <w:pPr>
              <w:pStyle w:val="yTable"/>
            </w:pPr>
            <w:r>
              <w:t>61109</w:t>
            </w:r>
          </w:p>
        </w:tc>
        <w:tc>
          <w:tcPr>
            <w:tcW w:w="1469" w:type="dxa"/>
            <w:tcBorders>
              <w:bottom w:val="single" w:sz="4" w:space="0" w:color="auto"/>
            </w:tcBorders>
            <w:vAlign w:val="center"/>
          </w:tcPr>
          <w:p>
            <w:pPr>
              <w:pStyle w:val="yTable"/>
              <w:ind w:right="315"/>
              <w:jc w:val="right"/>
            </w:pPr>
            <w:r>
              <w:t>410.60</w:t>
            </w:r>
          </w:p>
        </w:tc>
      </w:tr>
    </w:tbl>
    <w:p>
      <w:pPr>
        <w:pStyle w:val="yMiscellaneousBody"/>
      </w:pPr>
      <w:r>
        <w:t>NUCLEAR MEDICINE IMAGING</w:t>
      </w:r>
    </w:p>
    <w:tbl>
      <w:tblPr>
        <w:tblW w:w="0" w:type="auto"/>
        <w:tblInd w:w="113" w:type="dxa"/>
        <w:tblLayout w:type="fixed"/>
        <w:tblCellMar>
          <w:left w:w="113" w:type="dxa"/>
          <w:right w:w="113" w:type="dxa"/>
        </w:tblCellMar>
        <w:tblLook w:val="0000" w:firstRow="0" w:lastRow="0" w:firstColumn="0" w:lastColumn="0" w:noHBand="0" w:noVBand="0"/>
      </w:tblPr>
      <w:tblGrid>
        <w:gridCol w:w="5194"/>
        <w:gridCol w:w="1469"/>
      </w:tblGrid>
      <w:tr>
        <w:trPr>
          <w:tblHeader/>
        </w:trPr>
        <w:tc>
          <w:tcPr>
            <w:tcW w:w="5194" w:type="dxa"/>
            <w:tcBorders>
              <w:top w:val="single" w:sz="4" w:space="0" w:color="auto"/>
              <w:bottom w:val="single" w:sz="4" w:space="0" w:color="auto"/>
            </w:tcBorders>
          </w:tcPr>
          <w:p>
            <w:pPr>
              <w:pStyle w:val="yTable"/>
            </w:pPr>
            <w:r>
              <w:rPr>
                <w:b/>
                <w:bCs/>
              </w:rPr>
              <w:t>MBS item number</w:t>
            </w:r>
            <w:r>
              <w:rPr>
                <w:b/>
                <w:bCs/>
              </w:rPr>
              <w:br/>
            </w:r>
            <w:r>
              <w:rPr>
                <w:i/>
              </w:rPr>
              <w:t>(1 November 2007)</w:t>
            </w:r>
          </w:p>
        </w:tc>
        <w:tc>
          <w:tcPr>
            <w:tcW w:w="1469" w:type="dxa"/>
            <w:tcBorders>
              <w:top w:val="single" w:sz="4" w:space="0" w:color="auto"/>
              <w:bottom w:val="single" w:sz="4" w:space="0" w:color="auto"/>
            </w:tcBorders>
          </w:tcPr>
          <w:p>
            <w:pPr>
              <w:pStyle w:val="yTable"/>
              <w:ind w:right="315"/>
              <w:jc w:val="center"/>
            </w:pPr>
            <w:r>
              <w:rPr>
                <w:b/>
                <w:bCs/>
              </w:rPr>
              <w:t>Fee</w:t>
            </w:r>
            <w:r>
              <w:rPr>
                <w:b/>
                <w:bCs/>
              </w:rPr>
              <w:br/>
              <w:t>$</w:t>
            </w:r>
          </w:p>
        </w:tc>
      </w:tr>
      <w:tr>
        <w:tblPrEx>
          <w:tblCellMar>
            <w:left w:w="108" w:type="dxa"/>
            <w:right w:w="108" w:type="dxa"/>
          </w:tblCellMar>
        </w:tblPrEx>
        <w:tc>
          <w:tcPr>
            <w:tcW w:w="5194" w:type="dxa"/>
          </w:tcPr>
          <w:p>
            <w:pPr>
              <w:pStyle w:val="yTable"/>
            </w:pPr>
            <w:r>
              <w:t>61302</w:t>
            </w:r>
          </w:p>
        </w:tc>
        <w:tc>
          <w:tcPr>
            <w:tcW w:w="1469" w:type="dxa"/>
            <w:vAlign w:val="center"/>
          </w:tcPr>
          <w:p>
            <w:pPr>
              <w:pStyle w:val="yTable"/>
              <w:ind w:right="315"/>
              <w:jc w:val="right"/>
            </w:pPr>
            <w:r>
              <w:t>548.35</w:t>
            </w:r>
          </w:p>
        </w:tc>
      </w:tr>
      <w:tr>
        <w:tblPrEx>
          <w:tblCellMar>
            <w:left w:w="108" w:type="dxa"/>
            <w:right w:w="108" w:type="dxa"/>
          </w:tblCellMar>
        </w:tblPrEx>
        <w:tc>
          <w:tcPr>
            <w:tcW w:w="5194" w:type="dxa"/>
          </w:tcPr>
          <w:p>
            <w:pPr>
              <w:pStyle w:val="yTable"/>
            </w:pPr>
            <w:r>
              <w:t>61303</w:t>
            </w:r>
          </w:p>
        </w:tc>
        <w:tc>
          <w:tcPr>
            <w:tcW w:w="1469" w:type="dxa"/>
            <w:vAlign w:val="center"/>
          </w:tcPr>
          <w:p>
            <w:pPr>
              <w:pStyle w:val="yTable"/>
              <w:ind w:right="315"/>
              <w:jc w:val="right"/>
            </w:pPr>
            <w:r>
              <w:t>690.55</w:t>
            </w:r>
          </w:p>
        </w:tc>
      </w:tr>
      <w:tr>
        <w:tblPrEx>
          <w:tblCellMar>
            <w:left w:w="108" w:type="dxa"/>
            <w:right w:w="108" w:type="dxa"/>
          </w:tblCellMar>
        </w:tblPrEx>
        <w:tc>
          <w:tcPr>
            <w:tcW w:w="5194" w:type="dxa"/>
          </w:tcPr>
          <w:p>
            <w:pPr>
              <w:pStyle w:val="yTable"/>
            </w:pPr>
            <w:r>
              <w:t>61306</w:t>
            </w:r>
          </w:p>
        </w:tc>
        <w:tc>
          <w:tcPr>
            <w:tcW w:w="1469" w:type="dxa"/>
            <w:vAlign w:val="center"/>
          </w:tcPr>
          <w:p>
            <w:pPr>
              <w:pStyle w:val="yTable"/>
              <w:ind w:right="315"/>
              <w:jc w:val="right"/>
            </w:pPr>
            <w:r>
              <w:t>866.90</w:t>
            </w:r>
          </w:p>
        </w:tc>
      </w:tr>
      <w:tr>
        <w:tblPrEx>
          <w:tblCellMar>
            <w:left w:w="108" w:type="dxa"/>
            <w:right w:w="108" w:type="dxa"/>
          </w:tblCellMar>
        </w:tblPrEx>
        <w:tc>
          <w:tcPr>
            <w:tcW w:w="5194" w:type="dxa"/>
          </w:tcPr>
          <w:p>
            <w:pPr>
              <w:pStyle w:val="yTable"/>
            </w:pPr>
            <w:r>
              <w:t>61307</w:t>
            </w:r>
          </w:p>
        </w:tc>
        <w:tc>
          <w:tcPr>
            <w:tcW w:w="1469" w:type="dxa"/>
            <w:vAlign w:val="center"/>
          </w:tcPr>
          <w:p>
            <w:pPr>
              <w:pStyle w:val="yTable"/>
              <w:ind w:right="315"/>
              <w:jc w:val="right"/>
            </w:pPr>
            <w:r>
              <w:t>1 019.95</w:t>
            </w:r>
          </w:p>
        </w:tc>
      </w:tr>
      <w:tr>
        <w:tblPrEx>
          <w:tblCellMar>
            <w:left w:w="108" w:type="dxa"/>
            <w:right w:w="108" w:type="dxa"/>
          </w:tblCellMar>
        </w:tblPrEx>
        <w:tc>
          <w:tcPr>
            <w:tcW w:w="5194" w:type="dxa"/>
          </w:tcPr>
          <w:p>
            <w:pPr>
              <w:pStyle w:val="yTable"/>
            </w:pPr>
            <w:r>
              <w:t>61310</w:t>
            </w:r>
          </w:p>
        </w:tc>
        <w:tc>
          <w:tcPr>
            <w:tcW w:w="1469" w:type="dxa"/>
            <w:vAlign w:val="center"/>
          </w:tcPr>
          <w:p>
            <w:pPr>
              <w:pStyle w:val="yTable"/>
              <w:ind w:right="315"/>
              <w:jc w:val="right"/>
            </w:pPr>
            <w:r>
              <w:t>448.70</w:t>
            </w:r>
          </w:p>
        </w:tc>
      </w:tr>
      <w:tr>
        <w:tblPrEx>
          <w:tblCellMar>
            <w:left w:w="108" w:type="dxa"/>
            <w:right w:w="108" w:type="dxa"/>
          </w:tblCellMar>
        </w:tblPrEx>
        <w:tc>
          <w:tcPr>
            <w:tcW w:w="5194" w:type="dxa"/>
          </w:tcPr>
          <w:p>
            <w:pPr>
              <w:pStyle w:val="yTable"/>
            </w:pPr>
            <w:r>
              <w:t>61313</w:t>
            </w:r>
          </w:p>
        </w:tc>
        <w:tc>
          <w:tcPr>
            <w:tcW w:w="1469" w:type="dxa"/>
            <w:vAlign w:val="center"/>
          </w:tcPr>
          <w:p>
            <w:pPr>
              <w:pStyle w:val="yTable"/>
              <w:ind w:right="315"/>
              <w:jc w:val="right"/>
            </w:pPr>
            <w:r>
              <w:t>370.60</w:t>
            </w:r>
          </w:p>
        </w:tc>
      </w:tr>
      <w:tr>
        <w:tblPrEx>
          <w:tblCellMar>
            <w:left w:w="108" w:type="dxa"/>
            <w:right w:w="108" w:type="dxa"/>
          </w:tblCellMar>
        </w:tblPrEx>
        <w:tc>
          <w:tcPr>
            <w:tcW w:w="5194" w:type="dxa"/>
          </w:tcPr>
          <w:p>
            <w:pPr>
              <w:pStyle w:val="yTable"/>
            </w:pPr>
            <w:r>
              <w:t>61314</w:t>
            </w:r>
          </w:p>
        </w:tc>
        <w:tc>
          <w:tcPr>
            <w:tcW w:w="1469" w:type="dxa"/>
            <w:vAlign w:val="center"/>
          </w:tcPr>
          <w:p>
            <w:pPr>
              <w:pStyle w:val="yTable"/>
              <w:ind w:right="315"/>
              <w:jc w:val="right"/>
            </w:pPr>
            <w:r>
              <w:t>513.05</w:t>
            </w:r>
          </w:p>
        </w:tc>
      </w:tr>
      <w:tr>
        <w:tblPrEx>
          <w:tblCellMar>
            <w:left w:w="108" w:type="dxa"/>
            <w:right w:w="108" w:type="dxa"/>
          </w:tblCellMar>
        </w:tblPrEx>
        <w:tc>
          <w:tcPr>
            <w:tcW w:w="5194" w:type="dxa"/>
          </w:tcPr>
          <w:p>
            <w:pPr>
              <w:pStyle w:val="yTable"/>
            </w:pPr>
            <w:r>
              <w:t>61316</w:t>
            </w:r>
          </w:p>
        </w:tc>
        <w:tc>
          <w:tcPr>
            <w:tcW w:w="1469" w:type="dxa"/>
            <w:vAlign w:val="center"/>
          </w:tcPr>
          <w:p>
            <w:pPr>
              <w:pStyle w:val="yTable"/>
              <w:ind w:right="315"/>
              <w:jc w:val="right"/>
            </w:pPr>
            <w:r>
              <w:t>465.70</w:t>
            </w:r>
          </w:p>
        </w:tc>
      </w:tr>
      <w:tr>
        <w:tblPrEx>
          <w:tblCellMar>
            <w:left w:w="108" w:type="dxa"/>
            <w:right w:w="108" w:type="dxa"/>
          </w:tblCellMar>
        </w:tblPrEx>
        <w:tc>
          <w:tcPr>
            <w:tcW w:w="5194" w:type="dxa"/>
          </w:tcPr>
          <w:p>
            <w:pPr>
              <w:pStyle w:val="yTable"/>
            </w:pPr>
            <w:r>
              <w:t>61317</w:t>
            </w:r>
          </w:p>
        </w:tc>
        <w:tc>
          <w:tcPr>
            <w:tcW w:w="1469" w:type="dxa"/>
            <w:vAlign w:val="center"/>
          </w:tcPr>
          <w:p>
            <w:pPr>
              <w:pStyle w:val="yTable"/>
              <w:ind w:right="315"/>
              <w:jc w:val="right"/>
            </w:pPr>
            <w:r>
              <w:t>601.50</w:t>
            </w:r>
          </w:p>
        </w:tc>
      </w:tr>
      <w:tr>
        <w:tblPrEx>
          <w:tblCellMar>
            <w:left w:w="108" w:type="dxa"/>
            <w:right w:w="108" w:type="dxa"/>
          </w:tblCellMar>
        </w:tblPrEx>
        <w:tc>
          <w:tcPr>
            <w:tcW w:w="5194" w:type="dxa"/>
          </w:tcPr>
          <w:p>
            <w:pPr>
              <w:pStyle w:val="yTable"/>
            </w:pPr>
            <w:r>
              <w:t>61320</w:t>
            </w:r>
          </w:p>
        </w:tc>
        <w:tc>
          <w:tcPr>
            <w:tcW w:w="1469" w:type="dxa"/>
            <w:vAlign w:val="center"/>
          </w:tcPr>
          <w:p>
            <w:pPr>
              <w:pStyle w:val="yTable"/>
              <w:ind w:right="315"/>
              <w:jc w:val="right"/>
            </w:pPr>
            <w:r>
              <w:t>279.65</w:t>
            </w:r>
          </w:p>
        </w:tc>
      </w:tr>
      <w:tr>
        <w:tblPrEx>
          <w:tblCellMar>
            <w:left w:w="108" w:type="dxa"/>
            <w:right w:w="108" w:type="dxa"/>
          </w:tblCellMar>
        </w:tblPrEx>
        <w:tc>
          <w:tcPr>
            <w:tcW w:w="5194" w:type="dxa"/>
          </w:tcPr>
          <w:p>
            <w:pPr>
              <w:pStyle w:val="yTable"/>
            </w:pPr>
            <w:r>
              <w:t>61328</w:t>
            </w:r>
          </w:p>
        </w:tc>
        <w:tc>
          <w:tcPr>
            <w:tcW w:w="1469" w:type="dxa"/>
            <w:vAlign w:val="center"/>
          </w:tcPr>
          <w:p>
            <w:pPr>
              <w:pStyle w:val="yTable"/>
              <w:ind w:right="315"/>
              <w:jc w:val="right"/>
            </w:pPr>
            <w:r>
              <w:t>278.10</w:t>
            </w:r>
          </w:p>
        </w:tc>
      </w:tr>
      <w:tr>
        <w:tblPrEx>
          <w:tblCellMar>
            <w:left w:w="108" w:type="dxa"/>
            <w:right w:w="108" w:type="dxa"/>
          </w:tblCellMar>
        </w:tblPrEx>
        <w:tc>
          <w:tcPr>
            <w:tcW w:w="5194" w:type="dxa"/>
          </w:tcPr>
          <w:p>
            <w:pPr>
              <w:pStyle w:val="yTable"/>
            </w:pPr>
            <w:r>
              <w:t>61340</w:t>
            </w:r>
          </w:p>
        </w:tc>
        <w:tc>
          <w:tcPr>
            <w:tcW w:w="1469" w:type="dxa"/>
            <w:vAlign w:val="center"/>
          </w:tcPr>
          <w:p>
            <w:pPr>
              <w:pStyle w:val="yTable"/>
              <w:ind w:right="315"/>
              <w:jc w:val="right"/>
            </w:pPr>
            <w:r>
              <w:t>309.05</w:t>
            </w:r>
          </w:p>
        </w:tc>
      </w:tr>
      <w:tr>
        <w:tblPrEx>
          <w:tblCellMar>
            <w:left w:w="108" w:type="dxa"/>
            <w:right w:w="108" w:type="dxa"/>
          </w:tblCellMar>
        </w:tblPrEx>
        <w:tc>
          <w:tcPr>
            <w:tcW w:w="5194" w:type="dxa"/>
          </w:tcPr>
          <w:p>
            <w:pPr>
              <w:pStyle w:val="yTable"/>
            </w:pPr>
            <w:r>
              <w:t>61348</w:t>
            </w:r>
          </w:p>
        </w:tc>
        <w:tc>
          <w:tcPr>
            <w:tcW w:w="1469" w:type="dxa"/>
            <w:vAlign w:val="center"/>
          </w:tcPr>
          <w:p>
            <w:pPr>
              <w:pStyle w:val="yTable"/>
              <w:ind w:right="315"/>
              <w:jc w:val="right"/>
            </w:pPr>
            <w:r>
              <w:t>541.60</w:t>
            </w:r>
          </w:p>
        </w:tc>
      </w:tr>
      <w:tr>
        <w:tblPrEx>
          <w:tblCellMar>
            <w:left w:w="108" w:type="dxa"/>
            <w:right w:w="108" w:type="dxa"/>
          </w:tblCellMar>
        </w:tblPrEx>
        <w:tc>
          <w:tcPr>
            <w:tcW w:w="5194" w:type="dxa"/>
          </w:tcPr>
          <w:p>
            <w:pPr>
              <w:pStyle w:val="yTable"/>
            </w:pPr>
            <w:r>
              <w:t>61352</w:t>
            </w:r>
          </w:p>
        </w:tc>
        <w:tc>
          <w:tcPr>
            <w:tcW w:w="1469" w:type="dxa"/>
            <w:vAlign w:val="center"/>
          </w:tcPr>
          <w:p>
            <w:pPr>
              <w:pStyle w:val="yTable"/>
              <w:ind w:right="315"/>
              <w:jc w:val="right"/>
            </w:pPr>
            <w:r>
              <w:t>316.80</w:t>
            </w:r>
          </w:p>
        </w:tc>
      </w:tr>
      <w:tr>
        <w:tblPrEx>
          <w:tblCellMar>
            <w:left w:w="108" w:type="dxa"/>
            <w:right w:w="108" w:type="dxa"/>
          </w:tblCellMar>
        </w:tblPrEx>
        <w:tc>
          <w:tcPr>
            <w:tcW w:w="5194" w:type="dxa"/>
          </w:tcPr>
          <w:p>
            <w:pPr>
              <w:pStyle w:val="yTable"/>
            </w:pPr>
            <w:r>
              <w:t>61353</w:t>
            </w:r>
          </w:p>
        </w:tc>
        <w:tc>
          <w:tcPr>
            <w:tcW w:w="1469" w:type="dxa"/>
            <w:vAlign w:val="center"/>
          </w:tcPr>
          <w:p>
            <w:pPr>
              <w:pStyle w:val="yTable"/>
              <w:ind w:right="315"/>
              <w:jc w:val="right"/>
            </w:pPr>
            <w:r>
              <w:t>472.25</w:t>
            </w:r>
          </w:p>
        </w:tc>
      </w:tr>
      <w:tr>
        <w:tblPrEx>
          <w:tblCellMar>
            <w:left w:w="108" w:type="dxa"/>
            <w:right w:w="108" w:type="dxa"/>
          </w:tblCellMar>
        </w:tblPrEx>
        <w:tc>
          <w:tcPr>
            <w:tcW w:w="5194" w:type="dxa"/>
          </w:tcPr>
          <w:p>
            <w:pPr>
              <w:pStyle w:val="yTable"/>
            </w:pPr>
            <w:r>
              <w:t>61356</w:t>
            </w:r>
          </w:p>
        </w:tc>
        <w:tc>
          <w:tcPr>
            <w:tcW w:w="1469" w:type="dxa"/>
            <w:vAlign w:val="center"/>
          </w:tcPr>
          <w:p>
            <w:pPr>
              <w:pStyle w:val="yTable"/>
              <w:ind w:right="315"/>
              <w:jc w:val="right"/>
            </w:pPr>
            <w:r>
              <w:t>479.85</w:t>
            </w:r>
          </w:p>
        </w:tc>
      </w:tr>
      <w:tr>
        <w:tblPrEx>
          <w:tblCellMar>
            <w:left w:w="108" w:type="dxa"/>
            <w:right w:w="108" w:type="dxa"/>
          </w:tblCellMar>
        </w:tblPrEx>
        <w:tc>
          <w:tcPr>
            <w:tcW w:w="5194" w:type="dxa"/>
          </w:tcPr>
          <w:p>
            <w:pPr>
              <w:pStyle w:val="yTable"/>
            </w:pPr>
            <w:r>
              <w:t>61360</w:t>
            </w:r>
          </w:p>
        </w:tc>
        <w:tc>
          <w:tcPr>
            <w:tcW w:w="1469" w:type="dxa"/>
            <w:vAlign w:val="center"/>
          </w:tcPr>
          <w:p>
            <w:pPr>
              <w:pStyle w:val="yTable"/>
              <w:ind w:right="315"/>
              <w:jc w:val="right"/>
            </w:pPr>
            <w:r>
              <w:t>492.75</w:t>
            </w:r>
          </w:p>
        </w:tc>
      </w:tr>
      <w:tr>
        <w:tblPrEx>
          <w:tblCellMar>
            <w:left w:w="108" w:type="dxa"/>
            <w:right w:w="108" w:type="dxa"/>
          </w:tblCellMar>
        </w:tblPrEx>
        <w:tc>
          <w:tcPr>
            <w:tcW w:w="5194" w:type="dxa"/>
          </w:tcPr>
          <w:p>
            <w:pPr>
              <w:pStyle w:val="yTable"/>
            </w:pPr>
            <w:r>
              <w:t>61361</w:t>
            </w:r>
          </w:p>
        </w:tc>
        <w:tc>
          <w:tcPr>
            <w:tcW w:w="1469" w:type="dxa"/>
            <w:vAlign w:val="center"/>
          </w:tcPr>
          <w:p>
            <w:pPr>
              <w:pStyle w:val="yTable"/>
              <w:ind w:right="315"/>
              <w:jc w:val="right"/>
            </w:pPr>
            <w:r>
              <w:t>563.65</w:t>
            </w:r>
          </w:p>
        </w:tc>
      </w:tr>
      <w:tr>
        <w:tblPrEx>
          <w:tblCellMar>
            <w:left w:w="108" w:type="dxa"/>
            <w:right w:w="108" w:type="dxa"/>
          </w:tblCellMar>
        </w:tblPrEx>
        <w:tc>
          <w:tcPr>
            <w:tcW w:w="5194" w:type="dxa"/>
          </w:tcPr>
          <w:p>
            <w:pPr>
              <w:pStyle w:val="yTable"/>
            </w:pPr>
            <w:r>
              <w:t>61364</w:t>
            </w:r>
          </w:p>
        </w:tc>
        <w:tc>
          <w:tcPr>
            <w:tcW w:w="1469" w:type="dxa"/>
            <w:vAlign w:val="center"/>
          </w:tcPr>
          <w:p>
            <w:pPr>
              <w:pStyle w:val="yTable"/>
              <w:ind w:right="315"/>
              <w:jc w:val="right"/>
            </w:pPr>
            <w:r>
              <w:t>607.10</w:t>
            </w:r>
          </w:p>
        </w:tc>
      </w:tr>
      <w:tr>
        <w:tblPrEx>
          <w:tblCellMar>
            <w:left w:w="108" w:type="dxa"/>
            <w:right w:w="108" w:type="dxa"/>
          </w:tblCellMar>
        </w:tblPrEx>
        <w:tc>
          <w:tcPr>
            <w:tcW w:w="5194" w:type="dxa"/>
          </w:tcPr>
          <w:p>
            <w:pPr>
              <w:pStyle w:val="yTable"/>
            </w:pPr>
            <w:r>
              <w:t>61368</w:t>
            </w:r>
          </w:p>
        </w:tc>
        <w:tc>
          <w:tcPr>
            <w:tcW w:w="1469" w:type="dxa"/>
            <w:vAlign w:val="center"/>
          </w:tcPr>
          <w:p>
            <w:pPr>
              <w:pStyle w:val="yTable"/>
              <w:ind w:right="315"/>
              <w:jc w:val="right"/>
            </w:pPr>
            <w:r>
              <w:t>272.55</w:t>
            </w:r>
          </w:p>
        </w:tc>
      </w:tr>
      <w:tr>
        <w:tblPrEx>
          <w:tblCellMar>
            <w:left w:w="108" w:type="dxa"/>
            <w:right w:w="108" w:type="dxa"/>
          </w:tblCellMar>
        </w:tblPrEx>
        <w:tc>
          <w:tcPr>
            <w:tcW w:w="5194" w:type="dxa"/>
          </w:tcPr>
          <w:p>
            <w:pPr>
              <w:pStyle w:val="yTable"/>
            </w:pPr>
            <w:r>
              <w:t>61369</w:t>
            </w:r>
          </w:p>
        </w:tc>
        <w:tc>
          <w:tcPr>
            <w:tcW w:w="1469" w:type="dxa"/>
            <w:vAlign w:val="center"/>
          </w:tcPr>
          <w:p>
            <w:pPr>
              <w:pStyle w:val="yTable"/>
              <w:ind w:right="315"/>
              <w:jc w:val="right"/>
            </w:pPr>
            <w:r>
              <w:t>2 462.35</w:t>
            </w:r>
          </w:p>
        </w:tc>
      </w:tr>
      <w:tr>
        <w:tblPrEx>
          <w:tblCellMar>
            <w:left w:w="108" w:type="dxa"/>
            <w:right w:w="108" w:type="dxa"/>
          </w:tblCellMar>
        </w:tblPrEx>
        <w:tc>
          <w:tcPr>
            <w:tcW w:w="5194" w:type="dxa"/>
          </w:tcPr>
          <w:p>
            <w:pPr>
              <w:pStyle w:val="yTable"/>
            </w:pPr>
            <w:r>
              <w:t>61372</w:t>
            </w:r>
          </w:p>
        </w:tc>
        <w:tc>
          <w:tcPr>
            <w:tcW w:w="1469" w:type="dxa"/>
            <w:vAlign w:val="center"/>
          </w:tcPr>
          <w:p>
            <w:pPr>
              <w:pStyle w:val="yTable"/>
              <w:ind w:right="315"/>
              <w:jc w:val="right"/>
            </w:pPr>
            <w:r>
              <w:t>272.55</w:t>
            </w:r>
          </w:p>
        </w:tc>
      </w:tr>
      <w:tr>
        <w:tblPrEx>
          <w:tblCellMar>
            <w:left w:w="108" w:type="dxa"/>
            <w:right w:w="108" w:type="dxa"/>
          </w:tblCellMar>
        </w:tblPrEx>
        <w:tc>
          <w:tcPr>
            <w:tcW w:w="5194" w:type="dxa"/>
          </w:tcPr>
          <w:p>
            <w:pPr>
              <w:pStyle w:val="yTable"/>
            </w:pPr>
            <w:r>
              <w:t>61373</w:t>
            </w:r>
          </w:p>
        </w:tc>
        <w:tc>
          <w:tcPr>
            <w:tcW w:w="1469" w:type="dxa"/>
            <w:vAlign w:val="center"/>
          </w:tcPr>
          <w:p>
            <w:pPr>
              <w:pStyle w:val="yTable"/>
              <w:ind w:right="315"/>
              <w:jc w:val="right"/>
            </w:pPr>
            <w:r>
              <w:t>598.15</w:t>
            </w:r>
          </w:p>
        </w:tc>
      </w:tr>
      <w:tr>
        <w:tblPrEx>
          <w:tblCellMar>
            <w:left w:w="108" w:type="dxa"/>
            <w:right w:w="108" w:type="dxa"/>
          </w:tblCellMar>
        </w:tblPrEx>
        <w:tc>
          <w:tcPr>
            <w:tcW w:w="5194" w:type="dxa"/>
          </w:tcPr>
          <w:p>
            <w:pPr>
              <w:pStyle w:val="yTable"/>
            </w:pPr>
            <w:r>
              <w:t>61376</w:t>
            </w:r>
          </w:p>
        </w:tc>
        <w:tc>
          <w:tcPr>
            <w:tcW w:w="1469" w:type="dxa"/>
            <w:vAlign w:val="center"/>
          </w:tcPr>
          <w:p>
            <w:pPr>
              <w:pStyle w:val="yTable"/>
              <w:ind w:right="315"/>
              <w:jc w:val="right"/>
            </w:pPr>
            <w:r>
              <w:t>175.15</w:t>
            </w:r>
          </w:p>
        </w:tc>
      </w:tr>
      <w:tr>
        <w:tblPrEx>
          <w:tblCellMar>
            <w:left w:w="108" w:type="dxa"/>
            <w:right w:w="108" w:type="dxa"/>
          </w:tblCellMar>
        </w:tblPrEx>
        <w:tc>
          <w:tcPr>
            <w:tcW w:w="5194" w:type="dxa"/>
          </w:tcPr>
          <w:p>
            <w:pPr>
              <w:pStyle w:val="yTable"/>
            </w:pPr>
            <w:r>
              <w:t>61381</w:t>
            </w:r>
          </w:p>
        </w:tc>
        <w:tc>
          <w:tcPr>
            <w:tcW w:w="1469" w:type="dxa"/>
            <w:vAlign w:val="center"/>
          </w:tcPr>
          <w:p>
            <w:pPr>
              <w:pStyle w:val="yTable"/>
              <w:ind w:right="315"/>
              <w:jc w:val="right"/>
            </w:pPr>
            <w:r>
              <w:t>701.55</w:t>
            </w:r>
          </w:p>
        </w:tc>
      </w:tr>
      <w:tr>
        <w:tblPrEx>
          <w:tblCellMar>
            <w:left w:w="108" w:type="dxa"/>
            <w:right w:w="108" w:type="dxa"/>
          </w:tblCellMar>
        </w:tblPrEx>
        <w:tc>
          <w:tcPr>
            <w:tcW w:w="5194" w:type="dxa"/>
          </w:tcPr>
          <w:p>
            <w:pPr>
              <w:pStyle w:val="yTable"/>
            </w:pPr>
            <w:r>
              <w:t>61383</w:t>
            </w:r>
          </w:p>
        </w:tc>
        <w:tc>
          <w:tcPr>
            <w:tcW w:w="1469" w:type="dxa"/>
            <w:vAlign w:val="center"/>
          </w:tcPr>
          <w:p>
            <w:pPr>
              <w:pStyle w:val="yTable"/>
              <w:ind w:right="315"/>
              <w:jc w:val="right"/>
            </w:pPr>
            <w:r>
              <w:t>763.35</w:t>
            </w:r>
          </w:p>
        </w:tc>
      </w:tr>
      <w:tr>
        <w:tblPrEx>
          <w:tblCellMar>
            <w:left w:w="108" w:type="dxa"/>
            <w:right w:w="108" w:type="dxa"/>
          </w:tblCellMar>
        </w:tblPrEx>
        <w:tc>
          <w:tcPr>
            <w:tcW w:w="5194" w:type="dxa"/>
          </w:tcPr>
          <w:p>
            <w:pPr>
              <w:pStyle w:val="yTable"/>
            </w:pPr>
            <w:r>
              <w:t>61384</w:t>
            </w:r>
          </w:p>
        </w:tc>
        <w:tc>
          <w:tcPr>
            <w:tcW w:w="1469" w:type="dxa"/>
            <w:vAlign w:val="center"/>
          </w:tcPr>
          <w:p>
            <w:pPr>
              <w:pStyle w:val="yTable"/>
              <w:ind w:right="315"/>
              <w:jc w:val="right"/>
            </w:pPr>
            <w:r>
              <w:t>840.05</w:t>
            </w:r>
          </w:p>
        </w:tc>
      </w:tr>
      <w:tr>
        <w:tblPrEx>
          <w:tblCellMar>
            <w:left w:w="108" w:type="dxa"/>
            <w:right w:w="108" w:type="dxa"/>
          </w:tblCellMar>
        </w:tblPrEx>
        <w:tc>
          <w:tcPr>
            <w:tcW w:w="5194" w:type="dxa"/>
          </w:tcPr>
          <w:p>
            <w:pPr>
              <w:pStyle w:val="yTable"/>
            </w:pPr>
            <w:r>
              <w:t>61386</w:t>
            </w:r>
          </w:p>
        </w:tc>
        <w:tc>
          <w:tcPr>
            <w:tcW w:w="1469" w:type="dxa"/>
            <w:vAlign w:val="center"/>
          </w:tcPr>
          <w:p>
            <w:pPr>
              <w:pStyle w:val="yTable"/>
              <w:ind w:right="315"/>
              <w:jc w:val="right"/>
            </w:pPr>
            <w:r>
              <w:t>406.20</w:t>
            </w:r>
          </w:p>
        </w:tc>
      </w:tr>
      <w:tr>
        <w:tblPrEx>
          <w:tblCellMar>
            <w:left w:w="108" w:type="dxa"/>
            <w:right w:w="108" w:type="dxa"/>
          </w:tblCellMar>
        </w:tblPrEx>
        <w:tc>
          <w:tcPr>
            <w:tcW w:w="5194" w:type="dxa"/>
          </w:tcPr>
          <w:p>
            <w:pPr>
              <w:pStyle w:val="yTable"/>
            </w:pPr>
            <w:r>
              <w:t>61387</w:t>
            </w:r>
          </w:p>
        </w:tc>
        <w:tc>
          <w:tcPr>
            <w:tcW w:w="1469" w:type="dxa"/>
            <w:vAlign w:val="center"/>
          </w:tcPr>
          <w:p>
            <w:pPr>
              <w:pStyle w:val="yTable"/>
              <w:ind w:right="315"/>
              <w:jc w:val="right"/>
            </w:pPr>
            <w:r>
              <w:t>526.20</w:t>
            </w:r>
          </w:p>
        </w:tc>
      </w:tr>
      <w:tr>
        <w:tblPrEx>
          <w:tblCellMar>
            <w:left w:w="108" w:type="dxa"/>
            <w:right w:w="108" w:type="dxa"/>
          </w:tblCellMar>
        </w:tblPrEx>
        <w:tc>
          <w:tcPr>
            <w:tcW w:w="5194" w:type="dxa"/>
          </w:tcPr>
          <w:p>
            <w:pPr>
              <w:pStyle w:val="yTable"/>
            </w:pPr>
            <w:r>
              <w:t>61389</w:t>
            </w:r>
          </w:p>
        </w:tc>
        <w:tc>
          <w:tcPr>
            <w:tcW w:w="1469" w:type="dxa"/>
            <w:vAlign w:val="center"/>
          </w:tcPr>
          <w:p>
            <w:pPr>
              <w:pStyle w:val="yTable"/>
              <w:ind w:right="315"/>
              <w:jc w:val="right"/>
            </w:pPr>
            <w:r>
              <w:t>452.65</w:t>
            </w:r>
          </w:p>
        </w:tc>
      </w:tr>
      <w:tr>
        <w:tblPrEx>
          <w:tblCellMar>
            <w:left w:w="108" w:type="dxa"/>
            <w:right w:w="108" w:type="dxa"/>
          </w:tblCellMar>
        </w:tblPrEx>
        <w:tc>
          <w:tcPr>
            <w:tcW w:w="5194" w:type="dxa"/>
          </w:tcPr>
          <w:p>
            <w:pPr>
              <w:pStyle w:val="yTable"/>
            </w:pPr>
            <w:r>
              <w:t>61390</w:t>
            </w:r>
          </w:p>
        </w:tc>
        <w:tc>
          <w:tcPr>
            <w:tcW w:w="1469" w:type="dxa"/>
            <w:vAlign w:val="center"/>
          </w:tcPr>
          <w:p>
            <w:pPr>
              <w:pStyle w:val="yTable"/>
              <w:ind w:right="315"/>
              <w:jc w:val="right"/>
            </w:pPr>
            <w:r>
              <w:t>500.80</w:t>
            </w:r>
          </w:p>
        </w:tc>
      </w:tr>
      <w:tr>
        <w:tblPrEx>
          <w:tblCellMar>
            <w:left w:w="108" w:type="dxa"/>
            <w:right w:w="108" w:type="dxa"/>
          </w:tblCellMar>
        </w:tblPrEx>
        <w:tc>
          <w:tcPr>
            <w:tcW w:w="5194" w:type="dxa"/>
          </w:tcPr>
          <w:p>
            <w:pPr>
              <w:pStyle w:val="yTable"/>
            </w:pPr>
            <w:r>
              <w:t>61393</w:t>
            </w:r>
          </w:p>
        </w:tc>
        <w:tc>
          <w:tcPr>
            <w:tcW w:w="1469" w:type="dxa"/>
            <w:vAlign w:val="center"/>
          </w:tcPr>
          <w:p>
            <w:pPr>
              <w:pStyle w:val="yTable"/>
              <w:ind w:right="315"/>
              <w:jc w:val="right"/>
            </w:pPr>
            <w:r>
              <w:t>739.65</w:t>
            </w:r>
          </w:p>
        </w:tc>
      </w:tr>
      <w:tr>
        <w:tblPrEx>
          <w:tblCellMar>
            <w:left w:w="108" w:type="dxa"/>
            <w:right w:w="108" w:type="dxa"/>
          </w:tblCellMar>
        </w:tblPrEx>
        <w:tc>
          <w:tcPr>
            <w:tcW w:w="5194" w:type="dxa"/>
          </w:tcPr>
          <w:p>
            <w:pPr>
              <w:pStyle w:val="yTable"/>
            </w:pPr>
            <w:r>
              <w:t>61397</w:t>
            </w:r>
          </w:p>
        </w:tc>
        <w:tc>
          <w:tcPr>
            <w:tcW w:w="1469" w:type="dxa"/>
            <w:vAlign w:val="center"/>
          </w:tcPr>
          <w:p>
            <w:pPr>
              <w:pStyle w:val="yTable"/>
              <w:ind w:right="315"/>
              <w:jc w:val="right"/>
            </w:pPr>
            <w:r>
              <w:t>301.55</w:t>
            </w:r>
          </w:p>
        </w:tc>
      </w:tr>
      <w:tr>
        <w:tblPrEx>
          <w:tblCellMar>
            <w:left w:w="108" w:type="dxa"/>
            <w:right w:w="108" w:type="dxa"/>
          </w:tblCellMar>
        </w:tblPrEx>
        <w:tc>
          <w:tcPr>
            <w:tcW w:w="5194" w:type="dxa"/>
          </w:tcPr>
          <w:p>
            <w:pPr>
              <w:pStyle w:val="yTable"/>
            </w:pPr>
            <w:r>
              <w:t>61401</w:t>
            </w:r>
          </w:p>
        </w:tc>
        <w:tc>
          <w:tcPr>
            <w:tcW w:w="1469" w:type="dxa"/>
            <w:vAlign w:val="center"/>
          </w:tcPr>
          <w:p>
            <w:pPr>
              <w:pStyle w:val="yTable"/>
              <w:ind w:right="315"/>
              <w:jc w:val="right"/>
            </w:pPr>
            <w:r>
              <w:t>198.30</w:t>
            </w:r>
          </w:p>
        </w:tc>
      </w:tr>
      <w:tr>
        <w:tblPrEx>
          <w:tblCellMar>
            <w:left w:w="108" w:type="dxa"/>
            <w:right w:w="108" w:type="dxa"/>
          </w:tblCellMar>
        </w:tblPrEx>
        <w:tc>
          <w:tcPr>
            <w:tcW w:w="5194" w:type="dxa"/>
          </w:tcPr>
          <w:p>
            <w:pPr>
              <w:pStyle w:val="yTable"/>
            </w:pPr>
            <w:r>
              <w:t>61402</w:t>
            </w:r>
          </w:p>
        </w:tc>
        <w:tc>
          <w:tcPr>
            <w:tcW w:w="1469" w:type="dxa"/>
            <w:vAlign w:val="center"/>
          </w:tcPr>
          <w:p>
            <w:pPr>
              <w:pStyle w:val="yTable"/>
              <w:ind w:right="315"/>
              <w:jc w:val="right"/>
            </w:pPr>
            <w:r>
              <w:t>739.15</w:t>
            </w:r>
          </w:p>
        </w:tc>
      </w:tr>
      <w:tr>
        <w:tblPrEx>
          <w:tblCellMar>
            <w:left w:w="108" w:type="dxa"/>
            <w:right w:w="108" w:type="dxa"/>
          </w:tblCellMar>
        </w:tblPrEx>
        <w:tc>
          <w:tcPr>
            <w:tcW w:w="5194" w:type="dxa"/>
          </w:tcPr>
          <w:p>
            <w:pPr>
              <w:pStyle w:val="yTable"/>
            </w:pPr>
            <w:r>
              <w:t>61405</w:t>
            </w:r>
          </w:p>
        </w:tc>
        <w:tc>
          <w:tcPr>
            <w:tcW w:w="1469" w:type="dxa"/>
            <w:vAlign w:val="center"/>
          </w:tcPr>
          <w:p>
            <w:pPr>
              <w:pStyle w:val="yTable"/>
              <w:ind w:right="315"/>
              <w:jc w:val="right"/>
            </w:pPr>
            <w:r>
              <w:t>422.65</w:t>
            </w:r>
          </w:p>
        </w:tc>
      </w:tr>
      <w:tr>
        <w:tblPrEx>
          <w:tblCellMar>
            <w:left w:w="108" w:type="dxa"/>
            <w:right w:w="108" w:type="dxa"/>
          </w:tblCellMar>
        </w:tblPrEx>
        <w:tc>
          <w:tcPr>
            <w:tcW w:w="5194" w:type="dxa"/>
          </w:tcPr>
          <w:p>
            <w:pPr>
              <w:pStyle w:val="yTable"/>
            </w:pPr>
            <w:r>
              <w:t>61409</w:t>
            </w:r>
          </w:p>
        </w:tc>
        <w:tc>
          <w:tcPr>
            <w:tcW w:w="1469" w:type="dxa"/>
            <w:vAlign w:val="center"/>
          </w:tcPr>
          <w:p>
            <w:pPr>
              <w:pStyle w:val="yTable"/>
              <w:ind w:right="315"/>
              <w:jc w:val="right"/>
            </w:pPr>
            <w:r>
              <w:t>1 067.05</w:t>
            </w:r>
          </w:p>
        </w:tc>
      </w:tr>
      <w:tr>
        <w:tblPrEx>
          <w:tblCellMar>
            <w:left w:w="108" w:type="dxa"/>
            <w:right w:w="108" w:type="dxa"/>
          </w:tblCellMar>
        </w:tblPrEx>
        <w:tc>
          <w:tcPr>
            <w:tcW w:w="5194" w:type="dxa"/>
          </w:tcPr>
          <w:p>
            <w:pPr>
              <w:pStyle w:val="yTable"/>
            </w:pPr>
            <w:r>
              <w:t>61413</w:t>
            </w:r>
          </w:p>
        </w:tc>
        <w:tc>
          <w:tcPr>
            <w:tcW w:w="1469" w:type="dxa"/>
            <w:vAlign w:val="center"/>
          </w:tcPr>
          <w:p>
            <w:pPr>
              <w:pStyle w:val="yTable"/>
              <w:ind w:right="315"/>
              <w:jc w:val="right"/>
            </w:pPr>
            <w:r>
              <w:t>276.00</w:t>
            </w:r>
          </w:p>
        </w:tc>
      </w:tr>
      <w:tr>
        <w:tblPrEx>
          <w:tblCellMar>
            <w:left w:w="108" w:type="dxa"/>
            <w:right w:w="108" w:type="dxa"/>
          </w:tblCellMar>
        </w:tblPrEx>
        <w:tc>
          <w:tcPr>
            <w:tcW w:w="5194" w:type="dxa"/>
          </w:tcPr>
          <w:p>
            <w:pPr>
              <w:pStyle w:val="yTable"/>
            </w:pPr>
            <w:r>
              <w:t>61417</w:t>
            </w:r>
          </w:p>
        </w:tc>
        <w:tc>
          <w:tcPr>
            <w:tcW w:w="1469" w:type="dxa"/>
            <w:vAlign w:val="center"/>
          </w:tcPr>
          <w:p>
            <w:pPr>
              <w:pStyle w:val="yTable"/>
              <w:ind w:right="315"/>
              <w:jc w:val="right"/>
            </w:pPr>
            <w:r>
              <w:t>145.15</w:t>
            </w:r>
          </w:p>
        </w:tc>
      </w:tr>
      <w:tr>
        <w:tblPrEx>
          <w:tblCellMar>
            <w:left w:w="108" w:type="dxa"/>
            <w:right w:w="108" w:type="dxa"/>
          </w:tblCellMar>
        </w:tblPrEx>
        <w:tc>
          <w:tcPr>
            <w:tcW w:w="5194" w:type="dxa"/>
          </w:tcPr>
          <w:p>
            <w:pPr>
              <w:pStyle w:val="yTable"/>
            </w:pPr>
            <w:r>
              <w:t>61421</w:t>
            </w:r>
          </w:p>
        </w:tc>
        <w:tc>
          <w:tcPr>
            <w:tcW w:w="1469" w:type="dxa"/>
            <w:vAlign w:val="center"/>
          </w:tcPr>
          <w:p>
            <w:pPr>
              <w:pStyle w:val="yTable"/>
              <w:ind w:right="315"/>
              <w:jc w:val="right"/>
            </w:pPr>
            <w:r>
              <w:t>586.15</w:t>
            </w:r>
          </w:p>
        </w:tc>
      </w:tr>
      <w:tr>
        <w:tblPrEx>
          <w:tblCellMar>
            <w:left w:w="108" w:type="dxa"/>
            <w:right w:w="108" w:type="dxa"/>
          </w:tblCellMar>
        </w:tblPrEx>
        <w:tc>
          <w:tcPr>
            <w:tcW w:w="5194" w:type="dxa"/>
          </w:tcPr>
          <w:p>
            <w:pPr>
              <w:pStyle w:val="yTable"/>
            </w:pPr>
            <w:r>
              <w:t>61425</w:t>
            </w:r>
          </w:p>
        </w:tc>
        <w:tc>
          <w:tcPr>
            <w:tcW w:w="1469" w:type="dxa"/>
            <w:vAlign w:val="center"/>
          </w:tcPr>
          <w:p>
            <w:pPr>
              <w:pStyle w:val="yTable"/>
              <w:ind w:right="315"/>
              <w:jc w:val="right"/>
            </w:pPr>
            <w:r>
              <w:t>733.75</w:t>
            </w:r>
          </w:p>
        </w:tc>
      </w:tr>
      <w:tr>
        <w:tblPrEx>
          <w:tblCellMar>
            <w:left w:w="108" w:type="dxa"/>
            <w:right w:w="108" w:type="dxa"/>
          </w:tblCellMar>
        </w:tblPrEx>
        <w:tc>
          <w:tcPr>
            <w:tcW w:w="5194" w:type="dxa"/>
          </w:tcPr>
          <w:p>
            <w:pPr>
              <w:pStyle w:val="yTable"/>
            </w:pPr>
            <w:r>
              <w:t>61426</w:t>
            </w:r>
          </w:p>
        </w:tc>
        <w:tc>
          <w:tcPr>
            <w:tcW w:w="1469" w:type="dxa"/>
            <w:vAlign w:val="center"/>
          </w:tcPr>
          <w:p>
            <w:pPr>
              <w:pStyle w:val="yTable"/>
              <w:ind w:right="315"/>
              <w:jc w:val="right"/>
            </w:pPr>
            <w:r>
              <w:t>677.70</w:t>
            </w:r>
          </w:p>
        </w:tc>
      </w:tr>
      <w:tr>
        <w:tblPrEx>
          <w:tblCellMar>
            <w:left w:w="108" w:type="dxa"/>
            <w:right w:w="108" w:type="dxa"/>
          </w:tblCellMar>
        </w:tblPrEx>
        <w:tc>
          <w:tcPr>
            <w:tcW w:w="5194" w:type="dxa"/>
          </w:tcPr>
          <w:p>
            <w:pPr>
              <w:pStyle w:val="yTable"/>
            </w:pPr>
            <w:r>
              <w:t>61429</w:t>
            </w:r>
          </w:p>
        </w:tc>
        <w:tc>
          <w:tcPr>
            <w:tcW w:w="1469" w:type="dxa"/>
            <w:vAlign w:val="center"/>
          </w:tcPr>
          <w:p>
            <w:pPr>
              <w:pStyle w:val="yTable"/>
              <w:ind w:right="315"/>
              <w:jc w:val="right"/>
            </w:pPr>
            <w:r>
              <w:t>663.30</w:t>
            </w:r>
          </w:p>
        </w:tc>
      </w:tr>
      <w:tr>
        <w:tblPrEx>
          <w:tblCellMar>
            <w:left w:w="108" w:type="dxa"/>
            <w:right w:w="108" w:type="dxa"/>
          </w:tblCellMar>
        </w:tblPrEx>
        <w:tc>
          <w:tcPr>
            <w:tcW w:w="5194" w:type="dxa"/>
          </w:tcPr>
          <w:p>
            <w:pPr>
              <w:pStyle w:val="yTable"/>
            </w:pPr>
            <w:r>
              <w:t>61430</w:t>
            </w:r>
          </w:p>
        </w:tc>
        <w:tc>
          <w:tcPr>
            <w:tcW w:w="1469" w:type="dxa"/>
            <w:vAlign w:val="center"/>
          </w:tcPr>
          <w:p>
            <w:pPr>
              <w:pStyle w:val="yTable"/>
              <w:ind w:right="315"/>
              <w:jc w:val="right"/>
            </w:pPr>
            <w:r>
              <w:t>805.55</w:t>
            </w:r>
          </w:p>
        </w:tc>
      </w:tr>
      <w:tr>
        <w:tblPrEx>
          <w:tblCellMar>
            <w:left w:w="108" w:type="dxa"/>
            <w:right w:w="108" w:type="dxa"/>
          </w:tblCellMar>
        </w:tblPrEx>
        <w:tc>
          <w:tcPr>
            <w:tcW w:w="5194" w:type="dxa"/>
          </w:tcPr>
          <w:p>
            <w:pPr>
              <w:pStyle w:val="yTable"/>
            </w:pPr>
            <w:r>
              <w:t>61433</w:t>
            </w:r>
          </w:p>
        </w:tc>
        <w:tc>
          <w:tcPr>
            <w:tcW w:w="1469" w:type="dxa"/>
            <w:vAlign w:val="center"/>
          </w:tcPr>
          <w:p>
            <w:pPr>
              <w:pStyle w:val="yTable"/>
              <w:ind w:right="315"/>
              <w:jc w:val="right"/>
            </w:pPr>
            <w:r>
              <w:t>607.10</w:t>
            </w:r>
          </w:p>
        </w:tc>
      </w:tr>
      <w:tr>
        <w:tblPrEx>
          <w:tblCellMar>
            <w:left w:w="108" w:type="dxa"/>
            <w:right w:w="108" w:type="dxa"/>
          </w:tblCellMar>
        </w:tblPrEx>
        <w:tc>
          <w:tcPr>
            <w:tcW w:w="5194" w:type="dxa"/>
          </w:tcPr>
          <w:p>
            <w:pPr>
              <w:pStyle w:val="yTable"/>
            </w:pPr>
            <w:r>
              <w:t>61434</w:t>
            </w:r>
          </w:p>
        </w:tc>
        <w:tc>
          <w:tcPr>
            <w:tcW w:w="1469" w:type="dxa"/>
            <w:vAlign w:val="center"/>
          </w:tcPr>
          <w:p>
            <w:pPr>
              <w:pStyle w:val="yTable"/>
              <w:ind w:right="315"/>
              <w:jc w:val="right"/>
            </w:pPr>
            <w:r>
              <w:t>751.75</w:t>
            </w:r>
          </w:p>
        </w:tc>
      </w:tr>
      <w:tr>
        <w:tblPrEx>
          <w:tblCellMar>
            <w:left w:w="108" w:type="dxa"/>
            <w:right w:w="108" w:type="dxa"/>
          </w:tblCellMar>
        </w:tblPrEx>
        <w:tc>
          <w:tcPr>
            <w:tcW w:w="5194" w:type="dxa"/>
          </w:tcPr>
          <w:p>
            <w:pPr>
              <w:pStyle w:val="yTable"/>
            </w:pPr>
            <w:r>
              <w:t>61437</w:t>
            </w:r>
          </w:p>
        </w:tc>
        <w:tc>
          <w:tcPr>
            <w:tcW w:w="1469" w:type="dxa"/>
            <w:vAlign w:val="center"/>
          </w:tcPr>
          <w:p>
            <w:pPr>
              <w:pStyle w:val="yTable"/>
              <w:ind w:right="315"/>
              <w:jc w:val="right"/>
            </w:pPr>
            <w:r>
              <w:t>663.10</w:t>
            </w:r>
          </w:p>
        </w:tc>
      </w:tr>
      <w:tr>
        <w:tblPrEx>
          <w:tblCellMar>
            <w:left w:w="108" w:type="dxa"/>
            <w:right w:w="108" w:type="dxa"/>
          </w:tblCellMar>
        </w:tblPrEx>
        <w:tc>
          <w:tcPr>
            <w:tcW w:w="5194" w:type="dxa"/>
          </w:tcPr>
          <w:p>
            <w:pPr>
              <w:pStyle w:val="yTable"/>
            </w:pPr>
            <w:r>
              <w:t>61438</w:t>
            </w:r>
          </w:p>
        </w:tc>
        <w:tc>
          <w:tcPr>
            <w:tcW w:w="1469" w:type="dxa"/>
            <w:vAlign w:val="center"/>
          </w:tcPr>
          <w:p>
            <w:pPr>
              <w:pStyle w:val="yTable"/>
              <w:ind w:right="315"/>
              <w:jc w:val="right"/>
            </w:pPr>
            <w:r>
              <w:t>822.10</w:t>
            </w:r>
          </w:p>
        </w:tc>
      </w:tr>
      <w:tr>
        <w:tblPrEx>
          <w:tblCellMar>
            <w:left w:w="108" w:type="dxa"/>
            <w:right w:w="108" w:type="dxa"/>
          </w:tblCellMar>
        </w:tblPrEx>
        <w:tc>
          <w:tcPr>
            <w:tcW w:w="5194" w:type="dxa"/>
          </w:tcPr>
          <w:p>
            <w:pPr>
              <w:pStyle w:val="yTable"/>
            </w:pPr>
            <w:r>
              <w:t>61441</w:t>
            </w:r>
          </w:p>
        </w:tc>
        <w:tc>
          <w:tcPr>
            <w:tcW w:w="1469" w:type="dxa"/>
            <w:vAlign w:val="center"/>
          </w:tcPr>
          <w:p>
            <w:pPr>
              <w:pStyle w:val="yTable"/>
              <w:ind w:right="315"/>
              <w:jc w:val="right"/>
            </w:pPr>
            <w:r>
              <w:t>598.15</w:t>
            </w:r>
          </w:p>
        </w:tc>
      </w:tr>
      <w:tr>
        <w:tblPrEx>
          <w:tblCellMar>
            <w:left w:w="108" w:type="dxa"/>
            <w:right w:w="108" w:type="dxa"/>
          </w:tblCellMar>
        </w:tblPrEx>
        <w:tc>
          <w:tcPr>
            <w:tcW w:w="5194" w:type="dxa"/>
          </w:tcPr>
          <w:p>
            <w:pPr>
              <w:pStyle w:val="yTable"/>
            </w:pPr>
            <w:r>
              <w:t>61442</w:t>
            </w:r>
          </w:p>
        </w:tc>
        <w:tc>
          <w:tcPr>
            <w:tcW w:w="1469" w:type="dxa"/>
            <w:vAlign w:val="center"/>
          </w:tcPr>
          <w:p>
            <w:pPr>
              <w:pStyle w:val="yTable"/>
              <w:ind w:right="315"/>
              <w:jc w:val="right"/>
            </w:pPr>
            <w:r>
              <w:t>919.10</w:t>
            </w:r>
          </w:p>
        </w:tc>
      </w:tr>
      <w:tr>
        <w:tblPrEx>
          <w:tblCellMar>
            <w:left w:w="108" w:type="dxa"/>
            <w:right w:w="108" w:type="dxa"/>
          </w:tblCellMar>
        </w:tblPrEx>
        <w:tc>
          <w:tcPr>
            <w:tcW w:w="5194" w:type="dxa"/>
          </w:tcPr>
          <w:p>
            <w:pPr>
              <w:pStyle w:val="yTable"/>
            </w:pPr>
            <w:r>
              <w:t>61445</w:t>
            </w:r>
          </w:p>
        </w:tc>
        <w:tc>
          <w:tcPr>
            <w:tcW w:w="1469" w:type="dxa"/>
            <w:vAlign w:val="center"/>
          </w:tcPr>
          <w:p>
            <w:pPr>
              <w:pStyle w:val="yTable"/>
              <w:ind w:right="315"/>
              <w:jc w:val="right"/>
            </w:pPr>
            <w:r>
              <w:t>350.30</w:t>
            </w:r>
          </w:p>
        </w:tc>
      </w:tr>
      <w:tr>
        <w:tblPrEx>
          <w:tblCellMar>
            <w:left w:w="108" w:type="dxa"/>
            <w:right w:w="108" w:type="dxa"/>
          </w:tblCellMar>
        </w:tblPrEx>
        <w:tc>
          <w:tcPr>
            <w:tcW w:w="5194" w:type="dxa"/>
          </w:tcPr>
          <w:p>
            <w:pPr>
              <w:pStyle w:val="yTable"/>
            </w:pPr>
            <w:r>
              <w:t>61446</w:t>
            </w:r>
          </w:p>
        </w:tc>
        <w:tc>
          <w:tcPr>
            <w:tcW w:w="1469" w:type="dxa"/>
            <w:vAlign w:val="center"/>
          </w:tcPr>
          <w:p>
            <w:pPr>
              <w:pStyle w:val="yTable"/>
              <w:ind w:right="315"/>
              <w:jc w:val="right"/>
            </w:pPr>
            <w:r>
              <w:t>407.50</w:t>
            </w:r>
          </w:p>
        </w:tc>
      </w:tr>
      <w:tr>
        <w:tblPrEx>
          <w:tblCellMar>
            <w:left w:w="108" w:type="dxa"/>
            <w:right w:w="108" w:type="dxa"/>
          </w:tblCellMar>
        </w:tblPrEx>
        <w:tc>
          <w:tcPr>
            <w:tcW w:w="5194" w:type="dxa"/>
          </w:tcPr>
          <w:p>
            <w:pPr>
              <w:pStyle w:val="yTable"/>
            </w:pPr>
            <w:r>
              <w:t>61449</w:t>
            </w:r>
          </w:p>
        </w:tc>
        <w:tc>
          <w:tcPr>
            <w:tcW w:w="1469" w:type="dxa"/>
            <w:vAlign w:val="center"/>
          </w:tcPr>
          <w:p>
            <w:pPr>
              <w:pStyle w:val="yTable"/>
              <w:ind w:right="315"/>
              <w:jc w:val="right"/>
            </w:pPr>
            <w:r>
              <w:t>557.25</w:t>
            </w:r>
          </w:p>
        </w:tc>
      </w:tr>
      <w:tr>
        <w:tblPrEx>
          <w:tblCellMar>
            <w:left w:w="108" w:type="dxa"/>
            <w:right w:w="108" w:type="dxa"/>
          </w:tblCellMar>
        </w:tblPrEx>
        <w:tc>
          <w:tcPr>
            <w:tcW w:w="5194" w:type="dxa"/>
          </w:tcPr>
          <w:p>
            <w:pPr>
              <w:pStyle w:val="yTable"/>
            </w:pPr>
            <w:r>
              <w:t>61450</w:t>
            </w:r>
          </w:p>
        </w:tc>
        <w:tc>
          <w:tcPr>
            <w:tcW w:w="1469" w:type="dxa"/>
            <w:vAlign w:val="center"/>
          </w:tcPr>
          <w:p>
            <w:pPr>
              <w:pStyle w:val="yTable"/>
              <w:ind w:right="315"/>
              <w:jc w:val="right"/>
            </w:pPr>
            <w:r>
              <w:t>485.60</w:t>
            </w:r>
          </w:p>
        </w:tc>
      </w:tr>
      <w:tr>
        <w:tblPrEx>
          <w:tblCellMar>
            <w:left w:w="108" w:type="dxa"/>
            <w:right w:w="108" w:type="dxa"/>
          </w:tblCellMar>
        </w:tblPrEx>
        <w:tc>
          <w:tcPr>
            <w:tcW w:w="5194" w:type="dxa"/>
          </w:tcPr>
          <w:p>
            <w:pPr>
              <w:pStyle w:val="yTable"/>
            </w:pPr>
            <w:r>
              <w:t>61453</w:t>
            </w:r>
          </w:p>
        </w:tc>
        <w:tc>
          <w:tcPr>
            <w:tcW w:w="1469" w:type="dxa"/>
            <w:vAlign w:val="center"/>
          </w:tcPr>
          <w:p>
            <w:pPr>
              <w:pStyle w:val="yTable"/>
              <w:ind w:right="315"/>
              <w:jc w:val="right"/>
            </w:pPr>
            <w:r>
              <w:t>628.75</w:t>
            </w:r>
          </w:p>
        </w:tc>
      </w:tr>
      <w:tr>
        <w:tblPrEx>
          <w:tblCellMar>
            <w:left w:w="108" w:type="dxa"/>
            <w:right w:w="108" w:type="dxa"/>
          </w:tblCellMar>
        </w:tblPrEx>
        <w:tc>
          <w:tcPr>
            <w:tcW w:w="5194" w:type="dxa"/>
          </w:tcPr>
          <w:p>
            <w:pPr>
              <w:pStyle w:val="yTable"/>
            </w:pPr>
            <w:r>
              <w:t>61454</w:t>
            </w:r>
          </w:p>
        </w:tc>
        <w:tc>
          <w:tcPr>
            <w:tcW w:w="1469" w:type="dxa"/>
            <w:vAlign w:val="center"/>
          </w:tcPr>
          <w:p>
            <w:pPr>
              <w:pStyle w:val="yTable"/>
              <w:ind w:right="315"/>
              <w:jc w:val="right"/>
            </w:pPr>
            <w:r>
              <w:t>425.20</w:t>
            </w:r>
          </w:p>
        </w:tc>
      </w:tr>
      <w:tr>
        <w:tblPrEx>
          <w:tblCellMar>
            <w:left w:w="108" w:type="dxa"/>
            <w:right w:w="108" w:type="dxa"/>
          </w:tblCellMar>
        </w:tblPrEx>
        <w:tc>
          <w:tcPr>
            <w:tcW w:w="5194" w:type="dxa"/>
          </w:tcPr>
          <w:p>
            <w:pPr>
              <w:pStyle w:val="yTable"/>
            </w:pPr>
            <w:r>
              <w:t>61457</w:t>
            </w:r>
          </w:p>
        </w:tc>
        <w:tc>
          <w:tcPr>
            <w:tcW w:w="1469" w:type="dxa"/>
            <w:vAlign w:val="center"/>
          </w:tcPr>
          <w:p>
            <w:pPr>
              <w:pStyle w:val="yTable"/>
              <w:ind w:right="315"/>
              <w:jc w:val="right"/>
            </w:pPr>
            <w:r>
              <w:t>574.65</w:t>
            </w:r>
          </w:p>
        </w:tc>
      </w:tr>
      <w:tr>
        <w:tblPrEx>
          <w:tblCellMar>
            <w:left w:w="108" w:type="dxa"/>
            <w:right w:w="108" w:type="dxa"/>
          </w:tblCellMar>
        </w:tblPrEx>
        <w:tc>
          <w:tcPr>
            <w:tcW w:w="5194" w:type="dxa"/>
          </w:tcPr>
          <w:p>
            <w:pPr>
              <w:pStyle w:val="yTable"/>
            </w:pPr>
            <w:r>
              <w:t>61458</w:t>
            </w:r>
          </w:p>
        </w:tc>
        <w:tc>
          <w:tcPr>
            <w:tcW w:w="1469" w:type="dxa"/>
            <w:vAlign w:val="center"/>
          </w:tcPr>
          <w:p>
            <w:pPr>
              <w:pStyle w:val="yTable"/>
              <w:ind w:right="315"/>
              <w:jc w:val="right"/>
            </w:pPr>
            <w:r>
              <w:t>484.85</w:t>
            </w:r>
          </w:p>
        </w:tc>
      </w:tr>
      <w:tr>
        <w:tblPrEx>
          <w:tblCellMar>
            <w:left w:w="108" w:type="dxa"/>
            <w:right w:w="108" w:type="dxa"/>
          </w:tblCellMar>
        </w:tblPrEx>
        <w:tc>
          <w:tcPr>
            <w:tcW w:w="5194" w:type="dxa"/>
          </w:tcPr>
          <w:p>
            <w:pPr>
              <w:pStyle w:val="yTable"/>
            </w:pPr>
            <w:r>
              <w:t>61461</w:t>
            </w:r>
          </w:p>
        </w:tc>
        <w:tc>
          <w:tcPr>
            <w:tcW w:w="1469" w:type="dxa"/>
            <w:vAlign w:val="center"/>
          </w:tcPr>
          <w:p>
            <w:pPr>
              <w:pStyle w:val="yTable"/>
              <w:ind w:right="315"/>
              <w:jc w:val="right"/>
            </w:pPr>
            <w:r>
              <w:t>644.75</w:t>
            </w:r>
          </w:p>
        </w:tc>
      </w:tr>
      <w:tr>
        <w:tblPrEx>
          <w:tblCellMar>
            <w:left w:w="108" w:type="dxa"/>
            <w:right w:w="108" w:type="dxa"/>
          </w:tblCellMar>
        </w:tblPrEx>
        <w:tc>
          <w:tcPr>
            <w:tcW w:w="5194" w:type="dxa"/>
          </w:tcPr>
          <w:p>
            <w:pPr>
              <w:pStyle w:val="yTable"/>
            </w:pPr>
            <w:r>
              <w:t>61462</w:t>
            </w:r>
          </w:p>
        </w:tc>
        <w:tc>
          <w:tcPr>
            <w:tcW w:w="1469" w:type="dxa"/>
            <w:vAlign w:val="center"/>
          </w:tcPr>
          <w:p>
            <w:pPr>
              <w:pStyle w:val="yTable"/>
              <w:ind w:right="315"/>
              <w:jc w:val="right"/>
            </w:pPr>
            <w:r>
              <w:t>159.15</w:t>
            </w:r>
          </w:p>
        </w:tc>
      </w:tr>
      <w:tr>
        <w:tblPrEx>
          <w:tblCellMar>
            <w:left w:w="108" w:type="dxa"/>
            <w:right w:w="108" w:type="dxa"/>
          </w:tblCellMar>
        </w:tblPrEx>
        <w:tc>
          <w:tcPr>
            <w:tcW w:w="5194" w:type="dxa"/>
          </w:tcPr>
          <w:p>
            <w:pPr>
              <w:pStyle w:val="yTable"/>
            </w:pPr>
            <w:r>
              <w:t>61465</w:t>
            </w:r>
          </w:p>
        </w:tc>
        <w:tc>
          <w:tcPr>
            <w:tcW w:w="1469" w:type="dxa"/>
            <w:vAlign w:val="center"/>
          </w:tcPr>
          <w:p>
            <w:pPr>
              <w:pStyle w:val="yTable"/>
              <w:ind w:right="315"/>
              <w:jc w:val="right"/>
            </w:pPr>
            <w:r>
              <w:t>324.30</w:t>
            </w:r>
          </w:p>
        </w:tc>
      </w:tr>
      <w:tr>
        <w:tblPrEx>
          <w:tblCellMar>
            <w:left w:w="108" w:type="dxa"/>
            <w:right w:w="108" w:type="dxa"/>
          </w:tblCellMar>
        </w:tblPrEx>
        <w:tc>
          <w:tcPr>
            <w:tcW w:w="5194" w:type="dxa"/>
          </w:tcPr>
          <w:p>
            <w:pPr>
              <w:pStyle w:val="yTable"/>
            </w:pPr>
            <w:r>
              <w:t>61469</w:t>
            </w:r>
          </w:p>
        </w:tc>
        <w:tc>
          <w:tcPr>
            <w:tcW w:w="1469" w:type="dxa"/>
            <w:vAlign w:val="center"/>
          </w:tcPr>
          <w:p>
            <w:pPr>
              <w:pStyle w:val="yTable"/>
              <w:ind w:right="315"/>
              <w:jc w:val="right"/>
            </w:pPr>
            <w:r>
              <w:t>425.20</w:t>
            </w:r>
          </w:p>
        </w:tc>
      </w:tr>
      <w:tr>
        <w:tblPrEx>
          <w:tblCellMar>
            <w:left w:w="108" w:type="dxa"/>
            <w:right w:w="108" w:type="dxa"/>
          </w:tblCellMar>
        </w:tblPrEx>
        <w:tc>
          <w:tcPr>
            <w:tcW w:w="5194" w:type="dxa"/>
          </w:tcPr>
          <w:p>
            <w:pPr>
              <w:pStyle w:val="yTable"/>
            </w:pPr>
            <w:r>
              <w:t>61473</w:t>
            </w:r>
          </w:p>
        </w:tc>
        <w:tc>
          <w:tcPr>
            <w:tcW w:w="1469" w:type="dxa"/>
            <w:vAlign w:val="center"/>
          </w:tcPr>
          <w:p>
            <w:pPr>
              <w:pStyle w:val="yTable"/>
              <w:ind w:right="315"/>
              <w:jc w:val="right"/>
            </w:pPr>
            <w:r>
              <w:t>214.20</w:t>
            </w:r>
          </w:p>
        </w:tc>
      </w:tr>
      <w:tr>
        <w:tblPrEx>
          <w:tblCellMar>
            <w:left w:w="108" w:type="dxa"/>
            <w:right w:w="108" w:type="dxa"/>
          </w:tblCellMar>
        </w:tblPrEx>
        <w:tc>
          <w:tcPr>
            <w:tcW w:w="5194" w:type="dxa"/>
          </w:tcPr>
          <w:p>
            <w:pPr>
              <w:pStyle w:val="yTable"/>
            </w:pPr>
            <w:r>
              <w:t>61480</w:t>
            </w:r>
          </w:p>
        </w:tc>
        <w:tc>
          <w:tcPr>
            <w:tcW w:w="1469" w:type="dxa"/>
            <w:vAlign w:val="center"/>
          </w:tcPr>
          <w:p>
            <w:pPr>
              <w:pStyle w:val="yTable"/>
              <w:ind w:right="315"/>
              <w:jc w:val="right"/>
            </w:pPr>
            <w:r>
              <w:t>472.55</w:t>
            </w:r>
          </w:p>
        </w:tc>
      </w:tr>
      <w:tr>
        <w:tblPrEx>
          <w:tblCellMar>
            <w:left w:w="108" w:type="dxa"/>
            <w:right w:w="108" w:type="dxa"/>
          </w:tblCellMar>
        </w:tblPrEx>
        <w:tc>
          <w:tcPr>
            <w:tcW w:w="5194" w:type="dxa"/>
          </w:tcPr>
          <w:p>
            <w:pPr>
              <w:pStyle w:val="yTable"/>
            </w:pPr>
            <w:r>
              <w:t>61484</w:t>
            </w:r>
          </w:p>
        </w:tc>
        <w:tc>
          <w:tcPr>
            <w:tcW w:w="1469" w:type="dxa"/>
            <w:vAlign w:val="center"/>
          </w:tcPr>
          <w:p>
            <w:pPr>
              <w:pStyle w:val="yTable"/>
              <w:ind w:right="315"/>
              <w:jc w:val="right"/>
            </w:pPr>
            <w:r>
              <w:t>1 076.10</w:t>
            </w:r>
          </w:p>
        </w:tc>
      </w:tr>
      <w:tr>
        <w:tblPrEx>
          <w:tblCellMar>
            <w:left w:w="108" w:type="dxa"/>
            <w:right w:w="108" w:type="dxa"/>
          </w:tblCellMar>
        </w:tblPrEx>
        <w:tc>
          <w:tcPr>
            <w:tcW w:w="5194" w:type="dxa"/>
          </w:tcPr>
          <w:p>
            <w:pPr>
              <w:pStyle w:val="yTable"/>
            </w:pPr>
            <w:r>
              <w:t>61485</w:t>
            </w:r>
          </w:p>
        </w:tc>
        <w:tc>
          <w:tcPr>
            <w:tcW w:w="1469" w:type="dxa"/>
            <w:vAlign w:val="center"/>
          </w:tcPr>
          <w:p>
            <w:pPr>
              <w:pStyle w:val="yTable"/>
              <w:ind w:right="315"/>
              <w:jc w:val="right"/>
            </w:pPr>
            <w:r>
              <w:t>1 220.55</w:t>
            </w:r>
          </w:p>
        </w:tc>
      </w:tr>
      <w:tr>
        <w:tblPrEx>
          <w:tblCellMar>
            <w:left w:w="108" w:type="dxa"/>
            <w:right w:w="108" w:type="dxa"/>
          </w:tblCellMar>
        </w:tblPrEx>
        <w:tc>
          <w:tcPr>
            <w:tcW w:w="5194" w:type="dxa"/>
          </w:tcPr>
          <w:p>
            <w:pPr>
              <w:pStyle w:val="yTable"/>
            </w:pPr>
            <w:r>
              <w:t>61495</w:t>
            </w:r>
          </w:p>
        </w:tc>
        <w:tc>
          <w:tcPr>
            <w:tcW w:w="1469" w:type="dxa"/>
            <w:vAlign w:val="center"/>
          </w:tcPr>
          <w:p>
            <w:pPr>
              <w:pStyle w:val="yTable"/>
              <w:ind w:right="315"/>
              <w:jc w:val="right"/>
            </w:pPr>
            <w:r>
              <w:t>272.55</w:t>
            </w:r>
          </w:p>
        </w:tc>
      </w:tr>
      <w:tr>
        <w:tblPrEx>
          <w:tblCellMar>
            <w:left w:w="108" w:type="dxa"/>
            <w:right w:w="108" w:type="dxa"/>
          </w:tblCellMar>
        </w:tblPrEx>
        <w:tc>
          <w:tcPr>
            <w:tcW w:w="5194" w:type="dxa"/>
          </w:tcPr>
          <w:p>
            <w:pPr>
              <w:pStyle w:val="yTable"/>
            </w:pPr>
            <w:r>
              <w:t>61499</w:t>
            </w:r>
          </w:p>
        </w:tc>
        <w:tc>
          <w:tcPr>
            <w:tcW w:w="1469" w:type="dxa"/>
            <w:vAlign w:val="center"/>
          </w:tcPr>
          <w:p>
            <w:pPr>
              <w:pStyle w:val="yTable"/>
              <w:ind w:right="315"/>
              <w:jc w:val="right"/>
            </w:pPr>
            <w:r>
              <w:t>309.05</w:t>
            </w:r>
          </w:p>
        </w:tc>
      </w:tr>
      <w:tr>
        <w:tblPrEx>
          <w:tblCellMar>
            <w:left w:w="108" w:type="dxa"/>
            <w:right w:w="108" w:type="dxa"/>
          </w:tblCellMar>
        </w:tblPrEx>
        <w:tc>
          <w:tcPr>
            <w:tcW w:w="5194" w:type="dxa"/>
            <w:tcBorders>
              <w:bottom w:val="single" w:sz="4" w:space="0" w:color="auto"/>
            </w:tcBorders>
          </w:tcPr>
          <w:p>
            <w:pPr>
              <w:pStyle w:val="yTable"/>
            </w:pPr>
            <w:r>
              <w:t>61650</w:t>
            </w:r>
          </w:p>
        </w:tc>
        <w:tc>
          <w:tcPr>
            <w:tcW w:w="1469" w:type="dxa"/>
            <w:tcBorders>
              <w:bottom w:val="single" w:sz="4" w:space="0" w:color="auto"/>
            </w:tcBorders>
            <w:vAlign w:val="center"/>
          </w:tcPr>
          <w:p>
            <w:pPr>
              <w:pStyle w:val="yTable"/>
              <w:ind w:right="315"/>
              <w:jc w:val="right"/>
            </w:pPr>
            <w:r>
              <w:t>1 073.35</w:t>
            </w:r>
          </w:p>
        </w:tc>
      </w:tr>
    </w:tbl>
    <w:p>
      <w:pPr>
        <w:pStyle w:val="yMiscellaneousBody"/>
      </w:pPr>
      <w:r>
        <w:t>MAGNETIC RESONANCE IMAGING</w:t>
      </w:r>
    </w:p>
    <w:tbl>
      <w:tblPr>
        <w:tblW w:w="0" w:type="auto"/>
        <w:tblInd w:w="113" w:type="dxa"/>
        <w:tblLayout w:type="fixed"/>
        <w:tblCellMar>
          <w:left w:w="113" w:type="dxa"/>
          <w:right w:w="113" w:type="dxa"/>
        </w:tblCellMar>
        <w:tblLook w:val="0000" w:firstRow="0" w:lastRow="0" w:firstColumn="0" w:lastColumn="0" w:noHBand="0" w:noVBand="0"/>
      </w:tblPr>
      <w:tblGrid>
        <w:gridCol w:w="5194"/>
        <w:gridCol w:w="1469"/>
      </w:tblGrid>
      <w:tr>
        <w:trPr>
          <w:tblHeader/>
        </w:trPr>
        <w:tc>
          <w:tcPr>
            <w:tcW w:w="5194" w:type="dxa"/>
            <w:tcBorders>
              <w:top w:val="single" w:sz="4" w:space="0" w:color="auto"/>
              <w:bottom w:val="single" w:sz="4" w:space="0" w:color="auto"/>
            </w:tcBorders>
          </w:tcPr>
          <w:p>
            <w:pPr>
              <w:pStyle w:val="yTable"/>
            </w:pPr>
            <w:r>
              <w:rPr>
                <w:b/>
                <w:bCs/>
              </w:rPr>
              <w:t>MBS item number</w:t>
            </w:r>
            <w:r>
              <w:br/>
            </w:r>
            <w:r>
              <w:rPr>
                <w:i/>
              </w:rPr>
              <w:t>(1 November 2007)</w:t>
            </w:r>
          </w:p>
        </w:tc>
        <w:tc>
          <w:tcPr>
            <w:tcW w:w="1469" w:type="dxa"/>
            <w:tcBorders>
              <w:top w:val="single" w:sz="4" w:space="0" w:color="auto"/>
              <w:bottom w:val="single" w:sz="4" w:space="0" w:color="auto"/>
            </w:tcBorders>
          </w:tcPr>
          <w:p>
            <w:pPr>
              <w:pStyle w:val="yTable"/>
              <w:ind w:right="315"/>
              <w:jc w:val="center"/>
            </w:pPr>
            <w:r>
              <w:rPr>
                <w:b/>
                <w:bCs/>
              </w:rPr>
              <w:t>Fee</w:t>
            </w:r>
          </w:p>
          <w:p>
            <w:pPr>
              <w:pStyle w:val="yTable"/>
              <w:ind w:right="315"/>
              <w:jc w:val="center"/>
            </w:pPr>
            <w:r>
              <w:t>$</w:t>
            </w:r>
          </w:p>
        </w:tc>
      </w:tr>
      <w:tr>
        <w:tblPrEx>
          <w:tblCellMar>
            <w:left w:w="108" w:type="dxa"/>
            <w:right w:w="108" w:type="dxa"/>
          </w:tblCellMar>
        </w:tblPrEx>
        <w:tc>
          <w:tcPr>
            <w:tcW w:w="5194" w:type="dxa"/>
            <w:tcBorders>
              <w:top w:val="single" w:sz="4" w:space="0" w:color="auto"/>
            </w:tcBorders>
          </w:tcPr>
          <w:p>
            <w:pPr>
              <w:pStyle w:val="yTable"/>
            </w:pPr>
            <w:r>
              <w:t>63000</w:t>
            </w:r>
            <w:r>
              <w:noBreakHyphen/>
              <w:t>63200</w:t>
            </w:r>
          </w:p>
        </w:tc>
        <w:tc>
          <w:tcPr>
            <w:tcW w:w="1469" w:type="dxa"/>
            <w:tcBorders>
              <w:top w:val="single" w:sz="4" w:space="0" w:color="auto"/>
            </w:tcBorders>
            <w:vAlign w:val="center"/>
          </w:tcPr>
          <w:p>
            <w:pPr>
              <w:pStyle w:val="yTable"/>
              <w:ind w:right="315"/>
              <w:jc w:val="right"/>
            </w:pPr>
            <w:r>
              <w:t>795.45</w:t>
            </w:r>
          </w:p>
        </w:tc>
      </w:tr>
      <w:tr>
        <w:tblPrEx>
          <w:tblCellMar>
            <w:left w:w="108" w:type="dxa"/>
            <w:right w:w="108" w:type="dxa"/>
          </w:tblCellMar>
        </w:tblPrEx>
        <w:tc>
          <w:tcPr>
            <w:tcW w:w="5194" w:type="dxa"/>
          </w:tcPr>
          <w:p>
            <w:pPr>
              <w:pStyle w:val="yTable"/>
            </w:pPr>
            <w:r>
              <w:t>63201</w:t>
            </w:r>
          </w:p>
        </w:tc>
        <w:tc>
          <w:tcPr>
            <w:tcW w:w="1469" w:type="dxa"/>
            <w:vAlign w:val="center"/>
          </w:tcPr>
          <w:p>
            <w:pPr>
              <w:pStyle w:val="yTable"/>
              <w:ind w:right="315"/>
              <w:jc w:val="right"/>
            </w:pPr>
            <w:r>
              <w:t>1 193.15</w:t>
            </w:r>
          </w:p>
        </w:tc>
      </w:tr>
      <w:tr>
        <w:tblPrEx>
          <w:tblCellMar>
            <w:left w:w="108" w:type="dxa"/>
            <w:right w:w="108" w:type="dxa"/>
          </w:tblCellMar>
        </w:tblPrEx>
        <w:tc>
          <w:tcPr>
            <w:tcW w:w="5194" w:type="dxa"/>
          </w:tcPr>
          <w:p>
            <w:pPr>
              <w:pStyle w:val="yTable"/>
            </w:pPr>
            <w:r>
              <w:t>63202</w:t>
            </w:r>
            <w:r>
              <w:noBreakHyphen/>
              <w:t>63203</w:t>
            </w:r>
          </w:p>
        </w:tc>
        <w:tc>
          <w:tcPr>
            <w:tcW w:w="1469" w:type="dxa"/>
            <w:vAlign w:val="center"/>
          </w:tcPr>
          <w:p>
            <w:pPr>
              <w:pStyle w:val="yTable"/>
              <w:ind w:right="315"/>
              <w:jc w:val="right"/>
            </w:pPr>
            <w:r>
              <w:t>795.45</w:t>
            </w:r>
          </w:p>
        </w:tc>
      </w:tr>
      <w:tr>
        <w:tblPrEx>
          <w:tblCellMar>
            <w:left w:w="108" w:type="dxa"/>
            <w:right w:w="108" w:type="dxa"/>
          </w:tblCellMar>
        </w:tblPrEx>
        <w:tc>
          <w:tcPr>
            <w:tcW w:w="5194" w:type="dxa"/>
          </w:tcPr>
          <w:p>
            <w:pPr>
              <w:pStyle w:val="yTable"/>
            </w:pPr>
            <w:r>
              <w:t>63204</w:t>
            </w:r>
          </w:p>
        </w:tc>
        <w:tc>
          <w:tcPr>
            <w:tcW w:w="1469" w:type="dxa"/>
            <w:vAlign w:val="center"/>
          </w:tcPr>
          <w:p>
            <w:pPr>
              <w:pStyle w:val="yTable"/>
              <w:ind w:right="315"/>
              <w:jc w:val="right"/>
            </w:pPr>
            <w:r>
              <w:t>1 193.15</w:t>
            </w:r>
          </w:p>
        </w:tc>
      </w:tr>
      <w:tr>
        <w:tblPrEx>
          <w:tblCellMar>
            <w:left w:w="108" w:type="dxa"/>
            <w:right w:w="108" w:type="dxa"/>
          </w:tblCellMar>
        </w:tblPrEx>
        <w:tc>
          <w:tcPr>
            <w:tcW w:w="5194" w:type="dxa"/>
          </w:tcPr>
          <w:p>
            <w:pPr>
              <w:pStyle w:val="yTable"/>
            </w:pPr>
            <w:r>
              <w:t>63219</w:t>
            </w:r>
            <w:r>
              <w:noBreakHyphen/>
              <w:t>63243</w:t>
            </w:r>
          </w:p>
        </w:tc>
        <w:tc>
          <w:tcPr>
            <w:tcW w:w="1469" w:type="dxa"/>
            <w:vAlign w:val="center"/>
          </w:tcPr>
          <w:p>
            <w:pPr>
              <w:pStyle w:val="yTable"/>
              <w:ind w:right="315"/>
              <w:jc w:val="right"/>
            </w:pPr>
            <w:r>
              <w:t>1 193.15</w:t>
            </w:r>
          </w:p>
        </w:tc>
      </w:tr>
      <w:tr>
        <w:tblPrEx>
          <w:tblCellMar>
            <w:left w:w="108" w:type="dxa"/>
            <w:right w:w="108" w:type="dxa"/>
          </w:tblCellMar>
        </w:tblPrEx>
        <w:tc>
          <w:tcPr>
            <w:tcW w:w="5194" w:type="dxa"/>
          </w:tcPr>
          <w:p>
            <w:pPr>
              <w:pStyle w:val="yTable"/>
            </w:pPr>
            <w:r>
              <w:t>63271</w:t>
            </w:r>
            <w:r>
              <w:noBreakHyphen/>
              <w:t>63473</w:t>
            </w:r>
          </w:p>
        </w:tc>
        <w:tc>
          <w:tcPr>
            <w:tcW w:w="1469" w:type="dxa"/>
            <w:vAlign w:val="center"/>
          </w:tcPr>
          <w:p>
            <w:pPr>
              <w:pStyle w:val="yTable"/>
              <w:ind w:right="315"/>
              <w:jc w:val="right"/>
            </w:pPr>
            <w:r>
              <w:t>795.45</w:t>
            </w:r>
          </w:p>
        </w:tc>
      </w:tr>
      <w:tr>
        <w:tblPrEx>
          <w:tblCellMar>
            <w:left w:w="108" w:type="dxa"/>
            <w:right w:w="108" w:type="dxa"/>
          </w:tblCellMar>
        </w:tblPrEx>
        <w:tc>
          <w:tcPr>
            <w:tcW w:w="5194" w:type="dxa"/>
          </w:tcPr>
          <w:p>
            <w:pPr>
              <w:pStyle w:val="yTable"/>
            </w:pPr>
            <w:r>
              <w:t>63491</w:t>
            </w:r>
            <w:r>
              <w:noBreakHyphen/>
              <w:t>63494</w:t>
            </w:r>
          </w:p>
        </w:tc>
        <w:tc>
          <w:tcPr>
            <w:tcW w:w="1469" w:type="dxa"/>
            <w:vAlign w:val="center"/>
          </w:tcPr>
          <w:p>
            <w:pPr>
              <w:pStyle w:val="yTable"/>
              <w:ind w:right="315"/>
              <w:jc w:val="right"/>
            </w:pPr>
            <w:r>
              <w:t>90.90</w:t>
            </w:r>
          </w:p>
        </w:tc>
      </w:tr>
      <w:tr>
        <w:tblPrEx>
          <w:tblCellMar>
            <w:left w:w="108" w:type="dxa"/>
            <w:right w:w="108" w:type="dxa"/>
          </w:tblCellMar>
        </w:tblPrEx>
        <w:tc>
          <w:tcPr>
            <w:tcW w:w="5194" w:type="dxa"/>
            <w:tcBorders>
              <w:bottom w:val="single" w:sz="4" w:space="0" w:color="auto"/>
            </w:tcBorders>
          </w:tcPr>
          <w:p>
            <w:pPr>
              <w:pStyle w:val="yTable"/>
            </w:pPr>
            <w:r>
              <w:t>63497</w:t>
            </w:r>
          </w:p>
        </w:tc>
        <w:tc>
          <w:tcPr>
            <w:tcW w:w="1469" w:type="dxa"/>
            <w:tcBorders>
              <w:bottom w:val="single" w:sz="4" w:space="0" w:color="auto"/>
            </w:tcBorders>
            <w:vAlign w:val="center"/>
          </w:tcPr>
          <w:p>
            <w:pPr>
              <w:pStyle w:val="yTable"/>
              <w:ind w:right="315"/>
              <w:jc w:val="right"/>
            </w:pPr>
            <w:r>
              <w:t>273.00</w:t>
            </w:r>
          </w:p>
        </w:tc>
      </w:tr>
    </w:tbl>
    <w:p>
      <w:pPr>
        <w:pStyle w:val="yFootnotesection"/>
      </w:pPr>
      <w:r>
        <w:tab/>
        <w:t>[Part 3 inserted in Gazette 17 Dec 2008 p. 5301</w:t>
      </w:r>
      <w:r>
        <w:noBreakHyphen/>
        <w:t>14.]</w:t>
      </w:r>
    </w:p>
    <w:p>
      <w:pPr>
        <w:pStyle w:val="yScheduleHeading"/>
      </w:pPr>
      <w:bookmarkStart w:id="161" w:name="_Toc217355367"/>
      <w:bookmarkStart w:id="162" w:name="_Toc217355397"/>
      <w:bookmarkStart w:id="163" w:name="_Toc184719585"/>
      <w:bookmarkStart w:id="164" w:name="_Toc184720493"/>
      <w:bookmarkEnd w:id="141"/>
      <w:bookmarkEnd w:id="142"/>
      <w:r>
        <w:rPr>
          <w:rStyle w:val="CharSchNo"/>
        </w:rPr>
        <w:t>Schedule 2</w:t>
      </w:r>
      <w:r>
        <w:t xml:space="preserve"> — </w:t>
      </w:r>
      <w:r>
        <w:rPr>
          <w:rStyle w:val="CharSchText"/>
        </w:rPr>
        <w:t>Scale of fees — physiotherapists</w:t>
      </w:r>
      <w:bookmarkEnd w:id="161"/>
      <w:bookmarkEnd w:id="162"/>
    </w:p>
    <w:p>
      <w:pPr>
        <w:pStyle w:val="yShoulderClause"/>
      </w:pPr>
      <w:r>
        <w:t>[r. 3]</w:t>
      </w:r>
    </w:p>
    <w:p>
      <w:pPr>
        <w:pStyle w:val="yFootnoteheading"/>
      </w:pPr>
      <w:r>
        <w:tab/>
        <w:t>[Heading inserted in Gazette 17 Dec 2008 p. 5315.]</w:t>
      </w:r>
    </w:p>
    <w:p>
      <w:pPr>
        <w:pStyle w:val="yHeading3"/>
      </w:pPr>
      <w:bookmarkStart w:id="165" w:name="_Toc217355368"/>
      <w:bookmarkStart w:id="166" w:name="_Toc217355398"/>
      <w:r>
        <w:rPr>
          <w:rStyle w:val="CharSDivNo"/>
        </w:rPr>
        <w:t>Part 1</w:t>
      </w:r>
      <w:r>
        <w:rPr>
          <w:b w:val="0"/>
        </w:rPr>
        <w:t> — </w:t>
      </w:r>
      <w:r>
        <w:rPr>
          <w:rStyle w:val="CharSDivText"/>
        </w:rPr>
        <w:t>General</w:t>
      </w:r>
      <w:bookmarkEnd w:id="165"/>
      <w:bookmarkEnd w:id="166"/>
    </w:p>
    <w:p>
      <w:pPr>
        <w:pStyle w:val="yFootnoteheading"/>
      </w:pPr>
      <w:r>
        <w:tab/>
        <w:t>[Heading inserted in Gazette 17 Dec 2008 p. 5315.]</w:t>
      </w:r>
    </w:p>
    <w:tbl>
      <w:tblPr>
        <w:tblW w:w="6946" w:type="dxa"/>
        <w:tblInd w:w="250" w:type="dxa"/>
        <w:tblLayout w:type="fixed"/>
        <w:tblLook w:val="0000" w:firstRow="0" w:lastRow="0" w:firstColumn="0" w:lastColumn="0" w:noHBand="0" w:noVBand="0"/>
      </w:tblPr>
      <w:tblGrid>
        <w:gridCol w:w="992"/>
        <w:gridCol w:w="4678"/>
        <w:gridCol w:w="1276"/>
      </w:tblGrid>
      <w:tr>
        <w:trPr>
          <w:cantSplit/>
          <w:tblHeader/>
        </w:trPr>
        <w:tc>
          <w:tcPr>
            <w:tcW w:w="992" w:type="dxa"/>
            <w:tcBorders>
              <w:top w:val="single" w:sz="4" w:space="0" w:color="auto"/>
              <w:bottom w:val="single" w:sz="4" w:space="0" w:color="auto"/>
            </w:tcBorders>
          </w:tcPr>
          <w:p>
            <w:pPr>
              <w:pStyle w:val="zytable"/>
              <w:keepNext/>
              <w:ind w:left="34" w:right="33"/>
              <w:rPr>
                <w:b/>
                <w:bCs/>
              </w:rPr>
            </w:pPr>
          </w:p>
        </w:tc>
        <w:tc>
          <w:tcPr>
            <w:tcW w:w="4678" w:type="dxa"/>
            <w:tcBorders>
              <w:top w:val="single" w:sz="4" w:space="0" w:color="auto"/>
              <w:bottom w:val="single" w:sz="4" w:space="0" w:color="auto"/>
            </w:tcBorders>
          </w:tcPr>
          <w:p>
            <w:pPr>
              <w:pStyle w:val="yTable"/>
            </w:pPr>
            <w:r>
              <w:rPr>
                <w:b/>
                <w:bCs/>
              </w:rPr>
              <w:t>Type of service</w:t>
            </w:r>
          </w:p>
        </w:tc>
        <w:tc>
          <w:tcPr>
            <w:tcW w:w="1276" w:type="dxa"/>
            <w:tcBorders>
              <w:top w:val="single" w:sz="4" w:space="0" w:color="auto"/>
              <w:bottom w:val="single" w:sz="4" w:space="0" w:color="auto"/>
            </w:tcBorders>
          </w:tcPr>
          <w:p>
            <w:pPr>
              <w:pStyle w:val="yTable"/>
            </w:pPr>
            <w:r>
              <w:rPr>
                <w:b/>
                <w:bCs/>
              </w:rPr>
              <w:t>Fee</w:t>
            </w:r>
          </w:p>
        </w:tc>
      </w:tr>
      <w:tr>
        <w:trPr>
          <w:cantSplit/>
        </w:trPr>
        <w:tc>
          <w:tcPr>
            <w:tcW w:w="992" w:type="dxa"/>
            <w:tcBorders>
              <w:top w:val="single" w:sz="4" w:space="0" w:color="auto"/>
            </w:tcBorders>
          </w:tcPr>
          <w:p>
            <w:pPr>
              <w:pStyle w:val="yTable"/>
            </w:pPr>
            <w:r>
              <w:t>PA001</w:t>
            </w:r>
          </w:p>
        </w:tc>
        <w:tc>
          <w:tcPr>
            <w:tcW w:w="4678" w:type="dxa"/>
            <w:tcBorders>
              <w:top w:val="single" w:sz="4" w:space="0" w:color="auto"/>
            </w:tcBorders>
          </w:tcPr>
          <w:p>
            <w:pPr>
              <w:pStyle w:val="yTable"/>
            </w:pPr>
            <w:r>
              <w:rPr>
                <w:b/>
                <w:bCs/>
              </w:rPr>
              <w:t>Initial Consultation</w:t>
            </w:r>
          </w:p>
          <w:p>
            <w:pPr>
              <w:pStyle w:val="yTable"/>
            </w:pPr>
            <w:r>
              <w:t xml:space="preserve">A consultation with the physiotherapist including the following elements — </w:t>
            </w:r>
          </w:p>
        </w:tc>
        <w:tc>
          <w:tcPr>
            <w:tcW w:w="1276" w:type="dxa"/>
            <w:tcBorders>
              <w:top w:val="single" w:sz="4" w:space="0" w:color="auto"/>
            </w:tcBorders>
          </w:tcPr>
          <w:p>
            <w:pPr>
              <w:pStyle w:val="yTable"/>
            </w:pPr>
            <w:r>
              <w:rPr>
                <w:b/>
                <w:bCs/>
              </w:rPr>
              <w:t>Set Fee</w:t>
            </w:r>
          </w:p>
          <w:p>
            <w:pPr>
              <w:pStyle w:val="yTable"/>
            </w:pPr>
            <w:r>
              <w:rPr>
                <w:szCs w:val="22"/>
              </w:rPr>
              <w:t>$65.00</w:t>
            </w:r>
          </w:p>
        </w:tc>
      </w:tr>
      <w:tr>
        <w:trPr>
          <w:cantSplit/>
        </w:trPr>
        <w:tc>
          <w:tcPr>
            <w:tcW w:w="992" w:type="dxa"/>
          </w:tcPr>
          <w:p>
            <w:pPr>
              <w:pStyle w:val="zytable"/>
              <w:ind w:left="34" w:right="0"/>
            </w:pPr>
          </w:p>
        </w:tc>
        <w:tc>
          <w:tcPr>
            <w:tcW w:w="4678" w:type="dxa"/>
          </w:tcPr>
          <w:p>
            <w:pPr>
              <w:pStyle w:val="yTable"/>
            </w:pPr>
            <w:r>
              <w:rPr>
                <w:b/>
                <w:bCs/>
              </w:rPr>
              <w:t>Subjective assessment</w:t>
            </w:r>
            <w:r>
              <w:t> — of the following points as required:</w:t>
            </w:r>
          </w:p>
          <w:p>
            <w:pPr>
              <w:pStyle w:val="yTable"/>
            </w:pPr>
            <w:r>
              <w:t>Major symptoms and lifestyle dysfunction; current history and treatment; past history and treatment; pain, 24</w:t>
            </w:r>
            <w:r>
              <w:noBreakHyphen/>
              <w:t>hour behaviour, aggravating and relieving factors; general health, medication, risk factors.</w:t>
            </w:r>
          </w:p>
        </w:tc>
        <w:tc>
          <w:tcPr>
            <w:tcW w:w="1276" w:type="dxa"/>
          </w:tcPr>
          <w:p>
            <w:pPr>
              <w:pStyle w:val="yTable"/>
            </w:pPr>
          </w:p>
        </w:tc>
      </w:tr>
      <w:tr>
        <w:trPr>
          <w:cantSplit/>
        </w:trPr>
        <w:tc>
          <w:tcPr>
            <w:tcW w:w="992" w:type="dxa"/>
          </w:tcPr>
          <w:p>
            <w:pPr>
              <w:pStyle w:val="zytable"/>
              <w:ind w:left="34" w:right="0"/>
            </w:pPr>
          </w:p>
        </w:tc>
        <w:tc>
          <w:tcPr>
            <w:tcW w:w="4678" w:type="dxa"/>
          </w:tcPr>
          <w:p>
            <w:pPr>
              <w:pStyle w:val="yTable"/>
            </w:pPr>
            <w:r>
              <w:rPr>
                <w:b/>
                <w:bCs/>
              </w:rPr>
              <w:t>Objective assessment</w:t>
            </w:r>
            <w:r>
              <w:t> — of the following points as required:</w:t>
            </w:r>
          </w:p>
          <w:p>
            <w:pPr>
              <w:pStyle w:val="yTable"/>
            </w:pPr>
            <w:r>
              <w:t>Movement — active, passive, resisted, repeated; muscle tone, spasm, weakness; accessory movements, passive intervertebral movements etc.  Appropriate procedures/tests as indicated.</w:t>
            </w:r>
          </w:p>
        </w:tc>
        <w:tc>
          <w:tcPr>
            <w:tcW w:w="1276" w:type="dxa"/>
          </w:tcPr>
          <w:p>
            <w:pPr>
              <w:pStyle w:val="yTable"/>
            </w:pPr>
          </w:p>
        </w:tc>
      </w:tr>
      <w:tr>
        <w:trPr>
          <w:cantSplit/>
        </w:trPr>
        <w:tc>
          <w:tcPr>
            <w:tcW w:w="992" w:type="dxa"/>
          </w:tcPr>
          <w:p>
            <w:pPr>
              <w:pStyle w:val="zytable"/>
              <w:ind w:left="34" w:right="0"/>
            </w:pPr>
          </w:p>
        </w:tc>
        <w:tc>
          <w:tcPr>
            <w:tcW w:w="4678" w:type="dxa"/>
          </w:tcPr>
          <w:p>
            <w:pPr>
              <w:pStyle w:val="yTable"/>
            </w:pPr>
            <w:r>
              <w:rPr>
                <w:b/>
                <w:bCs/>
              </w:rPr>
              <w:t>Appropriate initial management, treatment or advice</w:t>
            </w:r>
            <w:r>
              <w:t> — based on assessment findings that could include the following as required:</w:t>
            </w:r>
          </w:p>
          <w:p>
            <w:pPr>
              <w:pStyle w:val="yTable"/>
            </w:pPr>
            <w:r>
              <w:t>Provisional diagnosis; goals of treatment; treatment plan. Discussion with the patient regarding working hypothesis and treatment goals and expected outcomes; initial treatment and response; advice regarding home care including any exercise programs to be followed.</w:t>
            </w:r>
          </w:p>
        </w:tc>
        <w:tc>
          <w:tcPr>
            <w:tcW w:w="1276" w:type="dxa"/>
          </w:tcPr>
          <w:p>
            <w:pPr>
              <w:pStyle w:val="yTable"/>
            </w:pPr>
          </w:p>
        </w:tc>
      </w:tr>
      <w:tr>
        <w:trPr>
          <w:cantSplit/>
        </w:trPr>
        <w:tc>
          <w:tcPr>
            <w:tcW w:w="992" w:type="dxa"/>
          </w:tcPr>
          <w:p>
            <w:pPr>
              <w:pStyle w:val="zytable"/>
              <w:ind w:left="34" w:right="0"/>
            </w:pPr>
          </w:p>
        </w:tc>
        <w:tc>
          <w:tcPr>
            <w:tcW w:w="4678" w:type="dxa"/>
          </w:tcPr>
          <w:p>
            <w:pPr>
              <w:pStyle w:val="yTable"/>
            </w:pPr>
            <w:r>
              <w:rPr>
                <w:b/>
                <w:bCs/>
              </w:rPr>
              <w:t>Documentation of consultation</w:t>
            </w:r>
            <w:r>
              <w:t> — as required that could include:</w:t>
            </w:r>
          </w:p>
          <w:p>
            <w:pPr>
              <w:pStyle w:val="yTable"/>
            </w:pPr>
            <w:r>
              <w:t>The assessment findings, physiotherapy intervention(s), evaluation of interventions, plan for future treatment and results of other relevant tests and warnings (if applicable).</w:t>
            </w:r>
          </w:p>
        </w:tc>
        <w:tc>
          <w:tcPr>
            <w:tcW w:w="1276" w:type="dxa"/>
          </w:tcPr>
          <w:p>
            <w:pPr>
              <w:pStyle w:val="yTable"/>
            </w:pPr>
          </w:p>
        </w:tc>
      </w:tr>
      <w:tr>
        <w:trPr>
          <w:cantSplit/>
        </w:trPr>
        <w:tc>
          <w:tcPr>
            <w:tcW w:w="992" w:type="dxa"/>
          </w:tcPr>
          <w:p>
            <w:pPr>
              <w:pStyle w:val="zytable"/>
              <w:ind w:left="34" w:right="0"/>
            </w:pPr>
          </w:p>
        </w:tc>
        <w:tc>
          <w:tcPr>
            <w:tcW w:w="4678" w:type="dxa"/>
          </w:tcPr>
          <w:p>
            <w:pPr>
              <w:pStyle w:val="yTable"/>
            </w:pPr>
            <w:r>
              <w:rPr>
                <w:b/>
                <w:bCs/>
                <w:szCs w:val="22"/>
                <w:u w:val="single"/>
              </w:rPr>
              <w:t>Includes</w:t>
            </w:r>
            <w:r>
              <w:rPr>
                <w:b/>
                <w:bCs/>
                <w:szCs w:val="22"/>
              </w:rPr>
              <w:t>:</w:t>
            </w:r>
          </w:p>
          <w:p>
            <w:pPr>
              <w:pStyle w:val="yTable"/>
              <w:numPr>
                <w:ilvl w:val="0"/>
                <w:numId w:val="13"/>
              </w:numPr>
              <w:tabs>
                <w:tab w:val="clear" w:pos="720"/>
                <w:tab w:val="right" w:pos="438"/>
              </w:tabs>
              <w:ind w:left="438" w:hanging="438"/>
            </w:pPr>
            <w:r>
              <w:t>Individual services provided in rooms, home or hospital; hydrotherapy treatment; extended treatments; and services provided outside of normal business hours.</w:t>
            </w:r>
          </w:p>
        </w:tc>
        <w:tc>
          <w:tcPr>
            <w:tcW w:w="1276" w:type="dxa"/>
          </w:tcPr>
          <w:p>
            <w:pPr>
              <w:pStyle w:val="yTable"/>
            </w:pPr>
          </w:p>
        </w:tc>
      </w:tr>
      <w:tr>
        <w:trPr>
          <w:cantSplit/>
        </w:trPr>
        <w:tc>
          <w:tcPr>
            <w:tcW w:w="992" w:type="dxa"/>
          </w:tcPr>
          <w:p>
            <w:pPr>
              <w:pStyle w:val="zytable"/>
              <w:ind w:left="34" w:right="0"/>
            </w:pPr>
          </w:p>
        </w:tc>
        <w:tc>
          <w:tcPr>
            <w:tcW w:w="4678" w:type="dxa"/>
          </w:tcPr>
          <w:p>
            <w:pPr>
              <w:pStyle w:val="yTable"/>
              <w:numPr>
                <w:ilvl w:val="0"/>
                <w:numId w:val="13"/>
              </w:numPr>
              <w:tabs>
                <w:tab w:val="clear" w:pos="720"/>
                <w:tab w:val="right" w:pos="438"/>
              </w:tabs>
              <w:ind w:left="438" w:hanging="438"/>
              <w:rPr>
                <w:szCs w:val="22"/>
              </w:rPr>
            </w:pPr>
            <w:r>
              <w:rPr>
                <w:szCs w:val="22"/>
              </w:rPr>
              <w:t>Courtesy communication by the physiotherapist with the medical practitioner such as acknowledgment of referral.</w:t>
            </w:r>
          </w:p>
        </w:tc>
        <w:tc>
          <w:tcPr>
            <w:tcW w:w="1276" w:type="dxa"/>
          </w:tcPr>
          <w:p>
            <w:pPr>
              <w:pStyle w:val="yTable"/>
            </w:pPr>
          </w:p>
        </w:tc>
      </w:tr>
      <w:tr>
        <w:trPr>
          <w:cantSplit/>
        </w:trPr>
        <w:tc>
          <w:tcPr>
            <w:tcW w:w="992" w:type="dxa"/>
          </w:tcPr>
          <w:p>
            <w:pPr>
              <w:pStyle w:val="zytable"/>
              <w:ind w:left="34" w:right="0"/>
            </w:pPr>
          </w:p>
        </w:tc>
        <w:tc>
          <w:tcPr>
            <w:tcW w:w="4678" w:type="dxa"/>
          </w:tcPr>
          <w:p>
            <w:pPr>
              <w:pStyle w:val="yTable"/>
              <w:numPr>
                <w:ilvl w:val="0"/>
                <w:numId w:val="13"/>
              </w:numPr>
              <w:tabs>
                <w:tab w:val="clear" w:pos="720"/>
                <w:tab w:val="right" w:pos="438"/>
              </w:tabs>
              <w:ind w:left="438" w:hanging="438"/>
            </w:pPr>
            <w:r>
              <w:rPr>
                <w:szCs w:val="22"/>
              </w:rPr>
              <w:t>The physiotherapist’s brief communication with the medical practitioner regarding the injured worker’s management.</w:t>
            </w:r>
          </w:p>
        </w:tc>
        <w:tc>
          <w:tcPr>
            <w:tcW w:w="1276" w:type="dxa"/>
          </w:tcPr>
          <w:p>
            <w:pPr>
              <w:pStyle w:val="yTable"/>
            </w:pPr>
          </w:p>
        </w:tc>
      </w:tr>
      <w:tr>
        <w:trPr>
          <w:cantSplit/>
        </w:trPr>
        <w:tc>
          <w:tcPr>
            <w:tcW w:w="992" w:type="dxa"/>
          </w:tcPr>
          <w:p>
            <w:pPr>
              <w:pStyle w:val="zytable"/>
              <w:ind w:left="34" w:right="0"/>
            </w:pPr>
          </w:p>
        </w:tc>
        <w:tc>
          <w:tcPr>
            <w:tcW w:w="4678" w:type="dxa"/>
          </w:tcPr>
          <w:p>
            <w:pPr>
              <w:pStyle w:val="yTable"/>
            </w:pPr>
            <w:r>
              <w:rPr>
                <w:b/>
                <w:bCs/>
                <w:szCs w:val="22"/>
                <w:u w:val="single"/>
              </w:rPr>
              <w:t>Does not include</w:t>
            </w:r>
            <w:r>
              <w:rPr>
                <w:b/>
                <w:bCs/>
                <w:szCs w:val="22"/>
              </w:rPr>
              <w:t>:</w:t>
            </w:r>
          </w:p>
          <w:p>
            <w:pPr>
              <w:pStyle w:val="yTable"/>
              <w:numPr>
                <w:ilvl w:val="0"/>
                <w:numId w:val="13"/>
              </w:numPr>
              <w:tabs>
                <w:tab w:val="clear" w:pos="720"/>
                <w:tab w:val="right" w:pos="438"/>
              </w:tabs>
              <w:ind w:left="438" w:hanging="438"/>
            </w:pPr>
            <w:r>
              <w:t>Any oral or written communication by the physiotherapist with a third party initiated by or requested by the insurer and/or the employer relating to the treatment or rehabilitation of a specific worker (such as suitable work duties).</w:t>
            </w:r>
          </w:p>
        </w:tc>
        <w:tc>
          <w:tcPr>
            <w:tcW w:w="1276" w:type="dxa"/>
          </w:tcPr>
          <w:p>
            <w:pPr>
              <w:pStyle w:val="yTable"/>
            </w:pPr>
          </w:p>
        </w:tc>
      </w:tr>
      <w:tr>
        <w:trPr>
          <w:cantSplit/>
        </w:trPr>
        <w:tc>
          <w:tcPr>
            <w:tcW w:w="992" w:type="dxa"/>
          </w:tcPr>
          <w:p>
            <w:pPr>
              <w:pStyle w:val="zytable"/>
              <w:ind w:left="34" w:right="0"/>
            </w:pPr>
          </w:p>
        </w:tc>
        <w:tc>
          <w:tcPr>
            <w:tcW w:w="4678" w:type="dxa"/>
          </w:tcPr>
          <w:p>
            <w:pPr>
              <w:pStyle w:val="yTable"/>
              <w:numPr>
                <w:ilvl w:val="0"/>
                <w:numId w:val="13"/>
              </w:numPr>
              <w:tabs>
                <w:tab w:val="clear" w:pos="720"/>
                <w:tab w:val="right" w:pos="438"/>
              </w:tabs>
              <w:ind w:left="438" w:hanging="438"/>
            </w:pPr>
            <w:r>
              <w:rPr>
                <w:szCs w:val="22"/>
              </w:rPr>
              <w:t>Communication by the physiotherapist with a third party initiated by or requested by the insurer and/or the employer. This service has a specific item number in this Table (PK001).</w:t>
            </w:r>
          </w:p>
        </w:tc>
        <w:tc>
          <w:tcPr>
            <w:tcW w:w="1276" w:type="dxa"/>
          </w:tcPr>
          <w:p>
            <w:pPr>
              <w:pStyle w:val="yTable"/>
            </w:pPr>
          </w:p>
        </w:tc>
      </w:tr>
      <w:tr>
        <w:trPr>
          <w:cantSplit/>
        </w:trPr>
        <w:tc>
          <w:tcPr>
            <w:tcW w:w="992" w:type="dxa"/>
            <w:tcBorders>
              <w:bottom w:val="single" w:sz="4" w:space="0" w:color="auto"/>
            </w:tcBorders>
          </w:tcPr>
          <w:p>
            <w:pPr>
              <w:pStyle w:val="zytable"/>
              <w:ind w:left="34" w:right="0"/>
            </w:pPr>
          </w:p>
        </w:tc>
        <w:tc>
          <w:tcPr>
            <w:tcW w:w="4678" w:type="dxa"/>
            <w:tcBorders>
              <w:bottom w:val="single" w:sz="4" w:space="0" w:color="auto"/>
            </w:tcBorders>
          </w:tcPr>
          <w:p>
            <w:pPr>
              <w:pStyle w:val="yTable"/>
              <w:numPr>
                <w:ilvl w:val="0"/>
                <w:numId w:val="13"/>
              </w:numPr>
              <w:tabs>
                <w:tab w:val="clear" w:pos="720"/>
                <w:tab w:val="right" w:pos="438"/>
              </w:tabs>
              <w:ind w:left="438" w:hanging="438"/>
            </w:pPr>
            <w:r>
              <w:rPr>
                <w:szCs w:val="22"/>
              </w:rPr>
              <w:t>Physiotherapist’s involvement in case conferences.  The physiotherapist’s involvement in case conferences has a specific item number in this Table (PQ001).</w:t>
            </w:r>
          </w:p>
        </w:tc>
        <w:tc>
          <w:tcPr>
            <w:tcW w:w="1276" w:type="dxa"/>
            <w:tcBorders>
              <w:bottom w:val="single" w:sz="4" w:space="0" w:color="auto"/>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92" w:type="dxa"/>
            <w:tcBorders>
              <w:left w:val="nil"/>
              <w:bottom w:val="nil"/>
              <w:right w:val="nil"/>
            </w:tcBorders>
          </w:tcPr>
          <w:p>
            <w:pPr>
              <w:pStyle w:val="yTable"/>
            </w:pPr>
            <w:r>
              <w:t>PB001</w:t>
            </w:r>
          </w:p>
        </w:tc>
        <w:tc>
          <w:tcPr>
            <w:tcW w:w="4678" w:type="dxa"/>
            <w:tcBorders>
              <w:left w:val="nil"/>
              <w:bottom w:val="nil"/>
              <w:right w:val="nil"/>
            </w:tcBorders>
          </w:tcPr>
          <w:p>
            <w:pPr>
              <w:pStyle w:val="yTable"/>
            </w:pPr>
            <w:r>
              <w:rPr>
                <w:b/>
                <w:bCs/>
              </w:rPr>
              <w:t>Standard Consultation</w:t>
            </w:r>
          </w:p>
          <w:p>
            <w:pPr>
              <w:pStyle w:val="yTable"/>
              <w:tabs>
                <w:tab w:val="right" w:pos="438"/>
              </w:tabs>
            </w:pPr>
            <w:r>
              <w:t xml:space="preserve">Consultation for one body area or condition including the following elements — </w:t>
            </w:r>
          </w:p>
          <w:p>
            <w:pPr>
              <w:pStyle w:val="yTable"/>
              <w:numPr>
                <w:ilvl w:val="0"/>
                <w:numId w:val="13"/>
              </w:numPr>
              <w:tabs>
                <w:tab w:val="clear" w:pos="720"/>
                <w:tab w:val="right" w:pos="438"/>
              </w:tabs>
              <w:ind w:left="0" w:firstLine="0"/>
              <w:rPr>
                <w:szCs w:val="22"/>
              </w:rPr>
            </w:pPr>
            <w:r>
              <w:rPr>
                <w:szCs w:val="22"/>
              </w:rPr>
              <w:t>subjective re</w:t>
            </w:r>
            <w:r>
              <w:rPr>
                <w:szCs w:val="22"/>
              </w:rPr>
              <w:noBreakHyphen/>
              <w:t>assessment;</w:t>
            </w:r>
          </w:p>
          <w:p>
            <w:pPr>
              <w:pStyle w:val="yTable"/>
              <w:numPr>
                <w:ilvl w:val="0"/>
                <w:numId w:val="13"/>
              </w:numPr>
              <w:tabs>
                <w:tab w:val="clear" w:pos="720"/>
                <w:tab w:val="right" w:pos="438"/>
              </w:tabs>
              <w:ind w:left="0" w:firstLine="0"/>
              <w:rPr>
                <w:szCs w:val="22"/>
              </w:rPr>
            </w:pPr>
            <w:r>
              <w:rPr>
                <w:szCs w:val="22"/>
              </w:rPr>
              <w:t>objective re</w:t>
            </w:r>
            <w:r>
              <w:rPr>
                <w:szCs w:val="22"/>
              </w:rPr>
              <w:noBreakHyphen/>
              <w:t>assessment;</w:t>
            </w:r>
          </w:p>
          <w:p>
            <w:pPr>
              <w:pStyle w:val="yTable"/>
              <w:numPr>
                <w:ilvl w:val="0"/>
                <w:numId w:val="13"/>
              </w:numPr>
              <w:tabs>
                <w:tab w:val="clear" w:pos="720"/>
                <w:tab w:val="right" w:pos="438"/>
              </w:tabs>
              <w:ind w:left="438" w:hanging="438"/>
              <w:rPr>
                <w:szCs w:val="22"/>
              </w:rPr>
            </w:pPr>
            <w:r>
              <w:rPr>
                <w:szCs w:val="22"/>
              </w:rPr>
              <w:t>appropriate management, intervention or advice;</w:t>
            </w:r>
          </w:p>
          <w:p>
            <w:pPr>
              <w:pStyle w:val="yTable"/>
              <w:numPr>
                <w:ilvl w:val="0"/>
                <w:numId w:val="13"/>
              </w:numPr>
              <w:tabs>
                <w:tab w:val="clear" w:pos="720"/>
                <w:tab w:val="right" w:pos="438"/>
              </w:tabs>
              <w:ind w:left="0" w:firstLine="0"/>
            </w:pPr>
            <w:r>
              <w:rPr>
                <w:szCs w:val="22"/>
              </w:rPr>
              <w:t>documentation of consultation.</w:t>
            </w:r>
          </w:p>
        </w:tc>
        <w:tc>
          <w:tcPr>
            <w:tcW w:w="1276" w:type="dxa"/>
            <w:tcBorders>
              <w:left w:val="nil"/>
              <w:bottom w:val="nil"/>
              <w:right w:val="nil"/>
            </w:tcBorders>
          </w:tcPr>
          <w:p>
            <w:pPr>
              <w:pStyle w:val="yTable"/>
            </w:pPr>
            <w:r>
              <w:rPr>
                <w:b/>
                <w:bCs/>
              </w:rPr>
              <w:t>Set Fee</w:t>
            </w:r>
          </w:p>
          <w:p>
            <w:pPr>
              <w:pStyle w:val="yTable"/>
            </w:pPr>
            <w:r>
              <w:rPr>
                <w:szCs w:val="22"/>
              </w:rPr>
              <w:t>$52.20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92" w:type="dxa"/>
            <w:tcBorders>
              <w:top w:val="nil"/>
              <w:left w:val="nil"/>
              <w:bottom w:val="nil"/>
              <w:right w:val="nil"/>
            </w:tcBorders>
          </w:tcPr>
          <w:p>
            <w:pPr>
              <w:pStyle w:val="zytable"/>
              <w:ind w:left="34" w:right="0"/>
            </w:pPr>
          </w:p>
        </w:tc>
        <w:tc>
          <w:tcPr>
            <w:tcW w:w="4678" w:type="dxa"/>
            <w:tcBorders>
              <w:top w:val="nil"/>
              <w:left w:val="nil"/>
              <w:bottom w:val="nil"/>
              <w:right w:val="nil"/>
            </w:tcBorders>
          </w:tcPr>
          <w:p>
            <w:pPr>
              <w:pStyle w:val="yTable"/>
            </w:pPr>
            <w:r>
              <w:rPr>
                <w:b/>
                <w:bCs/>
                <w:szCs w:val="22"/>
                <w:u w:val="single"/>
              </w:rPr>
              <w:t>Includes</w:t>
            </w:r>
            <w:r>
              <w:rPr>
                <w:b/>
                <w:bCs/>
                <w:szCs w:val="22"/>
              </w:rPr>
              <w:t>:</w:t>
            </w:r>
          </w:p>
          <w:p>
            <w:pPr>
              <w:pStyle w:val="yTable"/>
              <w:numPr>
                <w:ilvl w:val="0"/>
                <w:numId w:val="13"/>
              </w:numPr>
              <w:tabs>
                <w:tab w:val="clear" w:pos="720"/>
                <w:tab w:val="right" w:pos="438"/>
              </w:tabs>
              <w:ind w:left="438" w:hanging="438"/>
            </w:pPr>
            <w:r>
              <w:t>Individual services provided in rooms, home or hospital; hydrotherapy treatment; extended treatments; and services provided outside of normal business hours.</w:t>
            </w:r>
          </w:p>
        </w:tc>
        <w:tc>
          <w:tcPr>
            <w:tcW w:w="1276"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92" w:type="dxa"/>
            <w:tcBorders>
              <w:top w:val="nil"/>
              <w:left w:val="nil"/>
              <w:bottom w:val="nil"/>
              <w:right w:val="nil"/>
            </w:tcBorders>
          </w:tcPr>
          <w:p>
            <w:pPr>
              <w:pStyle w:val="zytable"/>
              <w:ind w:left="34" w:right="0"/>
            </w:pPr>
          </w:p>
        </w:tc>
        <w:tc>
          <w:tcPr>
            <w:tcW w:w="4678" w:type="dxa"/>
            <w:tcBorders>
              <w:top w:val="nil"/>
              <w:left w:val="nil"/>
              <w:bottom w:val="nil"/>
              <w:right w:val="nil"/>
            </w:tcBorders>
          </w:tcPr>
          <w:p>
            <w:pPr>
              <w:pStyle w:val="yTable"/>
              <w:numPr>
                <w:ilvl w:val="0"/>
                <w:numId w:val="13"/>
              </w:numPr>
              <w:tabs>
                <w:tab w:val="clear" w:pos="720"/>
                <w:tab w:val="right" w:pos="438"/>
              </w:tabs>
              <w:ind w:left="438" w:hanging="438"/>
            </w:pPr>
            <w:r>
              <w:rPr>
                <w:szCs w:val="22"/>
              </w:rPr>
              <w:t>Courtesy communication by the physiotherapist such as brief oral and/or written updates to the medical practitioner.</w:t>
            </w:r>
          </w:p>
        </w:tc>
        <w:tc>
          <w:tcPr>
            <w:tcW w:w="1276"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92" w:type="dxa"/>
            <w:tcBorders>
              <w:top w:val="nil"/>
              <w:left w:val="nil"/>
              <w:bottom w:val="nil"/>
              <w:right w:val="nil"/>
            </w:tcBorders>
          </w:tcPr>
          <w:p>
            <w:pPr>
              <w:pStyle w:val="zytable"/>
              <w:ind w:left="34" w:right="0"/>
            </w:pPr>
          </w:p>
        </w:tc>
        <w:tc>
          <w:tcPr>
            <w:tcW w:w="4678" w:type="dxa"/>
            <w:tcBorders>
              <w:top w:val="nil"/>
              <w:left w:val="nil"/>
              <w:bottom w:val="nil"/>
              <w:right w:val="nil"/>
            </w:tcBorders>
          </w:tcPr>
          <w:p>
            <w:pPr>
              <w:pStyle w:val="yTable"/>
            </w:pPr>
            <w:r>
              <w:rPr>
                <w:b/>
                <w:bCs/>
                <w:szCs w:val="22"/>
                <w:u w:val="single"/>
              </w:rPr>
              <w:t>Does not include</w:t>
            </w:r>
            <w:r>
              <w:rPr>
                <w:b/>
                <w:bCs/>
                <w:szCs w:val="22"/>
              </w:rPr>
              <w:t>:</w:t>
            </w:r>
          </w:p>
          <w:p>
            <w:pPr>
              <w:pStyle w:val="yTable"/>
              <w:numPr>
                <w:ilvl w:val="0"/>
                <w:numId w:val="13"/>
              </w:numPr>
              <w:tabs>
                <w:tab w:val="clear" w:pos="720"/>
                <w:tab w:val="right" w:pos="438"/>
              </w:tabs>
              <w:ind w:left="438" w:hanging="438"/>
            </w:pPr>
            <w:r>
              <w:t>Any oral or written communication by the physiotherapist with a third party initiated by or requested by the insurer and/or the employer relating to the treatment or rehabilitation of a specific worker (such as suitable work duties).</w:t>
            </w:r>
          </w:p>
        </w:tc>
        <w:tc>
          <w:tcPr>
            <w:tcW w:w="1276"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92" w:type="dxa"/>
            <w:tcBorders>
              <w:top w:val="nil"/>
              <w:left w:val="nil"/>
              <w:bottom w:val="nil"/>
              <w:right w:val="nil"/>
            </w:tcBorders>
          </w:tcPr>
          <w:p>
            <w:pPr>
              <w:pStyle w:val="zytable"/>
              <w:ind w:left="34" w:right="0"/>
            </w:pPr>
          </w:p>
        </w:tc>
        <w:tc>
          <w:tcPr>
            <w:tcW w:w="4678" w:type="dxa"/>
            <w:tcBorders>
              <w:top w:val="nil"/>
              <w:left w:val="nil"/>
              <w:bottom w:val="nil"/>
              <w:right w:val="nil"/>
            </w:tcBorders>
          </w:tcPr>
          <w:p>
            <w:pPr>
              <w:pStyle w:val="yTable"/>
              <w:numPr>
                <w:ilvl w:val="0"/>
                <w:numId w:val="13"/>
              </w:numPr>
              <w:tabs>
                <w:tab w:val="clear" w:pos="720"/>
                <w:tab w:val="right" w:pos="438"/>
              </w:tabs>
              <w:ind w:left="438" w:hanging="438"/>
            </w:pPr>
            <w:r>
              <w:rPr>
                <w:szCs w:val="22"/>
              </w:rPr>
              <w:t>Communication by the physiotherapist with a third party initiated by or requested by the insurer and/or the employer has a specific item number in this Table (PK001).</w:t>
            </w:r>
          </w:p>
        </w:tc>
        <w:tc>
          <w:tcPr>
            <w:tcW w:w="1276"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92" w:type="dxa"/>
            <w:tcBorders>
              <w:top w:val="nil"/>
              <w:left w:val="nil"/>
              <w:right w:val="nil"/>
            </w:tcBorders>
          </w:tcPr>
          <w:p>
            <w:pPr>
              <w:pStyle w:val="zytable"/>
              <w:ind w:left="34" w:right="0"/>
            </w:pPr>
          </w:p>
        </w:tc>
        <w:tc>
          <w:tcPr>
            <w:tcW w:w="4678" w:type="dxa"/>
            <w:tcBorders>
              <w:top w:val="nil"/>
              <w:left w:val="nil"/>
              <w:right w:val="nil"/>
            </w:tcBorders>
          </w:tcPr>
          <w:p>
            <w:pPr>
              <w:pStyle w:val="yTable"/>
              <w:numPr>
                <w:ilvl w:val="0"/>
                <w:numId w:val="13"/>
              </w:numPr>
              <w:tabs>
                <w:tab w:val="clear" w:pos="720"/>
                <w:tab w:val="right" w:pos="438"/>
              </w:tabs>
              <w:ind w:left="438" w:hanging="438"/>
            </w:pPr>
            <w:r>
              <w:rPr>
                <w:szCs w:val="22"/>
              </w:rPr>
              <w:t>The physiotherapist’s involvement in case conferences.  The physiotherapist’s involvement in case conferences has a specific item number in this Table (PQ001).</w:t>
            </w:r>
          </w:p>
        </w:tc>
        <w:tc>
          <w:tcPr>
            <w:tcW w:w="1276" w:type="dxa"/>
            <w:tcBorders>
              <w:top w:val="nil"/>
              <w:left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92" w:type="dxa"/>
            <w:tcBorders>
              <w:left w:val="nil"/>
              <w:right w:val="nil"/>
            </w:tcBorders>
          </w:tcPr>
          <w:p>
            <w:pPr>
              <w:pStyle w:val="yTable"/>
            </w:pPr>
            <w:r>
              <w:t>PC001</w:t>
            </w:r>
          </w:p>
        </w:tc>
        <w:tc>
          <w:tcPr>
            <w:tcW w:w="4678" w:type="dxa"/>
            <w:tcBorders>
              <w:left w:val="nil"/>
              <w:right w:val="nil"/>
            </w:tcBorders>
          </w:tcPr>
          <w:p>
            <w:pPr>
              <w:pStyle w:val="yTable"/>
            </w:pPr>
            <w:r>
              <w:rPr>
                <w:b/>
                <w:bCs/>
              </w:rPr>
              <w:t>Two distinct areas of treatment per visit</w:t>
            </w:r>
          </w:p>
          <w:p>
            <w:pPr>
              <w:pStyle w:val="yTable"/>
            </w:pPr>
            <w:r>
              <w:t>Same description as PB001 except relates to the treatment/management of 2 distinct areas/conditions.</w:t>
            </w:r>
          </w:p>
        </w:tc>
        <w:tc>
          <w:tcPr>
            <w:tcW w:w="1276" w:type="dxa"/>
            <w:tcBorders>
              <w:left w:val="nil"/>
              <w:right w:val="nil"/>
            </w:tcBorders>
          </w:tcPr>
          <w:p>
            <w:pPr>
              <w:pStyle w:val="yTable"/>
            </w:pPr>
            <w:r>
              <w:rPr>
                <w:b/>
                <w:bCs/>
              </w:rPr>
              <w:t>Set Fee</w:t>
            </w:r>
          </w:p>
          <w:p>
            <w:pPr>
              <w:pStyle w:val="yTable"/>
            </w:pPr>
            <w:r>
              <w:rPr>
                <w:szCs w:val="22"/>
              </w:rPr>
              <w:t>$66.00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92" w:type="dxa"/>
            <w:tcBorders>
              <w:left w:val="nil"/>
              <w:right w:val="nil"/>
            </w:tcBorders>
          </w:tcPr>
          <w:p>
            <w:pPr>
              <w:pStyle w:val="yTable"/>
            </w:pPr>
            <w:r>
              <w:t>PG001</w:t>
            </w:r>
          </w:p>
        </w:tc>
        <w:tc>
          <w:tcPr>
            <w:tcW w:w="4678" w:type="dxa"/>
            <w:tcBorders>
              <w:left w:val="nil"/>
              <w:right w:val="nil"/>
            </w:tcBorders>
          </w:tcPr>
          <w:p>
            <w:pPr>
              <w:pStyle w:val="yTable"/>
            </w:pPr>
            <w:r>
              <w:rPr>
                <w:b/>
                <w:bCs/>
              </w:rPr>
              <w:t>Group Consultation — per person</w:t>
            </w:r>
          </w:p>
          <w:p>
            <w:pPr>
              <w:pStyle w:val="yTable"/>
              <w:tabs>
                <w:tab w:val="right" w:pos="438"/>
              </w:tabs>
            </w:pPr>
            <w:r>
              <w:t>Includes non</w:t>
            </w:r>
            <w:r>
              <w:noBreakHyphen/>
              <w:t xml:space="preserve">individualised services provided to more than one individual whether — </w:t>
            </w:r>
          </w:p>
          <w:p>
            <w:pPr>
              <w:pStyle w:val="yTable"/>
              <w:numPr>
                <w:ilvl w:val="0"/>
                <w:numId w:val="13"/>
              </w:numPr>
              <w:tabs>
                <w:tab w:val="clear" w:pos="720"/>
                <w:tab w:val="right" w:pos="438"/>
              </w:tabs>
              <w:ind w:left="0" w:firstLine="0"/>
            </w:pPr>
            <w:r>
              <w:t>in rooms, home or hospital;</w:t>
            </w:r>
          </w:p>
          <w:p>
            <w:pPr>
              <w:pStyle w:val="yTable"/>
              <w:numPr>
                <w:ilvl w:val="0"/>
                <w:numId w:val="13"/>
              </w:numPr>
              <w:tabs>
                <w:tab w:val="clear" w:pos="720"/>
                <w:tab w:val="right" w:pos="438"/>
              </w:tabs>
              <w:ind w:left="0" w:firstLine="0"/>
            </w:pPr>
            <w:r>
              <w:t>hydrotherapy treatment;</w:t>
            </w:r>
          </w:p>
          <w:p>
            <w:pPr>
              <w:pStyle w:val="yTable"/>
              <w:numPr>
                <w:ilvl w:val="0"/>
                <w:numId w:val="13"/>
              </w:numPr>
              <w:tabs>
                <w:tab w:val="clear" w:pos="720"/>
                <w:tab w:val="right" w:pos="438"/>
              </w:tabs>
              <w:ind w:left="0" w:firstLine="0"/>
            </w:pPr>
            <w:r>
              <w:t>extended treatments;</w:t>
            </w:r>
          </w:p>
          <w:p>
            <w:pPr>
              <w:pStyle w:val="yTable"/>
              <w:numPr>
                <w:ilvl w:val="0"/>
                <w:numId w:val="13"/>
              </w:numPr>
              <w:tabs>
                <w:tab w:val="clear" w:pos="720"/>
                <w:tab w:val="right" w:pos="438"/>
              </w:tabs>
              <w:ind w:left="438" w:hanging="438"/>
            </w:pPr>
            <w:r>
              <w:t>services provided outside of normal business hours.</w:t>
            </w:r>
          </w:p>
        </w:tc>
        <w:tc>
          <w:tcPr>
            <w:tcW w:w="1276" w:type="dxa"/>
            <w:tcBorders>
              <w:left w:val="nil"/>
              <w:right w:val="nil"/>
            </w:tcBorders>
          </w:tcPr>
          <w:p>
            <w:pPr>
              <w:pStyle w:val="yTable"/>
            </w:pPr>
            <w:r>
              <w:rPr>
                <w:b/>
                <w:bCs/>
              </w:rPr>
              <w:t>Cost per</w:t>
            </w:r>
            <w:r>
              <w:rPr>
                <w:b/>
                <w:bCs/>
              </w:rPr>
              <w:br/>
              <w:t>participant</w:t>
            </w:r>
          </w:p>
          <w:p>
            <w:pPr>
              <w:pStyle w:val="yTable"/>
            </w:pPr>
            <w:r>
              <w:t>$16.05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92" w:type="dxa"/>
            <w:tcBorders>
              <w:left w:val="nil"/>
              <w:bottom w:val="single" w:sz="4" w:space="0" w:color="auto"/>
              <w:right w:val="nil"/>
            </w:tcBorders>
          </w:tcPr>
          <w:p>
            <w:pPr>
              <w:pStyle w:val="yTable"/>
            </w:pPr>
            <w:r>
              <w:t>PE001</w:t>
            </w:r>
          </w:p>
        </w:tc>
        <w:tc>
          <w:tcPr>
            <w:tcW w:w="4678" w:type="dxa"/>
            <w:tcBorders>
              <w:left w:val="nil"/>
              <w:bottom w:val="single" w:sz="4" w:space="0" w:color="auto"/>
              <w:right w:val="nil"/>
            </w:tcBorders>
          </w:tcPr>
          <w:p>
            <w:pPr>
              <w:pStyle w:val="yTable"/>
            </w:pPr>
            <w:r>
              <w:rPr>
                <w:b/>
                <w:bCs/>
              </w:rPr>
              <w:t>Worksite Visit</w:t>
            </w:r>
            <w:r>
              <w:t> — prior approval from insurer required.</w:t>
            </w:r>
          </w:p>
          <w:p>
            <w:pPr>
              <w:pStyle w:val="yTable"/>
              <w:rPr>
                <w:u w:val="single"/>
              </w:rPr>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
              <w:rPr>
                <w:u w:val="single"/>
              </w:rPr>
            </w:pPr>
            <w:r>
              <w:t>Does not include reports or travel.</w:t>
            </w:r>
          </w:p>
        </w:tc>
        <w:tc>
          <w:tcPr>
            <w:tcW w:w="1276" w:type="dxa"/>
            <w:tcBorders>
              <w:left w:val="nil"/>
              <w:bottom w:val="single" w:sz="4" w:space="0" w:color="auto"/>
              <w:right w:val="nil"/>
            </w:tcBorders>
          </w:tcPr>
          <w:p>
            <w:pPr>
              <w:pStyle w:val="yTable"/>
            </w:pPr>
            <w:r>
              <w:rPr>
                <w:b/>
                <w:bCs/>
              </w:rPr>
              <w:t>Hourly rate</w:t>
            </w:r>
            <w:r>
              <w:t>**</w:t>
            </w:r>
          </w:p>
          <w:p>
            <w:pPr>
              <w:pStyle w:val="yTable"/>
            </w:pPr>
            <w:r>
              <w:rPr>
                <w:szCs w:val="22"/>
              </w:rPr>
              <w:t>$148.30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92" w:type="dxa"/>
            <w:tcBorders>
              <w:left w:val="nil"/>
              <w:bottom w:val="nil"/>
              <w:right w:val="nil"/>
            </w:tcBorders>
          </w:tcPr>
          <w:p>
            <w:pPr>
              <w:pStyle w:val="yTable"/>
            </w:pPr>
            <w:r>
              <w:t>PR001</w:t>
            </w:r>
          </w:p>
        </w:tc>
        <w:tc>
          <w:tcPr>
            <w:tcW w:w="4678" w:type="dxa"/>
            <w:tcBorders>
              <w:left w:val="nil"/>
              <w:bottom w:val="nil"/>
              <w:right w:val="nil"/>
            </w:tcBorders>
          </w:tcPr>
          <w:p>
            <w:pPr>
              <w:pStyle w:val="yTable"/>
            </w:pPr>
            <w:r>
              <w:rPr>
                <w:b/>
                <w:bCs/>
              </w:rPr>
              <w:t>Reports</w:t>
            </w:r>
          </w:p>
          <w:p>
            <w:pPr>
              <w:pStyle w:val="yTable"/>
            </w:pPr>
            <w:r>
              <w:t xml:space="preserve">Any report relating to a specific worker required by or requested by — </w:t>
            </w:r>
          </w:p>
          <w:p>
            <w:pPr>
              <w:pStyle w:val="yTable"/>
              <w:numPr>
                <w:ilvl w:val="0"/>
                <w:numId w:val="13"/>
              </w:numPr>
              <w:tabs>
                <w:tab w:val="clear" w:pos="720"/>
                <w:tab w:val="right" w:pos="438"/>
              </w:tabs>
              <w:ind w:left="0" w:firstLine="0"/>
            </w:pPr>
            <w:r>
              <w:t>medical specialist;</w:t>
            </w:r>
          </w:p>
          <w:p>
            <w:pPr>
              <w:pStyle w:val="yTable"/>
              <w:numPr>
                <w:ilvl w:val="0"/>
                <w:numId w:val="13"/>
              </w:numPr>
              <w:tabs>
                <w:tab w:val="clear" w:pos="720"/>
                <w:tab w:val="right" w:pos="438"/>
              </w:tabs>
              <w:ind w:left="0" w:firstLine="0"/>
            </w:pPr>
            <w:r>
              <w:t>medical practitioner;</w:t>
            </w:r>
          </w:p>
          <w:p>
            <w:pPr>
              <w:pStyle w:val="yTable"/>
              <w:numPr>
                <w:ilvl w:val="0"/>
                <w:numId w:val="13"/>
              </w:numPr>
              <w:tabs>
                <w:tab w:val="clear" w:pos="720"/>
                <w:tab w:val="right" w:pos="438"/>
              </w:tabs>
              <w:ind w:left="0" w:firstLine="0"/>
            </w:pPr>
            <w:r>
              <w:t>employer;</w:t>
            </w:r>
          </w:p>
          <w:p>
            <w:pPr>
              <w:pStyle w:val="yTable"/>
              <w:numPr>
                <w:ilvl w:val="0"/>
                <w:numId w:val="13"/>
              </w:numPr>
              <w:tabs>
                <w:tab w:val="clear" w:pos="720"/>
                <w:tab w:val="right" w:pos="438"/>
              </w:tabs>
              <w:ind w:left="0" w:firstLine="0"/>
            </w:pPr>
            <w:r>
              <w:t>insurer.</w:t>
            </w:r>
          </w:p>
          <w:p>
            <w:pPr>
              <w:pStyle w:val="yTable"/>
            </w:pPr>
            <w:r>
              <w:t>Excludes courtesy communication such as acknowledgment of referral and brief updates to the medical practitioner.</w:t>
            </w:r>
          </w:p>
        </w:tc>
        <w:tc>
          <w:tcPr>
            <w:tcW w:w="1276" w:type="dxa"/>
            <w:tcBorders>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92" w:type="dxa"/>
            <w:tcBorders>
              <w:top w:val="nil"/>
              <w:left w:val="nil"/>
              <w:bottom w:val="nil"/>
              <w:right w:val="nil"/>
            </w:tcBorders>
          </w:tcPr>
          <w:p>
            <w:pPr>
              <w:pStyle w:val="zytable"/>
              <w:keepNext/>
              <w:ind w:left="34" w:right="0"/>
            </w:pPr>
          </w:p>
        </w:tc>
        <w:tc>
          <w:tcPr>
            <w:tcW w:w="4678" w:type="dxa"/>
            <w:tcBorders>
              <w:top w:val="nil"/>
              <w:left w:val="nil"/>
              <w:bottom w:val="nil"/>
              <w:right w:val="nil"/>
            </w:tcBorders>
          </w:tcPr>
          <w:p>
            <w:pPr>
              <w:pStyle w:val="yTable"/>
            </w:pPr>
            <w:r>
              <w:rPr>
                <w:b/>
                <w:bCs/>
              </w:rPr>
              <w:t>Progress/Standard report</w:t>
            </w:r>
          </w:p>
          <w:p>
            <w:pPr>
              <w:pStyle w:val="yTable"/>
            </w:pPr>
            <w:r>
              <w:t>Report should contain summarised information or assessment findings, treatment services provided, results obtained with specific recommendations for further management and return to work if applicable.</w:t>
            </w:r>
          </w:p>
        </w:tc>
        <w:tc>
          <w:tcPr>
            <w:tcW w:w="1276" w:type="dxa"/>
            <w:tcBorders>
              <w:top w:val="nil"/>
              <w:left w:val="nil"/>
              <w:bottom w:val="nil"/>
              <w:right w:val="nil"/>
            </w:tcBorders>
          </w:tcPr>
          <w:p>
            <w:pPr>
              <w:pStyle w:val="yTable"/>
            </w:pPr>
            <w:r>
              <w:rPr>
                <w:b/>
                <w:bCs/>
              </w:rPr>
              <w:t>Set Fee</w:t>
            </w:r>
          </w:p>
          <w:p>
            <w:pPr>
              <w:pStyle w:val="yTable"/>
            </w:pPr>
            <w:r>
              <w:rPr>
                <w:szCs w:val="22"/>
              </w:rPr>
              <w:t>$65.00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92" w:type="dxa"/>
            <w:tcBorders>
              <w:top w:val="nil"/>
              <w:left w:val="nil"/>
              <w:bottom w:val="single" w:sz="4" w:space="0" w:color="auto"/>
              <w:right w:val="nil"/>
            </w:tcBorders>
          </w:tcPr>
          <w:p>
            <w:pPr>
              <w:pStyle w:val="zytable"/>
              <w:ind w:left="34" w:right="0"/>
            </w:pPr>
          </w:p>
        </w:tc>
        <w:tc>
          <w:tcPr>
            <w:tcW w:w="4678" w:type="dxa"/>
            <w:tcBorders>
              <w:top w:val="nil"/>
              <w:left w:val="nil"/>
              <w:bottom w:val="single" w:sz="4" w:space="0" w:color="auto"/>
              <w:right w:val="nil"/>
            </w:tcBorders>
          </w:tcPr>
          <w:p>
            <w:pPr>
              <w:pStyle w:val="yTable"/>
            </w:pPr>
            <w:r>
              <w:rPr>
                <w:b/>
                <w:bCs/>
              </w:rPr>
              <w:t>Comprehensive report</w:t>
            </w:r>
          </w:p>
          <w:p>
            <w:pPr>
              <w:pStyle w:val="yTable"/>
            </w:pPr>
            <w:r>
              <w:t>As above for progress/standard report and contains information relating to more detailed assessments and interventions performed.</w:t>
            </w:r>
          </w:p>
          <w:p>
            <w:pPr>
              <w:pStyle w:val="yTable"/>
            </w:pPr>
            <w:r>
              <w:t>The specific requirements for a comprehensive report must be discussed with the insurer prior to approval with a suggested maximum duration of 2 hours.</w:t>
            </w:r>
          </w:p>
        </w:tc>
        <w:tc>
          <w:tcPr>
            <w:tcW w:w="1276" w:type="dxa"/>
            <w:tcBorders>
              <w:top w:val="nil"/>
              <w:left w:val="nil"/>
              <w:bottom w:val="single" w:sz="4" w:space="0" w:color="auto"/>
              <w:right w:val="nil"/>
            </w:tcBorders>
          </w:tcPr>
          <w:p>
            <w:pPr>
              <w:pStyle w:val="yTable"/>
            </w:pPr>
            <w:r>
              <w:rPr>
                <w:b/>
                <w:bCs/>
              </w:rPr>
              <w:t>Hourly rate</w:t>
            </w:r>
            <w:r>
              <w:t>**</w:t>
            </w:r>
          </w:p>
          <w:p>
            <w:pPr>
              <w:pStyle w:val="yTable"/>
            </w:pPr>
            <w:r>
              <w:rPr>
                <w:szCs w:val="22"/>
              </w:rPr>
              <w:t>$148.30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92" w:type="dxa"/>
            <w:tcBorders>
              <w:left w:val="nil"/>
              <w:bottom w:val="single" w:sz="4" w:space="0" w:color="auto"/>
              <w:right w:val="nil"/>
            </w:tcBorders>
          </w:tcPr>
          <w:p>
            <w:pPr>
              <w:pStyle w:val="yTable"/>
            </w:pPr>
            <w:r>
              <w:t>PT001</w:t>
            </w:r>
          </w:p>
        </w:tc>
        <w:tc>
          <w:tcPr>
            <w:tcW w:w="4678" w:type="dxa"/>
            <w:tcBorders>
              <w:left w:val="nil"/>
              <w:bottom w:val="single" w:sz="4" w:space="0" w:color="auto"/>
              <w:right w:val="nil"/>
            </w:tcBorders>
          </w:tcPr>
          <w:p>
            <w:pPr>
              <w:pStyle w:val="yTable"/>
            </w:pPr>
            <w:r>
              <w:rPr>
                <w:b/>
                <w:bCs/>
              </w:rPr>
              <w:t>Travel</w:t>
            </w:r>
          </w:p>
          <w:p>
            <w:pPr>
              <w:pStyle w:val="yTable"/>
              <w:rPr>
                <w:lang w:val="en-US"/>
              </w:rPr>
            </w:pPr>
            <w:r>
              <w:rPr>
                <w:lang w:val="en-US"/>
              </w:rPr>
              <w:t>Travel when the most appropriate management of the patient requires the provider to travel away from their normal practice. The insurer must provide pre</w:t>
            </w:r>
            <w:r>
              <w:rPr>
                <w:lang w:val="en-US"/>
              </w:rPr>
              <w:noBreakHyphen/>
              <w:t>approval for travel in excess of one hour.</w:t>
            </w:r>
          </w:p>
          <w:p>
            <w:pPr>
              <w:pStyle w:val="yTable"/>
            </w:pPr>
            <w:r>
              <w:t>If services are provided to more than one worker before leaving a venue, the fee for the journey is to be apportioned equally between workers.</w:t>
            </w:r>
          </w:p>
        </w:tc>
        <w:tc>
          <w:tcPr>
            <w:tcW w:w="1276" w:type="dxa"/>
            <w:tcBorders>
              <w:left w:val="nil"/>
              <w:bottom w:val="single" w:sz="4" w:space="0" w:color="auto"/>
              <w:right w:val="nil"/>
            </w:tcBorders>
          </w:tcPr>
          <w:p>
            <w:pPr>
              <w:pStyle w:val="yTable"/>
            </w:pPr>
            <w:r>
              <w:rPr>
                <w:b/>
                <w:bCs/>
              </w:rPr>
              <w:t>Hourly Rate</w:t>
            </w:r>
            <w:r>
              <w:t>**</w:t>
            </w:r>
          </w:p>
          <w:p>
            <w:pPr>
              <w:pStyle w:val="yTable"/>
            </w:pPr>
            <w:r>
              <w:rPr>
                <w:szCs w:val="22"/>
              </w:rPr>
              <w:t>$118.65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92" w:type="dxa"/>
            <w:tcBorders>
              <w:top w:val="single" w:sz="4" w:space="0" w:color="auto"/>
              <w:left w:val="nil"/>
              <w:right w:val="nil"/>
            </w:tcBorders>
          </w:tcPr>
          <w:p>
            <w:pPr>
              <w:pStyle w:val="yTable"/>
            </w:pPr>
            <w:r>
              <w:t>PQ001</w:t>
            </w:r>
          </w:p>
        </w:tc>
        <w:tc>
          <w:tcPr>
            <w:tcW w:w="4678" w:type="dxa"/>
            <w:tcBorders>
              <w:top w:val="single" w:sz="4" w:space="0" w:color="auto"/>
              <w:left w:val="nil"/>
              <w:right w:val="nil"/>
            </w:tcBorders>
          </w:tcPr>
          <w:p>
            <w:pPr>
              <w:pStyle w:val="yTable"/>
            </w:pPr>
            <w:r>
              <w:rPr>
                <w:b/>
                <w:bCs/>
              </w:rPr>
              <w:t>Case Conferences</w:t>
            </w:r>
          </w:p>
          <w:p>
            <w:pPr>
              <w:pStyle w:val="yTable"/>
            </w:pPr>
            <w:r>
              <w:t>Face</w:t>
            </w:r>
            <w:r>
              <w:noBreakHyphen/>
              <w:t>to</w:t>
            </w:r>
            <w:r>
              <w:noBreakHyphen/>
              <w:t xml:space="preserve">face or telephone communication involving the physiotherapist with one or more of the following — </w:t>
            </w:r>
          </w:p>
          <w:p>
            <w:pPr>
              <w:pStyle w:val="yTable"/>
            </w:pPr>
            <w:r>
              <w:t>doctor, employer, insurer/claims manager, rehabilitation providers and worker.</w:t>
            </w:r>
          </w:p>
          <w:p>
            <w:pPr>
              <w:pStyle w:val="yTable"/>
            </w:pPr>
            <w:r>
              <w:t>The aim of the case conference is to plan, implement, manage or review treatment options and/or rehabilitation plan.</w:t>
            </w:r>
          </w:p>
        </w:tc>
        <w:tc>
          <w:tcPr>
            <w:tcW w:w="1276" w:type="dxa"/>
            <w:tcBorders>
              <w:top w:val="single" w:sz="4" w:space="0" w:color="auto"/>
              <w:left w:val="nil"/>
              <w:right w:val="nil"/>
            </w:tcBorders>
          </w:tcPr>
          <w:p>
            <w:pPr>
              <w:pStyle w:val="yTable"/>
            </w:pPr>
          </w:p>
          <w:p>
            <w:pPr>
              <w:pStyle w:val="yTable"/>
            </w:pPr>
            <w:r>
              <w:t>$14.90</w:t>
            </w:r>
            <w:r>
              <w:b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92" w:type="dxa"/>
            <w:tcBorders>
              <w:left w:val="nil"/>
              <w:right w:val="nil"/>
            </w:tcBorders>
          </w:tcPr>
          <w:p>
            <w:pPr>
              <w:pStyle w:val="yTable"/>
            </w:pPr>
            <w:r>
              <w:t>PK001</w:t>
            </w:r>
          </w:p>
        </w:tc>
        <w:tc>
          <w:tcPr>
            <w:tcW w:w="4678" w:type="dxa"/>
            <w:tcBorders>
              <w:left w:val="nil"/>
              <w:right w:val="nil"/>
            </w:tcBorders>
          </w:tcPr>
          <w:p>
            <w:pPr>
              <w:pStyle w:val="yTable"/>
            </w:pPr>
            <w:r>
              <w:rPr>
                <w:b/>
                <w:bCs/>
              </w:rPr>
              <w:t>Communication</w:t>
            </w:r>
          </w:p>
          <w:p>
            <w:pPr>
              <w:pStyle w:val="yTable"/>
            </w:pPr>
            <w:r>
              <w:t xml:space="preserve">Any requested or required oral communication by the physiotherapist </w:t>
            </w:r>
            <w:r>
              <w:rPr>
                <w:lang w:val="en-US"/>
              </w:rPr>
              <w:t xml:space="preserve">with relevant parties (treating medical practitioners, employers and insurers) </w:t>
            </w:r>
            <w:r>
              <w:t>relating to the treatment or rehabilitation of a specific worker.</w:t>
            </w:r>
          </w:p>
          <w:p>
            <w:pPr>
              <w:pStyle w:val="yTable"/>
            </w:pPr>
            <w:r>
              <w:t>Excludes courtesy communication such as acknowledgment of referral and brief updates to the medical practitioner.</w:t>
            </w:r>
          </w:p>
          <w:p>
            <w:pPr>
              <w:pStyle w:val="yTable"/>
            </w:pPr>
            <w:r>
              <w:t>Maximum time allowable per communication of 30 minutes.</w:t>
            </w:r>
          </w:p>
        </w:tc>
        <w:tc>
          <w:tcPr>
            <w:tcW w:w="1276" w:type="dxa"/>
            <w:tcBorders>
              <w:left w:val="nil"/>
              <w:right w:val="nil"/>
            </w:tcBorders>
          </w:tcPr>
          <w:p>
            <w:pPr>
              <w:pStyle w:val="yTable"/>
            </w:pPr>
          </w:p>
          <w:p>
            <w:pPr>
              <w:pStyle w:val="yTable"/>
            </w:pPr>
            <w:r>
              <w:t>$14.90 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92" w:type="dxa"/>
            <w:tcBorders>
              <w:left w:val="nil"/>
              <w:bottom w:val="single" w:sz="4" w:space="0" w:color="auto"/>
              <w:right w:val="nil"/>
            </w:tcBorders>
          </w:tcPr>
          <w:p>
            <w:pPr>
              <w:pStyle w:val="yTable"/>
              <w:keepNext/>
            </w:pPr>
            <w:r>
              <w:t>PS001</w:t>
            </w:r>
          </w:p>
        </w:tc>
        <w:tc>
          <w:tcPr>
            <w:tcW w:w="4678" w:type="dxa"/>
            <w:tcBorders>
              <w:left w:val="nil"/>
              <w:bottom w:val="single" w:sz="4" w:space="0" w:color="auto"/>
              <w:right w:val="nil"/>
            </w:tcBorders>
          </w:tcPr>
          <w:p>
            <w:pPr>
              <w:pStyle w:val="yTable"/>
              <w:keepNext/>
            </w:pPr>
            <w:r>
              <w:rPr>
                <w:b/>
                <w:bCs/>
              </w:rPr>
              <w:t>Specific Physiotherapy Assessment</w:t>
            </w:r>
            <w:r>
              <w:t> — prior approval from insurer required.</w:t>
            </w:r>
          </w:p>
          <w:p>
            <w:pPr>
              <w:pStyle w:val="yTable"/>
              <w:keepNext/>
            </w:pPr>
            <w:r>
              <w:t>Includes specific types of assessments not classified elsewhere in these scales required by the insurer which physiotherapists may undertake (e.g. diagnostic ultrasound imaging, Functional Capacity Assessments (FCE’s), seating and wheelchair assessments).</w:t>
            </w:r>
          </w:p>
        </w:tc>
        <w:tc>
          <w:tcPr>
            <w:tcW w:w="1276" w:type="dxa"/>
            <w:tcBorders>
              <w:left w:val="nil"/>
              <w:bottom w:val="single" w:sz="4" w:space="0" w:color="auto"/>
              <w:right w:val="nil"/>
            </w:tcBorders>
          </w:tcPr>
          <w:p>
            <w:pPr>
              <w:pStyle w:val="yTable"/>
              <w:keepNext/>
            </w:pPr>
            <w:r>
              <w:rPr>
                <w:b/>
                <w:bCs/>
              </w:rPr>
              <w:t>Hourly Rate</w:t>
            </w:r>
            <w:r>
              <w:t>**</w:t>
            </w:r>
          </w:p>
          <w:p>
            <w:pPr>
              <w:pStyle w:val="yTable"/>
              <w:keepNext/>
            </w:pPr>
            <w:r>
              <w:rPr>
                <w:szCs w:val="22"/>
              </w:rPr>
              <w:t>$148.30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92" w:type="dxa"/>
            <w:tcBorders>
              <w:left w:val="nil"/>
              <w:bottom w:val="single" w:sz="4" w:space="0" w:color="auto"/>
              <w:right w:val="nil"/>
            </w:tcBorders>
          </w:tcPr>
          <w:p>
            <w:pPr>
              <w:pStyle w:val="yTable"/>
            </w:pPr>
            <w:r>
              <w:t>PW001</w:t>
            </w:r>
          </w:p>
        </w:tc>
        <w:tc>
          <w:tcPr>
            <w:tcW w:w="4678" w:type="dxa"/>
            <w:tcBorders>
              <w:left w:val="nil"/>
              <w:bottom w:val="single" w:sz="4" w:space="0" w:color="auto"/>
              <w:right w:val="nil"/>
            </w:tcBorders>
          </w:tcPr>
          <w:p>
            <w:pPr>
              <w:pStyle w:val="yTable"/>
            </w:pPr>
            <w:r>
              <w:rPr>
                <w:b/>
                <w:bCs/>
              </w:rPr>
              <w:t>Specific Physiotherapy Intervention</w:t>
            </w:r>
            <w:r>
              <w:t> — prior approval from insurer required (*replaces PD001).</w:t>
            </w:r>
          </w:p>
          <w:p>
            <w:pPr>
              <w:pStyle w:val="yTable"/>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276" w:type="dxa"/>
            <w:tcBorders>
              <w:left w:val="nil"/>
              <w:bottom w:val="single" w:sz="4" w:space="0" w:color="auto"/>
              <w:right w:val="nil"/>
            </w:tcBorders>
          </w:tcPr>
          <w:p>
            <w:pPr>
              <w:pStyle w:val="yTable"/>
            </w:pPr>
            <w:r>
              <w:rPr>
                <w:b/>
                <w:bCs/>
              </w:rPr>
              <w:t>Hourly Rate</w:t>
            </w:r>
            <w:r>
              <w:t>**</w:t>
            </w:r>
          </w:p>
          <w:p>
            <w:pPr>
              <w:pStyle w:val="yTable"/>
            </w:pPr>
            <w:r>
              <w:rPr>
                <w:szCs w:val="22"/>
              </w:rPr>
              <w:t>$148.30</w:t>
            </w:r>
            <w:r>
              <w:rPr>
                <w:szCs w:val="22"/>
              </w:rPr>
              <w:br/>
            </w:r>
            <w:r>
              <w:t>Maximum duration of service provision 2 hours</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1 inserted in Gazette 17 Dec 2008 p. 5315</w:t>
      </w:r>
      <w:r>
        <w:noBreakHyphen/>
        <w:t>20.]</w:t>
      </w:r>
    </w:p>
    <w:p>
      <w:pPr>
        <w:pStyle w:val="yHeading3"/>
        <w:keepLines/>
      </w:pPr>
      <w:bookmarkStart w:id="167" w:name="_Toc217355369"/>
      <w:bookmarkStart w:id="168" w:name="_Toc217355399"/>
      <w:r>
        <w:rPr>
          <w:rStyle w:val="CharSDivNo"/>
        </w:rPr>
        <w:t>Part 2</w:t>
      </w:r>
      <w:r>
        <w:t xml:space="preserve"> — </w:t>
      </w:r>
      <w:r>
        <w:rPr>
          <w:rStyle w:val="CharSDivText"/>
        </w:rPr>
        <w:t>Exercise</w:t>
      </w:r>
      <w:r>
        <w:rPr>
          <w:rStyle w:val="CharSDivText"/>
        </w:rPr>
        <w:noBreakHyphen/>
        <w:t>based programs</w:t>
      </w:r>
      <w:bookmarkEnd w:id="167"/>
      <w:bookmarkEnd w:id="168"/>
    </w:p>
    <w:p>
      <w:pPr>
        <w:pStyle w:val="yFootnoteheading"/>
        <w:keepNext/>
        <w:keepLines/>
      </w:pPr>
      <w:r>
        <w:tab/>
        <w:t>[Heading inserted in Gazette 17 Dec 2008 p. 5321.]</w:t>
      </w:r>
    </w:p>
    <w:tbl>
      <w:tblPr>
        <w:tblW w:w="6946" w:type="dxa"/>
        <w:tblInd w:w="250" w:type="dxa"/>
        <w:tblLayout w:type="fixed"/>
        <w:tblLook w:val="0000" w:firstRow="0" w:lastRow="0" w:firstColumn="0" w:lastColumn="0" w:noHBand="0" w:noVBand="0"/>
      </w:tblPr>
      <w:tblGrid>
        <w:gridCol w:w="992"/>
        <w:gridCol w:w="4678"/>
        <w:gridCol w:w="1276"/>
      </w:tblGrid>
      <w:tr>
        <w:trPr>
          <w:cantSplit/>
          <w:tblHeader/>
        </w:trPr>
        <w:tc>
          <w:tcPr>
            <w:tcW w:w="992" w:type="dxa"/>
            <w:tcBorders>
              <w:top w:val="single" w:sz="4" w:space="0" w:color="auto"/>
              <w:bottom w:val="single" w:sz="4" w:space="0" w:color="auto"/>
            </w:tcBorders>
          </w:tcPr>
          <w:p>
            <w:pPr>
              <w:pStyle w:val="zytable"/>
              <w:keepNext/>
              <w:ind w:left="0" w:right="0"/>
            </w:pPr>
          </w:p>
        </w:tc>
        <w:tc>
          <w:tcPr>
            <w:tcW w:w="4678" w:type="dxa"/>
            <w:tcBorders>
              <w:top w:val="single" w:sz="4" w:space="0" w:color="auto"/>
              <w:bottom w:val="single" w:sz="4" w:space="0" w:color="auto"/>
            </w:tcBorders>
          </w:tcPr>
          <w:p>
            <w:pPr>
              <w:pStyle w:val="yTable"/>
            </w:pPr>
            <w:r>
              <w:rPr>
                <w:b/>
              </w:rPr>
              <w:t xml:space="preserve">Type of service </w:t>
            </w:r>
          </w:p>
        </w:tc>
        <w:tc>
          <w:tcPr>
            <w:tcW w:w="1276" w:type="dxa"/>
            <w:tcBorders>
              <w:top w:val="single" w:sz="4" w:space="0" w:color="auto"/>
              <w:bottom w:val="single" w:sz="4" w:space="0" w:color="auto"/>
            </w:tcBorders>
          </w:tcPr>
          <w:p>
            <w:pPr>
              <w:pStyle w:val="yTable"/>
            </w:pPr>
            <w:r>
              <w:rPr>
                <w:b/>
                <w:bCs/>
              </w:rPr>
              <w:t>Fee</w:t>
            </w:r>
          </w:p>
        </w:tc>
      </w:tr>
      <w:tr>
        <w:trPr>
          <w:cantSplit/>
        </w:trPr>
        <w:tc>
          <w:tcPr>
            <w:tcW w:w="992" w:type="dxa"/>
            <w:tcBorders>
              <w:top w:val="single" w:sz="4" w:space="0" w:color="auto"/>
            </w:tcBorders>
          </w:tcPr>
          <w:p>
            <w:pPr>
              <w:pStyle w:val="yTable"/>
            </w:pPr>
            <w:r>
              <w:t>EXE20</w:t>
            </w:r>
          </w:p>
        </w:tc>
        <w:tc>
          <w:tcPr>
            <w:tcW w:w="4678" w:type="dxa"/>
            <w:tcBorders>
              <w:top w:val="single" w:sz="4" w:space="0" w:color="auto"/>
            </w:tcBorders>
          </w:tcPr>
          <w:p>
            <w:pPr>
              <w:pStyle w:val="yTable"/>
            </w:pPr>
            <w:r>
              <w:rPr>
                <w:b/>
                <w:bCs/>
              </w:rPr>
              <w:t>Initial Consultation/Assessment</w:t>
            </w:r>
          </w:p>
          <w:p>
            <w:pPr>
              <w:pStyle w:val="yTable"/>
              <w:rPr>
                <w:lang w:val="en-US"/>
              </w:rPr>
            </w:pPr>
            <w:r>
              <w:rPr>
                <w:lang w:val="en-US"/>
              </w:rPr>
              <w:t>Insurer approval must be obtained prior to undertaking the service.</w:t>
            </w:r>
          </w:p>
          <w:p>
            <w:pPr>
              <w:pStyle w:val="yTable"/>
              <w:numPr>
                <w:ilvl w:val="0"/>
                <w:numId w:val="13"/>
              </w:numPr>
              <w:tabs>
                <w:tab w:val="clear" w:pos="720"/>
                <w:tab w:val="right" w:pos="438"/>
              </w:tabs>
              <w:ind w:left="438" w:hanging="438"/>
              <w:rPr>
                <w:szCs w:val="22"/>
              </w:rPr>
            </w:pPr>
            <w:r>
              <w:rPr>
                <w:szCs w:val="22"/>
              </w:rPr>
              <w:t>Review of current medical and vocational status.</w:t>
            </w:r>
          </w:p>
          <w:p>
            <w:pPr>
              <w:pStyle w:val="yTable"/>
              <w:numPr>
                <w:ilvl w:val="0"/>
                <w:numId w:val="13"/>
              </w:numPr>
              <w:tabs>
                <w:tab w:val="clear" w:pos="720"/>
                <w:tab w:val="right" w:pos="438"/>
              </w:tabs>
              <w:ind w:left="438" w:hanging="438"/>
              <w:rPr>
                <w:szCs w:val="22"/>
              </w:rPr>
            </w:pPr>
            <w:r>
              <w:rPr>
                <w:szCs w:val="22"/>
              </w:rPr>
              <w:t>Communication/Liaison with relevant parties.</w:t>
            </w:r>
          </w:p>
          <w:p>
            <w:pPr>
              <w:pStyle w:val="yTable"/>
              <w:numPr>
                <w:ilvl w:val="0"/>
                <w:numId w:val="13"/>
              </w:numPr>
              <w:tabs>
                <w:tab w:val="clear" w:pos="720"/>
                <w:tab w:val="right" w:pos="438"/>
              </w:tabs>
              <w:ind w:left="438" w:hanging="438"/>
              <w:rPr>
                <w:szCs w:val="22"/>
              </w:rPr>
            </w:pPr>
            <w:r>
              <w:rPr>
                <w:szCs w:val="22"/>
              </w:rPr>
              <w:t>Physiological Assessment/testing.</w:t>
            </w:r>
          </w:p>
          <w:p>
            <w:pPr>
              <w:pStyle w:val="yTable"/>
              <w:numPr>
                <w:ilvl w:val="0"/>
                <w:numId w:val="13"/>
              </w:numPr>
              <w:tabs>
                <w:tab w:val="clear" w:pos="720"/>
                <w:tab w:val="right" w:pos="438"/>
              </w:tabs>
              <w:ind w:left="438" w:hanging="438"/>
              <w:rPr>
                <w:szCs w:val="22"/>
              </w:rPr>
            </w:pPr>
            <w:r>
              <w:rPr>
                <w:szCs w:val="22"/>
              </w:rPr>
              <w:t>Screening Questionnaires relating to worker’s level of function.</w:t>
            </w:r>
          </w:p>
          <w:p>
            <w:pPr>
              <w:pStyle w:val="yTable"/>
              <w:numPr>
                <w:ilvl w:val="0"/>
                <w:numId w:val="13"/>
              </w:numPr>
              <w:tabs>
                <w:tab w:val="clear" w:pos="720"/>
                <w:tab w:val="right" w:pos="438"/>
              </w:tabs>
              <w:ind w:left="438" w:hanging="438"/>
              <w:rPr>
                <w:szCs w:val="22"/>
              </w:rPr>
            </w:pPr>
            <w:r>
              <w:rPr>
                <w:szCs w:val="22"/>
              </w:rPr>
              <w:t>Program design based on above.</w:t>
            </w:r>
          </w:p>
          <w:p>
            <w:pPr>
              <w:pStyle w:val="yTable"/>
              <w:numPr>
                <w:ilvl w:val="0"/>
                <w:numId w:val="13"/>
              </w:numPr>
              <w:tabs>
                <w:tab w:val="clear" w:pos="720"/>
                <w:tab w:val="right" w:pos="438"/>
              </w:tabs>
              <w:ind w:left="438" w:hanging="438"/>
              <w:rPr>
                <w:i/>
                <w:lang w:val="en-US"/>
              </w:rPr>
            </w:pPr>
            <w:r>
              <w:rPr>
                <w:szCs w:val="22"/>
              </w:rPr>
              <w:t>Exercise facility/equipment coordination (pool or gym based).</w:t>
            </w:r>
          </w:p>
        </w:tc>
        <w:tc>
          <w:tcPr>
            <w:tcW w:w="1276" w:type="dxa"/>
            <w:tcBorders>
              <w:top w:val="single" w:sz="4" w:space="0" w:color="auto"/>
            </w:tcBorders>
          </w:tcPr>
          <w:p>
            <w:pPr>
              <w:pStyle w:val="yTable"/>
            </w:pPr>
          </w:p>
          <w:p>
            <w:pPr>
              <w:pStyle w:val="yTable"/>
            </w:pPr>
            <w:r>
              <w:t xml:space="preserve">$148.30 </w:t>
            </w:r>
            <w:r>
              <w:br/>
              <w:t>per hour to a maximum of 2 hours**</w:t>
            </w:r>
          </w:p>
        </w:tc>
      </w:tr>
      <w:tr>
        <w:trPr>
          <w:cantSplit/>
        </w:trPr>
        <w:tc>
          <w:tcPr>
            <w:tcW w:w="992" w:type="dxa"/>
            <w:tcBorders>
              <w:bottom w:val="single" w:sz="4" w:space="0" w:color="auto"/>
            </w:tcBorders>
          </w:tcPr>
          <w:p>
            <w:pPr>
              <w:pStyle w:val="zytable"/>
              <w:ind w:left="34" w:right="34"/>
            </w:pPr>
          </w:p>
        </w:tc>
        <w:tc>
          <w:tcPr>
            <w:tcW w:w="4678" w:type="dxa"/>
            <w:tcBorders>
              <w:bottom w:val="single" w:sz="4" w:space="0" w:color="auto"/>
            </w:tcBorders>
          </w:tcPr>
          <w:p>
            <w:pPr>
              <w:pStyle w:val="yTable"/>
            </w:pPr>
            <w:r>
              <w:t>Provider to patient ratio must be 1:1 for the duration of the consultation.</w:t>
            </w:r>
          </w:p>
        </w:tc>
        <w:tc>
          <w:tcPr>
            <w:tcW w:w="1276" w:type="dxa"/>
            <w:tcBorders>
              <w:bottom w:val="single" w:sz="4" w:space="0" w:color="auto"/>
            </w:tcBorders>
          </w:tcPr>
          <w:p>
            <w:pPr>
              <w:pStyle w:val="yTable"/>
            </w:pPr>
          </w:p>
        </w:tc>
      </w:tr>
      <w:tr>
        <w:trPr>
          <w:cantSplit/>
        </w:trPr>
        <w:tc>
          <w:tcPr>
            <w:tcW w:w="992" w:type="dxa"/>
            <w:tcBorders>
              <w:top w:val="single" w:sz="4" w:space="0" w:color="auto"/>
              <w:bottom w:val="single" w:sz="4" w:space="0" w:color="auto"/>
            </w:tcBorders>
          </w:tcPr>
          <w:p>
            <w:pPr>
              <w:pStyle w:val="yTable"/>
            </w:pPr>
            <w:r>
              <w:t>EXE21</w:t>
            </w:r>
          </w:p>
        </w:tc>
        <w:tc>
          <w:tcPr>
            <w:tcW w:w="4678" w:type="dxa"/>
            <w:tcBorders>
              <w:top w:val="single" w:sz="4" w:space="0" w:color="auto"/>
              <w:bottom w:val="single" w:sz="4" w:space="0" w:color="auto"/>
            </w:tcBorders>
          </w:tcPr>
          <w:p>
            <w:pPr>
              <w:pStyle w:val="yTable"/>
            </w:pPr>
            <w:r>
              <w:rPr>
                <w:b/>
                <w:bCs/>
              </w:rPr>
              <w:t>Subsequent Exercise Consultation/Assessment</w:t>
            </w:r>
          </w:p>
          <w:p>
            <w:pPr>
              <w:pStyle w:val="yTable"/>
            </w:pPr>
            <w:r>
              <w:t xml:space="preserve">Includes — </w:t>
            </w:r>
          </w:p>
          <w:p>
            <w:pPr>
              <w:pStyle w:val="yTable"/>
              <w:numPr>
                <w:ilvl w:val="0"/>
                <w:numId w:val="13"/>
              </w:numPr>
              <w:tabs>
                <w:tab w:val="clear" w:pos="720"/>
                <w:tab w:val="right" w:pos="438"/>
              </w:tabs>
              <w:ind w:left="438" w:hanging="438"/>
              <w:rPr>
                <w:szCs w:val="22"/>
              </w:rPr>
            </w:pPr>
            <w:r>
              <w:rPr>
                <w:szCs w:val="22"/>
              </w:rPr>
              <w:t>program implementation — prescription and provision of exercises (land or pool based);</w:t>
            </w:r>
          </w:p>
          <w:p>
            <w:pPr>
              <w:pStyle w:val="yTable"/>
              <w:numPr>
                <w:ilvl w:val="0"/>
                <w:numId w:val="13"/>
              </w:numPr>
              <w:tabs>
                <w:tab w:val="clear" w:pos="720"/>
                <w:tab w:val="right" w:pos="438"/>
              </w:tabs>
              <w:ind w:left="438" w:hanging="438"/>
              <w:rPr>
                <w:szCs w:val="22"/>
              </w:rPr>
            </w:pPr>
            <w:r>
              <w:rPr>
                <w:szCs w:val="22"/>
              </w:rPr>
              <w:t>program monitoring;</w:t>
            </w:r>
          </w:p>
          <w:p>
            <w:pPr>
              <w:pStyle w:val="yTable"/>
              <w:numPr>
                <w:ilvl w:val="0"/>
                <w:numId w:val="13"/>
              </w:numPr>
              <w:tabs>
                <w:tab w:val="clear" w:pos="720"/>
                <w:tab w:val="right" w:pos="438"/>
              </w:tabs>
              <w:ind w:left="438" w:hanging="438"/>
              <w:rPr>
                <w:szCs w:val="22"/>
              </w:rPr>
            </w:pPr>
            <w:r>
              <w:rPr>
                <w:szCs w:val="22"/>
              </w:rPr>
              <w:t>post program screening questionnaire relating to worker’s level of function;</w:t>
            </w:r>
          </w:p>
          <w:p>
            <w:pPr>
              <w:pStyle w:val="yTable"/>
              <w:numPr>
                <w:ilvl w:val="0"/>
                <w:numId w:val="13"/>
              </w:numPr>
              <w:tabs>
                <w:tab w:val="clear" w:pos="720"/>
                <w:tab w:val="right" w:pos="438"/>
              </w:tabs>
              <w:ind w:left="438" w:hanging="438"/>
              <w:rPr>
                <w:szCs w:val="22"/>
              </w:rPr>
            </w:pPr>
            <w:r>
              <w:rPr>
                <w:szCs w:val="22"/>
              </w:rPr>
              <w:t>psychosocial reassessment;</w:t>
            </w:r>
          </w:p>
          <w:p>
            <w:pPr>
              <w:pStyle w:val="yTable"/>
              <w:numPr>
                <w:ilvl w:val="0"/>
                <w:numId w:val="13"/>
              </w:numPr>
              <w:tabs>
                <w:tab w:val="clear" w:pos="720"/>
                <w:tab w:val="right" w:pos="438"/>
              </w:tabs>
              <w:ind w:left="438" w:hanging="438"/>
            </w:pPr>
            <w:r>
              <w:rPr>
                <w:szCs w:val="22"/>
              </w:rPr>
              <w:t>communication/liaison with relevant</w:t>
            </w:r>
            <w:r>
              <w:rPr>
                <w:lang w:val="en-US"/>
              </w:rPr>
              <w:t xml:space="preserve"> parties.</w:t>
            </w:r>
          </w:p>
        </w:tc>
        <w:tc>
          <w:tcPr>
            <w:tcW w:w="1276" w:type="dxa"/>
            <w:tcBorders>
              <w:top w:val="single" w:sz="4" w:space="0" w:color="auto"/>
              <w:bottom w:val="single" w:sz="4" w:space="0" w:color="auto"/>
            </w:tcBorders>
          </w:tcPr>
          <w:p>
            <w:pPr>
              <w:pStyle w:val="yTable"/>
            </w:pPr>
          </w:p>
          <w:p>
            <w:pPr>
              <w:pStyle w:val="yTable"/>
              <w:rPr>
                <w:sz w:val="16"/>
              </w:rPr>
            </w:pPr>
            <w:r>
              <w:t>$148.30 per hour to a maximum of one hour**</w:t>
            </w:r>
          </w:p>
        </w:tc>
      </w:tr>
      <w:tr>
        <w:trPr>
          <w:cantSplit/>
        </w:trPr>
        <w:tc>
          <w:tcPr>
            <w:tcW w:w="992" w:type="dxa"/>
            <w:tcBorders>
              <w:top w:val="single" w:sz="4" w:space="0" w:color="auto"/>
              <w:bottom w:val="single" w:sz="4" w:space="0" w:color="auto"/>
            </w:tcBorders>
          </w:tcPr>
          <w:p>
            <w:pPr>
              <w:pStyle w:val="yTable"/>
            </w:pPr>
            <w:r>
              <w:t>EXE02</w:t>
            </w:r>
          </w:p>
        </w:tc>
        <w:tc>
          <w:tcPr>
            <w:tcW w:w="4678" w:type="dxa"/>
            <w:tcBorders>
              <w:top w:val="single" w:sz="4" w:space="0" w:color="auto"/>
              <w:bottom w:val="single" w:sz="4" w:space="0" w:color="auto"/>
            </w:tcBorders>
          </w:tcPr>
          <w:p>
            <w:pPr>
              <w:pStyle w:val="yTable"/>
            </w:pPr>
            <w:r>
              <w:rPr>
                <w:b/>
                <w:bCs/>
              </w:rPr>
              <w:t>Initial report</w:t>
            </w:r>
          </w:p>
          <w:p>
            <w:pPr>
              <w:pStyle w:val="yTable"/>
            </w:pPr>
            <w:r>
              <w:t xml:space="preserve">Includes — </w:t>
            </w:r>
          </w:p>
          <w:p>
            <w:pPr>
              <w:pStyle w:val="yTable"/>
              <w:numPr>
                <w:ilvl w:val="0"/>
                <w:numId w:val="13"/>
              </w:numPr>
              <w:tabs>
                <w:tab w:val="clear" w:pos="720"/>
                <w:tab w:val="right" w:pos="438"/>
              </w:tabs>
              <w:ind w:left="438" w:hanging="438"/>
              <w:rPr>
                <w:szCs w:val="22"/>
              </w:rPr>
            </w:pPr>
            <w:r>
              <w:rPr>
                <w:szCs w:val="22"/>
              </w:rPr>
              <w:t>initial assessment report outlining results (self</w:t>
            </w:r>
            <w:r>
              <w:rPr>
                <w:szCs w:val="22"/>
              </w:rPr>
              <w:noBreakHyphen/>
              <w:t>reported and objective), recommendations and exercise rehabilitation plan;</w:t>
            </w:r>
          </w:p>
          <w:p>
            <w:pPr>
              <w:pStyle w:val="yTable"/>
              <w:numPr>
                <w:ilvl w:val="0"/>
                <w:numId w:val="13"/>
              </w:numPr>
              <w:tabs>
                <w:tab w:val="clear" w:pos="720"/>
                <w:tab w:val="right" w:pos="438"/>
              </w:tabs>
              <w:ind w:left="438" w:hanging="438"/>
              <w:rPr>
                <w:szCs w:val="22"/>
              </w:rPr>
            </w:pPr>
            <w:r>
              <w:rPr>
                <w:szCs w:val="22"/>
              </w:rPr>
              <w:t>current status as per medical certification and proposed outcome status;</w:t>
            </w:r>
          </w:p>
          <w:p>
            <w:pPr>
              <w:pStyle w:val="yTable"/>
              <w:numPr>
                <w:ilvl w:val="0"/>
                <w:numId w:val="13"/>
              </w:numPr>
              <w:tabs>
                <w:tab w:val="clear" w:pos="720"/>
                <w:tab w:val="right" w:pos="438"/>
              </w:tabs>
              <w:ind w:left="438" w:hanging="438"/>
            </w:pPr>
            <w:r>
              <w:rPr>
                <w:szCs w:val="22"/>
              </w:rPr>
              <w:t>detailed cost plan outlining proposed outcome, services required and proposed costs for insurer approval.</w:t>
            </w:r>
          </w:p>
        </w:tc>
        <w:tc>
          <w:tcPr>
            <w:tcW w:w="1276" w:type="dxa"/>
            <w:tcBorders>
              <w:top w:val="single" w:sz="4" w:space="0" w:color="auto"/>
              <w:bottom w:val="single" w:sz="4" w:space="0" w:color="auto"/>
            </w:tcBorders>
          </w:tcPr>
          <w:p>
            <w:pPr>
              <w:pStyle w:val="yTable"/>
            </w:pPr>
          </w:p>
          <w:p>
            <w:pPr>
              <w:pStyle w:val="yTable"/>
            </w:pPr>
            <w:r>
              <w:t>$148.30 per hour to a maximum of one hour**</w:t>
            </w:r>
          </w:p>
        </w:tc>
      </w:tr>
      <w:tr>
        <w:trPr>
          <w:cantSplit/>
        </w:trPr>
        <w:tc>
          <w:tcPr>
            <w:tcW w:w="992" w:type="dxa"/>
            <w:tcBorders>
              <w:top w:val="single" w:sz="4" w:space="0" w:color="auto"/>
              <w:bottom w:val="single" w:sz="4" w:space="0" w:color="auto"/>
            </w:tcBorders>
          </w:tcPr>
          <w:p>
            <w:pPr>
              <w:pStyle w:val="yTable"/>
            </w:pPr>
            <w:r>
              <w:t>EXE03</w:t>
            </w:r>
          </w:p>
        </w:tc>
        <w:tc>
          <w:tcPr>
            <w:tcW w:w="4678" w:type="dxa"/>
            <w:tcBorders>
              <w:top w:val="single" w:sz="4" w:space="0" w:color="auto"/>
              <w:bottom w:val="single" w:sz="4" w:space="0" w:color="auto"/>
            </w:tcBorders>
          </w:tcPr>
          <w:p>
            <w:pPr>
              <w:pStyle w:val="yTable"/>
            </w:pPr>
            <w:r>
              <w:rPr>
                <w:b/>
                <w:bCs/>
              </w:rPr>
              <w:t>Subsequent reports</w:t>
            </w:r>
          </w:p>
          <w:p>
            <w:pPr>
              <w:pStyle w:val="yTable"/>
            </w:pPr>
            <w:r>
              <w:t>Progress report to be provided at the request of the referrer.</w:t>
            </w:r>
          </w:p>
        </w:tc>
        <w:tc>
          <w:tcPr>
            <w:tcW w:w="1276" w:type="dxa"/>
            <w:tcBorders>
              <w:top w:val="single" w:sz="4" w:space="0" w:color="auto"/>
              <w:bottom w:val="single" w:sz="4" w:space="0" w:color="auto"/>
            </w:tcBorders>
          </w:tcPr>
          <w:p>
            <w:pPr>
              <w:pStyle w:val="yTable"/>
            </w:pPr>
          </w:p>
          <w:p>
            <w:pPr>
              <w:pStyle w:val="yTable"/>
            </w:pPr>
            <w:r>
              <w:t>$148.30 per hour to a maximum of 30 minutes**</w:t>
            </w:r>
          </w:p>
        </w:tc>
      </w:tr>
      <w:tr>
        <w:trPr>
          <w:cantSplit/>
        </w:trPr>
        <w:tc>
          <w:tcPr>
            <w:tcW w:w="992" w:type="dxa"/>
            <w:tcBorders>
              <w:top w:val="single" w:sz="4" w:space="0" w:color="auto"/>
              <w:bottom w:val="single" w:sz="4" w:space="0" w:color="auto"/>
            </w:tcBorders>
          </w:tcPr>
          <w:p>
            <w:pPr>
              <w:pStyle w:val="yTable"/>
            </w:pPr>
            <w:r>
              <w:t>EXE04</w:t>
            </w:r>
          </w:p>
        </w:tc>
        <w:tc>
          <w:tcPr>
            <w:tcW w:w="4678" w:type="dxa"/>
            <w:tcBorders>
              <w:top w:val="single" w:sz="4" w:space="0" w:color="auto"/>
              <w:bottom w:val="single" w:sz="4" w:space="0" w:color="auto"/>
            </w:tcBorders>
          </w:tcPr>
          <w:p>
            <w:pPr>
              <w:pStyle w:val="yTable"/>
            </w:pPr>
            <w:r>
              <w:rPr>
                <w:b/>
                <w:bCs/>
              </w:rPr>
              <w:t>Final report</w:t>
            </w:r>
          </w:p>
          <w:p>
            <w:pPr>
              <w:pStyle w:val="yTable"/>
            </w:pPr>
            <w:r>
              <w:t xml:space="preserve">Comprehensive report to be provided at the end of the service delivery detailing — </w:t>
            </w:r>
          </w:p>
          <w:p>
            <w:pPr>
              <w:pStyle w:val="yTable"/>
              <w:numPr>
                <w:ilvl w:val="0"/>
                <w:numId w:val="13"/>
              </w:numPr>
              <w:tabs>
                <w:tab w:val="clear" w:pos="720"/>
                <w:tab w:val="right" w:pos="438"/>
              </w:tabs>
              <w:ind w:left="438" w:hanging="438"/>
              <w:rPr>
                <w:szCs w:val="22"/>
              </w:rPr>
            </w:pPr>
            <w:r>
              <w:rPr>
                <w:szCs w:val="22"/>
              </w:rPr>
              <w:t>physiological testing results pre and post program;</w:t>
            </w:r>
          </w:p>
          <w:p>
            <w:pPr>
              <w:pStyle w:val="yTable"/>
              <w:numPr>
                <w:ilvl w:val="0"/>
                <w:numId w:val="13"/>
              </w:numPr>
              <w:tabs>
                <w:tab w:val="clear" w:pos="720"/>
                <w:tab w:val="right" w:pos="438"/>
              </w:tabs>
              <w:ind w:left="438" w:hanging="438"/>
            </w:pPr>
            <w:r>
              <w:rPr>
                <w:szCs w:val="22"/>
              </w:rPr>
              <w:t>worker attendance/program compliance.</w:t>
            </w:r>
          </w:p>
        </w:tc>
        <w:tc>
          <w:tcPr>
            <w:tcW w:w="1276" w:type="dxa"/>
            <w:tcBorders>
              <w:top w:val="single" w:sz="4" w:space="0" w:color="auto"/>
              <w:bottom w:val="single" w:sz="4" w:space="0" w:color="auto"/>
            </w:tcBorders>
          </w:tcPr>
          <w:p>
            <w:pPr>
              <w:pStyle w:val="yTable"/>
            </w:pPr>
          </w:p>
          <w:p>
            <w:pPr>
              <w:pStyle w:val="yTable"/>
            </w:pPr>
            <w:r>
              <w:t>$148.30 per hour to a maximum of 30 minutes**</w:t>
            </w:r>
          </w:p>
        </w:tc>
      </w:tr>
      <w:tr>
        <w:trPr>
          <w:cantSplit/>
        </w:trPr>
        <w:tc>
          <w:tcPr>
            <w:tcW w:w="992" w:type="dxa"/>
            <w:tcBorders>
              <w:top w:val="single" w:sz="4" w:space="0" w:color="auto"/>
              <w:bottom w:val="single" w:sz="4" w:space="0" w:color="auto"/>
            </w:tcBorders>
          </w:tcPr>
          <w:p>
            <w:pPr>
              <w:pStyle w:val="yTable"/>
            </w:pPr>
            <w:r>
              <w:t>EXE05</w:t>
            </w:r>
          </w:p>
        </w:tc>
        <w:tc>
          <w:tcPr>
            <w:tcW w:w="4678" w:type="dxa"/>
            <w:tcBorders>
              <w:top w:val="single" w:sz="4" w:space="0" w:color="auto"/>
              <w:bottom w:val="single" w:sz="4" w:space="0" w:color="auto"/>
            </w:tcBorders>
          </w:tcPr>
          <w:p>
            <w:pPr>
              <w:pStyle w:val="yTable"/>
            </w:pPr>
            <w:r>
              <w:rPr>
                <w:b/>
                <w:bCs/>
              </w:rPr>
              <w:t>Gym membership/Entry fees</w:t>
            </w:r>
          </w:p>
          <w:p>
            <w:pPr>
              <w:pStyle w:val="yTable"/>
            </w:pPr>
            <w:r>
              <w:t>Includes direct cost of membership (pool or gym).</w:t>
            </w:r>
          </w:p>
          <w:p>
            <w:pPr>
              <w:pStyle w:val="yTable"/>
            </w:pPr>
            <w:r>
              <w:t>Prior approval from insurer required.</w:t>
            </w:r>
          </w:p>
        </w:tc>
        <w:tc>
          <w:tcPr>
            <w:tcW w:w="1276" w:type="dxa"/>
            <w:tcBorders>
              <w:top w:val="single" w:sz="4" w:space="0" w:color="auto"/>
              <w:bottom w:val="single" w:sz="4" w:space="0" w:color="auto"/>
            </w:tcBorders>
          </w:tcPr>
          <w:p>
            <w:pPr>
              <w:pStyle w:val="yTable"/>
            </w:pPr>
          </w:p>
          <w:p>
            <w:pPr>
              <w:pStyle w:val="yTable"/>
            </w:pPr>
            <w:r>
              <w:t>Market rates</w:t>
            </w:r>
          </w:p>
        </w:tc>
      </w:tr>
      <w:tr>
        <w:trPr>
          <w:cantSplit/>
        </w:trPr>
        <w:tc>
          <w:tcPr>
            <w:tcW w:w="992" w:type="dxa"/>
            <w:tcBorders>
              <w:top w:val="single" w:sz="4" w:space="0" w:color="auto"/>
              <w:bottom w:val="single" w:sz="4" w:space="0" w:color="auto"/>
            </w:tcBorders>
          </w:tcPr>
          <w:p>
            <w:pPr>
              <w:pStyle w:val="yTable"/>
            </w:pPr>
            <w:r>
              <w:rPr>
                <w:szCs w:val="22"/>
              </w:rPr>
              <w:t>EXE06</w:t>
            </w:r>
          </w:p>
        </w:tc>
        <w:tc>
          <w:tcPr>
            <w:tcW w:w="4678" w:type="dxa"/>
            <w:tcBorders>
              <w:top w:val="single" w:sz="4" w:space="0" w:color="auto"/>
              <w:bottom w:val="single" w:sz="4" w:space="0" w:color="auto"/>
            </w:tcBorders>
          </w:tcPr>
          <w:p>
            <w:pPr>
              <w:pStyle w:val="yTable"/>
            </w:pPr>
            <w:r>
              <w:rPr>
                <w:b/>
                <w:bCs/>
                <w:szCs w:val="22"/>
              </w:rPr>
              <w:t>Travel</w:t>
            </w:r>
          </w:p>
          <w:p>
            <w:pPr>
              <w:pStyle w:val="yTable"/>
            </w:pPr>
            <w:r>
              <w:t>Travel when the most appropriate management of the patient requires the provider to travel away from their normal practice.</w:t>
            </w:r>
          </w:p>
          <w:p>
            <w:pPr>
              <w:pStyle w:val="yTable"/>
            </w:pPr>
            <w:r>
              <w:t>The insurer must provide pre</w:t>
            </w:r>
            <w:r>
              <w:noBreakHyphen/>
              <w:t>approval for travel in excess of one hour.</w:t>
            </w:r>
          </w:p>
          <w:p>
            <w:pPr>
              <w:pStyle w:val="yTable"/>
            </w:pPr>
            <w:r>
              <w:t>If services are provided to more than one worker before leaving a venue, the fee for the journey is to be apportioned equally between workers.</w:t>
            </w:r>
          </w:p>
        </w:tc>
        <w:tc>
          <w:tcPr>
            <w:tcW w:w="1276" w:type="dxa"/>
            <w:tcBorders>
              <w:top w:val="single" w:sz="4" w:space="0" w:color="auto"/>
              <w:bottom w:val="single" w:sz="4" w:space="0" w:color="auto"/>
            </w:tcBorders>
          </w:tcPr>
          <w:p>
            <w:pPr>
              <w:pStyle w:val="yTable"/>
            </w:pPr>
          </w:p>
          <w:p>
            <w:pPr>
              <w:pStyle w:val="yTable"/>
            </w:pPr>
            <w:r>
              <w:t>$118.65 per hour **</w:t>
            </w:r>
          </w:p>
        </w:tc>
      </w:tr>
      <w:tr>
        <w:trPr>
          <w:cantSplit/>
        </w:trPr>
        <w:tc>
          <w:tcPr>
            <w:tcW w:w="992" w:type="dxa"/>
            <w:tcBorders>
              <w:top w:val="single" w:sz="4" w:space="0" w:color="auto"/>
              <w:bottom w:val="single" w:sz="4" w:space="0" w:color="auto"/>
            </w:tcBorders>
          </w:tcPr>
          <w:p>
            <w:pPr>
              <w:pStyle w:val="yTable"/>
            </w:pPr>
            <w:r>
              <w:t>EXE08</w:t>
            </w:r>
          </w:p>
        </w:tc>
        <w:tc>
          <w:tcPr>
            <w:tcW w:w="4678" w:type="dxa"/>
            <w:tcBorders>
              <w:top w:val="single" w:sz="4" w:space="0" w:color="auto"/>
              <w:bottom w:val="single" w:sz="4" w:space="0" w:color="auto"/>
            </w:tcBorders>
          </w:tcPr>
          <w:p>
            <w:pPr>
              <w:pStyle w:val="yTable"/>
            </w:pPr>
            <w:r>
              <w:rPr>
                <w:b/>
                <w:bCs/>
              </w:rPr>
              <w:t>Communication</w:t>
            </w:r>
          </w:p>
          <w:p>
            <w:pPr>
              <w:pStyle w:val="yTable"/>
            </w:pPr>
            <w:r>
              <w:t>Any requested or required oral communication with relevant parties (treating medical practitioners, employers and insurers) relating to the treatment of a specific worker.</w:t>
            </w:r>
          </w:p>
          <w:p>
            <w:pPr>
              <w:pStyle w:val="yTable"/>
            </w:pPr>
            <w:r>
              <w:t>Excludes courtesy communication such as acknowledgment of referral and brief updates to the medical practitioner.</w:t>
            </w:r>
          </w:p>
          <w:p>
            <w:pPr>
              <w:pStyle w:val="yTable"/>
            </w:pPr>
            <w:r>
              <w:t>Maximum time allowable per communication of 30 minutes.</w:t>
            </w:r>
          </w:p>
        </w:tc>
        <w:tc>
          <w:tcPr>
            <w:tcW w:w="1276" w:type="dxa"/>
            <w:tcBorders>
              <w:top w:val="single" w:sz="4" w:space="0" w:color="auto"/>
              <w:bottom w:val="single" w:sz="4" w:space="0" w:color="auto"/>
            </w:tcBorders>
          </w:tcPr>
          <w:p>
            <w:pPr>
              <w:pStyle w:val="yTable"/>
            </w:pPr>
          </w:p>
          <w:p>
            <w:pPr>
              <w:pStyle w:val="yTable"/>
            </w:pPr>
            <w:r>
              <w:t>$14.90</w:t>
            </w:r>
            <w:r>
              <w:br/>
              <w:t>per 6 minute block</w:t>
            </w:r>
          </w:p>
        </w:tc>
      </w:tr>
      <w:tr>
        <w:trPr>
          <w:cantSplit/>
        </w:trPr>
        <w:tc>
          <w:tcPr>
            <w:tcW w:w="992" w:type="dxa"/>
            <w:tcBorders>
              <w:top w:val="single" w:sz="4" w:space="0" w:color="auto"/>
              <w:bottom w:val="single" w:sz="4" w:space="0" w:color="auto"/>
            </w:tcBorders>
          </w:tcPr>
          <w:p>
            <w:pPr>
              <w:pStyle w:val="yTable"/>
            </w:pPr>
            <w:r>
              <w:t>EXE09</w:t>
            </w:r>
          </w:p>
        </w:tc>
        <w:tc>
          <w:tcPr>
            <w:tcW w:w="4678" w:type="dxa"/>
            <w:tcBorders>
              <w:top w:val="single" w:sz="4" w:space="0" w:color="auto"/>
              <w:bottom w:val="single" w:sz="4" w:space="0" w:color="auto"/>
            </w:tcBorders>
          </w:tcPr>
          <w:p>
            <w:pPr>
              <w:pStyle w:val="yTable"/>
            </w:pPr>
            <w:r>
              <w:rPr>
                <w:b/>
                <w:bCs/>
              </w:rPr>
              <w:t>Attendance at Medical Case Conferences</w:t>
            </w:r>
          </w:p>
          <w:p>
            <w:pPr>
              <w:pStyle w:val="yTable"/>
            </w:pPr>
            <w:r>
              <w:t>Prior insurer approval must be obtained prior to undertaking the service.</w:t>
            </w:r>
          </w:p>
        </w:tc>
        <w:tc>
          <w:tcPr>
            <w:tcW w:w="1276" w:type="dxa"/>
            <w:tcBorders>
              <w:top w:val="single" w:sz="4" w:space="0" w:color="auto"/>
              <w:bottom w:val="single" w:sz="4" w:space="0" w:color="auto"/>
            </w:tcBorders>
          </w:tcPr>
          <w:p>
            <w:pPr>
              <w:pStyle w:val="yTable"/>
            </w:pPr>
          </w:p>
          <w:p>
            <w:pPr>
              <w:pStyle w:val="yTable"/>
              <w:rPr>
                <w:strike/>
              </w:rPr>
            </w:pPr>
            <w:r>
              <w:t>$148.30 per hour **</w:t>
            </w:r>
          </w:p>
        </w:tc>
      </w:tr>
    </w:tbl>
    <w:p>
      <w:pPr>
        <w:pStyle w:val="NotesPerm"/>
        <w:tabs>
          <w:tab w:val="clear" w:pos="879"/>
          <w:tab w:val="left" w:pos="284"/>
        </w:tabs>
        <w:ind w:left="284" w:hanging="284"/>
      </w:pPr>
      <w:r>
        <w:t>**</w:t>
      </w:r>
      <w:r>
        <w:tab/>
        <w:t>Denotes that where the service provided is a fraction of one hour, the amount chargeable is to be calculated as that fraction of the maximum amount.</w:t>
      </w:r>
    </w:p>
    <w:p>
      <w:pPr>
        <w:pStyle w:val="yFootnotesection"/>
      </w:pPr>
      <w:r>
        <w:tab/>
        <w:t>[Part 2 inserted in Gazette 17 Dec 2008 p. 5321</w:t>
      </w:r>
      <w:r>
        <w:noBreakHyphen/>
        <w:t>3.]</w:t>
      </w:r>
    </w:p>
    <w:p>
      <w:pPr>
        <w:pStyle w:val="yScheduleHeading"/>
      </w:pPr>
      <w:bookmarkStart w:id="169" w:name="_Toc217355370"/>
      <w:bookmarkStart w:id="170" w:name="_Toc217355400"/>
      <w:r>
        <w:rPr>
          <w:rStyle w:val="CharSchNo"/>
        </w:rPr>
        <w:t>Schedule 3</w:t>
      </w:r>
      <w:r>
        <w:rPr>
          <w:rStyle w:val="CharSDivNo"/>
        </w:rPr>
        <w:t> </w:t>
      </w:r>
      <w:r>
        <w:t>—</w:t>
      </w:r>
      <w:r>
        <w:rPr>
          <w:rStyle w:val="CharSDivText"/>
        </w:rPr>
        <w:t xml:space="preserve"> </w:t>
      </w:r>
      <w:r>
        <w:rPr>
          <w:rStyle w:val="CharSchText"/>
        </w:rPr>
        <w:t>Scale of fees — chiropractors</w:t>
      </w:r>
      <w:bookmarkEnd w:id="169"/>
      <w:bookmarkEnd w:id="170"/>
    </w:p>
    <w:p>
      <w:pPr>
        <w:pStyle w:val="yShoulderClause"/>
      </w:pPr>
      <w:r>
        <w:t>[r. 4]</w:t>
      </w:r>
    </w:p>
    <w:p>
      <w:pPr>
        <w:pStyle w:val="yFootnoteheading"/>
      </w:pPr>
      <w:r>
        <w:tab/>
        <w:t>[Heading inserted in Gazette 17 Dec 2008 p. 5323.]</w:t>
      </w:r>
    </w:p>
    <w:tbl>
      <w:tblPr>
        <w:tblW w:w="6946" w:type="dxa"/>
        <w:tblInd w:w="250" w:type="dxa"/>
        <w:tblLayout w:type="fixed"/>
        <w:tblLook w:val="0000" w:firstRow="0" w:lastRow="0" w:firstColumn="0" w:lastColumn="0" w:noHBand="0" w:noVBand="0"/>
      </w:tblPr>
      <w:tblGrid>
        <w:gridCol w:w="992"/>
        <w:gridCol w:w="4678"/>
        <w:gridCol w:w="1276"/>
      </w:tblGrid>
      <w:tr>
        <w:trPr>
          <w:tblHeader/>
        </w:trPr>
        <w:tc>
          <w:tcPr>
            <w:tcW w:w="992" w:type="dxa"/>
            <w:tcBorders>
              <w:top w:val="single" w:sz="4" w:space="0" w:color="auto"/>
              <w:bottom w:val="single" w:sz="4" w:space="0" w:color="auto"/>
            </w:tcBorders>
          </w:tcPr>
          <w:p>
            <w:pPr>
              <w:pStyle w:val="yTable"/>
              <w:jc w:val="center"/>
              <w:rPr>
                <w:b/>
                <w:bCs/>
              </w:rPr>
            </w:pPr>
          </w:p>
        </w:tc>
        <w:tc>
          <w:tcPr>
            <w:tcW w:w="4678" w:type="dxa"/>
            <w:tcBorders>
              <w:top w:val="single" w:sz="4" w:space="0" w:color="auto"/>
              <w:bottom w:val="single" w:sz="4" w:space="0" w:color="auto"/>
            </w:tcBorders>
          </w:tcPr>
          <w:p>
            <w:pPr>
              <w:pStyle w:val="yTable"/>
            </w:pPr>
            <w:r>
              <w:rPr>
                <w:b/>
                <w:bCs/>
              </w:rPr>
              <w:t>Type of service</w:t>
            </w:r>
          </w:p>
        </w:tc>
        <w:tc>
          <w:tcPr>
            <w:tcW w:w="1276" w:type="dxa"/>
            <w:tcBorders>
              <w:top w:val="single" w:sz="4" w:space="0" w:color="auto"/>
              <w:bottom w:val="single" w:sz="4" w:space="0" w:color="auto"/>
            </w:tcBorders>
          </w:tcPr>
          <w:p>
            <w:pPr>
              <w:pStyle w:val="yTable"/>
              <w:ind w:right="240"/>
              <w:jc w:val="center"/>
            </w:pPr>
            <w:r>
              <w:rPr>
                <w:b/>
                <w:bCs/>
              </w:rPr>
              <w:t>Fee</w:t>
            </w:r>
            <w:r>
              <w:rPr>
                <w:b/>
                <w:bCs/>
              </w:rPr>
              <w:br/>
              <w:t>$</w:t>
            </w:r>
          </w:p>
        </w:tc>
      </w:tr>
      <w:tr>
        <w:tc>
          <w:tcPr>
            <w:tcW w:w="992" w:type="dxa"/>
          </w:tcPr>
          <w:p>
            <w:pPr>
              <w:pStyle w:val="yTable"/>
            </w:pPr>
            <w:r>
              <w:t>1.</w:t>
            </w:r>
          </w:p>
        </w:tc>
        <w:tc>
          <w:tcPr>
            <w:tcW w:w="4678" w:type="dxa"/>
          </w:tcPr>
          <w:p>
            <w:pPr>
              <w:pStyle w:val="yTable"/>
            </w:pPr>
            <w:r>
              <w:t>Initial consultation and examination</w:t>
            </w:r>
          </w:p>
        </w:tc>
        <w:tc>
          <w:tcPr>
            <w:tcW w:w="1276" w:type="dxa"/>
            <w:vAlign w:val="center"/>
          </w:tcPr>
          <w:p>
            <w:pPr>
              <w:pStyle w:val="yTable"/>
              <w:ind w:right="240"/>
              <w:jc w:val="right"/>
            </w:pPr>
            <w:r>
              <w:t>51.45</w:t>
            </w:r>
          </w:p>
        </w:tc>
      </w:tr>
      <w:tr>
        <w:tc>
          <w:tcPr>
            <w:tcW w:w="992" w:type="dxa"/>
          </w:tcPr>
          <w:p>
            <w:pPr>
              <w:pStyle w:val="yTable"/>
            </w:pPr>
            <w:r>
              <w:t>2.</w:t>
            </w:r>
          </w:p>
        </w:tc>
        <w:tc>
          <w:tcPr>
            <w:tcW w:w="4678" w:type="dxa"/>
          </w:tcPr>
          <w:p>
            <w:pPr>
              <w:pStyle w:val="yTable"/>
            </w:pPr>
            <w:r>
              <w:t>Subsequent consultation</w:t>
            </w:r>
          </w:p>
        </w:tc>
        <w:tc>
          <w:tcPr>
            <w:tcW w:w="1276" w:type="dxa"/>
            <w:vAlign w:val="center"/>
          </w:tcPr>
          <w:p>
            <w:pPr>
              <w:pStyle w:val="yTable"/>
              <w:ind w:right="240"/>
              <w:jc w:val="right"/>
            </w:pPr>
            <w:r>
              <w:t>42.90</w:t>
            </w:r>
          </w:p>
        </w:tc>
      </w:tr>
      <w:tr>
        <w:tc>
          <w:tcPr>
            <w:tcW w:w="992" w:type="dxa"/>
          </w:tcPr>
          <w:p>
            <w:pPr>
              <w:pStyle w:val="yTable"/>
            </w:pPr>
            <w:r>
              <w:t>3.</w:t>
            </w:r>
          </w:p>
        </w:tc>
        <w:tc>
          <w:tcPr>
            <w:tcW w:w="4678" w:type="dxa"/>
          </w:tcPr>
          <w:p>
            <w:pPr>
              <w:pStyle w:val="yTable"/>
            </w:pPr>
            <w:r>
              <w:t>Spinal x</w:t>
            </w:r>
            <w:r>
              <w:noBreakHyphen/>
              <w:t>ray, one region</w:t>
            </w:r>
          </w:p>
        </w:tc>
        <w:tc>
          <w:tcPr>
            <w:tcW w:w="1276" w:type="dxa"/>
            <w:vAlign w:val="center"/>
          </w:tcPr>
          <w:p>
            <w:pPr>
              <w:pStyle w:val="yTable"/>
              <w:ind w:right="240"/>
              <w:jc w:val="right"/>
            </w:pPr>
            <w:r>
              <w:t>102.15</w:t>
            </w:r>
          </w:p>
        </w:tc>
      </w:tr>
      <w:tr>
        <w:tc>
          <w:tcPr>
            <w:tcW w:w="992" w:type="dxa"/>
          </w:tcPr>
          <w:p>
            <w:pPr>
              <w:pStyle w:val="yTable"/>
            </w:pPr>
            <w:r>
              <w:t>4.</w:t>
            </w:r>
          </w:p>
        </w:tc>
        <w:tc>
          <w:tcPr>
            <w:tcW w:w="4678" w:type="dxa"/>
          </w:tcPr>
          <w:p>
            <w:pPr>
              <w:pStyle w:val="yTable"/>
            </w:pPr>
            <w:r>
              <w:t>Spinal x</w:t>
            </w:r>
            <w:r>
              <w:noBreakHyphen/>
              <w:t>ray, 2 or more regions</w:t>
            </w:r>
          </w:p>
        </w:tc>
        <w:tc>
          <w:tcPr>
            <w:tcW w:w="1276" w:type="dxa"/>
            <w:vAlign w:val="center"/>
          </w:tcPr>
          <w:p>
            <w:pPr>
              <w:pStyle w:val="yTable"/>
              <w:ind w:right="240"/>
              <w:jc w:val="right"/>
            </w:pPr>
            <w:r>
              <w:t>153.40</w:t>
            </w:r>
          </w:p>
        </w:tc>
      </w:tr>
      <w:tr>
        <w:tc>
          <w:tcPr>
            <w:tcW w:w="992" w:type="dxa"/>
          </w:tcPr>
          <w:p>
            <w:pPr>
              <w:pStyle w:val="yTable"/>
            </w:pPr>
            <w:r>
              <w:t>5.</w:t>
            </w:r>
          </w:p>
        </w:tc>
        <w:tc>
          <w:tcPr>
            <w:tcW w:w="4678" w:type="dxa"/>
          </w:tcPr>
          <w:p>
            <w:pPr>
              <w:pStyle w:val="yTable"/>
            </w:pPr>
            <w:r>
              <w:t>Travel (per kilometre)</w:t>
            </w:r>
          </w:p>
        </w:tc>
        <w:tc>
          <w:tcPr>
            <w:tcW w:w="1276" w:type="dxa"/>
            <w:vAlign w:val="center"/>
          </w:tcPr>
          <w:p>
            <w:pPr>
              <w:pStyle w:val="yTable"/>
              <w:ind w:right="240"/>
              <w:jc w:val="right"/>
            </w:pPr>
            <w:r>
              <w:t>0.75</w:t>
            </w:r>
          </w:p>
        </w:tc>
      </w:tr>
    </w:tbl>
    <w:p>
      <w:pPr>
        <w:pStyle w:val="yFootnotesection"/>
      </w:pPr>
      <w:r>
        <w:tab/>
        <w:t>[Schedule 3 inserted in Gazette 17 Dec 2008 p. 5323.]</w:t>
      </w:r>
    </w:p>
    <w:p>
      <w:pPr>
        <w:pStyle w:val="yScheduleHeading"/>
      </w:pPr>
      <w:bookmarkStart w:id="171" w:name="_Toc217355371"/>
      <w:bookmarkStart w:id="172" w:name="_Toc217355401"/>
      <w:r>
        <w:rPr>
          <w:rStyle w:val="CharSchNo"/>
        </w:rPr>
        <w:t>Schedule 4</w:t>
      </w:r>
      <w:r>
        <w:t> — </w:t>
      </w:r>
      <w:r>
        <w:rPr>
          <w:rStyle w:val="CharSchText"/>
        </w:rPr>
        <w:t>Scale of fees — occupational therapists</w:t>
      </w:r>
      <w:bookmarkEnd w:id="171"/>
      <w:bookmarkEnd w:id="172"/>
    </w:p>
    <w:p>
      <w:pPr>
        <w:pStyle w:val="yShoulderClause"/>
      </w:pPr>
      <w:r>
        <w:t>[r. 5]</w:t>
      </w:r>
    </w:p>
    <w:p>
      <w:pPr>
        <w:pStyle w:val="yFootnoteheading"/>
      </w:pPr>
      <w:r>
        <w:tab/>
        <w:t>[Heading inserted in Gazette 17 Dec 2008 p. 5324.]</w:t>
      </w:r>
    </w:p>
    <w:tbl>
      <w:tblPr>
        <w:tblW w:w="6946" w:type="dxa"/>
        <w:tblInd w:w="250" w:type="dxa"/>
        <w:tblLayout w:type="fixed"/>
        <w:tblLook w:val="0000" w:firstRow="0" w:lastRow="0" w:firstColumn="0" w:lastColumn="0" w:noHBand="0" w:noVBand="0"/>
      </w:tblPr>
      <w:tblGrid>
        <w:gridCol w:w="992"/>
        <w:gridCol w:w="4678"/>
        <w:gridCol w:w="1276"/>
      </w:tblGrid>
      <w:tr>
        <w:tc>
          <w:tcPr>
            <w:tcW w:w="992" w:type="dxa"/>
            <w:tcBorders>
              <w:top w:val="single" w:sz="4" w:space="0" w:color="auto"/>
              <w:bottom w:val="single" w:sz="4" w:space="0" w:color="auto"/>
            </w:tcBorders>
          </w:tcPr>
          <w:p>
            <w:pPr>
              <w:pStyle w:val="zytable"/>
              <w:rPr>
                <w:b/>
                <w:bCs/>
              </w:rPr>
            </w:pPr>
          </w:p>
        </w:tc>
        <w:tc>
          <w:tcPr>
            <w:tcW w:w="4678" w:type="dxa"/>
            <w:tcBorders>
              <w:top w:val="single" w:sz="4" w:space="0" w:color="auto"/>
              <w:bottom w:val="single" w:sz="4" w:space="0" w:color="auto"/>
            </w:tcBorders>
          </w:tcPr>
          <w:p>
            <w:pPr>
              <w:pStyle w:val="yTable"/>
            </w:pPr>
            <w:r>
              <w:rPr>
                <w:b/>
                <w:bCs/>
              </w:rPr>
              <w:t>Type of Service</w:t>
            </w:r>
          </w:p>
        </w:tc>
        <w:tc>
          <w:tcPr>
            <w:tcW w:w="1276" w:type="dxa"/>
            <w:tcBorders>
              <w:top w:val="single" w:sz="4" w:space="0" w:color="auto"/>
              <w:bottom w:val="single" w:sz="4" w:space="0" w:color="auto"/>
            </w:tcBorders>
          </w:tcPr>
          <w:p>
            <w:pPr>
              <w:pStyle w:val="yTable"/>
              <w:jc w:val="center"/>
            </w:pPr>
            <w:r>
              <w:rPr>
                <w:b/>
                <w:bCs/>
              </w:rPr>
              <w:t>Fee</w:t>
            </w:r>
          </w:p>
          <w:p>
            <w:pPr>
              <w:pStyle w:val="yTable"/>
              <w:jc w:val="center"/>
            </w:pPr>
            <w:r>
              <w:t>$</w:t>
            </w:r>
          </w:p>
        </w:tc>
      </w:tr>
      <w:tr>
        <w:tc>
          <w:tcPr>
            <w:tcW w:w="992" w:type="dxa"/>
            <w:tcBorders>
              <w:top w:val="single" w:sz="4" w:space="0" w:color="auto"/>
            </w:tcBorders>
          </w:tcPr>
          <w:p>
            <w:pPr>
              <w:pStyle w:val="yTable"/>
            </w:pPr>
            <w:r>
              <w:t>1.</w:t>
            </w:r>
          </w:p>
        </w:tc>
        <w:tc>
          <w:tcPr>
            <w:tcW w:w="4678" w:type="dxa"/>
            <w:tcBorders>
              <w:top w:val="single" w:sz="4" w:space="0" w:color="auto"/>
            </w:tcBorders>
          </w:tcPr>
          <w:p>
            <w:pPr>
              <w:pStyle w:val="yTable"/>
            </w:pPr>
            <w:r>
              <w:t>Brief consultation (&lt; 15 minutes)</w:t>
            </w:r>
          </w:p>
        </w:tc>
        <w:tc>
          <w:tcPr>
            <w:tcW w:w="1276" w:type="dxa"/>
            <w:tcBorders>
              <w:top w:val="single" w:sz="4" w:space="0" w:color="auto"/>
            </w:tcBorders>
            <w:vAlign w:val="center"/>
          </w:tcPr>
          <w:p>
            <w:pPr>
              <w:pStyle w:val="yTable"/>
              <w:ind w:right="240"/>
              <w:jc w:val="right"/>
            </w:pPr>
            <w:r>
              <w:t>22.20</w:t>
            </w:r>
          </w:p>
        </w:tc>
      </w:tr>
      <w:tr>
        <w:tc>
          <w:tcPr>
            <w:tcW w:w="992" w:type="dxa"/>
          </w:tcPr>
          <w:p>
            <w:pPr>
              <w:pStyle w:val="yTable"/>
            </w:pPr>
            <w:r>
              <w:t>2.</w:t>
            </w:r>
          </w:p>
        </w:tc>
        <w:tc>
          <w:tcPr>
            <w:tcW w:w="4678" w:type="dxa"/>
          </w:tcPr>
          <w:p>
            <w:pPr>
              <w:pStyle w:val="yTable"/>
            </w:pPr>
            <w:r>
              <w:t>Short consultation (15 minutes to &lt; 30 minutes)</w:t>
            </w:r>
          </w:p>
        </w:tc>
        <w:tc>
          <w:tcPr>
            <w:tcW w:w="1276" w:type="dxa"/>
            <w:vAlign w:val="center"/>
          </w:tcPr>
          <w:p>
            <w:pPr>
              <w:pStyle w:val="yTable"/>
              <w:ind w:right="240"/>
              <w:jc w:val="right"/>
            </w:pPr>
            <w:r>
              <w:t>44.50</w:t>
            </w:r>
          </w:p>
        </w:tc>
      </w:tr>
      <w:tr>
        <w:tc>
          <w:tcPr>
            <w:tcW w:w="992" w:type="dxa"/>
          </w:tcPr>
          <w:p>
            <w:pPr>
              <w:pStyle w:val="yTable"/>
            </w:pPr>
            <w:r>
              <w:t>3.</w:t>
            </w:r>
          </w:p>
        </w:tc>
        <w:tc>
          <w:tcPr>
            <w:tcW w:w="4678" w:type="dxa"/>
          </w:tcPr>
          <w:p>
            <w:pPr>
              <w:pStyle w:val="yTable"/>
            </w:pPr>
            <w:r>
              <w:t>Standard consultation (30 minutes to &lt; 45 minutes)</w:t>
            </w:r>
          </w:p>
        </w:tc>
        <w:tc>
          <w:tcPr>
            <w:tcW w:w="1276" w:type="dxa"/>
          </w:tcPr>
          <w:p>
            <w:pPr>
              <w:pStyle w:val="yTable"/>
              <w:ind w:right="240"/>
              <w:jc w:val="right"/>
            </w:pPr>
            <w:r>
              <w:br/>
              <w:t>73.35</w:t>
            </w:r>
          </w:p>
        </w:tc>
      </w:tr>
      <w:tr>
        <w:tc>
          <w:tcPr>
            <w:tcW w:w="992" w:type="dxa"/>
          </w:tcPr>
          <w:p>
            <w:pPr>
              <w:pStyle w:val="yTable"/>
            </w:pPr>
            <w:r>
              <w:t>4.</w:t>
            </w:r>
          </w:p>
        </w:tc>
        <w:tc>
          <w:tcPr>
            <w:tcW w:w="4678" w:type="dxa"/>
          </w:tcPr>
          <w:p>
            <w:pPr>
              <w:pStyle w:val="yTable"/>
            </w:pPr>
            <w:r>
              <w:t>Extended consultation (45 minutes to &lt; one hour)</w:t>
            </w:r>
          </w:p>
        </w:tc>
        <w:tc>
          <w:tcPr>
            <w:tcW w:w="1276" w:type="dxa"/>
            <w:vAlign w:val="center"/>
          </w:tcPr>
          <w:p>
            <w:pPr>
              <w:pStyle w:val="yTable"/>
              <w:ind w:right="240"/>
              <w:jc w:val="right"/>
            </w:pPr>
            <w:r>
              <w:t>110.00</w:t>
            </w:r>
          </w:p>
        </w:tc>
      </w:tr>
      <w:tr>
        <w:tc>
          <w:tcPr>
            <w:tcW w:w="992" w:type="dxa"/>
          </w:tcPr>
          <w:p>
            <w:pPr>
              <w:pStyle w:val="yTable"/>
            </w:pPr>
            <w:r>
              <w:t>5.</w:t>
            </w:r>
          </w:p>
        </w:tc>
        <w:tc>
          <w:tcPr>
            <w:tcW w:w="4678" w:type="dxa"/>
          </w:tcPr>
          <w:p>
            <w:pPr>
              <w:pStyle w:val="yTable"/>
            </w:pPr>
            <w:r>
              <w:t xml:space="preserve">Extended consultation ( </w:t>
            </w:r>
            <w:r>
              <w:rPr>
                <w:u w:val="single"/>
              </w:rPr>
              <w:t>&gt;</w:t>
            </w:r>
            <w:r>
              <w:t xml:space="preserve"> one hour)</w:t>
            </w:r>
          </w:p>
        </w:tc>
        <w:tc>
          <w:tcPr>
            <w:tcW w:w="1276" w:type="dxa"/>
            <w:vAlign w:val="center"/>
          </w:tcPr>
          <w:p>
            <w:pPr>
              <w:pStyle w:val="yTable"/>
              <w:ind w:right="240"/>
              <w:jc w:val="right"/>
            </w:pPr>
            <w:r>
              <w:t>146.70</w:t>
            </w:r>
          </w:p>
        </w:tc>
      </w:tr>
      <w:tr>
        <w:tc>
          <w:tcPr>
            <w:tcW w:w="992" w:type="dxa"/>
          </w:tcPr>
          <w:p>
            <w:pPr>
              <w:pStyle w:val="yTable"/>
            </w:pPr>
            <w:r>
              <w:t>6.</w:t>
            </w:r>
          </w:p>
        </w:tc>
        <w:tc>
          <w:tcPr>
            <w:tcW w:w="4678" w:type="dxa"/>
          </w:tcPr>
          <w:p>
            <w:pPr>
              <w:pStyle w:val="yTable"/>
            </w:pPr>
            <w:r>
              <w:t xml:space="preserve">Standard group consultation (30 minutes) </w:t>
            </w:r>
            <w:r>
              <w:br/>
              <w:t>per person</w:t>
            </w:r>
          </w:p>
        </w:tc>
        <w:tc>
          <w:tcPr>
            <w:tcW w:w="1276" w:type="dxa"/>
            <w:vAlign w:val="center"/>
          </w:tcPr>
          <w:p>
            <w:pPr>
              <w:pStyle w:val="yTable"/>
              <w:ind w:right="240"/>
              <w:jc w:val="right"/>
            </w:pPr>
            <w:r>
              <w:br/>
              <w:t>48.15</w:t>
            </w:r>
          </w:p>
        </w:tc>
      </w:tr>
      <w:tr>
        <w:trPr>
          <w:cantSplit/>
        </w:trPr>
        <w:tc>
          <w:tcPr>
            <w:tcW w:w="992" w:type="dxa"/>
            <w:tcBorders>
              <w:bottom w:val="single" w:sz="4" w:space="0" w:color="auto"/>
            </w:tcBorders>
          </w:tcPr>
          <w:p>
            <w:pPr>
              <w:pStyle w:val="yTable"/>
            </w:pPr>
            <w:r>
              <w:t>7.</w:t>
            </w:r>
          </w:p>
        </w:tc>
        <w:tc>
          <w:tcPr>
            <w:tcW w:w="5954" w:type="dxa"/>
            <w:gridSpan w:val="2"/>
            <w:tcBorders>
              <w:bottom w:val="single" w:sz="4" w:space="0" w:color="auto"/>
            </w:tcBorders>
          </w:tcPr>
          <w:p>
            <w:pPr>
              <w:pStyle w:val="yTable"/>
            </w:pPr>
            <w:r>
              <w:t>Travel costs are to be calculated at the hourly rate</w:t>
            </w:r>
            <w:r>
              <w:br/>
              <w:t>by the length of time spent travelling.</w:t>
            </w:r>
          </w:p>
        </w:tc>
      </w:tr>
    </w:tbl>
    <w:p>
      <w:pPr>
        <w:pStyle w:val="yFootnotesection"/>
      </w:pPr>
      <w:r>
        <w:tab/>
        <w:t>[Schedule 4 inserted in Gazette 17 Dec 2008 p. 5324.]</w:t>
      </w:r>
    </w:p>
    <w:p>
      <w:pPr>
        <w:pStyle w:val="yScheduleHeading"/>
      </w:pPr>
      <w:bookmarkStart w:id="173" w:name="_Toc217355372"/>
      <w:bookmarkStart w:id="174" w:name="_Toc217355402"/>
      <w:r>
        <w:rPr>
          <w:rStyle w:val="CharSchNo"/>
        </w:rPr>
        <w:t>Schedule 5 </w:t>
      </w:r>
      <w:r>
        <w:t>— </w:t>
      </w:r>
      <w:r>
        <w:rPr>
          <w:rStyle w:val="CharSchText"/>
        </w:rPr>
        <w:t>Scale of fees — speech pathologists</w:t>
      </w:r>
      <w:bookmarkEnd w:id="173"/>
      <w:bookmarkEnd w:id="174"/>
    </w:p>
    <w:p>
      <w:pPr>
        <w:pStyle w:val="yShoulderClause"/>
      </w:pPr>
      <w:r>
        <w:t>[r. 7]</w:t>
      </w:r>
    </w:p>
    <w:p>
      <w:pPr>
        <w:pStyle w:val="yFootnoteheading"/>
      </w:pPr>
      <w:r>
        <w:tab/>
        <w:t>[Heading inserted in Gazette 17 Dec 2008 p. 5324.]</w:t>
      </w:r>
    </w:p>
    <w:tbl>
      <w:tblPr>
        <w:tblW w:w="6946" w:type="dxa"/>
        <w:tblInd w:w="250" w:type="dxa"/>
        <w:tblLayout w:type="fixed"/>
        <w:tblLook w:val="0000" w:firstRow="0" w:lastRow="0" w:firstColumn="0" w:lastColumn="0" w:noHBand="0" w:noVBand="0"/>
      </w:tblPr>
      <w:tblGrid>
        <w:gridCol w:w="992"/>
        <w:gridCol w:w="4678"/>
        <w:gridCol w:w="1276"/>
      </w:tblGrid>
      <w:tr>
        <w:tc>
          <w:tcPr>
            <w:tcW w:w="992" w:type="dxa"/>
            <w:tcBorders>
              <w:top w:val="single" w:sz="4" w:space="0" w:color="auto"/>
              <w:bottom w:val="single" w:sz="4" w:space="0" w:color="auto"/>
            </w:tcBorders>
          </w:tcPr>
          <w:p>
            <w:pPr>
              <w:pStyle w:val="zytable"/>
              <w:ind w:left="0" w:right="34"/>
            </w:pPr>
          </w:p>
        </w:tc>
        <w:tc>
          <w:tcPr>
            <w:tcW w:w="4678" w:type="dxa"/>
            <w:tcBorders>
              <w:top w:val="single" w:sz="4" w:space="0" w:color="auto"/>
              <w:bottom w:val="single" w:sz="4" w:space="0" w:color="auto"/>
            </w:tcBorders>
          </w:tcPr>
          <w:p>
            <w:pPr>
              <w:pStyle w:val="yTable"/>
            </w:pPr>
            <w:r>
              <w:rPr>
                <w:b/>
              </w:rPr>
              <w:t>Type of service</w:t>
            </w:r>
          </w:p>
        </w:tc>
        <w:tc>
          <w:tcPr>
            <w:tcW w:w="1276" w:type="dxa"/>
            <w:tcBorders>
              <w:top w:val="single" w:sz="4" w:space="0" w:color="auto"/>
              <w:bottom w:val="single" w:sz="4" w:space="0" w:color="auto"/>
            </w:tcBorders>
          </w:tcPr>
          <w:p>
            <w:pPr>
              <w:pStyle w:val="yTable"/>
              <w:ind w:right="240"/>
              <w:jc w:val="center"/>
            </w:pPr>
            <w:r>
              <w:rPr>
                <w:b/>
              </w:rPr>
              <w:t>Fee</w:t>
            </w:r>
          </w:p>
          <w:p>
            <w:pPr>
              <w:pStyle w:val="yTable"/>
              <w:ind w:right="240"/>
              <w:jc w:val="center"/>
            </w:pPr>
            <w:r>
              <w:t>$</w:t>
            </w:r>
          </w:p>
        </w:tc>
      </w:tr>
      <w:tr>
        <w:tc>
          <w:tcPr>
            <w:tcW w:w="992" w:type="dxa"/>
            <w:tcBorders>
              <w:top w:val="single" w:sz="4" w:space="0" w:color="auto"/>
            </w:tcBorders>
          </w:tcPr>
          <w:p>
            <w:pPr>
              <w:pStyle w:val="yTable"/>
            </w:pPr>
            <w:r>
              <w:t>1.</w:t>
            </w:r>
          </w:p>
        </w:tc>
        <w:tc>
          <w:tcPr>
            <w:tcW w:w="4678" w:type="dxa"/>
            <w:tcBorders>
              <w:top w:val="single" w:sz="4" w:space="0" w:color="auto"/>
            </w:tcBorders>
          </w:tcPr>
          <w:p>
            <w:pPr>
              <w:pStyle w:val="yTable"/>
            </w:pPr>
            <w:r>
              <w:t>Initial consultation/assessment (up to and including one hour)</w:t>
            </w:r>
          </w:p>
        </w:tc>
        <w:tc>
          <w:tcPr>
            <w:tcW w:w="1276" w:type="dxa"/>
            <w:tcBorders>
              <w:top w:val="single" w:sz="4" w:space="0" w:color="auto"/>
            </w:tcBorders>
            <w:vAlign w:val="center"/>
          </w:tcPr>
          <w:p>
            <w:pPr>
              <w:pStyle w:val="yTable"/>
              <w:ind w:right="240"/>
              <w:jc w:val="right"/>
            </w:pPr>
            <w:r>
              <w:br/>
              <w:t>135.55</w:t>
            </w:r>
          </w:p>
        </w:tc>
      </w:tr>
      <w:tr>
        <w:tc>
          <w:tcPr>
            <w:tcW w:w="992" w:type="dxa"/>
          </w:tcPr>
          <w:p>
            <w:pPr>
              <w:pStyle w:val="yTable"/>
            </w:pPr>
            <w:r>
              <w:t>2.</w:t>
            </w:r>
          </w:p>
        </w:tc>
        <w:tc>
          <w:tcPr>
            <w:tcW w:w="4678" w:type="dxa"/>
          </w:tcPr>
          <w:p>
            <w:pPr>
              <w:pStyle w:val="yTable"/>
            </w:pPr>
            <w:r>
              <w:t>Initial consultation/assessment (exceeding one hour)</w:t>
            </w:r>
          </w:p>
        </w:tc>
        <w:tc>
          <w:tcPr>
            <w:tcW w:w="1276" w:type="dxa"/>
          </w:tcPr>
          <w:p>
            <w:pPr>
              <w:pStyle w:val="yTable"/>
              <w:ind w:right="240"/>
              <w:jc w:val="right"/>
            </w:pPr>
            <w:r>
              <w:br/>
              <w:t>175.55</w:t>
            </w:r>
          </w:p>
        </w:tc>
      </w:tr>
      <w:tr>
        <w:tc>
          <w:tcPr>
            <w:tcW w:w="992" w:type="dxa"/>
          </w:tcPr>
          <w:p>
            <w:pPr>
              <w:pStyle w:val="yTable"/>
            </w:pPr>
            <w:r>
              <w:t>3.</w:t>
            </w:r>
          </w:p>
        </w:tc>
        <w:tc>
          <w:tcPr>
            <w:tcW w:w="4678" w:type="dxa"/>
          </w:tcPr>
          <w:p>
            <w:pPr>
              <w:pStyle w:val="yTable"/>
            </w:pPr>
            <w:r>
              <w:t>Subsequent consultation (&lt; ½ hour)</w:t>
            </w:r>
          </w:p>
        </w:tc>
        <w:tc>
          <w:tcPr>
            <w:tcW w:w="1276" w:type="dxa"/>
            <w:vAlign w:val="center"/>
          </w:tcPr>
          <w:p>
            <w:pPr>
              <w:pStyle w:val="yTable"/>
              <w:ind w:right="240"/>
              <w:jc w:val="right"/>
            </w:pPr>
            <w:r>
              <w:t>59.20</w:t>
            </w:r>
          </w:p>
        </w:tc>
      </w:tr>
      <w:tr>
        <w:tc>
          <w:tcPr>
            <w:tcW w:w="992" w:type="dxa"/>
          </w:tcPr>
          <w:p>
            <w:pPr>
              <w:pStyle w:val="yTable"/>
            </w:pPr>
            <w:r>
              <w:t>4.</w:t>
            </w:r>
          </w:p>
        </w:tc>
        <w:tc>
          <w:tcPr>
            <w:tcW w:w="4678" w:type="dxa"/>
          </w:tcPr>
          <w:p>
            <w:pPr>
              <w:pStyle w:val="yTable"/>
            </w:pPr>
            <w:r>
              <w:t>Subsequent consultation (½ hour — one hour)</w:t>
            </w:r>
          </w:p>
        </w:tc>
        <w:tc>
          <w:tcPr>
            <w:tcW w:w="1276" w:type="dxa"/>
            <w:vAlign w:val="center"/>
          </w:tcPr>
          <w:p>
            <w:pPr>
              <w:pStyle w:val="yTable"/>
              <w:ind w:right="240"/>
              <w:jc w:val="right"/>
            </w:pPr>
            <w:r>
              <w:t>76.75</w:t>
            </w:r>
          </w:p>
        </w:tc>
      </w:tr>
      <w:tr>
        <w:tc>
          <w:tcPr>
            <w:tcW w:w="992" w:type="dxa"/>
            <w:tcBorders>
              <w:bottom w:val="single" w:sz="4" w:space="0" w:color="auto"/>
            </w:tcBorders>
          </w:tcPr>
          <w:p>
            <w:pPr>
              <w:pStyle w:val="yTable"/>
            </w:pPr>
            <w:r>
              <w:t>5.</w:t>
            </w:r>
          </w:p>
        </w:tc>
        <w:tc>
          <w:tcPr>
            <w:tcW w:w="4678" w:type="dxa"/>
            <w:tcBorders>
              <w:bottom w:val="single" w:sz="4" w:space="0" w:color="auto"/>
            </w:tcBorders>
          </w:tcPr>
          <w:p>
            <w:pPr>
              <w:pStyle w:val="yTable"/>
            </w:pPr>
            <w:r>
              <w:t>Subsequent consultation (&gt; one hour)</w:t>
            </w:r>
          </w:p>
        </w:tc>
        <w:tc>
          <w:tcPr>
            <w:tcW w:w="1276" w:type="dxa"/>
            <w:tcBorders>
              <w:bottom w:val="single" w:sz="4" w:space="0" w:color="auto"/>
            </w:tcBorders>
            <w:vAlign w:val="center"/>
          </w:tcPr>
          <w:p>
            <w:pPr>
              <w:pStyle w:val="yTable"/>
              <w:ind w:right="240"/>
              <w:jc w:val="right"/>
            </w:pPr>
            <w:r>
              <w:t>103.65</w:t>
            </w:r>
          </w:p>
        </w:tc>
      </w:tr>
    </w:tbl>
    <w:p>
      <w:pPr>
        <w:pStyle w:val="yFootnotesection"/>
      </w:pPr>
      <w:r>
        <w:tab/>
        <w:t>[Schedule 5 inserted in Gazette 17 Dec 2008 p. 5324.]</w:t>
      </w:r>
    </w:p>
    <w:p>
      <w:pPr>
        <w:pStyle w:val="yScheduleHeading"/>
      </w:pPr>
      <w:bookmarkStart w:id="175" w:name="_Toc217355373"/>
      <w:bookmarkStart w:id="176" w:name="_Toc217355403"/>
      <w:r>
        <w:rPr>
          <w:rStyle w:val="CharSchNo"/>
        </w:rPr>
        <w:t>Schedule 5A</w:t>
      </w:r>
      <w:r>
        <w:t xml:space="preserve"> — </w:t>
      </w:r>
      <w:r>
        <w:rPr>
          <w:rStyle w:val="CharSchText"/>
        </w:rPr>
        <w:t>Scale of fees — exercise physiologists</w:t>
      </w:r>
      <w:bookmarkEnd w:id="175"/>
      <w:bookmarkEnd w:id="176"/>
    </w:p>
    <w:p>
      <w:pPr>
        <w:pStyle w:val="yShoulderClause"/>
      </w:pPr>
      <w:r>
        <w:t>[r. 7B]</w:t>
      </w:r>
    </w:p>
    <w:p>
      <w:pPr>
        <w:pStyle w:val="yFootnoteheading"/>
      </w:pPr>
      <w:r>
        <w:tab/>
        <w:t>[Heading inserted in Gazette 17 Dec 2008 p. 5325.]</w:t>
      </w:r>
    </w:p>
    <w:p>
      <w:pPr>
        <w:pStyle w:val="yMiscellaneousHeading"/>
        <w:rPr>
          <w:b/>
          <w:bCs/>
        </w:rPr>
      </w:pPr>
      <w:r>
        <w:rPr>
          <w:b/>
          <w:bCs/>
        </w:rPr>
        <w:t>Exercise</w:t>
      </w:r>
      <w:r>
        <w:rPr>
          <w:b/>
          <w:bCs/>
        </w:rPr>
        <w:noBreakHyphen/>
        <w:t>based programs</w:t>
      </w:r>
    </w:p>
    <w:tbl>
      <w:tblPr>
        <w:tblW w:w="6946" w:type="dxa"/>
        <w:tblInd w:w="250" w:type="dxa"/>
        <w:tblLayout w:type="fixed"/>
        <w:tblLook w:val="0000" w:firstRow="0" w:lastRow="0" w:firstColumn="0" w:lastColumn="0" w:noHBand="0" w:noVBand="0"/>
      </w:tblPr>
      <w:tblGrid>
        <w:gridCol w:w="992"/>
        <w:gridCol w:w="4536"/>
        <w:gridCol w:w="1418"/>
      </w:tblGrid>
      <w:tr>
        <w:trPr>
          <w:cantSplit/>
          <w:tblHeader/>
        </w:trPr>
        <w:tc>
          <w:tcPr>
            <w:tcW w:w="992" w:type="dxa"/>
            <w:tcBorders>
              <w:top w:val="single" w:sz="4" w:space="0" w:color="auto"/>
              <w:bottom w:val="single" w:sz="4" w:space="0" w:color="auto"/>
            </w:tcBorders>
          </w:tcPr>
          <w:p>
            <w:pPr>
              <w:pStyle w:val="zytable"/>
              <w:ind w:left="0" w:right="0"/>
            </w:pPr>
          </w:p>
        </w:tc>
        <w:tc>
          <w:tcPr>
            <w:tcW w:w="4536" w:type="dxa"/>
            <w:tcBorders>
              <w:top w:val="single" w:sz="4" w:space="0" w:color="auto"/>
              <w:bottom w:val="single" w:sz="4" w:space="0" w:color="auto"/>
            </w:tcBorders>
          </w:tcPr>
          <w:p>
            <w:pPr>
              <w:pStyle w:val="yTable"/>
            </w:pPr>
            <w:r>
              <w:rPr>
                <w:b/>
                <w:bCs/>
              </w:rPr>
              <w:t xml:space="preserve">Type of service </w:t>
            </w:r>
          </w:p>
        </w:tc>
        <w:tc>
          <w:tcPr>
            <w:tcW w:w="1418" w:type="dxa"/>
            <w:tcBorders>
              <w:top w:val="single" w:sz="4" w:space="0" w:color="auto"/>
              <w:bottom w:val="single" w:sz="4" w:space="0" w:color="auto"/>
            </w:tcBorders>
          </w:tcPr>
          <w:p>
            <w:pPr>
              <w:pStyle w:val="yTable"/>
              <w:jc w:val="center"/>
              <w:rPr>
                <w:b/>
              </w:rPr>
            </w:pPr>
            <w:r>
              <w:rPr>
                <w:b/>
              </w:rPr>
              <w:t>Fee</w:t>
            </w:r>
          </w:p>
        </w:tc>
      </w:tr>
      <w:tr>
        <w:trPr>
          <w:cantSplit/>
        </w:trPr>
        <w:tc>
          <w:tcPr>
            <w:tcW w:w="992" w:type="dxa"/>
            <w:tcBorders>
              <w:top w:val="single" w:sz="4" w:space="0" w:color="auto"/>
            </w:tcBorders>
          </w:tcPr>
          <w:p>
            <w:pPr>
              <w:pStyle w:val="yTable"/>
            </w:pPr>
            <w:r>
              <w:t>EXE20</w:t>
            </w:r>
          </w:p>
        </w:tc>
        <w:tc>
          <w:tcPr>
            <w:tcW w:w="4536" w:type="dxa"/>
            <w:tcBorders>
              <w:top w:val="single" w:sz="4" w:space="0" w:color="auto"/>
            </w:tcBorders>
          </w:tcPr>
          <w:p>
            <w:pPr>
              <w:pStyle w:val="yTable"/>
            </w:pPr>
            <w:r>
              <w:rPr>
                <w:b/>
              </w:rPr>
              <w:t>Initial Consultation/Assessment</w:t>
            </w:r>
          </w:p>
          <w:p>
            <w:pPr>
              <w:pStyle w:val="yTable"/>
              <w:rPr>
                <w:lang w:val="en-US"/>
              </w:rPr>
            </w:pPr>
            <w:r>
              <w:rPr>
                <w:lang w:val="en-US"/>
              </w:rPr>
              <w:t>Insurer approval must be obtained prior to undertaking the service.</w:t>
            </w:r>
          </w:p>
          <w:p>
            <w:pPr>
              <w:pStyle w:val="yTable"/>
              <w:numPr>
                <w:ilvl w:val="0"/>
                <w:numId w:val="13"/>
              </w:numPr>
              <w:tabs>
                <w:tab w:val="clear" w:pos="720"/>
                <w:tab w:val="right" w:pos="438"/>
              </w:tabs>
              <w:ind w:left="438" w:hanging="438"/>
              <w:rPr>
                <w:szCs w:val="22"/>
              </w:rPr>
            </w:pPr>
            <w:r>
              <w:rPr>
                <w:szCs w:val="22"/>
              </w:rPr>
              <w:t>Review of current medical and vocational status.</w:t>
            </w:r>
          </w:p>
          <w:p>
            <w:pPr>
              <w:pStyle w:val="yTable"/>
              <w:numPr>
                <w:ilvl w:val="0"/>
                <w:numId w:val="13"/>
              </w:numPr>
              <w:tabs>
                <w:tab w:val="clear" w:pos="720"/>
                <w:tab w:val="right" w:pos="438"/>
              </w:tabs>
              <w:ind w:left="438" w:hanging="438"/>
              <w:rPr>
                <w:szCs w:val="22"/>
              </w:rPr>
            </w:pPr>
            <w:r>
              <w:rPr>
                <w:szCs w:val="22"/>
              </w:rPr>
              <w:t>Communication/Liaison with relevant parties.</w:t>
            </w:r>
          </w:p>
          <w:p>
            <w:pPr>
              <w:pStyle w:val="yTable"/>
              <w:numPr>
                <w:ilvl w:val="0"/>
                <w:numId w:val="13"/>
              </w:numPr>
              <w:tabs>
                <w:tab w:val="clear" w:pos="720"/>
                <w:tab w:val="right" w:pos="438"/>
              </w:tabs>
              <w:ind w:left="438" w:hanging="438"/>
              <w:rPr>
                <w:szCs w:val="22"/>
              </w:rPr>
            </w:pPr>
            <w:r>
              <w:rPr>
                <w:szCs w:val="22"/>
              </w:rPr>
              <w:t>Physiological Assessment/testing.</w:t>
            </w:r>
          </w:p>
          <w:p>
            <w:pPr>
              <w:pStyle w:val="yTable"/>
              <w:numPr>
                <w:ilvl w:val="0"/>
                <w:numId w:val="13"/>
              </w:numPr>
              <w:tabs>
                <w:tab w:val="clear" w:pos="720"/>
                <w:tab w:val="right" w:pos="438"/>
              </w:tabs>
              <w:ind w:left="438" w:hanging="438"/>
              <w:rPr>
                <w:szCs w:val="22"/>
              </w:rPr>
            </w:pPr>
            <w:r>
              <w:rPr>
                <w:szCs w:val="22"/>
              </w:rPr>
              <w:t>Screening questionnaires relating to worker’s level of function.</w:t>
            </w:r>
          </w:p>
          <w:p>
            <w:pPr>
              <w:pStyle w:val="yTable"/>
              <w:numPr>
                <w:ilvl w:val="0"/>
                <w:numId w:val="13"/>
              </w:numPr>
              <w:tabs>
                <w:tab w:val="clear" w:pos="720"/>
                <w:tab w:val="right" w:pos="438"/>
              </w:tabs>
              <w:ind w:left="438" w:hanging="438"/>
              <w:rPr>
                <w:szCs w:val="22"/>
              </w:rPr>
            </w:pPr>
            <w:r>
              <w:rPr>
                <w:szCs w:val="22"/>
              </w:rPr>
              <w:t>Program design based on above.</w:t>
            </w:r>
          </w:p>
          <w:p>
            <w:pPr>
              <w:pStyle w:val="yTable"/>
              <w:numPr>
                <w:ilvl w:val="0"/>
                <w:numId w:val="13"/>
              </w:numPr>
              <w:tabs>
                <w:tab w:val="clear" w:pos="720"/>
                <w:tab w:val="right" w:pos="438"/>
              </w:tabs>
              <w:ind w:left="438" w:hanging="438"/>
              <w:rPr>
                <w:i/>
                <w:lang w:val="en-US"/>
              </w:rPr>
            </w:pPr>
            <w:r>
              <w:rPr>
                <w:szCs w:val="22"/>
              </w:rPr>
              <w:t>Exercise facility/equipment coordination (pool or gym based).</w:t>
            </w:r>
          </w:p>
        </w:tc>
        <w:tc>
          <w:tcPr>
            <w:tcW w:w="1418" w:type="dxa"/>
            <w:tcBorders>
              <w:top w:val="single" w:sz="4" w:space="0" w:color="auto"/>
            </w:tcBorders>
          </w:tcPr>
          <w:p>
            <w:pPr>
              <w:spacing w:before="60"/>
              <w:jc w:val="center"/>
              <w:rPr>
                <w:sz w:val="22"/>
                <w:szCs w:val="22"/>
              </w:rPr>
            </w:pPr>
          </w:p>
          <w:p>
            <w:pPr>
              <w:spacing w:before="60"/>
              <w:jc w:val="center"/>
              <w:rPr>
                <w:sz w:val="22"/>
                <w:szCs w:val="22"/>
              </w:rPr>
            </w:pPr>
            <w:r>
              <w:rPr>
                <w:sz w:val="22"/>
                <w:szCs w:val="22"/>
              </w:rPr>
              <w:t>$148.30</w:t>
            </w:r>
            <w:r>
              <w:rPr>
                <w:sz w:val="22"/>
                <w:szCs w:val="22"/>
              </w:rPr>
              <w:br/>
              <w:t>per hour to a maximum of 2 hours**</w:t>
            </w:r>
          </w:p>
        </w:tc>
      </w:tr>
      <w:tr>
        <w:trPr>
          <w:cantSplit/>
        </w:trPr>
        <w:tc>
          <w:tcPr>
            <w:tcW w:w="992" w:type="dxa"/>
            <w:tcBorders>
              <w:bottom w:val="single" w:sz="4" w:space="0" w:color="auto"/>
            </w:tcBorders>
          </w:tcPr>
          <w:p>
            <w:pPr>
              <w:pStyle w:val="zytable"/>
              <w:ind w:left="0" w:right="0"/>
            </w:pPr>
          </w:p>
        </w:tc>
        <w:tc>
          <w:tcPr>
            <w:tcW w:w="4536" w:type="dxa"/>
            <w:tcBorders>
              <w:bottom w:val="single" w:sz="4" w:space="0" w:color="auto"/>
            </w:tcBorders>
          </w:tcPr>
          <w:p>
            <w:pPr>
              <w:pStyle w:val="yTable"/>
            </w:pPr>
            <w:r>
              <w:t>Provider to patient ratio must be 1:1 for the duration of the consultation.</w:t>
            </w:r>
          </w:p>
        </w:tc>
        <w:tc>
          <w:tcPr>
            <w:tcW w:w="1418" w:type="dxa"/>
            <w:tcBorders>
              <w:bottom w:val="single" w:sz="4" w:space="0" w:color="auto"/>
            </w:tcBorders>
          </w:tcPr>
          <w:p>
            <w:pPr>
              <w:pStyle w:val="yTable"/>
              <w:jc w:val="center"/>
            </w:pPr>
          </w:p>
        </w:tc>
      </w:tr>
      <w:tr>
        <w:trPr>
          <w:cantSplit/>
        </w:trPr>
        <w:tc>
          <w:tcPr>
            <w:tcW w:w="992" w:type="dxa"/>
            <w:tcBorders>
              <w:top w:val="single" w:sz="4" w:space="0" w:color="auto"/>
              <w:bottom w:val="single" w:sz="4" w:space="0" w:color="auto"/>
            </w:tcBorders>
          </w:tcPr>
          <w:p>
            <w:pPr>
              <w:pStyle w:val="yTable"/>
            </w:pPr>
            <w:r>
              <w:t>EXE21</w:t>
            </w:r>
          </w:p>
        </w:tc>
        <w:tc>
          <w:tcPr>
            <w:tcW w:w="4536" w:type="dxa"/>
            <w:tcBorders>
              <w:top w:val="single" w:sz="4" w:space="0" w:color="auto"/>
              <w:bottom w:val="single" w:sz="4" w:space="0" w:color="auto"/>
            </w:tcBorders>
          </w:tcPr>
          <w:p>
            <w:pPr>
              <w:pStyle w:val="yTable"/>
              <w:rPr>
                <w:szCs w:val="22"/>
              </w:rPr>
            </w:pPr>
            <w:r>
              <w:rPr>
                <w:szCs w:val="22"/>
              </w:rPr>
              <w:t>Subsequent Exercise Consultation/Assessment</w:t>
            </w:r>
          </w:p>
          <w:p>
            <w:pPr>
              <w:pStyle w:val="yTable"/>
              <w:rPr>
                <w:szCs w:val="22"/>
              </w:rPr>
            </w:pPr>
            <w:r>
              <w:rPr>
                <w:szCs w:val="22"/>
              </w:rPr>
              <w:t xml:space="preserve">Includes — </w:t>
            </w:r>
          </w:p>
          <w:p>
            <w:pPr>
              <w:pStyle w:val="yTable"/>
              <w:numPr>
                <w:ilvl w:val="0"/>
                <w:numId w:val="13"/>
              </w:numPr>
              <w:tabs>
                <w:tab w:val="clear" w:pos="720"/>
                <w:tab w:val="right" w:pos="438"/>
              </w:tabs>
              <w:ind w:left="438" w:hanging="438"/>
              <w:rPr>
                <w:szCs w:val="22"/>
              </w:rPr>
            </w:pPr>
            <w:r>
              <w:rPr>
                <w:szCs w:val="22"/>
              </w:rPr>
              <w:t>program implementation — prescription and provision of exercises (land or pool based);</w:t>
            </w:r>
          </w:p>
          <w:p>
            <w:pPr>
              <w:pStyle w:val="yTable"/>
              <w:numPr>
                <w:ilvl w:val="0"/>
                <w:numId w:val="13"/>
              </w:numPr>
              <w:tabs>
                <w:tab w:val="clear" w:pos="720"/>
                <w:tab w:val="right" w:pos="438"/>
              </w:tabs>
              <w:ind w:left="438" w:hanging="438"/>
              <w:rPr>
                <w:szCs w:val="22"/>
              </w:rPr>
            </w:pPr>
            <w:r>
              <w:rPr>
                <w:szCs w:val="22"/>
              </w:rPr>
              <w:t>program monitoring;</w:t>
            </w:r>
          </w:p>
          <w:p>
            <w:pPr>
              <w:pStyle w:val="yTable"/>
              <w:numPr>
                <w:ilvl w:val="0"/>
                <w:numId w:val="13"/>
              </w:numPr>
              <w:tabs>
                <w:tab w:val="clear" w:pos="720"/>
                <w:tab w:val="right" w:pos="438"/>
              </w:tabs>
              <w:ind w:left="438" w:hanging="438"/>
              <w:rPr>
                <w:szCs w:val="22"/>
              </w:rPr>
            </w:pPr>
            <w:r>
              <w:rPr>
                <w:szCs w:val="22"/>
              </w:rPr>
              <w:t>post program screening questionnaire relating to worker’s level of function;</w:t>
            </w:r>
          </w:p>
          <w:p>
            <w:pPr>
              <w:pStyle w:val="yTable"/>
              <w:numPr>
                <w:ilvl w:val="0"/>
                <w:numId w:val="13"/>
              </w:numPr>
              <w:tabs>
                <w:tab w:val="clear" w:pos="720"/>
                <w:tab w:val="right" w:pos="438"/>
              </w:tabs>
              <w:ind w:left="438" w:hanging="438"/>
              <w:rPr>
                <w:szCs w:val="22"/>
              </w:rPr>
            </w:pPr>
            <w:r>
              <w:rPr>
                <w:szCs w:val="22"/>
              </w:rPr>
              <w:t>psychosocial reassessment;</w:t>
            </w:r>
          </w:p>
          <w:p>
            <w:pPr>
              <w:pStyle w:val="yTable"/>
              <w:numPr>
                <w:ilvl w:val="0"/>
                <w:numId w:val="13"/>
              </w:numPr>
              <w:tabs>
                <w:tab w:val="clear" w:pos="720"/>
                <w:tab w:val="right" w:pos="438"/>
              </w:tabs>
              <w:ind w:left="438" w:hanging="438"/>
              <w:rPr>
                <w:szCs w:val="22"/>
              </w:rPr>
            </w:pPr>
            <w:r>
              <w:rPr>
                <w:szCs w:val="22"/>
              </w:rPr>
              <w:t>communication/liaison with relevant parties.</w:t>
            </w:r>
          </w:p>
        </w:tc>
        <w:tc>
          <w:tcPr>
            <w:tcW w:w="1418" w:type="dxa"/>
            <w:tcBorders>
              <w:top w:val="single" w:sz="4" w:space="0" w:color="auto"/>
              <w:bottom w:val="single" w:sz="4" w:space="0" w:color="auto"/>
            </w:tcBorders>
          </w:tcPr>
          <w:p>
            <w:pPr>
              <w:pStyle w:val="yTable"/>
              <w:jc w:val="center"/>
              <w:rPr>
                <w:szCs w:val="22"/>
              </w:rPr>
            </w:pPr>
            <w:r>
              <w:rPr>
                <w:szCs w:val="22"/>
              </w:rPr>
              <w:br/>
            </w:r>
          </w:p>
          <w:p>
            <w:pPr>
              <w:pStyle w:val="yTable"/>
              <w:jc w:val="center"/>
              <w:rPr>
                <w:sz w:val="16"/>
              </w:rPr>
            </w:pPr>
            <w:r>
              <w:rPr>
                <w:szCs w:val="22"/>
              </w:rPr>
              <w:t>$148.30</w:t>
            </w:r>
            <w:r>
              <w:rPr>
                <w:szCs w:val="22"/>
              </w:rPr>
              <w:br/>
              <w:t>per hour to a maximum of one hour**</w:t>
            </w:r>
          </w:p>
        </w:tc>
      </w:tr>
      <w:tr>
        <w:trPr>
          <w:cantSplit/>
        </w:trPr>
        <w:tc>
          <w:tcPr>
            <w:tcW w:w="992" w:type="dxa"/>
            <w:tcBorders>
              <w:top w:val="single" w:sz="4" w:space="0" w:color="auto"/>
              <w:bottom w:val="single" w:sz="4" w:space="0" w:color="auto"/>
            </w:tcBorders>
          </w:tcPr>
          <w:p>
            <w:pPr>
              <w:pStyle w:val="yTable"/>
            </w:pPr>
            <w:r>
              <w:t>EXE02</w:t>
            </w:r>
          </w:p>
        </w:tc>
        <w:tc>
          <w:tcPr>
            <w:tcW w:w="4536" w:type="dxa"/>
            <w:tcBorders>
              <w:top w:val="single" w:sz="4" w:space="0" w:color="auto"/>
              <w:bottom w:val="single" w:sz="4" w:space="0" w:color="auto"/>
            </w:tcBorders>
          </w:tcPr>
          <w:p>
            <w:pPr>
              <w:pStyle w:val="yTable"/>
            </w:pPr>
            <w:r>
              <w:rPr>
                <w:b/>
                <w:bCs/>
              </w:rPr>
              <w:t>Initial report</w:t>
            </w:r>
          </w:p>
          <w:p>
            <w:pPr>
              <w:pStyle w:val="yTable"/>
            </w:pPr>
            <w:r>
              <w:t xml:space="preserve">Includes — </w:t>
            </w:r>
          </w:p>
          <w:p>
            <w:pPr>
              <w:pStyle w:val="yTable"/>
              <w:numPr>
                <w:ilvl w:val="0"/>
                <w:numId w:val="13"/>
              </w:numPr>
              <w:tabs>
                <w:tab w:val="clear" w:pos="720"/>
                <w:tab w:val="right" w:pos="438"/>
              </w:tabs>
              <w:ind w:left="438" w:hanging="438"/>
              <w:rPr>
                <w:szCs w:val="22"/>
              </w:rPr>
            </w:pPr>
            <w:r>
              <w:rPr>
                <w:szCs w:val="22"/>
              </w:rPr>
              <w:t>initial assessment report outlining results (self</w:t>
            </w:r>
            <w:r>
              <w:rPr>
                <w:szCs w:val="22"/>
              </w:rPr>
              <w:noBreakHyphen/>
              <w:t>reported and objective), recommendations and exercise rehabilitation plan;</w:t>
            </w:r>
          </w:p>
          <w:p>
            <w:pPr>
              <w:pStyle w:val="yTable"/>
              <w:numPr>
                <w:ilvl w:val="0"/>
                <w:numId w:val="13"/>
              </w:numPr>
              <w:tabs>
                <w:tab w:val="clear" w:pos="720"/>
                <w:tab w:val="right" w:pos="438"/>
              </w:tabs>
              <w:ind w:left="438" w:hanging="438"/>
              <w:rPr>
                <w:szCs w:val="22"/>
              </w:rPr>
            </w:pPr>
            <w:r>
              <w:rPr>
                <w:szCs w:val="22"/>
              </w:rPr>
              <w:t>current status as per medical certification and proposed outcome status;</w:t>
            </w:r>
          </w:p>
          <w:p>
            <w:pPr>
              <w:pStyle w:val="yTable"/>
              <w:numPr>
                <w:ilvl w:val="0"/>
                <w:numId w:val="13"/>
              </w:numPr>
              <w:tabs>
                <w:tab w:val="clear" w:pos="720"/>
                <w:tab w:val="right" w:pos="438"/>
              </w:tabs>
              <w:ind w:left="438" w:hanging="438"/>
            </w:pPr>
            <w:r>
              <w:rPr>
                <w:szCs w:val="22"/>
              </w:rPr>
              <w:t>detailed cost plan outlining proposed outcome, services required and proposed costs for insurer approval.</w:t>
            </w:r>
          </w:p>
        </w:tc>
        <w:tc>
          <w:tcPr>
            <w:tcW w:w="1418" w:type="dxa"/>
            <w:tcBorders>
              <w:top w:val="single" w:sz="4" w:space="0" w:color="auto"/>
              <w:bottom w:val="single" w:sz="4" w:space="0" w:color="auto"/>
            </w:tcBorders>
          </w:tcPr>
          <w:p>
            <w:pPr>
              <w:pStyle w:val="yTable"/>
              <w:jc w:val="center"/>
              <w:rPr>
                <w:szCs w:val="22"/>
              </w:rPr>
            </w:pPr>
          </w:p>
          <w:p>
            <w:pPr>
              <w:pStyle w:val="yTable"/>
              <w:jc w:val="center"/>
            </w:pPr>
            <w:r>
              <w:rPr>
                <w:szCs w:val="22"/>
              </w:rPr>
              <w:t>$148.30</w:t>
            </w:r>
            <w:r>
              <w:rPr>
                <w:szCs w:val="22"/>
              </w:rPr>
              <w:br/>
              <w:t>per hour to a maximum of one hour**</w:t>
            </w:r>
          </w:p>
        </w:tc>
      </w:tr>
      <w:tr>
        <w:trPr>
          <w:cantSplit/>
        </w:trPr>
        <w:tc>
          <w:tcPr>
            <w:tcW w:w="992" w:type="dxa"/>
            <w:tcBorders>
              <w:top w:val="single" w:sz="4" w:space="0" w:color="auto"/>
              <w:bottom w:val="single" w:sz="4" w:space="0" w:color="auto"/>
            </w:tcBorders>
          </w:tcPr>
          <w:p>
            <w:pPr>
              <w:pStyle w:val="yTable"/>
            </w:pPr>
            <w:r>
              <w:t>EXE03</w:t>
            </w:r>
          </w:p>
        </w:tc>
        <w:tc>
          <w:tcPr>
            <w:tcW w:w="4536" w:type="dxa"/>
            <w:tcBorders>
              <w:top w:val="single" w:sz="4" w:space="0" w:color="auto"/>
              <w:bottom w:val="single" w:sz="4" w:space="0" w:color="auto"/>
            </w:tcBorders>
          </w:tcPr>
          <w:p>
            <w:pPr>
              <w:pStyle w:val="yTable"/>
            </w:pPr>
            <w:r>
              <w:rPr>
                <w:b/>
                <w:bCs/>
              </w:rPr>
              <w:t>Subsequent reports</w:t>
            </w:r>
          </w:p>
          <w:p>
            <w:pPr>
              <w:pStyle w:val="yTable"/>
            </w:pPr>
            <w:r>
              <w:rPr>
                <w:lang w:val="en-US"/>
              </w:rPr>
              <w:t>Progress report to be provided at the request of the referrer.</w:t>
            </w:r>
          </w:p>
        </w:tc>
        <w:tc>
          <w:tcPr>
            <w:tcW w:w="1418" w:type="dxa"/>
            <w:tcBorders>
              <w:top w:val="single" w:sz="4" w:space="0" w:color="auto"/>
              <w:bottom w:val="single" w:sz="4" w:space="0" w:color="auto"/>
            </w:tcBorders>
          </w:tcPr>
          <w:p>
            <w:pPr>
              <w:pStyle w:val="yTable"/>
              <w:jc w:val="center"/>
              <w:rPr>
                <w:szCs w:val="22"/>
              </w:rPr>
            </w:pPr>
          </w:p>
          <w:p>
            <w:pPr>
              <w:pStyle w:val="yTable"/>
              <w:jc w:val="center"/>
            </w:pPr>
            <w:r>
              <w:rPr>
                <w:szCs w:val="22"/>
              </w:rPr>
              <w:t>$148.30</w:t>
            </w:r>
            <w:r>
              <w:rPr>
                <w:szCs w:val="22"/>
              </w:rPr>
              <w:br/>
              <w:t>per hour to a maximum of 30 minutes**</w:t>
            </w:r>
          </w:p>
        </w:tc>
      </w:tr>
      <w:tr>
        <w:trPr>
          <w:cantSplit/>
        </w:trPr>
        <w:tc>
          <w:tcPr>
            <w:tcW w:w="992" w:type="dxa"/>
            <w:tcBorders>
              <w:top w:val="single" w:sz="4" w:space="0" w:color="auto"/>
              <w:bottom w:val="single" w:sz="4" w:space="0" w:color="auto"/>
            </w:tcBorders>
          </w:tcPr>
          <w:p>
            <w:pPr>
              <w:pStyle w:val="yTable"/>
            </w:pPr>
            <w:r>
              <w:t>EXE04</w:t>
            </w:r>
          </w:p>
        </w:tc>
        <w:tc>
          <w:tcPr>
            <w:tcW w:w="4536" w:type="dxa"/>
            <w:tcBorders>
              <w:top w:val="single" w:sz="4" w:space="0" w:color="auto"/>
              <w:bottom w:val="single" w:sz="4" w:space="0" w:color="auto"/>
            </w:tcBorders>
          </w:tcPr>
          <w:p>
            <w:pPr>
              <w:pStyle w:val="yTable"/>
            </w:pPr>
            <w:r>
              <w:rPr>
                <w:b/>
                <w:bCs/>
                <w:szCs w:val="22"/>
              </w:rPr>
              <w:t>Final report</w:t>
            </w:r>
          </w:p>
          <w:p>
            <w:pPr>
              <w:pStyle w:val="yTable"/>
            </w:pPr>
            <w:r>
              <w:t xml:space="preserve">Comprehensive report to be provided at the end of the service delivery detailing — </w:t>
            </w:r>
          </w:p>
          <w:p>
            <w:pPr>
              <w:pStyle w:val="yTable"/>
              <w:numPr>
                <w:ilvl w:val="0"/>
                <w:numId w:val="13"/>
              </w:numPr>
              <w:tabs>
                <w:tab w:val="clear" w:pos="720"/>
                <w:tab w:val="right" w:pos="438"/>
              </w:tabs>
              <w:ind w:left="438" w:hanging="438"/>
              <w:rPr>
                <w:szCs w:val="22"/>
              </w:rPr>
            </w:pPr>
            <w:r>
              <w:rPr>
                <w:szCs w:val="22"/>
              </w:rPr>
              <w:t>physiological testing results pre and post program;</w:t>
            </w:r>
          </w:p>
          <w:p>
            <w:pPr>
              <w:pStyle w:val="yTable"/>
              <w:numPr>
                <w:ilvl w:val="0"/>
                <w:numId w:val="13"/>
              </w:numPr>
              <w:tabs>
                <w:tab w:val="clear" w:pos="720"/>
                <w:tab w:val="right" w:pos="438"/>
              </w:tabs>
              <w:ind w:left="438" w:hanging="438"/>
            </w:pPr>
            <w:r>
              <w:rPr>
                <w:szCs w:val="22"/>
              </w:rPr>
              <w:t>worker attendance</w:t>
            </w:r>
            <w:r>
              <w:rPr>
                <w:lang w:val="en-US"/>
              </w:rPr>
              <w:t>/program compliance.</w:t>
            </w:r>
          </w:p>
        </w:tc>
        <w:tc>
          <w:tcPr>
            <w:tcW w:w="1418" w:type="dxa"/>
            <w:tcBorders>
              <w:top w:val="single" w:sz="4" w:space="0" w:color="auto"/>
              <w:bottom w:val="single" w:sz="4" w:space="0" w:color="auto"/>
            </w:tcBorders>
          </w:tcPr>
          <w:p>
            <w:pPr>
              <w:pStyle w:val="yTable"/>
              <w:jc w:val="center"/>
              <w:rPr>
                <w:szCs w:val="22"/>
              </w:rPr>
            </w:pPr>
          </w:p>
          <w:p>
            <w:pPr>
              <w:pStyle w:val="yTable"/>
              <w:jc w:val="center"/>
            </w:pPr>
            <w:r>
              <w:rPr>
                <w:szCs w:val="22"/>
              </w:rPr>
              <w:t>$148.30</w:t>
            </w:r>
            <w:r>
              <w:rPr>
                <w:szCs w:val="22"/>
              </w:rPr>
              <w:br/>
              <w:t>per hour to a maximum of 30 minutes**</w:t>
            </w:r>
          </w:p>
        </w:tc>
      </w:tr>
      <w:tr>
        <w:trPr>
          <w:cantSplit/>
        </w:trPr>
        <w:tc>
          <w:tcPr>
            <w:tcW w:w="992" w:type="dxa"/>
            <w:tcBorders>
              <w:top w:val="single" w:sz="4" w:space="0" w:color="auto"/>
              <w:bottom w:val="single" w:sz="4" w:space="0" w:color="auto"/>
            </w:tcBorders>
          </w:tcPr>
          <w:p>
            <w:pPr>
              <w:pStyle w:val="yTable"/>
            </w:pPr>
            <w:r>
              <w:t>EXE05</w:t>
            </w:r>
          </w:p>
        </w:tc>
        <w:tc>
          <w:tcPr>
            <w:tcW w:w="4536" w:type="dxa"/>
            <w:tcBorders>
              <w:top w:val="single" w:sz="4" w:space="0" w:color="auto"/>
              <w:bottom w:val="single" w:sz="4" w:space="0" w:color="auto"/>
            </w:tcBorders>
          </w:tcPr>
          <w:p>
            <w:pPr>
              <w:pStyle w:val="yTable"/>
            </w:pPr>
            <w:r>
              <w:rPr>
                <w:b/>
                <w:bCs/>
              </w:rPr>
              <w:t>Gym membership/Entry fees</w:t>
            </w:r>
          </w:p>
          <w:p>
            <w:pPr>
              <w:pStyle w:val="yTable"/>
              <w:rPr>
                <w:lang w:val="en-US"/>
              </w:rPr>
            </w:pPr>
            <w:r>
              <w:t xml:space="preserve">Includes </w:t>
            </w:r>
            <w:r>
              <w:rPr>
                <w:lang w:val="en-US"/>
              </w:rPr>
              <w:t>direct cost of membership (pool or gym).</w:t>
            </w:r>
          </w:p>
          <w:p>
            <w:pPr>
              <w:pStyle w:val="yTable"/>
            </w:pPr>
            <w:r>
              <w:rPr>
                <w:lang w:val="en-US"/>
              </w:rPr>
              <w:t>Prior approval from insurer required.</w:t>
            </w:r>
          </w:p>
        </w:tc>
        <w:tc>
          <w:tcPr>
            <w:tcW w:w="1418" w:type="dxa"/>
            <w:tcBorders>
              <w:top w:val="single" w:sz="4" w:space="0" w:color="auto"/>
              <w:bottom w:val="single" w:sz="4" w:space="0" w:color="auto"/>
            </w:tcBorders>
          </w:tcPr>
          <w:p>
            <w:pPr>
              <w:pStyle w:val="yTable"/>
              <w:jc w:val="center"/>
            </w:pPr>
          </w:p>
          <w:p>
            <w:pPr>
              <w:pStyle w:val="yTable"/>
            </w:pPr>
            <w:r>
              <w:t>Market rates</w:t>
            </w:r>
          </w:p>
        </w:tc>
      </w:tr>
      <w:tr>
        <w:trPr>
          <w:cantSplit/>
        </w:trPr>
        <w:tc>
          <w:tcPr>
            <w:tcW w:w="992" w:type="dxa"/>
            <w:tcBorders>
              <w:top w:val="single" w:sz="4" w:space="0" w:color="auto"/>
              <w:bottom w:val="single" w:sz="4" w:space="0" w:color="auto"/>
            </w:tcBorders>
          </w:tcPr>
          <w:p>
            <w:pPr>
              <w:pStyle w:val="yTable"/>
            </w:pPr>
            <w:r>
              <w:rPr>
                <w:szCs w:val="22"/>
              </w:rPr>
              <w:t>EXE06</w:t>
            </w:r>
          </w:p>
        </w:tc>
        <w:tc>
          <w:tcPr>
            <w:tcW w:w="4536" w:type="dxa"/>
            <w:tcBorders>
              <w:top w:val="single" w:sz="4" w:space="0" w:color="auto"/>
              <w:bottom w:val="single" w:sz="4" w:space="0" w:color="auto"/>
            </w:tcBorders>
          </w:tcPr>
          <w:p>
            <w:pPr>
              <w:pStyle w:val="yTable"/>
            </w:pPr>
            <w:r>
              <w:rPr>
                <w:b/>
              </w:rPr>
              <w:t>Travel</w:t>
            </w:r>
          </w:p>
          <w:p>
            <w:pPr>
              <w:pStyle w:val="yTable"/>
              <w:rPr>
                <w:bCs/>
                <w:lang w:val="en-US"/>
              </w:rPr>
            </w:pPr>
            <w:r>
              <w:rPr>
                <w:bCs/>
                <w:lang w:val="en-US"/>
              </w:rPr>
              <w:t>Travel when the most appropriate management of the patient requires the provider to travel away from their normal practice.</w:t>
            </w:r>
          </w:p>
          <w:p>
            <w:pPr>
              <w:pStyle w:val="yTable"/>
              <w:rPr>
                <w:bCs/>
                <w:lang w:val="en-US"/>
              </w:rPr>
            </w:pPr>
            <w:r>
              <w:rPr>
                <w:bCs/>
                <w:lang w:val="en-US"/>
              </w:rPr>
              <w:t>The insurer must provide pre</w:t>
            </w:r>
            <w:r>
              <w:rPr>
                <w:bCs/>
                <w:lang w:val="en-US"/>
              </w:rPr>
              <w:noBreakHyphen/>
              <w:t>approval for travel in excess of one hour.</w:t>
            </w:r>
          </w:p>
          <w:p>
            <w:pPr>
              <w:pStyle w:val="yTable"/>
            </w:pPr>
            <w:r>
              <w:rPr>
                <w:bCs/>
              </w:rPr>
              <w:t>If services are provided to more than one worker before leaving a venue, the fee for the journey is to be apportioned equally between workers.</w:t>
            </w:r>
          </w:p>
        </w:tc>
        <w:tc>
          <w:tcPr>
            <w:tcW w:w="1418" w:type="dxa"/>
            <w:tcBorders>
              <w:top w:val="single" w:sz="4" w:space="0" w:color="auto"/>
              <w:bottom w:val="single" w:sz="4" w:space="0" w:color="auto"/>
            </w:tcBorders>
          </w:tcPr>
          <w:p>
            <w:pPr>
              <w:pStyle w:val="yTable"/>
              <w:jc w:val="center"/>
              <w:rPr>
                <w:szCs w:val="22"/>
              </w:rPr>
            </w:pPr>
          </w:p>
          <w:p>
            <w:pPr>
              <w:pStyle w:val="yTable"/>
              <w:jc w:val="center"/>
            </w:pPr>
            <w:r>
              <w:rPr>
                <w:szCs w:val="22"/>
              </w:rPr>
              <w:t>$118.65</w:t>
            </w:r>
            <w:r>
              <w:rPr>
                <w:szCs w:val="22"/>
              </w:rPr>
              <w:br/>
              <w:t>per hour **</w:t>
            </w:r>
          </w:p>
        </w:tc>
      </w:tr>
      <w:tr>
        <w:trPr>
          <w:cantSplit/>
        </w:trPr>
        <w:tc>
          <w:tcPr>
            <w:tcW w:w="992" w:type="dxa"/>
            <w:tcBorders>
              <w:top w:val="single" w:sz="4" w:space="0" w:color="auto"/>
              <w:bottom w:val="single" w:sz="4" w:space="0" w:color="auto"/>
            </w:tcBorders>
          </w:tcPr>
          <w:p>
            <w:pPr>
              <w:pStyle w:val="yTable"/>
            </w:pPr>
            <w:r>
              <w:t>EXE08</w:t>
            </w:r>
          </w:p>
        </w:tc>
        <w:tc>
          <w:tcPr>
            <w:tcW w:w="4536" w:type="dxa"/>
            <w:tcBorders>
              <w:top w:val="single" w:sz="4" w:space="0" w:color="auto"/>
              <w:bottom w:val="single" w:sz="4" w:space="0" w:color="auto"/>
            </w:tcBorders>
          </w:tcPr>
          <w:p>
            <w:pPr>
              <w:pStyle w:val="yTable"/>
            </w:pPr>
            <w:r>
              <w:rPr>
                <w:b/>
                <w:bCs/>
              </w:rPr>
              <w:t>Communication</w:t>
            </w:r>
          </w:p>
          <w:p>
            <w:pPr>
              <w:pStyle w:val="yTable"/>
            </w:pPr>
            <w:r>
              <w:t xml:space="preserve">Any requested or required oral communication </w:t>
            </w:r>
            <w:r>
              <w:rPr>
                <w:lang w:val="en-US"/>
              </w:rPr>
              <w:t xml:space="preserve">with relevant parties (treating medical practitioners, employers and insurers) </w:t>
            </w:r>
            <w:r>
              <w:t>relating to the treatment of a specific worker.</w:t>
            </w:r>
          </w:p>
          <w:p>
            <w:pPr>
              <w:pStyle w:val="yTable"/>
            </w:pPr>
            <w:r>
              <w:t>Excludes courtesy communication such as acknowledgment of referral and brief updates to the medical practitioner.</w:t>
            </w:r>
          </w:p>
          <w:p>
            <w:pPr>
              <w:pStyle w:val="yTable"/>
            </w:pPr>
            <w:r>
              <w:t>Maximum time allowable per communication of 30 minutes.</w:t>
            </w:r>
          </w:p>
        </w:tc>
        <w:tc>
          <w:tcPr>
            <w:tcW w:w="1418" w:type="dxa"/>
            <w:tcBorders>
              <w:top w:val="single" w:sz="4" w:space="0" w:color="auto"/>
              <w:bottom w:val="single" w:sz="4" w:space="0" w:color="auto"/>
            </w:tcBorders>
          </w:tcPr>
          <w:p>
            <w:pPr>
              <w:pStyle w:val="yTable"/>
              <w:jc w:val="center"/>
              <w:rPr>
                <w:szCs w:val="22"/>
              </w:rPr>
            </w:pPr>
          </w:p>
          <w:p>
            <w:pPr>
              <w:pStyle w:val="yTable"/>
              <w:jc w:val="center"/>
            </w:pPr>
            <w:r>
              <w:rPr>
                <w:szCs w:val="22"/>
              </w:rPr>
              <w:t>$14.90</w:t>
            </w:r>
            <w:r>
              <w:rPr>
                <w:szCs w:val="22"/>
              </w:rPr>
              <w:br/>
            </w:r>
            <w:r>
              <w:t>per 6 minute block</w:t>
            </w:r>
          </w:p>
        </w:tc>
      </w:tr>
      <w:tr>
        <w:trPr>
          <w:cantSplit/>
        </w:trPr>
        <w:tc>
          <w:tcPr>
            <w:tcW w:w="992" w:type="dxa"/>
            <w:tcBorders>
              <w:top w:val="single" w:sz="4" w:space="0" w:color="auto"/>
              <w:bottom w:val="single" w:sz="4" w:space="0" w:color="auto"/>
            </w:tcBorders>
          </w:tcPr>
          <w:p>
            <w:pPr>
              <w:pStyle w:val="yTable"/>
            </w:pPr>
            <w:r>
              <w:t>EXE09</w:t>
            </w:r>
          </w:p>
        </w:tc>
        <w:tc>
          <w:tcPr>
            <w:tcW w:w="4536" w:type="dxa"/>
            <w:tcBorders>
              <w:top w:val="single" w:sz="4" w:space="0" w:color="auto"/>
              <w:bottom w:val="single" w:sz="4" w:space="0" w:color="auto"/>
            </w:tcBorders>
          </w:tcPr>
          <w:p>
            <w:pPr>
              <w:pStyle w:val="yTable"/>
              <w:rPr>
                <w:lang w:val="en-US"/>
              </w:rPr>
            </w:pPr>
            <w:r>
              <w:rPr>
                <w:b/>
                <w:bCs/>
                <w:szCs w:val="22"/>
                <w:lang w:val="en-US"/>
              </w:rPr>
              <w:t>Attendance at Medical Case Conferences</w:t>
            </w:r>
          </w:p>
          <w:p>
            <w:pPr>
              <w:pStyle w:val="yTable"/>
            </w:pPr>
            <w:r>
              <w:rPr>
                <w:lang w:val="en-US"/>
              </w:rPr>
              <w:t>Prior insurer approval must be obtained prior to undertaking the service.</w:t>
            </w:r>
          </w:p>
        </w:tc>
        <w:tc>
          <w:tcPr>
            <w:tcW w:w="1418" w:type="dxa"/>
            <w:tcBorders>
              <w:top w:val="single" w:sz="4" w:space="0" w:color="auto"/>
              <w:bottom w:val="single" w:sz="4" w:space="0" w:color="auto"/>
            </w:tcBorders>
          </w:tcPr>
          <w:p>
            <w:pPr>
              <w:pStyle w:val="yTable"/>
              <w:keepNext/>
              <w:keepLines/>
              <w:jc w:val="center"/>
              <w:rPr>
                <w:szCs w:val="22"/>
              </w:rPr>
            </w:pPr>
          </w:p>
          <w:p>
            <w:pPr>
              <w:pStyle w:val="yTable"/>
              <w:keepNext/>
              <w:keepLines/>
              <w:jc w:val="center"/>
              <w:rPr>
                <w:strike/>
              </w:rPr>
            </w:pPr>
            <w:r>
              <w:rPr>
                <w:szCs w:val="22"/>
              </w:rPr>
              <w:t>$148.30</w:t>
            </w:r>
            <w:r>
              <w:rPr>
                <w:szCs w:val="22"/>
              </w:rPr>
              <w:br/>
              <w:t>per hour **</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[Schedule 5A inserted in Gazette 17 Dec 2008 p. 5325</w:t>
      </w:r>
      <w:r>
        <w:noBreakHyphen/>
        <w:t>8.]</w:t>
      </w:r>
    </w:p>
    <w:p>
      <w:pPr>
        <w:pStyle w:val="yScheduleHeading"/>
      </w:pPr>
      <w:bookmarkStart w:id="177" w:name="_Toc217355374"/>
      <w:bookmarkStart w:id="178" w:name="_Toc217355404"/>
      <w:bookmarkEnd w:id="163"/>
      <w:bookmarkEnd w:id="164"/>
      <w:r>
        <w:rPr>
          <w:rStyle w:val="CharSchNo"/>
        </w:rPr>
        <w:t>Schedule 6 </w:t>
      </w:r>
      <w:r>
        <w:t>— </w:t>
      </w:r>
      <w:r>
        <w:rPr>
          <w:rStyle w:val="CharSchText"/>
        </w:rPr>
        <w:t>Scale of maximum fees — approved medical specialists</w:t>
      </w:r>
      <w:bookmarkEnd w:id="177"/>
      <w:bookmarkEnd w:id="178"/>
    </w:p>
    <w:p>
      <w:pPr>
        <w:pStyle w:val="yShoulderClause"/>
      </w:pPr>
      <w:r>
        <w:t>[r. 9]</w:t>
      </w:r>
    </w:p>
    <w:p>
      <w:pPr>
        <w:pStyle w:val="yFootnoteheading"/>
      </w:pPr>
      <w:r>
        <w:tab/>
        <w:t>[Heading inserted in Gazette 17 Dec 2008 p. 5328.]</w:t>
      </w:r>
    </w:p>
    <w:p>
      <w:pPr>
        <w:pStyle w:val="yHeading3"/>
      </w:pPr>
      <w:bookmarkStart w:id="179" w:name="_Toc217355375"/>
      <w:bookmarkStart w:id="180" w:name="_Toc217355405"/>
      <w:r>
        <w:rPr>
          <w:rStyle w:val="CharSDivNo"/>
        </w:rPr>
        <w:t>Part 1</w:t>
      </w:r>
      <w:r>
        <w:t xml:space="preserve"> — </w:t>
      </w:r>
      <w:r>
        <w:rPr>
          <w:rStyle w:val="CharSDivText"/>
        </w:rPr>
        <w:t>Assessments</w:t>
      </w:r>
      <w:bookmarkEnd w:id="179"/>
      <w:bookmarkEnd w:id="180"/>
    </w:p>
    <w:p>
      <w:pPr>
        <w:pStyle w:val="yFootnoteheading"/>
      </w:pPr>
      <w:r>
        <w:tab/>
        <w:t>[Heading inserted in Gazette 17 Dec 2008 p. 5328.]</w:t>
      </w:r>
    </w:p>
    <w:tbl>
      <w:tblPr>
        <w:tblW w:w="6946" w:type="dxa"/>
        <w:tblInd w:w="250" w:type="dxa"/>
        <w:tblLayout w:type="fixed"/>
        <w:tblLook w:val="0000" w:firstRow="0" w:lastRow="0" w:firstColumn="0" w:lastColumn="0" w:noHBand="0" w:noVBand="0"/>
      </w:tblPr>
      <w:tblGrid>
        <w:gridCol w:w="992"/>
        <w:gridCol w:w="3794"/>
        <w:gridCol w:w="2160"/>
      </w:tblGrid>
      <w:tr>
        <w:trPr>
          <w:cantSplit/>
          <w:tblHeader/>
        </w:trPr>
        <w:tc>
          <w:tcPr>
            <w:tcW w:w="992" w:type="dxa"/>
            <w:tcBorders>
              <w:top w:val="single" w:sz="4" w:space="0" w:color="auto"/>
              <w:bottom w:val="single" w:sz="4" w:space="0" w:color="auto"/>
            </w:tcBorders>
          </w:tcPr>
          <w:p>
            <w:pPr>
              <w:pStyle w:val="zytable"/>
              <w:keepNext/>
              <w:ind w:left="0" w:right="0"/>
            </w:pPr>
          </w:p>
        </w:tc>
        <w:tc>
          <w:tcPr>
            <w:tcW w:w="3794" w:type="dxa"/>
            <w:tcBorders>
              <w:top w:val="single" w:sz="4" w:space="0" w:color="auto"/>
              <w:bottom w:val="single" w:sz="4" w:space="0" w:color="auto"/>
            </w:tcBorders>
          </w:tcPr>
          <w:p>
            <w:pPr>
              <w:pStyle w:val="yTable"/>
            </w:pPr>
            <w:r>
              <w:rPr>
                <w:b/>
              </w:rPr>
              <w:t>Description of assessment</w:t>
            </w:r>
          </w:p>
        </w:tc>
        <w:tc>
          <w:tcPr>
            <w:tcW w:w="2160" w:type="dxa"/>
            <w:tcBorders>
              <w:top w:val="single" w:sz="4" w:space="0" w:color="auto"/>
              <w:bottom w:val="single" w:sz="4" w:space="0" w:color="auto"/>
            </w:tcBorders>
          </w:tcPr>
          <w:p>
            <w:pPr>
              <w:pStyle w:val="yTable"/>
            </w:pPr>
            <w:r>
              <w:rPr>
                <w:b/>
              </w:rPr>
              <w:t xml:space="preserve">Maximum fee** </w:t>
            </w:r>
          </w:p>
        </w:tc>
      </w:tr>
      <w:tr>
        <w:tc>
          <w:tcPr>
            <w:tcW w:w="992" w:type="dxa"/>
          </w:tcPr>
          <w:p>
            <w:pPr>
              <w:pStyle w:val="yTable"/>
            </w:pPr>
            <w:r>
              <w:t>1.</w:t>
            </w:r>
          </w:p>
        </w:tc>
        <w:tc>
          <w:tcPr>
            <w:tcW w:w="3794" w:type="dxa"/>
          </w:tcPr>
          <w:p>
            <w:pPr>
              <w:pStyle w:val="yTable"/>
            </w:pPr>
            <w:r>
              <w:t>Examination and provision of report and certificate — straightforward assessment — other than a service mentioned in item 4, 5, 6 or 8.</w:t>
            </w:r>
          </w:p>
        </w:tc>
        <w:tc>
          <w:tcPr>
            <w:tcW w:w="2160" w:type="dxa"/>
          </w:tcPr>
          <w:p>
            <w:pPr>
              <w:pStyle w:val="yTable"/>
            </w:pPr>
            <w:r>
              <w:rPr>
                <w:szCs w:val="22"/>
              </w:rPr>
              <w:t xml:space="preserve">$1 000.15 </w:t>
            </w:r>
            <w:r>
              <w:t>(or, if an interpreter is present at the examination, $1 250.10 excluding any fee payable to the interpreter)</w:t>
            </w:r>
          </w:p>
        </w:tc>
      </w:tr>
      <w:tr>
        <w:tc>
          <w:tcPr>
            <w:tcW w:w="992" w:type="dxa"/>
          </w:tcPr>
          <w:p>
            <w:pPr>
              <w:pStyle w:val="yTable"/>
            </w:pPr>
            <w:r>
              <w:t>2.</w:t>
            </w:r>
          </w:p>
        </w:tc>
        <w:tc>
          <w:tcPr>
            <w:tcW w:w="3794" w:type="dxa"/>
          </w:tcPr>
          <w:p>
            <w:pPr>
              <w:pStyle w:val="yTable"/>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160" w:type="dxa"/>
          </w:tcPr>
          <w:p>
            <w:pPr>
              <w:pStyle w:val="yTable"/>
            </w:pPr>
            <w:r>
              <w:t>$1 250.10 (or, if an interpreter is present at the examination, $1 500.15 excluding any fee payable to the interpreter)</w:t>
            </w:r>
          </w:p>
        </w:tc>
      </w:tr>
      <w:tr>
        <w:tc>
          <w:tcPr>
            <w:tcW w:w="992" w:type="dxa"/>
          </w:tcPr>
          <w:p>
            <w:pPr>
              <w:pStyle w:val="yTable"/>
            </w:pPr>
            <w:r>
              <w:t>3.</w:t>
            </w:r>
          </w:p>
        </w:tc>
        <w:tc>
          <w:tcPr>
            <w:tcW w:w="3794" w:type="dxa"/>
          </w:tcPr>
          <w:p>
            <w:pPr>
              <w:pStyle w:val="yTable"/>
            </w:pPr>
            <w:r>
              <w:t>Examination and provision of report and certificate — complex assessment (e.g. multiple injuries; severe impairment such as spinal cord injury or head injury) — other than a service mentioned in item 4, 5, 6 or 8.</w:t>
            </w:r>
          </w:p>
        </w:tc>
        <w:tc>
          <w:tcPr>
            <w:tcW w:w="2160" w:type="dxa"/>
          </w:tcPr>
          <w:p>
            <w:pPr>
              <w:pStyle w:val="yTable"/>
            </w:pPr>
            <w:r>
              <w:t>$1 500.15 (or, if an interpreter is present at the examination, $1 750.15 excluding any fee payable to the interpreter)</w:t>
            </w:r>
          </w:p>
        </w:tc>
      </w:tr>
      <w:tr>
        <w:tc>
          <w:tcPr>
            <w:tcW w:w="992" w:type="dxa"/>
          </w:tcPr>
          <w:p>
            <w:pPr>
              <w:pStyle w:val="yTable"/>
            </w:pPr>
            <w:r>
              <w:t>4.</w:t>
            </w:r>
          </w:p>
        </w:tc>
        <w:tc>
          <w:tcPr>
            <w:tcW w:w="3794" w:type="dxa"/>
          </w:tcPr>
          <w:p>
            <w:pPr>
              <w:pStyle w:val="yTable"/>
            </w:pPr>
            <w:r>
              <w:t>Examination of any of ear, nose and throat only, including audiometric testing, and provision of report and certificate — other than a service mentioned in item 8.</w:t>
            </w:r>
          </w:p>
        </w:tc>
        <w:tc>
          <w:tcPr>
            <w:tcW w:w="2160" w:type="dxa"/>
          </w:tcPr>
          <w:p>
            <w:pPr>
              <w:pStyle w:val="yTable"/>
            </w:pPr>
            <w:r>
              <w:rPr>
                <w:szCs w:val="22"/>
              </w:rPr>
              <w:t xml:space="preserve">$1 000.15 </w:t>
            </w:r>
            <w:r>
              <w:t>(or, if an interpreter is present at the examination, $1 250.10 excluding any fee payable to the interpreter)</w:t>
            </w:r>
          </w:p>
        </w:tc>
      </w:tr>
      <w:tr>
        <w:tc>
          <w:tcPr>
            <w:tcW w:w="992" w:type="dxa"/>
          </w:tcPr>
          <w:p>
            <w:pPr>
              <w:pStyle w:val="yTable"/>
            </w:pPr>
            <w:r>
              <w:t>5.</w:t>
            </w:r>
          </w:p>
        </w:tc>
        <w:tc>
          <w:tcPr>
            <w:tcW w:w="3794" w:type="dxa"/>
          </w:tcPr>
          <w:p>
            <w:pPr>
              <w:pStyle w:val="yTable"/>
            </w:pPr>
            <w:r>
              <w:t>Examination and provision of report and certificate — psychiatric — standard assessment — other than a service mentioned in item 8.</w:t>
            </w:r>
          </w:p>
        </w:tc>
        <w:tc>
          <w:tcPr>
            <w:tcW w:w="2160" w:type="dxa"/>
          </w:tcPr>
          <w:p>
            <w:pPr>
              <w:pStyle w:val="yTable"/>
            </w:pPr>
            <w:r>
              <w:t>$1 500.15 (or, if an interpreter is present at the examination, $1 750.15 excluding any fee payable to the interpreter)</w:t>
            </w:r>
          </w:p>
        </w:tc>
      </w:tr>
      <w:tr>
        <w:trPr>
          <w:cantSplit/>
        </w:trPr>
        <w:tc>
          <w:tcPr>
            <w:tcW w:w="992" w:type="dxa"/>
          </w:tcPr>
          <w:p>
            <w:pPr>
              <w:pStyle w:val="yTable"/>
            </w:pPr>
            <w:r>
              <w:t>6.</w:t>
            </w:r>
          </w:p>
        </w:tc>
        <w:tc>
          <w:tcPr>
            <w:tcW w:w="3794" w:type="dxa"/>
          </w:tcPr>
          <w:p>
            <w:pPr>
              <w:pStyle w:val="yTable"/>
            </w:pPr>
            <w:r>
              <w:t>Examination and provision of report and certificate — psychiatric — complex assessment (e.g. reviewing significant documented prior psychiatric history) — other than a service mentioned in item 8.</w:t>
            </w:r>
          </w:p>
        </w:tc>
        <w:tc>
          <w:tcPr>
            <w:tcW w:w="2160" w:type="dxa"/>
          </w:tcPr>
          <w:p>
            <w:pPr>
              <w:pStyle w:val="yTable"/>
            </w:pPr>
            <w:r>
              <w:t>$2 500.20 (or, if an interpreter is present at the examination, $2 750.20 excluding any fee payable to the interpreter)</w:t>
            </w:r>
          </w:p>
        </w:tc>
      </w:tr>
      <w:tr>
        <w:tc>
          <w:tcPr>
            <w:tcW w:w="992" w:type="dxa"/>
          </w:tcPr>
          <w:p>
            <w:pPr>
              <w:pStyle w:val="yTable"/>
            </w:pPr>
            <w:r>
              <w:t>7.</w:t>
            </w:r>
          </w:p>
        </w:tc>
        <w:tc>
          <w:tcPr>
            <w:tcW w:w="3794" w:type="dxa"/>
          </w:tcPr>
          <w:p>
            <w:pPr>
              <w:pStyle w:val="yTable"/>
            </w:pPr>
            <w:r>
              <w:t>Consolidation of written assessments from multiple assessors.</w:t>
            </w:r>
          </w:p>
        </w:tc>
        <w:tc>
          <w:tcPr>
            <w:tcW w:w="2160" w:type="dxa"/>
          </w:tcPr>
          <w:p>
            <w:pPr>
              <w:pStyle w:val="yTable"/>
            </w:pPr>
            <w:r>
              <w:t>$500.00</w:t>
            </w:r>
          </w:p>
        </w:tc>
      </w:tr>
      <w:tr>
        <w:tc>
          <w:tcPr>
            <w:tcW w:w="992" w:type="dxa"/>
          </w:tcPr>
          <w:p>
            <w:pPr>
              <w:pStyle w:val="yTable"/>
            </w:pPr>
            <w:r>
              <w:t>8.</w:t>
            </w:r>
          </w:p>
        </w:tc>
        <w:tc>
          <w:tcPr>
            <w:tcW w:w="3794" w:type="dxa"/>
          </w:tcPr>
          <w:p>
            <w:pPr>
              <w:pStyle w:val="yTable"/>
            </w:pPr>
            <w:r>
              <w:t>Re</w:t>
            </w:r>
            <w:r>
              <w:noBreakHyphen/>
              <w:t>examination and provision of report and certificate.</w:t>
            </w:r>
          </w:p>
        </w:tc>
        <w:tc>
          <w:tcPr>
            <w:tcW w:w="2160" w:type="dxa"/>
          </w:tcPr>
          <w:p>
            <w:pPr>
              <w:pStyle w:val="yTable"/>
            </w:pPr>
            <w:r>
              <w:t>$750.05 (or, if an interpreter is present at the examination, $1 000.15 excluding any fee payable to the interpreter)</w:t>
            </w:r>
          </w:p>
        </w:tc>
      </w:tr>
      <w:tr>
        <w:tc>
          <w:tcPr>
            <w:tcW w:w="992" w:type="dxa"/>
            <w:tcBorders>
              <w:bottom w:val="single" w:sz="4" w:space="0" w:color="auto"/>
            </w:tcBorders>
          </w:tcPr>
          <w:p>
            <w:pPr>
              <w:pStyle w:val="yTable"/>
            </w:pPr>
            <w:r>
              <w:t>9.</w:t>
            </w:r>
          </w:p>
        </w:tc>
        <w:tc>
          <w:tcPr>
            <w:tcW w:w="3794" w:type="dxa"/>
            <w:tcBorders>
              <w:bottom w:val="single" w:sz="4" w:space="0" w:color="auto"/>
            </w:tcBorders>
          </w:tcPr>
          <w:p>
            <w:pPr>
              <w:pStyle w:val="yTable"/>
            </w:pPr>
            <w:r>
              <w:t>Provision of supplementary report and certificate.</w:t>
            </w:r>
          </w:p>
        </w:tc>
        <w:tc>
          <w:tcPr>
            <w:tcW w:w="2160" w:type="dxa"/>
            <w:tcBorders>
              <w:bottom w:val="single" w:sz="4" w:space="0" w:color="auto"/>
            </w:tcBorders>
          </w:tcPr>
          <w:p>
            <w:pPr>
              <w:pStyle w:val="yTable"/>
            </w:pPr>
            <w:r>
              <w:t>$250.05</w:t>
            </w:r>
          </w:p>
        </w:tc>
      </w:tr>
    </w:tbl>
    <w:p>
      <w:pPr>
        <w:pStyle w:val="yFootnotesection"/>
      </w:pPr>
      <w:r>
        <w:tab/>
        <w:t>[Part 1 inserted in Gazette 17 Dec 2008 p. 5328</w:t>
      </w:r>
      <w:r>
        <w:noBreakHyphen/>
        <w:t>9.]</w:t>
      </w:r>
    </w:p>
    <w:p>
      <w:pPr>
        <w:pStyle w:val="yHeading3"/>
      </w:pPr>
      <w:bookmarkStart w:id="181" w:name="_Toc217355376"/>
      <w:bookmarkStart w:id="182" w:name="_Toc217355406"/>
      <w:r>
        <w:rPr>
          <w:rStyle w:val="CharSDivNo"/>
        </w:rPr>
        <w:t>Part 2</w:t>
      </w:r>
      <w:r>
        <w:t> — </w:t>
      </w:r>
      <w:r>
        <w:rPr>
          <w:rStyle w:val="CharSDivText"/>
        </w:rPr>
        <w:t>Attempted assessments</w:t>
      </w:r>
      <w:bookmarkEnd w:id="181"/>
      <w:bookmarkEnd w:id="182"/>
    </w:p>
    <w:p>
      <w:pPr>
        <w:pStyle w:val="yFootnoteheading"/>
      </w:pPr>
      <w:r>
        <w:tab/>
        <w:t>[Heading inserted in Gazette 17 Dec 2008 p. 5330.]</w:t>
      </w:r>
    </w:p>
    <w:tbl>
      <w:tblPr>
        <w:tblW w:w="6946" w:type="dxa"/>
        <w:tblInd w:w="250" w:type="dxa"/>
        <w:tblLayout w:type="fixed"/>
        <w:tblLook w:val="0000" w:firstRow="0" w:lastRow="0" w:firstColumn="0" w:lastColumn="0" w:noHBand="0" w:noVBand="0"/>
      </w:tblPr>
      <w:tblGrid>
        <w:gridCol w:w="992"/>
        <w:gridCol w:w="3828"/>
        <w:gridCol w:w="2126"/>
      </w:tblGrid>
      <w:tr>
        <w:trPr>
          <w:tblHeader/>
        </w:trPr>
        <w:tc>
          <w:tcPr>
            <w:tcW w:w="992" w:type="dxa"/>
            <w:tcBorders>
              <w:top w:val="single" w:sz="4" w:space="0" w:color="auto"/>
              <w:bottom w:val="single" w:sz="4" w:space="0" w:color="auto"/>
            </w:tcBorders>
          </w:tcPr>
          <w:p>
            <w:pPr>
              <w:pStyle w:val="zytable"/>
              <w:ind w:left="0" w:right="0"/>
            </w:pPr>
          </w:p>
        </w:tc>
        <w:tc>
          <w:tcPr>
            <w:tcW w:w="3828" w:type="dxa"/>
            <w:tcBorders>
              <w:top w:val="single" w:sz="4" w:space="0" w:color="auto"/>
              <w:bottom w:val="single" w:sz="4" w:space="0" w:color="auto"/>
            </w:tcBorders>
          </w:tcPr>
          <w:p>
            <w:pPr>
              <w:pStyle w:val="yTable"/>
            </w:pPr>
            <w:r>
              <w:rPr>
                <w:b/>
              </w:rPr>
              <w:t>Description of circumstances</w:t>
            </w:r>
          </w:p>
        </w:tc>
        <w:tc>
          <w:tcPr>
            <w:tcW w:w="2126" w:type="dxa"/>
            <w:tcBorders>
              <w:top w:val="single" w:sz="4" w:space="0" w:color="auto"/>
              <w:bottom w:val="single" w:sz="4" w:space="0" w:color="auto"/>
            </w:tcBorders>
          </w:tcPr>
          <w:p>
            <w:pPr>
              <w:pStyle w:val="yTable"/>
            </w:pPr>
            <w:r>
              <w:rPr>
                <w:b/>
              </w:rPr>
              <w:t>Maximum fee**</w:t>
            </w:r>
          </w:p>
        </w:tc>
      </w:tr>
      <w:tr>
        <w:tc>
          <w:tcPr>
            <w:tcW w:w="992" w:type="dxa"/>
            <w:tcBorders>
              <w:top w:val="single" w:sz="4" w:space="0" w:color="auto"/>
            </w:tcBorders>
          </w:tcPr>
          <w:p>
            <w:pPr>
              <w:pStyle w:val="yTable"/>
            </w:pPr>
            <w:r>
              <w:t>1.</w:t>
            </w:r>
          </w:p>
        </w:tc>
        <w:tc>
          <w:tcPr>
            <w:tcW w:w="3828" w:type="dxa"/>
            <w:tcBorders>
              <w:top w:val="single" w:sz="4" w:space="0" w:color="auto"/>
            </w:tcBorders>
          </w:tcPr>
          <w:p>
            <w:pPr>
              <w:pStyle w:val="yTable"/>
            </w:pPr>
            <w:r>
              <w:t xml:space="preserve">If a worker who is required under Part VII Division 2 of the Act to submit to an examination by an approved medical specialist does not attend, in a case in which — </w:t>
            </w:r>
          </w:p>
          <w:p>
            <w:pPr>
              <w:pStyle w:val="yTable"/>
            </w:pPr>
            <w:r>
              <w:t>(a)</w:t>
            </w:r>
            <w:r>
              <w:tab/>
              <w:t>no prior arrangements to cancel the examination are made; or</w:t>
            </w:r>
          </w:p>
        </w:tc>
        <w:tc>
          <w:tcPr>
            <w:tcW w:w="2126" w:type="dxa"/>
            <w:tcBorders>
              <w:top w:val="single" w:sz="4" w:space="0" w:color="auto"/>
            </w:tcBorders>
          </w:tcPr>
          <w:p>
            <w:pPr>
              <w:pStyle w:val="yTable"/>
            </w:pPr>
            <w:r>
              <w:t>$500.00</w:t>
            </w:r>
          </w:p>
        </w:tc>
      </w:tr>
      <w:tr>
        <w:trPr>
          <w:tblHeader/>
        </w:trPr>
        <w:tc>
          <w:tcPr>
            <w:tcW w:w="992" w:type="dxa"/>
            <w:tcBorders>
              <w:bottom w:val="single" w:sz="4" w:space="0" w:color="auto"/>
            </w:tcBorders>
          </w:tcPr>
          <w:p>
            <w:pPr>
              <w:pStyle w:val="zytable"/>
              <w:ind w:left="0" w:right="0"/>
            </w:pPr>
          </w:p>
        </w:tc>
        <w:tc>
          <w:tcPr>
            <w:tcW w:w="3828" w:type="dxa"/>
            <w:tcBorders>
              <w:bottom w:val="single" w:sz="4" w:space="0" w:color="auto"/>
            </w:tcBorders>
          </w:tcPr>
          <w:p>
            <w:pPr>
              <w:pStyle w:val="yTable"/>
            </w:pPr>
            <w:r>
              <w:t>(b)</w:t>
            </w:r>
            <w:r>
              <w:tab/>
              <w:t>the examination is cancelled, otherwise than at the request of the approved medical specialist, with less than one working day’s notice.</w:t>
            </w:r>
          </w:p>
        </w:tc>
        <w:tc>
          <w:tcPr>
            <w:tcW w:w="2126" w:type="dxa"/>
            <w:tcBorders>
              <w:bottom w:val="single" w:sz="4" w:space="0" w:color="auto"/>
            </w:tcBorders>
          </w:tcPr>
          <w:p>
            <w:pPr>
              <w:pStyle w:val="yTable"/>
            </w:pP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BlankClose"/>
      </w:pPr>
    </w:p>
    <w:p>
      <w:pPr>
        <w:pStyle w:val="yFootnotesection"/>
      </w:pPr>
      <w:r>
        <w:tab/>
        <w:t>[Part 2 inserted in Gazette 17 Dec 2008 p. 5330.]</w:t>
      </w:r>
    </w:p>
    <w:p>
      <w:pPr>
        <w:numPr>
          <w:ilvl w:val="0"/>
          <w:numId w:val="13"/>
        </w:numPr>
        <w:tabs>
          <w:tab w:val="clear" w:pos="720"/>
          <w:tab w:val="right" w:pos="438"/>
        </w:tabs>
        <w:ind w:left="0" w:firstLine="0"/>
        <w:sectPr>
          <w:headerReference w:type="even" r:id="rId26"/>
          <w:headerReference w:type="default" r:id="rId27"/>
          <w:headerReference w:type="first" r:id="rId28"/>
          <w:pgSz w:w="11906" w:h="16838" w:code="9"/>
          <w:pgMar w:top="2376" w:right="2404" w:bottom="3544" w:left="2404" w:header="709" w:footer="3379" w:gutter="0"/>
          <w:cols w:space="720"/>
          <w:noEndnote/>
          <w:titlePg/>
          <w:docGrid w:linePitch="326"/>
        </w:sectPr>
      </w:pPr>
    </w:p>
    <w:p>
      <w:pPr>
        <w:pStyle w:val="nHeading2"/>
      </w:pPr>
      <w:bookmarkStart w:id="183" w:name="_Toc128796286"/>
      <w:bookmarkStart w:id="184" w:name="_Toc128796610"/>
      <w:bookmarkStart w:id="185" w:name="_Toc128807374"/>
      <w:bookmarkStart w:id="186" w:name="_Toc128807565"/>
      <w:bookmarkStart w:id="187" w:name="_Toc130871697"/>
      <w:bookmarkStart w:id="188" w:name="_Toc133913844"/>
      <w:bookmarkStart w:id="189" w:name="_Toc133915041"/>
      <w:bookmarkStart w:id="190" w:name="_Toc154553103"/>
      <w:bookmarkStart w:id="191" w:name="_Toc156894700"/>
      <w:bookmarkStart w:id="192" w:name="_Toc156968382"/>
      <w:bookmarkStart w:id="193" w:name="_Toc160942398"/>
      <w:bookmarkStart w:id="194" w:name="_Toc161024647"/>
      <w:bookmarkStart w:id="195" w:name="_Toc161024753"/>
      <w:bookmarkStart w:id="196" w:name="_Toc161025863"/>
      <w:bookmarkStart w:id="197" w:name="_Toc161030737"/>
      <w:bookmarkStart w:id="198" w:name="_Toc161038723"/>
      <w:bookmarkStart w:id="199" w:name="_Toc161039685"/>
      <w:bookmarkStart w:id="200" w:name="_Toc164504717"/>
      <w:bookmarkStart w:id="201" w:name="_Toc184719588"/>
      <w:bookmarkStart w:id="202" w:name="_Toc184720496"/>
      <w:bookmarkStart w:id="203" w:name="_Toc217355377"/>
      <w:bookmarkStart w:id="204" w:name="_Toc217355407"/>
      <w:r>
        <w:t>Notes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(Scales of Fees) Regulations 1998</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pPr>
      <w:bookmarkStart w:id="205" w:name="_Toc217355408"/>
      <w:r>
        <w:t>Compilation table</w:t>
      </w:r>
      <w:bookmarkEnd w:id="20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Workers’ Compensation and Rehabilitation (Scales of Fees) Regulations 1998</w:t>
            </w:r>
            <w:r>
              <w:rPr>
                <w:sz w:val="19"/>
                <w:vertAlign w:val="superscript"/>
              </w:rPr>
              <w:t> 3</w:t>
            </w:r>
          </w:p>
        </w:tc>
        <w:tc>
          <w:tcPr>
            <w:tcW w:w="1276" w:type="dxa"/>
            <w:tcBorders>
              <w:top w:val="single" w:sz="8" w:space="0" w:color="auto"/>
            </w:tcBorders>
          </w:tcPr>
          <w:p>
            <w:pPr>
              <w:pStyle w:val="nTable"/>
              <w:spacing w:after="40"/>
              <w:rPr>
                <w:sz w:val="19"/>
              </w:rPr>
            </w:pPr>
            <w:r>
              <w:rPr>
                <w:sz w:val="19"/>
              </w:rPr>
              <w:t>13 Oct 1998 p. 5709</w:t>
            </w:r>
            <w:r>
              <w:rPr>
                <w:sz w:val="19"/>
              </w:rPr>
              <w:noBreakHyphen/>
              <w:t>25</w:t>
            </w:r>
          </w:p>
        </w:tc>
        <w:tc>
          <w:tcPr>
            <w:tcW w:w="2693" w:type="dxa"/>
            <w:tcBorders>
              <w:top w:val="single" w:sz="8" w:space="0" w:color="auto"/>
            </w:tcBorders>
          </w:tcPr>
          <w:p>
            <w:pPr>
              <w:pStyle w:val="nTable"/>
              <w:spacing w:after="40"/>
              <w:rPr>
                <w:sz w:val="19"/>
              </w:rPr>
            </w:pPr>
            <w:r>
              <w:rPr>
                <w:sz w:val="19"/>
              </w:rPr>
              <w:t>13 Oct 1998</w:t>
            </w:r>
          </w:p>
        </w:tc>
      </w:tr>
      <w:tr>
        <w:trPr>
          <w:cantSplit/>
        </w:trPr>
        <w:tc>
          <w:tcPr>
            <w:tcW w:w="3119" w:type="dxa"/>
          </w:tcPr>
          <w:p>
            <w:pPr>
              <w:pStyle w:val="nTable"/>
              <w:spacing w:after="40"/>
              <w:ind w:right="113"/>
              <w:rPr>
                <w:i/>
                <w:sz w:val="19"/>
              </w:rPr>
            </w:pPr>
            <w:r>
              <w:rPr>
                <w:i/>
                <w:sz w:val="19"/>
              </w:rPr>
              <w:t>Workers’ Compensation and Rehabilitation (Scales of Fees) Amendment Regulations 1999</w:t>
            </w:r>
          </w:p>
        </w:tc>
        <w:tc>
          <w:tcPr>
            <w:tcW w:w="1276" w:type="dxa"/>
          </w:tcPr>
          <w:p>
            <w:pPr>
              <w:pStyle w:val="nTable"/>
              <w:spacing w:after="40"/>
              <w:rPr>
                <w:sz w:val="19"/>
              </w:rPr>
            </w:pPr>
            <w:r>
              <w:rPr>
                <w:sz w:val="19"/>
              </w:rPr>
              <w:t>20 Jul 1999 p. 3249</w:t>
            </w:r>
            <w:r>
              <w:rPr>
                <w:sz w:val="19"/>
              </w:rPr>
              <w:noBreakHyphen/>
              <w:t>77</w:t>
            </w:r>
          </w:p>
        </w:tc>
        <w:tc>
          <w:tcPr>
            <w:tcW w:w="2693" w:type="dxa"/>
          </w:tcPr>
          <w:p>
            <w:pPr>
              <w:pStyle w:val="nTable"/>
              <w:spacing w:after="40"/>
              <w:rPr>
                <w:sz w:val="19"/>
              </w:rPr>
            </w:pPr>
            <w:r>
              <w:rPr>
                <w:sz w:val="19"/>
              </w:rPr>
              <w:t>20 Jul 1999</w:t>
            </w:r>
          </w:p>
        </w:tc>
      </w:tr>
      <w:tr>
        <w:trPr>
          <w:cantSplit/>
        </w:trPr>
        <w:tc>
          <w:tcPr>
            <w:tcW w:w="3119" w:type="dxa"/>
          </w:tcPr>
          <w:p>
            <w:pPr>
              <w:pStyle w:val="nTable"/>
              <w:spacing w:after="40"/>
              <w:ind w:right="113"/>
              <w:rPr>
                <w:sz w:val="19"/>
              </w:rPr>
            </w:pPr>
            <w:r>
              <w:rPr>
                <w:i/>
                <w:sz w:val="19"/>
              </w:rPr>
              <w:t>Workers’ Compensation and Rehabilitation (Scales of Fees) Amendment Regulations (No. 2) 1999</w:t>
            </w:r>
          </w:p>
        </w:tc>
        <w:tc>
          <w:tcPr>
            <w:tcW w:w="1276" w:type="dxa"/>
          </w:tcPr>
          <w:p>
            <w:pPr>
              <w:pStyle w:val="nTable"/>
              <w:spacing w:after="40"/>
              <w:rPr>
                <w:sz w:val="19"/>
              </w:rPr>
            </w:pPr>
            <w:r>
              <w:rPr>
                <w:sz w:val="19"/>
              </w:rPr>
              <w:t>31 Aug 1999 p. 4244</w:t>
            </w:r>
            <w:r>
              <w:rPr>
                <w:sz w:val="19"/>
              </w:rPr>
              <w:noBreakHyphen/>
              <w:t>5</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sz w:val="19"/>
              </w:rPr>
            </w:pPr>
            <w:r>
              <w:rPr>
                <w:i/>
                <w:sz w:val="19"/>
              </w:rPr>
              <w:t>Workers’ Compensation and Rehabilitation (Scales of Fees) Amendment Regulations 2000</w:t>
            </w:r>
          </w:p>
        </w:tc>
        <w:tc>
          <w:tcPr>
            <w:tcW w:w="1276" w:type="dxa"/>
          </w:tcPr>
          <w:p>
            <w:pPr>
              <w:pStyle w:val="nTable"/>
              <w:spacing w:after="40"/>
              <w:rPr>
                <w:sz w:val="19"/>
              </w:rPr>
            </w:pPr>
            <w:r>
              <w:rPr>
                <w:sz w:val="19"/>
              </w:rPr>
              <w:t>21 Dec 2000 p. 7623</w:t>
            </w:r>
            <w:r>
              <w:rPr>
                <w:sz w:val="19"/>
              </w:rPr>
              <w:noBreakHyphen/>
              <w:t>51</w:t>
            </w:r>
            <w:r>
              <w:rPr>
                <w:sz w:val="19"/>
              </w:rPr>
              <w:br/>
              <w:t>(correction 6 Feb 2001 p. 743)</w:t>
            </w:r>
          </w:p>
        </w:tc>
        <w:tc>
          <w:tcPr>
            <w:tcW w:w="2693" w:type="dxa"/>
          </w:tcPr>
          <w:p>
            <w:pPr>
              <w:pStyle w:val="nTable"/>
              <w:spacing w:after="40"/>
              <w:rPr>
                <w:sz w:val="19"/>
              </w:rPr>
            </w:pPr>
            <w:r>
              <w:rPr>
                <w:sz w:val="19"/>
              </w:rPr>
              <w:t>21 Dec 2000</w:t>
            </w:r>
          </w:p>
        </w:tc>
      </w:tr>
      <w:tr>
        <w:trPr>
          <w:cantSplit/>
        </w:trPr>
        <w:tc>
          <w:tcPr>
            <w:tcW w:w="3119" w:type="dxa"/>
          </w:tcPr>
          <w:p>
            <w:pPr>
              <w:pStyle w:val="nTable"/>
              <w:spacing w:after="40"/>
              <w:ind w:right="113"/>
              <w:rPr>
                <w:i/>
                <w:sz w:val="19"/>
              </w:rPr>
            </w:pPr>
            <w:r>
              <w:rPr>
                <w:i/>
                <w:sz w:val="19"/>
              </w:rPr>
              <w:t>Workers’ Compensation and Rehabilitation (Scales of Fees) Amendment Regulations 2001</w:t>
            </w:r>
          </w:p>
        </w:tc>
        <w:tc>
          <w:tcPr>
            <w:tcW w:w="1276" w:type="dxa"/>
          </w:tcPr>
          <w:p>
            <w:pPr>
              <w:pStyle w:val="nTable"/>
              <w:spacing w:after="40"/>
              <w:rPr>
                <w:sz w:val="19"/>
              </w:rPr>
            </w:pPr>
            <w:r>
              <w:rPr>
                <w:sz w:val="19"/>
              </w:rPr>
              <w:t>14 Dec 2001 p. 6416</w:t>
            </w:r>
            <w:r>
              <w:rPr>
                <w:sz w:val="19"/>
              </w:rPr>
              <w:noBreakHyphen/>
              <w:t>17</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2001</w:t>
            </w:r>
          </w:p>
        </w:tc>
        <w:tc>
          <w:tcPr>
            <w:tcW w:w="1276" w:type="dxa"/>
          </w:tcPr>
          <w:p>
            <w:pPr>
              <w:pStyle w:val="nTable"/>
              <w:spacing w:after="40"/>
              <w:rPr>
                <w:sz w:val="19"/>
              </w:rPr>
            </w:pPr>
            <w:r>
              <w:rPr>
                <w:sz w:val="19"/>
              </w:rPr>
              <w:t>28 Dec 2001 p. 6691</w:t>
            </w:r>
            <w:r>
              <w:rPr>
                <w:sz w:val="19"/>
              </w:rPr>
              <w:noBreakHyphen/>
              <w:t>710</w:t>
            </w:r>
          </w:p>
        </w:tc>
        <w:tc>
          <w:tcPr>
            <w:tcW w:w="2693" w:type="dxa"/>
          </w:tcPr>
          <w:p>
            <w:pPr>
              <w:pStyle w:val="nTable"/>
              <w:spacing w:after="40"/>
              <w:rPr>
                <w:sz w:val="19"/>
              </w:rPr>
            </w:pPr>
            <w:r>
              <w:rPr>
                <w:sz w:val="19"/>
              </w:rPr>
              <w:t>28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2002</w:t>
            </w:r>
          </w:p>
        </w:tc>
        <w:tc>
          <w:tcPr>
            <w:tcW w:w="1276" w:type="dxa"/>
          </w:tcPr>
          <w:p>
            <w:pPr>
              <w:pStyle w:val="nTable"/>
              <w:spacing w:after="40"/>
              <w:rPr>
                <w:sz w:val="19"/>
              </w:rPr>
            </w:pPr>
            <w:r>
              <w:rPr>
                <w:sz w:val="19"/>
              </w:rPr>
              <w:t>21 May 2002 p. 2593</w:t>
            </w:r>
            <w:r>
              <w:rPr>
                <w:sz w:val="19"/>
              </w:rPr>
              <w:noBreakHyphen/>
              <w:t>4</w:t>
            </w:r>
          </w:p>
        </w:tc>
        <w:tc>
          <w:tcPr>
            <w:tcW w:w="2693" w:type="dxa"/>
          </w:tcPr>
          <w:p>
            <w:pPr>
              <w:pStyle w:val="nTable"/>
              <w:spacing w:after="40"/>
              <w:rPr>
                <w:sz w:val="19"/>
              </w:rPr>
            </w:pPr>
            <w:r>
              <w:rPr>
                <w:sz w:val="19"/>
              </w:rPr>
              <w:t>21 May 2002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Workers’ Compensation and Rehabilitation (Scales of Fees) Regulations 1998 </w:t>
            </w:r>
            <w:r>
              <w:rPr>
                <w:b/>
                <w:sz w:val="19"/>
              </w:rPr>
              <w:t>as at 24 May 2002</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2002</w:t>
            </w:r>
          </w:p>
        </w:tc>
        <w:tc>
          <w:tcPr>
            <w:tcW w:w="1276" w:type="dxa"/>
          </w:tcPr>
          <w:p>
            <w:pPr>
              <w:pStyle w:val="nTable"/>
              <w:spacing w:after="40"/>
              <w:rPr>
                <w:sz w:val="19"/>
              </w:rPr>
            </w:pPr>
            <w:r>
              <w:rPr>
                <w:sz w:val="19"/>
              </w:rPr>
              <w:t>10 Sep 2002 p. 4602</w:t>
            </w:r>
            <w:r>
              <w:rPr>
                <w:sz w:val="19"/>
              </w:rPr>
              <w:noBreakHyphen/>
              <w:t>3</w:t>
            </w:r>
          </w:p>
        </w:tc>
        <w:tc>
          <w:tcPr>
            <w:tcW w:w="2693" w:type="dxa"/>
          </w:tcPr>
          <w:p>
            <w:pPr>
              <w:pStyle w:val="nTable"/>
              <w:spacing w:after="40"/>
              <w:rPr>
                <w:sz w:val="19"/>
              </w:rPr>
            </w:pPr>
            <w:r>
              <w:rPr>
                <w:sz w:val="19"/>
              </w:rPr>
              <w:t>10 Sep 2002</w:t>
            </w:r>
          </w:p>
        </w:tc>
      </w:tr>
      <w:tr>
        <w:trPr>
          <w:cantSplit/>
        </w:trPr>
        <w:tc>
          <w:tcPr>
            <w:tcW w:w="3119" w:type="dxa"/>
          </w:tcPr>
          <w:p>
            <w:pPr>
              <w:pStyle w:val="nTable"/>
              <w:spacing w:after="40"/>
              <w:ind w:right="113"/>
              <w:rPr>
                <w:i/>
                <w:sz w:val="19"/>
              </w:rPr>
            </w:pPr>
            <w:r>
              <w:rPr>
                <w:i/>
                <w:sz w:val="19"/>
              </w:rPr>
              <w:t>Workers’ Compensation and Rehabilitation (Scales of Fees) Amendment Regulations 2003</w:t>
            </w:r>
          </w:p>
        </w:tc>
        <w:tc>
          <w:tcPr>
            <w:tcW w:w="1276" w:type="dxa"/>
          </w:tcPr>
          <w:p>
            <w:pPr>
              <w:pStyle w:val="nTable"/>
              <w:spacing w:after="40"/>
              <w:rPr>
                <w:sz w:val="19"/>
              </w:rPr>
            </w:pPr>
            <w:r>
              <w:rPr>
                <w:sz w:val="19"/>
              </w:rPr>
              <w:t>7 Mar 2003 p. 741</w:t>
            </w:r>
            <w:r>
              <w:rPr>
                <w:sz w:val="19"/>
              </w:rPr>
              <w:noBreakHyphen/>
              <w:t>2</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2003</w:t>
            </w:r>
          </w:p>
        </w:tc>
        <w:tc>
          <w:tcPr>
            <w:tcW w:w="1276" w:type="dxa"/>
          </w:tcPr>
          <w:p>
            <w:pPr>
              <w:pStyle w:val="nTable"/>
              <w:spacing w:after="40"/>
              <w:rPr>
                <w:sz w:val="19"/>
              </w:rPr>
            </w:pPr>
            <w:r>
              <w:rPr>
                <w:sz w:val="19"/>
              </w:rPr>
              <w:t>25 Mar 2003 p. 922</w:t>
            </w:r>
            <w:r>
              <w:rPr>
                <w:sz w:val="19"/>
              </w:rPr>
              <w:noBreakHyphen/>
              <w:t>3</w:t>
            </w:r>
          </w:p>
        </w:tc>
        <w:tc>
          <w:tcPr>
            <w:tcW w:w="2693" w:type="dxa"/>
          </w:tcPr>
          <w:p>
            <w:pPr>
              <w:pStyle w:val="nTable"/>
              <w:spacing w:after="40"/>
              <w:rPr>
                <w:sz w:val="19"/>
              </w:rPr>
            </w:pPr>
            <w:r>
              <w:rPr>
                <w:sz w:val="19"/>
              </w:rPr>
              <w:t>25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3) 2003</w:t>
            </w:r>
          </w:p>
        </w:tc>
        <w:tc>
          <w:tcPr>
            <w:tcW w:w="1276" w:type="dxa"/>
          </w:tcPr>
          <w:p>
            <w:pPr>
              <w:pStyle w:val="nTable"/>
              <w:spacing w:after="40"/>
              <w:rPr>
                <w:sz w:val="19"/>
              </w:rPr>
            </w:pPr>
            <w:r>
              <w:rPr>
                <w:sz w:val="19"/>
              </w:rPr>
              <w:t>9 May 2003 p. 1626</w:t>
            </w:r>
          </w:p>
        </w:tc>
        <w:tc>
          <w:tcPr>
            <w:tcW w:w="2693" w:type="dxa"/>
          </w:tcPr>
          <w:p>
            <w:pPr>
              <w:pStyle w:val="nTable"/>
              <w:spacing w:after="40"/>
              <w:rPr>
                <w:sz w:val="19"/>
              </w:rPr>
            </w:pPr>
            <w:r>
              <w:rPr>
                <w:sz w:val="19"/>
              </w:rPr>
              <w:t>9 May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4) 2003</w:t>
            </w:r>
          </w:p>
        </w:tc>
        <w:tc>
          <w:tcPr>
            <w:tcW w:w="1276" w:type="dxa"/>
          </w:tcPr>
          <w:p>
            <w:pPr>
              <w:pStyle w:val="nTable"/>
              <w:spacing w:after="40"/>
              <w:rPr>
                <w:sz w:val="19"/>
              </w:rPr>
            </w:pPr>
            <w:r>
              <w:rPr>
                <w:sz w:val="19"/>
              </w:rPr>
              <w:t>12 Sep 2003 p. 4081</w:t>
            </w:r>
            <w:r>
              <w:rPr>
                <w:sz w:val="19"/>
              </w:rPr>
              <w:noBreakHyphen/>
              <w:t>2</w:t>
            </w:r>
          </w:p>
        </w:tc>
        <w:tc>
          <w:tcPr>
            <w:tcW w:w="2693" w:type="dxa"/>
          </w:tcPr>
          <w:p>
            <w:pPr>
              <w:pStyle w:val="nTable"/>
              <w:spacing w:after="40"/>
              <w:rPr>
                <w:sz w:val="19"/>
              </w:rPr>
            </w:pPr>
            <w:r>
              <w:rPr>
                <w:sz w:val="19"/>
              </w:rPr>
              <w:t>12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5) 2003</w:t>
            </w:r>
          </w:p>
        </w:tc>
        <w:tc>
          <w:tcPr>
            <w:tcW w:w="1276" w:type="dxa"/>
          </w:tcPr>
          <w:p>
            <w:pPr>
              <w:pStyle w:val="nTable"/>
              <w:spacing w:after="40"/>
              <w:rPr>
                <w:sz w:val="19"/>
              </w:rPr>
            </w:pPr>
            <w:r>
              <w:rPr>
                <w:sz w:val="19"/>
              </w:rPr>
              <w:t>23 Sep 2003 p. 4173</w:t>
            </w:r>
            <w:r>
              <w:rPr>
                <w:sz w:val="19"/>
              </w:rPr>
              <w:noBreakHyphen/>
              <w:t>86</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6) 2003</w:t>
            </w:r>
          </w:p>
        </w:tc>
        <w:tc>
          <w:tcPr>
            <w:tcW w:w="1276" w:type="dxa"/>
          </w:tcPr>
          <w:p>
            <w:pPr>
              <w:pStyle w:val="nTable"/>
              <w:spacing w:after="40"/>
              <w:rPr>
                <w:sz w:val="19"/>
              </w:rPr>
            </w:pPr>
            <w:r>
              <w:rPr>
                <w:sz w:val="19"/>
              </w:rPr>
              <w:t>9 Jan 2004 p. 98</w:t>
            </w:r>
            <w:r>
              <w:rPr>
                <w:sz w:val="19"/>
              </w:rPr>
              <w:noBreakHyphen/>
              <w:t>100</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2004</w:t>
            </w:r>
          </w:p>
        </w:tc>
        <w:tc>
          <w:tcPr>
            <w:tcW w:w="1276" w:type="dxa"/>
          </w:tcPr>
          <w:p>
            <w:pPr>
              <w:pStyle w:val="nTable"/>
              <w:spacing w:after="40"/>
              <w:rPr>
                <w:sz w:val="19"/>
              </w:rPr>
            </w:pPr>
            <w:r>
              <w:rPr>
                <w:sz w:val="19"/>
              </w:rPr>
              <w:t>19 Mar 2004 p. 861</w:t>
            </w:r>
            <w:r>
              <w:rPr>
                <w:sz w:val="19"/>
              </w:rPr>
              <w:noBreakHyphen/>
              <w:t>910</w:t>
            </w:r>
          </w:p>
        </w:tc>
        <w:tc>
          <w:tcPr>
            <w:tcW w:w="2693" w:type="dxa"/>
          </w:tcPr>
          <w:p>
            <w:pPr>
              <w:pStyle w:val="nTable"/>
              <w:spacing w:after="40"/>
              <w:rPr>
                <w:sz w:val="19"/>
              </w:rPr>
            </w:pPr>
            <w:r>
              <w:rPr>
                <w:sz w:val="19"/>
              </w:rPr>
              <w:t xml:space="preserve">19 Mar 2004 </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2004</w:t>
            </w:r>
          </w:p>
        </w:tc>
        <w:tc>
          <w:tcPr>
            <w:tcW w:w="1276" w:type="dxa"/>
          </w:tcPr>
          <w:p>
            <w:pPr>
              <w:pStyle w:val="nTable"/>
              <w:spacing w:after="40"/>
              <w:rPr>
                <w:sz w:val="19"/>
              </w:rPr>
            </w:pPr>
            <w:r>
              <w:rPr>
                <w:sz w:val="19"/>
              </w:rPr>
              <w:t>29 Oct 2004 p. 4940</w:t>
            </w:r>
            <w:r>
              <w:rPr>
                <w:sz w:val="19"/>
              </w:rPr>
              <w:noBreakHyphen/>
              <w:t>2</w:t>
            </w:r>
          </w:p>
        </w:tc>
        <w:tc>
          <w:tcPr>
            <w:tcW w:w="2693" w:type="dxa"/>
          </w:tcPr>
          <w:p>
            <w:pPr>
              <w:pStyle w:val="nTable"/>
              <w:spacing w:after="40"/>
              <w:rPr>
                <w:sz w:val="19"/>
              </w:rPr>
            </w:pPr>
            <w:r>
              <w:rPr>
                <w:sz w:val="19"/>
              </w:rPr>
              <w:t>29 Oct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2005</w:t>
            </w:r>
          </w:p>
        </w:tc>
        <w:tc>
          <w:tcPr>
            <w:tcW w:w="1276" w:type="dxa"/>
          </w:tcPr>
          <w:p>
            <w:pPr>
              <w:pStyle w:val="nTable"/>
              <w:spacing w:after="40"/>
              <w:rPr>
                <w:sz w:val="19"/>
              </w:rPr>
            </w:pPr>
            <w:r>
              <w:rPr>
                <w:sz w:val="19"/>
              </w:rPr>
              <w:t>21 Jan 2005 p. 278</w:t>
            </w:r>
            <w:r>
              <w:rPr>
                <w:sz w:val="19"/>
              </w:rPr>
              <w:noBreakHyphen/>
              <w:t>86</w:t>
            </w:r>
          </w:p>
        </w:tc>
        <w:tc>
          <w:tcPr>
            <w:tcW w:w="2693" w:type="dxa"/>
          </w:tcPr>
          <w:p>
            <w:pPr>
              <w:pStyle w:val="nTable"/>
              <w:spacing w:after="40"/>
              <w:rPr>
                <w:sz w:val="19"/>
              </w:rPr>
            </w:pPr>
            <w:r>
              <w:rPr>
                <w:sz w:val="19"/>
              </w:rPr>
              <w:t>21 Jan 2005</w:t>
            </w:r>
          </w:p>
        </w:tc>
      </w:tr>
      <w:tr>
        <w:trPr>
          <w:cantSplit/>
        </w:trPr>
        <w:tc>
          <w:tcPr>
            <w:tcW w:w="3119" w:type="dxa"/>
          </w:tcPr>
          <w:p>
            <w:pPr>
              <w:pStyle w:val="nTable"/>
              <w:spacing w:after="40"/>
              <w:ind w:right="113"/>
              <w:rPr>
                <w:sz w:val="19"/>
              </w:rPr>
            </w:pPr>
            <w:r>
              <w:rPr>
                <w:i/>
                <w:sz w:val="19"/>
              </w:rPr>
              <w:t>Workers’ Compensation and Rehabilitation (Scales of Fees) Amendment Regulations (No. 2) 2005</w:t>
            </w:r>
          </w:p>
        </w:tc>
        <w:tc>
          <w:tcPr>
            <w:tcW w:w="1276" w:type="dxa"/>
          </w:tcPr>
          <w:p>
            <w:pPr>
              <w:pStyle w:val="nTable"/>
              <w:spacing w:after="40"/>
              <w:rPr>
                <w:sz w:val="19"/>
              </w:rPr>
            </w:pPr>
            <w:r>
              <w:rPr>
                <w:sz w:val="19"/>
              </w:rPr>
              <w:t>1 Nov 2005 p. 4976</w:t>
            </w:r>
            <w:r>
              <w:rPr>
                <w:sz w:val="19"/>
              </w:rPr>
              <w:noBreakHyphen/>
              <w:t>84</w:t>
            </w:r>
          </w:p>
        </w:tc>
        <w:tc>
          <w:tcPr>
            <w:tcW w:w="2693" w:type="dxa"/>
          </w:tcPr>
          <w:p>
            <w:pPr>
              <w:pStyle w:val="nTable"/>
              <w:spacing w:after="40"/>
              <w:rPr>
                <w:sz w:val="19"/>
              </w:rPr>
            </w:pPr>
            <w:r>
              <w:rPr>
                <w:sz w:val="19"/>
              </w:rPr>
              <w:t>1 Nov 2005</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3) 2005</w:t>
            </w:r>
          </w:p>
        </w:tc>
        <w:tc>
          <w:tcPr>
            <w:tcW w:w="1276" w:type="dxa"/>
          </w:tcPr>
          <w:p>
            <w:pPr>
              <w:pStyle w:val="nTable"/>
              <w:spacing w:after="40"/>
              <w:rPr>
                <w:sz w:val="19"/>
              </w:rPr>
            </w:pPr>
            <w:r>
              <w:rPr>
                <w:sz w:val="19"/>
              </w:rPr>
              <w:t>11 Nov 2005 p. 5567</w:t>
            </w:r>
            <w:r>
              <w:rPr>
                <w:sz w:val="19"/>
              </w:rPr>
              <w:noBreakHyphen/>
              <w:t>70</w:t>
            </w:r>
          </w:p>
        </w:tc>
        <w:tc>
          <w:tcPr>
            <w:tcW w:w="2693" w:type="dxa"/>
          </w:tcPr>
          <w:p>
            <w:pPr>
              <w:pStyle w:val="nTable"/>
              <w:spacing w:after="40"/>
              <w:rPr>
                <w:sz w:val="19"/>
              </w:rPr>
            </w:pPr>
            <w:r>
              <w:rPr>
                <w:sz w:val="19"/>
              </w:rPr>
              <w:t xml:space="preserve">14 Nov 2005 (see r. 2 and </w:t>
            </w:r>
            <w:r>
              <w:rPr>
                <w:i/>
                <w:sz w:val="19"/>
              </w:rPr>
              <w:t>Gazette</w:t>
            </w:r>
            <w:r>
              <w:rPr>
                <w:sz w:val="19"/>
              </w:rPr>
              <w:t xml:space="preserve"> 31 Dec 2004 p. 7131 and 17 Jun 2005 p. 2657) </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2006</w:t>
            </w:r>
          </w:p>
        </w:tc>
        <w:tc>
          <w:tcPr>
            <w:tcW w:w="1276" w:type="dxa"/>
          </w:tcPr>
          <w:p>
            <w:pPr>
              <w:pStyle w:val="nTable"/>
              <w:spacing w:after="40"/>
              <w:rPr>
                <w:sz w:val="19"/>
              </w:rPr>
            </w:pPr>
            <w:r>
              <w:rPr>
                <w:sz w:val="19"/>
              </w:rPr>
              <w:t>10 Jan 2006 p. 41</w:t>
            </w:r>
            <w:r>
              <w:rPr>
                <w:sz w:val="19"/>
              </w:rPr>
              <w:noBreakHyphen/>
              <w:t>71</w:t>
            </w:r>
          </w:p>
        </w:tc>
        <w:tc>
          <w:tcPr>
            <w:tcW w:w="2693" w:type="dxa"/>
          </w:tcPr>
          <w:p>
            <w:pPr>
              <w:pStyle w:val="nTable"/>
              <w:spacing w:after="40"/>
              <w:rPr>
                <w:sz w:val="19"/>
              </w:rPr>
            </w:pPr>
            <w:r>
              <w:rPr>
                <w:sz w:val="19"/>
              </w:rPr>
              <w:t>10 Jan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 xml:space="preserve">Workers’ Compensation and Injury Management (Scales of Fees) Regulations 1998 </w:t>
            </w:r>
            <w:r>
              <w:rPr>
                <w:b/>
                <w:bCs/>
                <w:sz w:val="19"/>
              </w:rPr>
              <w:t>as at 3 Mar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2) 2006</w:t>
            </w:r>
          </w:p>
        </w:tc>
        <w:tc>
          <w:tcPr>
            <w:tcW w:w="1276" w:type="dxa"/>
          </w:tcPr>
          <w:p>
            <w:pPr>
              <w:pStyle w:val="nTable"/>
              <w:spacing w:after="40"/>
              <w:rPr>
                <w:sz w:val="19"/>
              </w:rPr>
            </w:pPr>
            <w:r>
              <w:rPr>
                <w:sz w:val="19"/>
              </w:rPr>
              <w:t>28 Apr 2006 p. 1660</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Workers’ Compensation and Injury Management (Scale of Fees) Amendment Regulations (No. 3) 2006</w:t>
            </w:r>
          </w:p>
        </w:tc>
        <w:tc>
          <w:tcPr>
            <w:tcW w:w="1276" w:type="dxa"/>
          </w:tcPr>
          <w:p>
            <w:pPr>
              <w:pStyle w:val="nTable"/>
              <w:spacing w:after="40"/>
              <w:rPr>
                <w:sz w:val="19"/>
              </w:rPr>
            </w:pPr>
            <w:r>
              <w:rPr>
                <w:sz w:val="19"/>
              </w:rPr>
              <w:t>22 Dec 2006 p. 5755-94</w:t>
            </w:r>
          </w:p>
        </w:tc>
        <w:tc>
          <w:tcPr>
            <w:tcW w:w="2693" w:type="dxa"/>
          </w:tcPr>
          <w:p>
            <w:pPr>
              <w:pStyle w:val="nTable"/>
              <w:spacing w:after="40"/>
              <w:rPr>
                <w:sz w:val="19"/>
              </w:rPr>
            </w:pPr>
            <w:r>
              <w:rPr>
                <w:sz w:val="19"/>
              </w:rPr>
              <w:t>22 Dec 2006</w:t>
            </w:r>
          </w:p>
        </w:tc>
      </w:tr>
      <w:tr>
        <w:trPr>
          <w:cantSplit/>
        </w:trPr>
        <w:tc>
          <w:tcPr>
            <w:tcW w:w="7088" w:type="dxa"/>
            <w:gridSpan w:val="3"/>
          </w:tcPr>
          <w:p>
            <w:pPr>
              <w:pStyle w:val="nTable"/>
              <w:spacing w:after="40"/>
              <w:rPr>
                <w:sz w:val="19"/>
              </w:rPr>
            </w:pPr>
            <w:r>
              <w:rPr>
                <w:b/>
                <w:bCs/>
                <w:sz w:val="19"/>
              </w:rPr>
              <w:t xml:space="preserve">Reprint 3: The </w:t>
            </w:r>
            <w:r>
              <w:rPr>
                <w:b/>
                <w:bCs/>
                <w:i/>
                <w:sz w:val="19"/>
              </w:rPr>
              <w:t xml:space="preserve">Workers’ Compensation and Injury Management (Scales of Fees) Regulations 1998 </w:t>
            </w:r>
            <w:r>
              <w:rPr>
                <w:b/>
                <w:bCs/>
                <w:sz w:val="19"/>
              </w:rPr>
              <w:t>as at 2 Mar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Injury Management (Scale of Fees) Amendment Regulations 2007</w:t>
            </w:r>
          </w:p>
        </w:tc>
        <w:tc>
          <w:tcPr>
            <w:tcW w:w="1276" w:type="dxa"/>
          </w:tcPr>
          <w:p>
            <w:pPr>
              <w:pStyle w:val="nTable"/>
              <w:spacing w:after="40"/>
              <w:rPr>
                <w:sz w:val="19"/>
              </w:rPr>
            </w:pPr>
            <w:r>
              <w:rPr>
                <w:sz w:val="19"/>
              </w:rPr>
              <w:t>7 Dec 2007 p. 6031</w:t>
            </w:r>
            <w:r>
              <w:rPr>
                <w:sz w:val="19"/>
              </w:rPr>
              <w:noBreakHyphen/>
              <w:t>71</w:t>
            </w:r>
          </w:p>
        </w:tc>
        <w:tc>
          <w:tcPr>
            <w:tcW w:w="2693" w:type="dxa"/>
          </w:tcPr>
          <w:p>
            <w:pPr>
              <w:pStyle w:val="nTable"/>
              <w:spacing w:after="40"/>
              <w:rPr>
                <w:sz w:val="19"/>
              </w:rPr>
            </w:pPr>
            <w:r>
              <w:rPr>
                <w:sz w:val="19"/>
              </w:rPr>
              <w:t>r. 1 and 2: 7 Dec 2007 (see r. 2(a));</w:t>
            </w:r>
            <w:r>
              <w:rPr>
                <w:sz w:val="19"/>
              </w:rPr>
              <w:br/>
              <w:t>Regulations other than r. 1 and 2: 8 Dec 2007 (see r. 2(b))</w:t>
            </w:r>
          </w:p>
        </w:tc>
      </w:tr>
      <w:tr>
        <w:trPr>
          <w:cantSplit/>
        </w:trPr>
        <w:tc>
          <w:tcPr>
            <w:tcW w:w="3119" w:type="dxa"/>
            <w:tcBorders>
              <w:bottom w:val="single" w:sz="4" w:space="0" w:color="auto"/>
            </w:tcBorders>
          </w:tcPr>
          <w:p>
            <w:pPr>
              <w:pStyle w:val="nTable"/>
              <w:spacing w:after="40"/>
              <w:ind w:right="113"/>
              <w:rPr>
                <w:i/>
                <w:sz w:val="19"/>
              </w:rPr>
            </w:pPr>
            <w:r>
              <w:rPr>
                <w:i/>
                <w:sz w:val="19"/>
              </w:rPr>
              <w:t>Workers’ Compensation and Injury Management (Scale of Fees) Amendment Regulations 2008</w:t>
            </w:r>
          </w:p>
        </w:tc>
        <w:tc>
          <w:tcPr>
            <w:tcW w:w="1276" w:type="dxa"/>
            <w:tcBorders>
              <w:bottom w:val="single" w:sz="4" w:space="0" w:color="auto"/>
            </w:tcBorders>
          </w:tcPr>
          <w:p>
            <w:pPr>
              <w:pStyle w:val="nTable"/>
              <w:spacing w:after="40"/>
              <w:rPr>
                <w:sz w:val="19"/>
              </w:rPr>
            </w:pPr>
            <w:r>
              <w:rPr>
                <w:sz w:val="19"/>
              </w:rPr>
              <w:t>17 Dec 2008 p. 5287</w:t>
            </w:r>
            <w:r>
              <w:rPr>
                <w:sz w:val="19"/>
              </w:rPr>
              <w:noBreakHyphen/>
              <w:t>330</w:t>
            </w:r>
          </w:p>
        </w:tc>
        <w:tc>
          <w:tcPr>
            <w:tcW w:w="2693" w:type="dxa"/>
            <w:tcBorders>
              <w:bottom w:val="single" w:sz="4" w:space="0" w:color="auto"/>
            </w:tcBorders>
          </w:tcPr>
          <w:p>
            <w:pPr>
              <w:pStyle w:val="nTable"/>
              <w:spacing w:after="40"/>
              <w:rPr>
                <w:sz w:val="19"/>
              </w:rPr>
            </w:pPr>
            <w:r>
              <w:rPr>
                <w:sz w:val="19"/>
              </w:rPr>
              <w:t>r. 1 and 2: 17 Dec 2008 (see r. 2(a));</w:t>
            </w:r>
            <w:r>
              <w:rPr>
                <w:sz w:val="19"/>
              </w:rPr>
              <w:br/>
              <w:t>Regulations other than r. 1 and 2: 18 Dec 2008 (see r. 2(b))</w:t>
            </w:r>
          </w:p>
        </w:tc>
      </w:tr>
    </w:tbl>
    <w:p>
      <w:pPr>
        <w:pStyle w:val="nSubsection"/>
        <w:spacing w:before="120"/>
      </w:pPr>
      <w:r>
        <w:rPr>
          <w:vertAlign w:val="superscript"/>
        </w:rPr>
        <w:t>2</w:t>
      </w:r>
      <w:r>
        <w:tab/>
        <w:t xml:space="preserve">The amendments in the </w:t>
      </w:r>
      <w:r>
        <w:rPr>
          <w:i/>
          <w:iCs/>
        </w:rPr>
        <w:t>Workers’ Compensation and Rehabilitation (Scales of Fees) Amendment Regulations (No. 3) 2004</w:t>
      </w:r>
      <w:r>
        <w:t xml:space="preserve"> published in </w:t>
      </w:r>
      <w:r>
        <w:rPr>
          <w:i/>
          <w:iCs/>
        </w:rPr>
        <w:t>Gazette</w:t>
      </w:r>
      <w:r>
        <w:t xml:space="preserve"> 4 Jan 2005</w:t>
      </w:r>
      <w:r>
        <w:br/>
        <w:t>p. 6-14 have no effect because of an error in the reference to the principal regulations to be amended.</w:t>
      </w:r>
    </w:p>
    <w:p>
      <w:pPr>
        <w:pStyle w:val="nSubsection"/>
      </w:pPr>
      <w:r>
        <w:rPr>
          <w:vertAlign w:val="superscript"/>
        </w:rPr>
        <w:t>3</w:t>
      </w:r>
      <w:r>
        <w:tab/>
        <w:t xml:space="preserve">Now known as the </w:t>
      </w:r>
      <w:r>
        <w:rPr>
          <w:i/>
        </w:rPr>
        <w:t>Workers’ Compensation and Injury Management (Scales of Fees) Regulations 1998</w:t>
      </w:r>
      <w:r>
        <w:t>; citation changed</w:t>
      </w:r>
      <w:r>
        <w:rPr>
          <w:i/>
        </w:rPr>
        <w:t xml:space="preserve"> </w:t>
      </w:r>
      <w:r>
        <w:t>(see note under r. 1).</w:t>
      </w:r>
    </w:p>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rPr>
              <w:spacing w:val="-3"/>
            </w:rPr>
          </w:pPr>
          <w:r>
            <w:rPr>
              <w:spacing w:val="-3"/>
            </w:rPr>
            <w:fldChar w:fldCharType="begin"/>
          </w:r>
          <w:r>
            <w:rPr>
              <w:spacing w:val="-3"/>
            </w:rPr>
            <w:instrText xml:space="preserve"> Styleref "Name of Act/Reg" </w:instrText>
          </w:r>
          <w:r>
            <w:rPr>
              <w:spacing w:val="-3"/>
            </w:rPr>
            <w:fldChar w:fldCharType="separate"/>
          </w:r>
          <w:r>
            <w:rPr>
              <w:noProof/>
              <w:spacing w:val="-3"/>
            </w:rPr>
            <w:t>Workers’ Compensation and Injury Management (Scales of Fees) Regulations 1998</w:t>
          </w:r>
          <w:r>
            <w:rPr>
              <w:spacing w:val="-3"/>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Workers’ Compensation and Injury Management (Scales of Fees)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Medical specialists and other medical practitioners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(Scales of Fees) Regulations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fldSimple w:instr=" styleref CharSDivText ">
            <w:r>
              <w:rPr>
                <w:noProof/>
              </w:rPr>
              <w:t>Medical specialists and other medical practitioners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Medical specialists and other medical practitioners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9E078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81891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FA3C7E"/>
    <w:lvl w:ilvl="0">
      <w:start w:val="1"/>
      <w:numFmt w:val="decimal"/>
      <w:pStyle w:val="ListNumber3"/>
      <w:lvlText w:val="%1."/>
      <w:lvlJc w:val="left"/>
      <w:pPr>
        <w:tabs>
          <w:tab w:val="num" w:pos="926"/>
        </w:tabs>
        <w:ind w:left="926" w:hanging="360"/>
      </w:pPr>
    </w:lvl>
  </w:abstractNum>
  <w:abstractNum w:abstractNumId="3">
    <w:nsid w:val="FFFFFF7F"/>
    <w:multiLevelType w:val="singleLevel"/>
    <w:tmpl w:val="B5923E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4948A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30489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45CE3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A14B4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C982B9E"/>
    <w:lvl w:ilvl="0">
      <w:start w:val="1"/>
      <w:numFmt w:val="decimal"/>
      <w:pStyle w:val="ListNumber"/>
      <w:lvlText w:val="%1."/>
      <w:lvlJc w:val="left"/>
      <w:pPr>
        <w:tabs>
          <w:tab w:val="num" w:pos="360"/>
        </w:tabs>
        <w:ind w:left="360" w:hanging="360"/>
      </w:pPr>
    </w:lvl>
  </w:abstractNum>
  <w:abstractNum w:abstractNumId="9">
    <w:nsid w:val="FFFFFF89"/>
    <w:multiLevelType w:val="singleLevel"/>
    <w:tmpl w:val="11901EE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B0AD0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3FC0660"/>
    <w:multiLevelType w:val="hybridMultilevel"/>
    <w:tmpl w:val="6068E0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C2808C0"/>
    <w:multiLevelType w:val="singleLevel"/>
    <w:tmpl w:val="E2AA1EC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82</Pages>
  <Words>12579</Words>
  <Characters>69694</Characters>
  <Application>Microsoft Office Word</Application>
  <DocSecurity>0</DocSecurity>
  <Lines>4099</Lines>
  <Paragraphs>3428</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vt:lpstr>
    </vt:vector>
  </TitlesOfParts>
  <Manager/>
  <Company/>
  <LinksUpToDate>false</LinksUpToDate>
  <CharactersWithSpaces>78845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1998 - 03-c0-03</dc:title>
  <dc:subject/>
  <dc:creator/>
  <cp:keywords/>
  <dc:description/>
  <cp:lastModifiedBy>svcMRProcess</cp:lastModifiedBy>
  <cp:revision>4</cp:revision>
  <cp:lastPrinted>2007-04-02T00:08:00Z</cp:lastPrinted>
  <dcterms:created xsi:type="dcterms:W3CDTF">2018-09-17T02:12:00Z</dcterms:created>
  <dcterms:modified xsi:type="dcterms:W3CDTF">2018-09-17T02:13:00Z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CommencementDate">
    <vt:lpwstr>20081218</vt:lpwstr>
  </property>
  <property fmtid="{D5CDD505-2E9C-101B-9397-08002B2CF9AE}" pid="4" name="DocumentType">
    <vt:lpwstr>Reg</vt:lpwstr>
  </property>
  <property fmtid="{D5CDD505-2E9C-101B-9397-08002B2CF9AE}" pid="5" name="OwlsUID">
    <vt:i4>101</vt:i4>
  </property>
  <property fmtid="{D5CDD505-2E9C-101B-9397-08002B2CF9AE}" pid="6" name="ReprintNo">
    <vt:lpwstr>3</vt:lpwstr>
  </property>
  <property fmtid="{D5CDD505-2E9C-101B-9397-08002B2CF9AE}" pid="7" name="AsAtDate">
    <vt:lpwstr>18 Dec 2008</vt:lpwstr>
  </property>
  <property fmtid="{D5CDD505-2E9C-101B-9397-08002B2CF9AE}" pid="8" name="Suffix">
    <vt:lpwstr>03-c0-03</vt:lpwstr>
  </property>
</Properties>
</file>