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Long Service Leave Act 1958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Long Service Leave Act 1958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_Toc199752908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_Toc199752909 \h </w:instrText>
      </w:r>
      <w:r>
        <w:fldChar w:fldCharType="separate"/>
      </w:r>
      <w:r>
        <w:t>2</w:t>
      </w:r>
      <w:r>
        <w:fldChar w:fldCharType="end"/>
      </w:r>
    </w:p>
    <w:p>
      <w:pPr>
        <w:pStyle w:val="TOC2"/>
        <w:tabs>
          <w:tab w:val="right" w:leader="dot" w:pos="7086"/>
        </w:tabs>
        <w:rPr>
          <w:b w:val="0"/>
          <w:sz w:val="24"/>
          <w:szCs w:val="24"/>
        </w:rPr>
      </w:pPr>
      <w:r>
        <w:rPr>
          <w:szCs w:val="30"/>
        </w:rPr>
        <w:t>Part II — Construction and application of this Act</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_Toc199752911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Limited contracting</w:t>
      </w:r>
      <w:r>
        <w:rPr>
          <w:snapToGrid w:val="0"/>
          <w:szCs w:val="24"/>
        </w:rPr>
        <w:noBreakHyphen/>
        <w:t>out of long service leave</w:t>
      </w:r>
      <w:r>
        <w:tab/>
      </w:r>
      <w:r>
        <w:fldChar w:fldCharType="begin"/>
      </w:r>
      <w:r>
        <w:instrText xml:space="preserve"> PAGEREF _Toc199752912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What constitutes continuous employment</w:t>
      </w:r>
      <w:r>
        <w:tab/>
      </w:r>
      <w:r>
        <w:fldChar w:fldCharType="begin"/>
      </w:r>
      <w:r>
        <w:instrText xml:space="preserve"> PAGEREF _Toc199752913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Employment before commencement of this Act</w:t>
      </w:r>
      <w:r>
        <w:tab/>
      </w:r>
      <w:r>
        <w:fldChar w:fldCharType="begin"/>
      </w:r>
      <w:r>
        <w:instrText xml:space="preserve"> PAGEREF _Toc199752914 \h </w:instrText>
      </w:r>
      <w:r>
        <w:fldChar w:fldCharType="separate"/>
      </w:r>
      <w:r>
        <w:t>9</w:t>
      </w:r>
      <w:r>
        <w:fldChar w:fldCharType="end"/>
      </w:r>
    </w:p>
    <w:p>
      <w:pPr>
        <w:pStyle w:val="TOC2"/>
        <w:tabs>
          <w:tab w:val="right" w:leader="dot" w:pos="7086"/>
        </w:tabs>
        <w:rPr>
          <w:b w:val="0"/>
          <w:sz w:val="24"/>
          <w:szCs w:val="24"/>
        </w:rPr>
      </w:pPr>
      <w:r>
        <w:rPr>
          <w:szCs w:val="30"/>
        </w:rPr>
        <w:t>Part III — Entitlements to long service leave or to payment in lieu thereof</w:t>
      </w:r>
    </w:p>
    <w:p>
      <w:pPr>
        <w:pStyle w:val="TOC8"/>
        <w:rPr>
          <w:sz w:val="24"/>
          <w:szCs w:val="24"/>
        </w:rPr>
      </w:pPr>
      <w:r>
        <w:rPr>
          <w:szCs w:val="24"/>
        </w:rPr>
        <w:t>8</w:t>
      </w:r>
      <w:r>
        <w:rPr>
          <w:snapToGrid w:val="0"/>
          <w:szCs w:val="24"/>
        </w:rPr>
        <w:t>.</w:t>
      </w:r>
      <w:r>
        <w:rPr>
          <w:snapToGrid w:val="0"/>
          <w:szCs w:val="24"/>
        </w:rPr>
        <w:tab/>
        <w:t>Long service leave</w:t>
      </w:r>
      <w:r>
        <w:tab/>
      </w:r>
      <w:r>
        <w:fldChar w:fldCharType="begin"/>
      </w:r>
      <w:r>
        <w:instrText xml:space="preserve"> PAGEREF _Toc199752916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Commencement of long service leave</w:t>
      </w:r>
      <w:r>
        <w:tab/>
      </w:r>
      <w:r>
        <w:fldChar w:fldCharType="begin"/>
      </w:r>
      <w:r>
        <w:instrText xml:space="preserve"> PAGEREF _Toc199752917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Taking leave in advance</w:t>
      </w:r>
      <w:r>
        <w:tab/>
      </w:r>
      <w:r>
        <w:fldChar w:fldCharType="begin"/>
      </w:r>
      <w:r>
        <w:instrText xml:space="preserve"> PAGEREF _Toc199752918 \h </w:instrText>
      </w:r>
      <w:r>
        <w:fldChar w:fldCharType="separate"/>
      </w:r>
      <w:r>
        <w:t>14</w:t>
      </w:r>
      <w:r>
        <w:fldChar w:fldCharType="end"/>
      </w:r>
    </w:p>
    <w:p>
      <w:pPr>
        <w:pStyle w:val="TOC2"/>
        <w:tabs>
          <w:tab w:val="right" w:leader="dot" w:pos="7086"/>
        </w:tabs>
        <w:rPr>
          <w:b w:val="0"/>
          <w:sz w:val="24"/>
          <w:szCs w:val="24"/>
        </w:rPr>
      </w:pPr>
      <w:r>
        <w:rPr>
          <w:szCs w:val="30"/>
        </w:rPr>
        <w:t>Part IV — Enforcement of the provisions of the Act</w:t>
      </w:r>
    </w:p>
    <w:p>
      <w:pPr>
        <w:pStyle w:val="TOC8"/>
        <w:rPr>
          <w:sz w:val="24"/>
          <w:szCs w:val="24"/>
        </w:rPr>
      </w:pPr>
      <w:r>
        <w:rPr>
          <w:szCs w:val="24"/>
        </w:rPr>
        <w:t>11</w:t>
      </w:r>
      <w:r>
        <w:rPr>
          <w:snapToGrid w:val="0"/>
          <w:szCs w:val="24"/>
        </w:rPr>
        <w:t>.</w:t>
      </w:r>
      <w:r>
        <w:rPr>
          <w:snapToGrid w:val="0"/>
          <w:szCs w:val="24"/>
        </w:rPr>
        <w:tab/>
        <w:t>Industrial magistrate’s courts</w:t>
      </w:r>
      <w:r>
        <w:tab/>
      </w:r>
      <w:r>
        <w:fldChar w:fldCharType="begin"/>
      </w:r>
      <w:r>
        <w:instrText xml:space="preserve"> PAGEREF _Toc199752920 \h </w:instrText>
      </w:r>
      <w:r>
        <w:fldChar w:fldCharType="separate"/>
      </w:r>
      <w:r>
        <w:t>16</w:t>
      </w:r>
      <w:r>
        <w:fldChar w:fldCharType="end"/>
      </w:r>
    </w:p>
    <w:p>
      <w:pPr>
        <w:pStyle w:val="TOC8"/>
        <w:rPr>
          <w:sz w:val="24"/>
          <w:szCs w:val="24"/>
        </w:rPr>
      </w:pPr>
      <w:r>
        <w:rPr>
          <w:szCs w:val="24"/>
        </w:rPr>
        <w:t>12.</w:t>
      </w:r>
      <w:r>
        <w:rPr>
          <w:szCs w:val="24"/>
        </w:rPr>
        <w:tab/>
        <w:t>Industrial inspectors may institute proceedings</w:t>
      </w:r>
      <w:r>
        <w:tab/>
      </w:r>
      <w:r>
        <w:fldChar w:fldCharType="begin"/>
      </w:r>
      <w:r>
        <w:instrText xml:space="preserve"> PAGEREF _Toc199752921 \h </w:instrText>
      </w:r>
      <w:r>
        <w:fldChar w:fldCharType="separate"/>
      </w:r>
      <w:r>
        <w:t>16</w:t>
      </w:r>
      <w:r>
        <w:fldChar w:fldCharType="end"/>
      </w:r>
    </w:p>
    <w:p>
      <w:pPr>
        <w:pStyle w:val="TOC2"/>
        <w:tabs>
          <w:tab w:val="right" w:leader="dot" w:pos="7086"/>
        </w:tabs>
        <w:rPr>
          <w:b w:val="0"/>
          <w:sz w:val="24"/>
          <w:szCs w:val="24"/>
        </w:rPr>
      </w:pPr>
      <w:r>
        <w:rPr>
          <w:szCs w:val="30"/>
        </w:rPr>
        <w:t>Part VII — Miscellaneous provisions</w:t>
      </w:r>
    </w:p>
    <w:p>
      <w:pPr>
        <w:pStyle w:val="TOC4"/>
        <w:tabs>
          <w:tab w:val="right" w:leader="dot" w:pos="7086"/>
        </w:tabs>
        <w:rPr>
          <w:b w:val="0"/>
          <w:sz w:val="24"/>
          <w:szCs w:val="24"/>
        </w:rPr>
      </w:pPr>
      <w:r>
        <w:rPr>
          <w:szCs w:val="26"/>
        </w:rPr>
        <w:t>Division 2</w:t>
      </w:r>
      <w:r>
        <w:rPr>
          <w:snapToGrid w:val="0"/>
          <w:szCs w:val="26"/>
        </w:rPr>
        <w:t> — </w:t>
      </w:r>
      <w:r>
        <w:rPr>
          <w:szCs w:val="26"/>
        </w:rPr>
        <w:t>Records of employment</w:t>
      </w:r>
    </w:p>
    <w:p>
      <w:pPr>
        <w:pStyle w:val="TOC8"/>
        <w:rPr>
          <w:sz w:val="24"/>
          <w:szCs w:val="24"/>
        </w:rPr>
      </w:pPr>
      <w:r>
        <w:rPr>
          <w:szCs w:val="24"/>
        </w:rPr>
        <w:t>26</w:t>
      </w:r>
      <w:r>
        <w:rPr>
          <w:snapToGrid w:val="0"/>
          <w:szCs w:val="24"/>
        </w:rPr>
        <w:t>.</w:t>
      </w:r>
      <w:r>
        <w:rPr>
          <w:snapToGrid w:val="0"/>
          <w:szCs w:val="24"/>
        </w:rPr>
        <w:tab/>
        <w:t>Keeping of employment records</w:t>
      </w:r>
      <w:r>
        <w:tab/>
      </w:r>
      <w:r>
        <w:fldChar w:fldCharType="begin"/>
      </w:r>
      <w:r>
        <w:instrText xml:space="preserve"> PAGEREF _Toc199752924 \h </w:instrText>
      </w:r>
      <w:r>
        <w:fldChar w:fldCharType="separate"/>
      </w:r>
      <w:r>
        <w:t>17</w:t>
      </w:r>
      <w:r>
        <w:fldChar w:fldCharType="end"/>
      </w:r>
    </w:p>
    <w:p>
      <w:pPr>
        <w:pStyle w:val="TOC8"/>
        <w:rPr>
          <w:sz w:val="24"/>
          <w:szCs w:val="24"/>
        </w:rPr>
      </w:pPr>
      <w:r>
        <w:rPr>
          <w:szCs w:val="24"/>
        </w:rPr>
        <w:t>26A</w:t>
      </w:r>
      <w:r>
        <w:rPr>
          <w:snapToGrid w:val="0"/>
          <w:szCs w:val="24"/>
        </w:rPr>
        <w:t>.</w:t>
      </w:r>
      <w:r>
        <w:rPr>
          <w:snapToGrid w:val="0"/>
          <w:szCs w:val="24"/>
        </w:rPr>
        <w:tab/>
        <w:t>Access to records kept by employer</w:t>
      </w:r>
      <w:r>
        <w:tab/>
      </w:r>
      <w:r>
        <w:fldChar w:fldCharType="begin"/>
      </w:r>
      <w:r>
        <w:instrText xml:space="preserve"> PAGEREF _Toc199752925 \h </w:instrText>
      </w:r>
      <w:r>
        <w:fldChar w:fldCharType="separate"/>
      </w:r>
      <w:r>
        <w:t>18</w:t>
      </w:r>
      <w:r>
        <w:fldChar w:fldCharType="end"/>
      </w:r>
    </w:p>
    <w:p>
      <w:pPr>
        <w:pStyle w:val="TOC4"/>
        <w:tabs>
          <w:tab w:val="right" w:leader="dot" w:pos="7086"/>
        </w:tabs>
        <w:rPr>
          <w:b w:val="0"/>
          <w:sz w:val="24"/>
          <w:szCs w:val="24"/>
        </w:rPr>
      </w:pPr>
      <w:r>
        <w:rPr>
          <w:szCs w:val="26"/>
        </w:rPr>
        <w:t>Division 3 — Prohibition of employment during long service leave</w:t>
      </w:r>
    </w:p>
    <w:p>
      <w:pPr>
        <w:pStyle w:val="TOC8"/>
        <w:rPr>
          <w:sz w:val="24"/>
          <w:szCs w:val="24"/>
        </w:rPr>
      </w:pPr>
      <w:r>
        <w:rPr>
          <w:szCs w:val="24"/>
        </w:rPr>
        <w:t>27</w:t>
      </w:r>
      <w:r>
        <w:rPr>
          <w:snapToGrid w:val="0"/>
          <w:szCs w:val="24"/>
        </w:rPr>
        <w:t>.</w:t>
      </w:r>
      <w:r>
        <w:rPr>
          <w:snapToGrid w:val="0"/>
          <w:szCs w:val="24"/>
        </w:rPr>
        <w:tab/>
        <w:t>Prohibition of employment during long service leave</w:t>
      </w:r>
      <w:r>
        <w:tab/>
      </w:r>
      <w:r>
        <w:fldChar w:fldCharType="begin"/>
      </w:r>
      <w:r>
        <w:instrText xml:space="preserve"> PAGEREF _Toc199752927 \h </w:instrText>
      </w:r>
      <w:r>
        <w:fldChar w:fldCharType="separate"/>
      </w:r>
      <w:r>
        <w:t>19</w:t>
      </w:r>
      <w:r>
        <w:fldChar w:fldCharType="end"/>
      </w:r>
    </w:p>
    <w:p>
      <w:pPr>
        <w:pStyle w:val="TOC4"/>
        <w:tabs>
          <w:tab w:val="right" w:leader="dot" w:pos="7086"/>
        </w:tabs>
        <w:rPr>
          <w:b w:val="0"/>
          <w:sz w:val="24"/>
          <w:szCs w:val="24"/>
        </w:rPr>
      </w:pPr>
      <w:r>
        <w:rPr>
          <w:szCs w:val="26"/>
        </w:rPr>
        <w:t>Division 6 — Representation of parties in proceedings under this Act</w:t>
      </w:r>
    </w:p>
    <w:p>
      <w:pPr>
        <w:pStyle w:val="TOC8"/>
        <w:rPr>
          <w:sz w:val="24"/>
          <w:szCs w:val="24"/>
        </w:rPr>
      </w:pPr>
      <w:r>
        <w:rPr>
          <w:szCs w:val="24"/>
        </w:rPr>
        <w:t>37</w:t>
      </w:r>
      <w:r>
        <w:rPr>
          <w:snapToGrid w:val="0"/>
          <w:szCs w:val="24"/>
        </w:rPr>
        <w:t>.</w:t>
      </w:r>
      <w:r>
        <w:rPr>
          <w:snapToGrid w:val="0"/>
          <w:szCs w:val="24"/>
        </w:rPr>
        <w:tab/>
        <w:t>Representation of parties in proceedings under this Act</w:t>
      </w:r>
      <w:r>
        <w:tab/>
      </w:r>
      <w:r>
        <w:fldChar w:fldCharType="begin"/>
      </w:r>
      <w:r>
        <w:instrText xml:space="preserve"> PAGEREF _Toc199752929 \h </w:instrText>
      </w:r>
      <w:r>
        <w:fldChar w:fldCharType="separate"/>
      </w:r>
      <w:r>
        <w:t>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Regulations</w:t>
      </w:r>
    </w:p>
    <w:p>
      <w:pPr>
        <w:pStyle w:val="TOC8"/>
        <w:rPr>
          <w:sz w:val="24"/>
          <w:szCs w:val="24"/>
        </w:rPr>
      </w:pPr>
      <w:r>
        <w:rPr>
          <w:szCs w:val="24"/>
        </w:rPr>
        <w:t>38</w:t>
      </w:r>
      <w:r>
        <w:rPr>
          <w:snapToGrid w:val="0"/>
          <w:szCs w:val="24"/>
        </w:rPr>
        <w:t>.</w:t>
      </w:r>
      <w:r>
        <w:rPr>
          <w:snapToGrid w:val="0"/>
          <w:szCs w:val="24"/>
        </w:rPr>
        <w:tab/>
        <w:t>Regulation making power</w:t>
      </w:r>
      <w:r>
        <w:tab/>
      </w:r>
      <w:r>
        <w:fldChar w:fldCharType="begin"/>
      </w:r>
      <w:r>
        <w:instrText xml:space="preserve"> PAGEREF _Toc199752931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 xml:space="preserve">Application to this Act of certain of the regulations made under the </w:t>
      </w:r>
      <w:r>
        <w:rPr>
          <w:i/>
          <w:snapToGrid w:val="0"/>
          <w:szCs w:val="24"/>
        </w:rPr>
        <w:t>Industrial Relations Act 1979</w:t>
      </w:r>
      <w:r>
        <w:tab/>
      </w:r>
      <w:r>
        <w:fldChar w:fldCharType="begin"/>
      </w:r>
      <w:r>
        <w:instrText xml:space="preserve"> PAGEREF _Toc199752932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_Toc199752934 \h </w:instrText>
      </w:r>
      <w:r>
        <w:fldChar w:fldCharType="separate"/>
      </w:r>
      <w:r>
        <w:t>22</w:t>
      </w:r>
      <w:r>
        <w:fldChar w:fldCharType="end"/>
      </w:r>
    </w:p>
    <w:p>
      <w:pPr>
        <w:pStyle w:val="TOC8"/>
        <w:rPr>
          <w:sz w:val="24"/>
        </w:rPr>
      </w:pPr>
      <w:r>
        <w:rPr>
          <w:snapToGrid w:val="0"/>
        </w:rPr>
        <w:tab/>
        <w:t>Provisions that have not come into operation</w:t>
      </w:r>
      <w:r>
        <w:tab/>
      </w:r>
      <w:r>
        <w:fldChar w:fldCharType="begin"/>
      </w:r>
      <w:r>
        <w:instrText xml:space="preserve"> PAGEREF _Toc199752935 \h </w:instrText>
      </w:r>
      <w:r>
        <w:fldChar w:fldCharType="separate"/>
      </w:r>
      <w:r>
        <w:t>23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40" w:after="840"/>
      </w:pPr>
      <w:r>
        <w:t xml:space="preserve">Long Service Leave Act 1958 </w:t>
      </w:r>
    </w:p>
    <w:p>
      <w:pPr>
        <w:pStyle w:val="LongTitle"/>
        <w:rPr>
          <w:snapToGrid w:val="0"/>
        </w:rPr>
      </w:pPr>
      <w:r>
        <w:rPr>
          <w:snapToGrid w:val="0"/>
        </w:rPr>
        <w:t xml:space="preserve">An Act to provide for the granting of long service leave to </w:t>
      </w:r>
      <w:r>
        <w:t>certain Western Australian employees</w:t>
      </w:r>
      <w:r>
        <w:rPr>
          <w:snapToGrid w:val="0"/>
        </w:rPr>
        <w:t xml:space="preserve"> and for matters incidental thereto. </w:t>
      </w:r>
    </w:p>
    <w:p>
      <w:pPr>
        <w:pStyle w:val="Footnotelongtitle"/>
      </w:pPr>
      <w:r>
        <w:tab/>
        <w:t xml:space="preserve">[Long title amended by No. 79 of 1995 s. 45; No. 36 of 2006 s. 54.] </w:t>
      </w:r>
    </w:p>
    <w:p>
      <w:pPr>
        <w:pStyle w:val="Heading2"/>
      </w:pPr>
      <w:bookmarkStart w:id="2" w:name="_Toc89155436"/>
      <w:bookmarkStart w:id="3" w:name="_Toc89155473"/>
      <w:bookmarkStart w:id="4" w:name="_Toc89508250"/>
      <w:bookmarkStart w:id="5" w:name="_Toc102384927"/>
      <w:bookmarkStart w:id="6" w:name="_Toc139862954"/>
      <w:bookmarkStart w:id="7" w:name="_Toc140027976"/>
      <w:bookmarkStart w:id="8" w:name="_Toc142711157"/>
      <w:bookmarkStart w:id="9" w:name="_Toc142715179"/>
      <w:bookmarkStart w:id="10" w:name="_Toc144096971"/>
      <w:bookmarkStart w:id="11" w:name="_Toc145990791"/>
      <w:bookmarkStart w:id="12" w:name="_Toc199752907"/>
      <w:r>
        <w:rPr>
          <w:rStyle w:val="CharPartNo"/>
        </w:rPr>
        <w:t>Part I</w:t>
      </w:r>
      <w:r>
        <w:rPr>
          <w:rStyle w:val="CharDivNo"/>
        </w:rPr>
        <w:t> </w:t>
      </w:r>
      <w:r>
        <w:t>—</w:t>
      </w:r>
      <w:r>
        <w:rPr>
          <w:rStyle w:val="CharDivText"/>
        </w:rPr>
        <w:t> </w:t>
      </w:r>
      <w:r>
        <w:rPr>
          <w:rStyle w:val="CharPartText"/>
        </w:rPr>
        <w:t>Preliminary provisions</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11314612"/>
      <w:bookmarkStart w:id="14" w:name="_Toc38865844"/>
      <w:bookmarkStart w:id="15" w:name="_Toc102384928"/>
      <w:bookmarkStart w:id="16" w:name="_Toc199752908"/>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vertAlign w:val="superscript"/>
        </w:rPr>
        <w:t xml:space="preserve"> 1</w:t>
      </w:r>
      <w:r>
        <w:rPr>
          <w:snapToGrid w:val="0"/>
        </w:rPr>
        <w:t>.</w:t>
      </w:r>
    </w:p>
    <w:p>
      <w:pPr>
        <w:pStyle w:val="Heading5"/>
        <w:rPr>
          <w:snapToGrid w:val="0"/>
        </w:rPr>
      </w:pPr>
      <w:bookmarkStart w:id="17" w:name="_Toc411314613"/>
      <w:bookmarkStart w:id="18" w:name="_Toc38865845"/>
      <w:bookmarkStart w:id="19" w:name="_Toc102384929"/>
      <w:bookmarkStart w:id="20" w:name="_Toc199752909"/>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r>
        <w:t>[</w:t>
      </w:r>
      <w:r>
        <w:rPr>
          <w:b/>
        </w:rPr>
        <w:t>3.</w:t>
      </w:r>
      <w:r>
        <w:tab/>
        <w:t xml:space="preserve">Repealed by No. 44 of 1991 s. 10.] </w:t>
      </w:r>
    </w:p>
    <w:p>
      <w:pPr>
        <w:pStyle w:val="Heading2"/>
      </w:pPr>
      <w:bookmarkStart w:id="21" w:name="_Toc89155439"/>
      <w:bookmarkStart w:id="22" w:name="_Toc89155476"/>
      <w:bookmarkStart w:id="23" w:name="_Toc89508253"/>
      <w:bookmarkStart w:id="24" w:name="_Toc102384930"/>
      <w:bookmarkStart w:id="25" w:name="_Toc139862957"/>
      <w:bookmarkStart w:id="26" w:name="_Toc140027979"/>
      <w:bookmarkStart w:id="27" w:name="_Toc142711160"/>
      <w:bookmarkStart w:id="28" w:name="_Toc142715182"/>
      <w:bookmarkStart w:id="29" w:name="_Toc144096974"/>
      <w:bookmarkStart w:id="30" w:name="_Toc145990794"/>
      <w:bookmarkStart w:id="31" w:name="_Toc199752910"/>
      <w:r>
        <w:rPr>
          <w:rStyle w:val="CharPartNo"/>
        </w:rPr>
        <w:t>Part II</w:t>
      </w:r>
      <w:r>
        <w:rPr>
          <w:rStyle w:val="CharDivNo"/>
        </w:rPr>
        <w:t> </w:t>
      </w:r>
      <w:r>
        <w:t>—</w:t>
      </w:r>
      <w:r>
        <w:rPr>
          <w:rStyle w:val="CharDivText"/>
        </w:rPr>
        <w:t> </w:t>
      </w:r>
      <w:r>
        <w:rPr>
          <w:rStyle w:val="CharPartText"/>
        </w:rPr>
        <w:t>Construction and application of this Act</w:t>
      </w:r>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11314614"/>
      <w:bookmarkStart w:id="33" w:name="_Toc38865846"/>
      <w:bookmarkStart w:id="34" w:name="_Toc102384931"/>
      <w:bookmarkStart w:id="35" w:name="_Toc199752911"/>
      <w:r>
        <w:rPr>
          <w:rStyle w:val="CharSectno"/>
        </w:rPr>
        <w:t>4</w:t>
      </w:r>
      <w:r>
        <w:rPr>
          <w:snapToGrid w:val="0"/>
        </w:rPr>
        <w:t>.</w:t>
      </w:r>
      <w:r>
        <w:rPr>
          <w:snapToGrid w:val="0"/>
        </w:rPr>
        <w:tab/>
        <w:t>Interpretation</w:t>
      </w:r>
      <w:bookmarkEnd w:id="32"/>
      <w:bookmarkEnd w:id="33"/>
      <w:bookmarkEnd w:id="34"/>
      <w:bookmarkEnd w:id="35"/>
    </w:p>
    <w:p>
      <w:pPr>
        <w:pStyle w:val="Subsection"/>
        <w:rPr>
          <w:snapToGrid w:val="0"/>
        </w:rPr>
      </w:pPr>
      <w:r>
        <w:rPr>
          <w:snapToGrid w:val="0"/>
        </w:rPr>
        <w:tab/>
        <w:t>(1)</w:t>
      </w:r>
      <w:r>
        <w:rPr>
          <w:snapToGrid w:val="0"/>
        </w:rPr>
        <w:tab/>
        <w:t xml:space="preserve">In this Act unless the context requires otherwise — </w:t>
      </w:r>
    </w:p>
    <w:p>
      <w:pPr>
        <w:pStyle w:val="Defstart"/>
      </w:pPr>
      <w:r>
        <w:rPr>
          <w:b/>
        </w:rPr>
        <w:tab/>
      </w:r>
      <w:r>
        <w:rPr>
          <w:rStyle w:val="CharDefText"/>
        </w:rPr>
        <w:t>apprentice</w:t>
      </w:r>
      <w:r>
        <w:t xml:space="preserve"> means an apprentice under the </w:t>
      </w:r>
      <w:r>
        <w:rPr>
          <w:i/>
        </w:rPr>
        <w:t>Industrial Training Act 1975</w:t>
      </w:r>
      <w:r>
        <w:t>;</w:t>
      </w:r>
    </w:p>
    <w:p>
      <w:pPr>
        <w:pStyle w:val="Defstart"/>
      </w:pPr>
      <w:r>
        <w:rPr>
          <w:b/>
        </w:rPr>
        <w:tab/>
      </w:r>
      <w:r>
        <w:rPr>
          <w:rStyle w:val="CharDefText"/>
        </w:rPr>
        <w:t>award</w:t>
      </w:r>
      <w:r>
        <w:t xml:space="preserve"> means an award in force under the </w:t>
      </w:r>
      <w:r>
        <w:rPr>
          <w:i/>
        </w:rPr>
        <w:t>Industrial Relations Act 1979</w:t>
      </w:r>
      <w:r>
        <w:t>;</w:t>
      </w:r>
    </w:p>
    <w:p>
      <w:pPr>
        <w:pStyle w:val="Defstart"/>
      </w:pPr>
      <w:r>
        <w:rPr>
          <w:b/>
        </w:rPr>
        <w:tab/>
      </w:r>
      <w:r>
        <w:rPr>
          <w:rStyle w:val="CharDefText"/>
        </w:rPr>
        <w:t>business</w:t>
      </w:r>
      <w:r>
        <w:t xml:space="preserve"> includes any trade, process, profession, or occupation, and any part thereof;</w:t>
      </w:r>
    </w:p>
    <w:p>
      <w:pPr>
        <w:pStyle w:val="Defstart"/>
      </w:pPr>
      <w:r>
        <w:rPr>
          <w:b/>
        </w:rPr>
        <w:tab/>
      </w:r>
      <w:r>
        <w:rPr>
          <w:rStyle w:val="CharDefText"/>
        </w:rPr>
        <w:t>employee</w:t>
      </w:r>
      <w:r>
        <w:t xml:space="preserve"> means, subject to subsection (3) — </w:t>
      </w:r>
    </w:p>
    <w:p>
      <w:pPr>
        <w:pStyle w:val="Defpara"/>
      </w:pPr>
      <w:r>
        <w:tab/>
        <w:t>(a)</w:t>
      </w:r>
      <w:r>
        <w:tab/>
        <w:t>any person employed by an employer to do work for hire or reward including an apprentice or industrial trainee;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t>employing one or more employees;</w:t>
      </w:r>
    </w:p>
    <w:p>
      <w:pPr>
        <w:pStyle w:val="Defstart"/>
      </w:pPr>
      <w:r>
        <w:rPr>
          <w:b/>
        </w:rPr>
        <w:tab/>
      </w:r>
      <w:r>
        <w:rPr>
          <w:rStyle w:val="CharDefText"/>
        </w:rPr>
        <w:t>industrial agreement</w:t>
      </w:r>
      <w:r>
        <w:t xml:space="preserve"> means an industrial agreement in force under the </w:t>
      </w:r>
      <w:r>
        <w:rPr>
          <w:i/>
        </w:rPr>
        <w:t>Industrial Relations Act 1979</w:t>
      </w:r>
      <w:r>
        <w:t>;</w:t>
      </w:r>
    </w:p>
    <w:p>
      <w:pPr>
        <w:pStyle w:val="Defstart"/>
        <w:keepNext/>
        <w:keepLines/>
      </w:pPr>
      <w:r>
        <w:rPr>
          <w:b/>
        </w:rPr>
        <w:tab/>
      </w:r>
      <w:r>
        <w:rPr>
          <w:rStyle w:val="CharDefText"/>
        </w:rPr>
        <w:t>industrial inspector</w:t>
      </w:r>
      <w:r>
        <w:t xml:space="preserve"> means an Industrial Inspector as defined in the </w:t>
      </w:r>
      <w:r>
        <w:rPr>
          <w:i/>
        </w:rPr>
        <w:t>Industrial Relations Act 1979</w:t>
      </w:r>
      <w:r>
        <w:t>;</w:t>
      </w:r>
    </w:p>
    <w:p>
      <w:pPr>
        <w:pStyle w:val="Defstart"/>
      </w:pPr>
      <w:r>
        <w:rPr>
          <w:b/>
        </w:rPr>
        <w:tab/>
      </w:r>
      <w:r>
        <w:rPr>
          <w:rStyle w:val="CharDefText"/>
        </w:rPr>
        <w:t>industrial magistrate’s court</w:t>
      </w:r>
      <w:r>
        <w:t xml:space="preserve"> has the meaning given by the </w:t>
      </w:r>
      <w:r>
        <w:rPr>
          <w:i/>
        </w:rPr>
        <w:t>Industrial Relations Act 1979</w:t>
      </w:r>
      <w:r>
        <w:t>;</w:t>
      </w:r>
    </w:p>
    <w:p>
      <w:pPr>
        <w:pStyle w:val="Defstart"/>
      </w:pPr>
      <w:r>
        <w:rPr>
          <w:b/>
        </w:rPr>
        <w:tab/>
      </w:r>
      <w:r>
        <w:rPr>
          <w:rStyle w:val="CharDefText"/>
        </w:rPr>
        <w:t>industrial trainee</w:t>
      </w:r>
      <w:r>
        <w:t xml:space="preserve"> means an industrial trainee under the </w:t>
      </w:r>
      <w:r>
        <w:rPr>
          <w:i/>
        </w:rPr>
        <w:t>Industrial Training Act 1975</w:t>
      </w:r>
      <w:r>
        <w:t>;</w:t>
      </w:r>
    </w:p>
    <w:p>
      <w:pPr>
        <w:pStyle w:val="Defstart"/>
      </w:pPr>
      <w:r>
        <w:rPr>
          <w:b/>
        </w:rPr>
        <w:tab/>
      </w:r>
      <w:r>
        <w:rPr>
          <w:rStyle w:val="CharDefText"/>
        </w:rPr>
        <w:t>ordinary pay</w:t>
      </w:r>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where the employee is employed on piece or bonus work or any other system of payment by results, the employee’s rate of pay during any period when the employee is on long service leave is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tab/>
        <w:t>(c)</w:t>
      </w:r>
      <w:r>
        <w:rPr>
          <w:snapToGrid w:val="0"/>
        </w:rPr>
        <w:tab/>
        <w:t xml:space="preserve">where the normal weekly number of hours have varied over the period of employment of </w:t>
      </w:r>
      <w:r>
        <w:t>a full</w:t>
      </w:r>
      <w:r>
        <w:noBreakHyphen/>
        <w:t>time, part</w:t>
      </w:r>
      <w:r>
        <w:noBreakHyphen/>
        <w:t>time or casual employee</w:t>
      </w:r>
      <w:r>
        <w:rPr>
          <w:snapToGrid w:val="0"/>
        </w:rPr>
        <w: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tab/>
        <w:t xml:space="preserve">[Section 4 amended by No. 37 of 1964 s. 2; No. 113 of 1965 s. 8; No. 97 of 1973 s. 3; No. 44 of 1991 s. 11; No. 79 of 1995 s. 46; No. 20 of 2002 s. 20; No. 36 of 2006 s. 55; amended in Gazette 15 Aug 2003 p. 3687.] </w:t>
      </w:r>
    </w:p>
    <w:p>
      <w:pPr>
        <w:pStyle w:val="Heading5"/>
        <w:rPr>
          <w:snapToGrid w:val="0"/>
        </w:rPr>
      </w:pPr>
      <w:bookmarkStart w:id="36" w:name="_Toc411314615"/>
      <w:bookmarkStart w:id="37" w:name="_Toc38865847"/>
      <w:bookmarkStart w:id="38" w:name="_Toc102384932"/>
      <w:bookmarkStart w:id="39" w:name="_Toc199752912"/>
      <w:r>
        <w:rPr>
          <w:rStyle w:val="CharSectno"/>
        </w:rPr>
        <w:t>5</w:t>
      </w:r>
      <w:r>
        <w:rPr>
          <w:snapToGrid w:val="0"/>
        </w:rPr>
        <w:t>.</w:t>
      </w:r>
      <w:r>
        <w:rPr>
          <w:snapToGrid w:val="0"/>
        </w:rPr>
        <w:tab/>
        <w:t>Limited contracting</w:t>
      </w:r>
      <w:r>
        <w:rPr>
          <w:snapToGrid w:val="0"/>
        </w:rPr>
        <w:noBreakHyphen/>
        <w:t>out of long service leave</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by No. 79 of 1995 s. 47.] </w:t>
      </w:r>
    </w:p>
    <w:p>
      <w:pPr>
        <w:pStyle w:val="Heading5"/>
        <w:rPr>
          <w:snapToGrid w:val="0"/>
        </w:rPr>
      </w:pPr>
      <w:bookmarkStart w:id="40" w:name="_Toc411314616"/>
      <w:bookmarkStart w:id="41" w:name="_Toc38865848"/>
      <w:bookmarkStart w:id="42" w:name="_Toc102384933"/>
      <w:bookmarkStart w:id="43" w:name="_Toc199752913"/>
      <w:r>
        <w:rPr>
          <w:rStyle w:val="CharSectno"/>
        </w:rPr>
        <w:t>6</w:t>
      </w:r>
      <w:r>
        <w:rPr>
          <w:snapToGrid w:val="0"/>
        </w:rPr>
        <w:t>.</w:t>
      </w:r>
      <w:r>
        <w:rPr>
          <w:snapToGrid w:val="0"/>
        </w:rPr>
        <w:tab/>
        <w:t>What constitutes continuous employment</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2</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3</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 (4);</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4</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Any period of absence from, or interruption of employment referred to in subsection (2)(c) to (i) inclusive shall not be counted as part of the period of an employee’s employment.</w:t>
      </w:r>
    </w:p>
    <w:p>
      <w:pPr>
        <w:pStyle w:val="Subsection"/>
        <w:rPr>
          <w:snapToGrid w:val="0"/>
        </w:rPr>
      </w:pPr>
      <w:r>
        <w:rPr>
          <w:snapToGrid w:val="0"/>
        </w:rPr>
        <w:tab/>
        <w:t>(4)(i)</w:t>
      </w:r>
      <w:r>
        <w:rPr>
          <w:snapToGrid w:val="0"/>
        </w:rPr>
        <w:tab/>
        <w:t xml:space="preserve">Where a business has, whether before or after the coming into operation hereof, been transmitted from an employer (herein called </w:t>
      </w:r>
      <w:r>
        <w:rPr>
          <w:rStyle w:val="CharDefText"/>
        </w:rPr>
        <w:t>the transmittor</w:t>
      </w:r>
      <w:r>
        <w:rPr>
          <w:snapToGrid w:val="0"/>
        </w:rPr>
        <w:t xml:space="preserve">) to another employer (herein called </w:t>
      </w:r>
      <w:r>
        <w:rPr>
          <w:rStyle w:val="CharDefText"/>
        </w:rPr>
        <w:t>the transmittee</w:t>
      </w:r>
      <w:r>
        <w:rPr>
          <w:snapToGrid w:val="0"/>
        </w:rPr>
        <w: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(ii)</w:t>
      </w:r>
      <w:r>
        <w:rPr>
          <w:snapToGrid w:val="0"/>
        </w:rPr>
        <w:tab/>
        <w:t xml:space="preserve">In this subsection </w:t>
      </w:r>
      <w:r>
        <w:rPr>
          <w:rStyle w:val="CharDefText"/>
        </w:rPr>
        <w:t>transmission</w:t>
      </w:r>
      <w:r>
        <w:rPr>
          <w:snapToGrid w:val="0"/>
        </w:rPr>
        <w:t xml:space="preserve"> includes transfer, conveyance, assignment or succession, whether voluntary or by agreement or by operation of law, and </w:t>
      </w:r>
      <w:r>
        <w:rPr>
          <w:rStyle w:val="CharDefText"/>
        </w:rPr>
        <w:t>transmitted</w:t>
      </w:r>
      <w:r>
        <w:rPr>
          <w:snapToGrid w:val="0"/>
        </w:rPr>
        <w:t xml:space="preserve"> has a corresponding meaning.</w:t>
      </w:r>
    </w:p>
    <w:p>
      <w:pPr>
        <w:pStyle w:val="Footnotesection"/>
      </w:pPr>
      <w:r>
        <w:tab/>
        <w:t xml:space="preserve">[Section 6 amended by No. 97 of 1973 s. 5; No. 79 of 1995 s. 48.] </w:t>
      </w:r>
    </w:p>
    <w:p>
      <w:pPr>
        <w:pStyle w:val="Heading5"/>
        <w:rPr>
          <w:snapToGrid w:val="0"/>
        </w:rPr>
      </w:pPr>
      <w:bookmarkStart w:id="44" w:name="_Toc411314617"/>
      <w:bookmarkStart w:id="45" w:name="_Toc38865849"/>
      <w:bookmarkStart w:id="46" w:name="_Toc102384934"/>
      <w:bookmarkStart w:id="47" w:name="_Toc199752914"/>
      <w:r>
        <w:rPr>
          <w:rStyle w:val="CharSectno"/>
        </w:rPr>
        <w:t>7</w:t>
      </w:r>
      <w:r>
        <w:rPr>
          <w:snapToGrid w:val="0"/>
        </w:rPr>
        <w:t>.</w:t>
      </w:r>
      <w:r>
        <w:rPr>
          <w:snapToGrid w:val="0"/>
        </w:rPr>
        <w:tab/>
        <w:t>Employment before commencement of this Act</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by No. 37 of 1964 s. 4.] </w:t>
      </w:r>
    </w:p>
    <w:p>
      <w:pPr>
        <w:pStyle w:val="Heading2"/>
      </w:pPr>
      <w:bookmarkStart w:id="48" w:name="_Toc89155444"/>
      <w:bookmarkStart w:id="49" w:name="_Toc89155481"/>
      <w:bookmarkStart w:id="50" w:name="_Toc89508258"/>
      <w:bookmarkStart w:id="51" w:name="_Toc102384935"/>
      <w:bookmarkStart w:id="52" w:name="_Toc139862962"/>
      <w:bookmarkStart w:id="53" w:name="_Toc140027984"/>
      <w:bookmarkStart w:id="54" w:name="_Toc142711165"/>
      <w:bookmarkStart w:id="55" w:name="_Toc142715187"/>
      <w:bookmarkStart w:id="56" w:name="_Toc144096979"/>
      <w:bookmarkStart w:id="57" w:name="_Toc145990799"/>
      <w:bookmarkStart w:id="58" w:name="_Toc199752915"/>
      <w:r>
        <w:rPr>
          <w:rStyle w:val="CharPartNo"/>
        </w:rPr>
        <w:t>Part III</w:t>
      </w:r>
      <w:r>
        <w:rPr>
          <w:rStyle w:val="CharDivNo"/>
        </w:rPr>
        <w:t> </w:t>
      </w:r>
      <w:r>
        <w:t>—</w:t>
      </w:r>
      <w:r>
        <w:rPr>
          <w:rStyle w:val="CharDivText"/>
        </w:rPr>
        <w:t> </w:t>
      </w:r>
      <w:r>
        <w:rPr>
          <w:rStyle w:val="CharPartText"/>
        </w:rPr>
        <w:t>Entitlements to long service leave or to payment in lieu thereof</w:t>
      </w:r>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11314618"/>
      <w:bookmarkStart w:id="60" w:name="_Toc38865850"/>
      <w:bookmarkStart w:id="61" w:name="_Toc102384936"/>
      <w:bookmarkStart w:id="62" w:name="_Toc199752916"/>
      <w:r>
        <w:rPr>
          <w:rStyle w:val="CharSectno"/>
        </w:rPr>
        <w:t>8</w:t>
      </w:r>
      <w:r>
        <w:rPr>
          <w:snapToGrid w:val="0"/>
        </w:rPr>
        <w:t>.</w:t>
      </w:r>
      <w:r>
        <w:rPr>
          <w:snapToGrid w:val="0"/>
        </w:rPr>
        <w:tab/>
        <w:t>Long service leave</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t>An employee who has completed at least 10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 of such continuous employment since the commencement thereof, but less than 10 years, and the employment is terminated — </w:t>
      </w:r>
    </w:p>
    <w:p>
      <w:pPr>
        <w:pStyle w:val="Indenta"/>
        <w:rPr>
          <w:snapToGrid w:val="0"/>
        </w:rPr>
      </w:pPr>
      <w:r>
        <w:rPr>
          <w:snapToGrid w:val="0"/>
        </w:rPr>
        <w:tab/>
        <w:t>(a)</w:t>
      </w:r>
      <w:r>
        <w:rPr>
          <w:snapToGrid w:val="0"/>
        </w:rPr>
        <w:tab/>
        <w:t>by his death; or</w:t>
      </w:r>
    </w:p>
    <w:p>
      <w:pPr>
        <w:pStyle w:val="Indenta"/>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his or her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his or her entitlement under subsection (2)(b) not already taken in accordance with subsection (7).</w:t>
      </w:r>
    </w:p>
    <w:p>
      <w:pPr>
        <w:pStyle w:val="Subsection"/>
        <w:spacing w:before="120"/>
      </w:pPr>
      <w:r>
        <w:tab/>
        <w:t>(10)</w:t>
      </w:r>
      <w:r>
        <w:tab/>
        <w:t xml:space="preserve">In subsections (4) and (6) — </w:t>
      </w:r>
    </w:p>
    <w:p>
      <w:pPr>
        <w:pStyle w:val="Defstar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r>
        <w:rPr>
          <w:rFonts w:ascii="Times" w:hAnsi="Times"/>
          <w:vertAlign w:val="superscript"/>
        </w:rPr>
        <w:t> 1</w:t>
      </w:r>
      <w:r>
        <w:t>.</w:t>
      </w:r>
    </w:p>
    <w:p>
      <w:pPr>
        <w:pStyle w:val="Footnotesection"/>
        <w:spacing w:before="80"/>
        <w:ind w:left="890" w:hanging="890"/>
      </w:pPr>
      <w:r>
        <w:tab/>
        <w:t xml:space="preserve">[Section 8 inserted by No. 37 of 1964 s. 5; amended by No. 79 of 1995 s. 49; No. 36 of 2006 s. 56.] </w:t>
      </w:r>
    </w:p>
    <w:p>
      <w:pPr>
        <w:pStyle w:val="Ednotesection"/>
      </w:pPr>
      <w:r>
        <w:t>[</w:t>
      </w:r>
      <w:r>
        <w:rPr>
          <w:b/>
        </w:rPr>
        <w:t>8A.</w:t>
      </w:r>
      <w:r>
        <w:tab/>
        <w:t>Repealed by No. 36 of 2006 s. 57.]</w:t>
      </w:r>
    </w:p>
    <w:p>
      <w:pPr>
        <w:pStyle w:val="Heading5"/>
        <w:rPr>
          <w:snapToGrid w:val="0"/>
        </w:rPr>
      </w:pPr>
      <w:bookmarkStart w:id="63" w:name="_Toc411314620"/>
      <w:bookmarkStart w:id="64" w:name="_Toc38865852"/>
      <w:bookmarkStart w:id="65" w:name="_Toc102384938"/>
      <w:bookmarkStart w:id="66" w:name="_Toc199752917"/>
      <w:r>
        <w:rPr>
          <w:rStyle w:val="CharSectno"/>
        </w:rPr>
        <w:t>9</w:t>
      </w:r>
      <w:r>
        <w:rPr>
          <w:snapToGrid w:val="0"/>
        </w:rPr>
        <w:t>.</w:t>
      </w:r>
      <w:r>
        <w:rPr>
          <w:snapToGrid w:val="0"/>
        </w:rPr>
        <w:tab/>
        <w:t>Commencement of long service leave</w:t>
      </w:r>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satisfied the obligation of the employer in respect of leave hereunder.</w:t>
      </w:r>
    </w:p>
    <w:p>
      <w:pPr>
        <w:pStyle w:val="Subsection"/>
      </w:pPr>
      <w:r>
        <w:rPr>
          <w:snapToGrid w:val="0"/>
        </w:rPr>
        <w:tab/>
        <w:t>(3)</w:t>
      </w:r>
      <w:r>
        <w:rPr>
          <w:snapToGrid w:val="0"/>
        </w:rPr>
        <w:tab/>
        <w:t xml:space="preserve">An employee is to be paid for a period of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by No. 37 of 1964 s. 6; No. 79 of 1995 s. 51; No. 36 of 2006 s. 58.] </w:t>
      </w:r>
    </w:p>
    <w:p>
      <w:pPr>
        <w:pStyle w:val="Heading5"/>
        <w:rPr>
          <w:snapToGrid w:val="0"/>
        </w:rPr>
      </w:pPr>
      <w:bookmarkStart w:id="67" w:name="_Toc411314621"/>
      <w:bookmarkStart w:id="68" w:name="_Toc38865853"/>
      <w:bookmarkStart w:id="69" w:name="_Toc102384939"/>
      <w:bookmarkStart w:id="70" w:name="_Toc199752918"/>
      <w:r>
        <w:rPr>
          <w:rStyle w:val="CharSectno"/>
        </w:rPr>
        <w:t>10</w:t>
      </w:r>
      <w:r>
        <w:rPr>
          <w:snapToGrid w:val="0"/>
        </w:rPr>
        <w:t>.</w:t>
      </w:r>
      <w:r>
        <w:rPr>
          <w:snapToGrid w:val="0"/>
        </w:rPr>
        <w:tab/>
        <w:t>Taking leave in advance</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Where leave has been granted to an employee pursuant to subsection (1) before the right thereto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by No. 37 of 1964 s. 7.] </w:t>
      </w:r>
    </w:p>
    <w:p>
      <w:pPr>
        <w:pStyle w:val="Heading2"/>
      </w:pPr>
      <w:bookmarkStart w:id="71" w:name="_Toc89155449"/>
      <w:bookmarkStart w:id="72" w:name="_Toc89155486"/>
      <w:bookmarkStart w:id="73" w:name="_Toc89508263"/>
      <w:bookmarkStart w:id="74" w:name="_Toc102384940"/>
      <w:bookmarkStart w:id="75" w:name="_Toc139862967"/>
      <w:bookmarkStart w:id="76" w:name="_Toc140027988"/>
      <w:bookmarkStart w:id="77" w:name="_Toc142711169"/>
      <w:bookmarkStart w:id="78" w:name="_Toc142715191"/>
      <w:bookmarkStart w:id="79" w:name="_Toc144096983"/>
      <w:bookmarkStart w:id="80" w:name="_Toc145990803"/>
      <w:bookmarkStart w:id="81" w:name="_Toc199752919"/>
      <w:r>
        <w:rPr>
          <w:rStyle w:val="CharPartNo"/>
        </w:rPr>
        <w:t>Part IV</w:t>
      </w:r>
      <w:r>
        <w:rPr>
          <w:rStyle w:val="CharDivNo"/>
        </w:rPr>
        <w:t> </w:t>
      </w:r>
      <w:r>
        <w:t>—</w:t>
      </w:r>
      <w:r>
        <w:rPr>
          <w:rStyle w:val="CharDivText"/>
        </w:rPr>
        <w:t> </w:t>
      </w:r>
      <w:r>
        <w:rPr>
          <w:rStyle w:val="CharPartText"/>
        </w:rPr>
        <w:t>Enforcement of the provisions of the Act</w:t>
      </w:r>
      <w:bookmarkEnd w:id="71"/>
      <w:bookmarkEnd w:id="72"/>
      <w:bookmarkEnd w:id="73"/>
      <w:bookmarkEnd w:id="74"/>
      <w:bookmarkEnd w:id="75"/>
      <w:bookmarkEnd w:id="76"/>
      <w:bookmarkEnd w:id="77"/>
      <w:bookmarkEnd w:id="78"/>
      <w:bookmarkEnd w:id="79"/>
      <w:bookmarkEnd w:id="80"/>
      <w:bookmarkEnd w:id="81"/>
    </w:p>
    <w:p>
      <w:pPr>
        <w:pStyle w:val="Footnoteheading"/>
        <w:rPr>
          <w:snapToGrid w:val="0"/>
        </w:rPr>
      </w:pPr>
      <w:r>
        <w:rPr>
          <w:snapToGrid w:val="0"/>
        </w:rPr>
        <w:tab/>
        <w:t>[Heading inserted by No. 79 of 1995 s. 52.]</w:t>
      </w:r>
    </w:p>
    <w:p>
      <w:pPr>
        <w:pStyle w:val="Heading5"/>
        <w:rPr>
          <w:snapToGrid w:val="0"/>
        </w:rPr>
      </w:pPr>
      <w:bookmarkStart w:id="82" w:name="_Toc411314622"/>
      <w:bookmarkStart w:id="83" w:name="_Toc38865854"/>
      <w:bookmarkStart w:id="84" w:name="_Toc102384941"/>
      <w:bookmarkStart w:id="85" w:name="_Toc199752920"/>
      <w:r>
        <w:rPr>
          <w:rStyle w:val="CharSectno"/>
        </w:rPr>
        <w:t>11</w:t>
      </w:r>
      <w:r>
        <w:rPr>
          <w:snapToGrid w:val="0"/>
        </w:rPr>
        <w:t>.</w:t>
      </w:r>
      <w:r>
        <w:rPr>
          <w:snapToGrid w:val="0"/>
        </w:rPr>
        <w:tab/>
        <w:t>Industrial magistrate’s courts</w:t>
      </w:r>
      <w:bookmarkEnd w:id="82"/>
      <w:bookmarkEnd w:id="83"/>
      <w:bookmarkEnd w:id="84"/>
      <w:bookmarkEnd w:id="85"/>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spacing w:before="60"/>
        <w:rPr>
          <w:snapToGrid w:val="0"/>
        </w:rPr>
      </w:pPr>
      <w:r>
        <w:rPr>
          <w:snapToGrid w:val="0"/>
        </w:rPr>
        <w:tab/>
        <w:t>(c)</w:t>
      </w:r>
      <w:r>
        <w:rPr>
          <w:snapToGrid w:val="0"/>
        </w:rPr>
        <w:tab/>
        <w:t>as to the ordinary rate of pay of an employee;</w:t>
      </w:r>
    </w:p>
    <w:p>
      <w:pPr>
        <w:pStyle w:val="Indenta"/>
        <w:spacing w:before="60"/>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spacing w:before="60"/>
        <w:rPr>
          <w:snapToGrid w:val="0"/>
        </w:rPr>
      </w:pPr>
      <w:r>
        <w:rPr>
          <w:snapToGrid w:val="0"/>
        </w:rPr>
        <w:tab/>
        <w:t>(e)</w:t>
      </w:r>
      <w:r>
        <w:rPr>
          <w:snapToGrid w:val="0"/>
        </w:rPr>
        <w:tab/>
        <w:t>with respect to a benefit in lieu of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by No. 79 of 1995 s. 52.] </w:t>
      </w:r>
    </w:p>
    <w:p>
      <w:pPr>
        <w:pStyle w:val="Heading5"/>
      </w:pPr>
      <w:bookmarkStart w:id="86" w:name="_Toc129769400"/>
      <w:bookmarkStart w:id="87" w:name="_Toc129771230"/>
      <w:bookmarkStart w:id="88" w:name="_Toc139360824"/>
      <w:bookmarkStart w:id="89" w:name="_Toc139792911"/>
      <w:bookmarkStart w:id="90" w:name="_Toc139797375"/>
      <w:bookmarkStart w:id="91" w:name="_Toc199752921"/>
      <w:r>
        <w:rPr>
          <w:rStyle w:val="CharSectno"/>
        </w:rPr>
        <w:t>12</w:t>
      </w:r>
      <w:r>
        <w:t>.</w:t>
      </w:r>
      <w:r>
        <w:tab/>
        <w:t>Industrial inspectors may institute proceedings</w:t>
      </w:r>
      <w:bookmarkEnd w:id="86"/>
      <w:bookmarkEnd w:id="87"/>
      <w:bookmarkEnd w:id="88"/>
      <w:bookmarkEnd w:id="89"/>
      <w:bookmarkEnd w:id="90"/>
      <w:bookmarkEnd w:id="91"/>
    </w:p>
    <w:p>
      <w:pPr>
        <w:pStyle w:val="Subsection"/>
        <w:spacing w:before="120"/>
      </w:pPr>
      <w:r>
        <w:tab/>
      </w:r>
      <w:r>
        <w:tab/>
        <w:t>An industrial inspector may institute proceedings under section 11 in his or her own name, whether or not an employee is to be a party to the proceedings.</w:t>
      </w:r>
    </w:p>
    <w:p>
      <w:pPr>
        <w:pStyle w:val="Footnotesection"/>
      </w:pPr>
      <w:r>
        <w:tab/>
        <w:t>[Section 12 inserted by No. 36 of 2006 s. 59.]</w:t>
      </w:r>
    </w:p>
    <w:p>
      <w:pPr>
        <w:pStyle w:val="Ednotesection"/>
        <w:spacing w:before="180"/>
        <w:ind w:left="890" w:hanging="890"/>
      </w:pPr>
      <w:r>
        <w:t>[</w:t>
      </w:r>
      <w:r>
        <w:rPr>
          <w:b/>
        </w:rPr>
        <w:t>13</w:t>
      </w:r>
      <w:r>
        <w:rPr>
          <w:b/>
        </w:rPr>
        <w:noBreakHyphen/>
        <w:t>17.</w:t>
      </w:r>
      <w:r>
        <w:rPr>
          <w:b/>
        </w:rPr>
        <w:tab/>
      </w:r>
      <w:r>
        <w:t>Repealed by No. 79 of 1995 s. 52.]</w:t>
      </w:r>
    </w:p>
    <w:p>
      <w:pPr>
        <w:pStyle w:val="Ednotepart"/>
        <w:spacing w:before="180"/>
      </w:pPr>
      <w:r>
        <w:t>[Part V (s. 18-19) repealed by No. 79 of 1995 s. 52.]</w:t>
      </w:r>
    </w:p>
    <w:p>
      <w:pPr>
        <w:pStyle w:val="Ednotepart"/>
        <w:spacing w:before="180"/>
        <w:ind w:left="1202" w:hanging="1202"/>
      </w:pPr>
      <w:r>
        <w:t>[Part VI:</w:t>
      </w:r>
      <w:r>
        <w:tab/>
        <w:t>s. 23 repealed by No. 37 of 1964 s. 14;</w:t>
      </w:r>
      <w:r>
        <w:br/>
        <w:t>s. 20-22, 24 repealed by No. 79 of 1995 s. 52.]</w:t>
      </w:r>
    </w:p>
    <w:p>
      <w:pPr>
        <w:pStyle w:val="Heading2"/>
      </w:pPr>
      <w:bookmarkStart w:id="92" w:name="_Toc89155451"/>
      <w:bookmarkStart w:id="93" w:name="_Toc89155488"/>
      <w:bookmarkStart w:id="94" w:name="_Toc89508265"/>
      <w:bookmarkStart w:id="95" w:name="_Toc102384942"/>
      <w:bookmarkStart w:id="96" w:name="_Toc139862970"/>
      <w:bookmarkStart w:id="97" w:name="_Toc140027991"/>
      <w:bookmarkStart w:id="98" w:name="_Toc142711172"/>
      <w:bookmarkStart w:id="99" w:name="_Toc142715194"/>
      <w:bookmarkStart w:id="100" w:name="_Toc144096986"/>
      <w:bookmarkStart w:id="101" w:name="_Toc145990806"/>
      <w:bookmarkStart w:id="102" w:name="_Toc199752922"/>
      <w:r>
        <w:rPr>
          <w:rStyle w:val="CharPartNo"/>
        </w:rPr>
        <w:t>Part VII</w:t>
      </w:r>
      <w:r>
        <w:t> — </w:t>
      </w:r>
      <w:r>
        <w:rPr>
          <w:rStyle w:val="CharPartText"/>
        </w:rPr>
        <w:t>Miscellaneous provisions</w:t>
      </w:r>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Ednotedivision"/>
      </w:pPr>
      <w:r>
        <w:t>[Division 1 (s. 25) repealed by No. 79 of 1995 s. 53.]</w:t>
      </w:r>
    </w:p>
    <w:p>
      <w:pPr>
        <w:pStyle w:val="Heading3"/>
        <w:rPr>
          <w:snapToGrid w:val="0"/>
        </w:rPr>
      </w:pPr>
      <w:bookmarkStart w:id="103" w:name="_Toc89155452"/>
      <w:bookmarkStart w:id="104" w:name="_Toc89155489"/>
      <w:bookmarkStart w:id="105" w:name="_Toc89508266"/>
      <w:bookmarkStart w:id="106" w:name="_Toc102384943"/>
      <w:bookmarkStart w:id="107" w:name="_Toc139862971"/>
      <w:bookmarkStart w:id="108" w:name="_Toc140027992"/>
      <w:bookmarkStart w:id="109" w:name="_Toc142711173"/>
      <w:bookmarkStart w:id="110" w:name="_Toc142715195"/>
      <w:bookmarkStart w:id="111" w:name="_Toc144096987"/>
      <w:bookmarkStart w:id="112" w:name="_Toc145990807"/>
      <w:bookmarkStart w:id="113" w:name="_Toc199752923"/>
      <w:r>
        <w:rPr>
          <w:rStyle w:val="CharDivNo"/>
        </w:rPr>
        <w:t>Division 2</w:t>
      </w:r>
      <w:r>
        <w:rPr>
          <w:snapToGrid w:val="0"/>
        </w:rPr>
        <w:t> — </w:t>
      </w:r>
      <w:r>
        <w:rPr>
          <w:rStyle w:val="CharDivText"/>
        </w:rPr>
        <w:t>Records of employment</w:t>
      </w:r>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411314623"/>
      <w:bookmarkStart w:id="115" w:name="_Toc38865855"/>
      <w:bookmarkStart w:id="116" w:name="_Toc102384944"/>
      <w:bookmarkStart w:id="117" w:name="_Toc199752924"/>
      <w:r>
        <w:rPr>
          <w:rStyle w:val="CharSectno"/>
        </w:rPr>
        <w:t>26</w:t>
      </w:r>
      <w:r>
        <w:rPr>
          <w:snapToGrid w:val="0"/>
        </w:rPr>
        <w:t>.</w:t>
      </w:r>
      <w:r>
        <w:rPr>
          <w:snapToGrid w:val="0"/>
        </w:rPr>
        <w:tab/>
        <w:t>Keeping of employment records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Footnotesection"/>
      </w:pPr>
      <w:r>
        <w:tab/>
        <w:t xml:space="preserve">[Section 26 inserted by No. 79 of 1995 s. 54; amended by No. 36 of 2006 s. 60.] </w:t>
      </w:r>
    </w:p>
    <w:p>
      <w:pPr>
        <w:pStyle w:val="Heading5"/>
        <w:rPr>
          <w:snapToGrid w:val="0"/>
        </w:rPr>
      </w:pPr>
      <w:bookmarkStart w:id="118" w:name="_Toc411314624"/>
      <w:bookmarkStart w:id="119" w:name="_Toc38865856"/>
      <w:bookmarkStart w:id="120" w:name="_Toc102384945"/>
      <w:bookmarkStart w:id="121" w:name="_Toc199752925"/>
      <w:r>
        <w:rPr>
          <w:rStyle w:val="CharSectno"/>
        </w:rPr>
        <w:t>26A</w:t>
      </w:r>
      <w:r>
        <w:rPr>
          <w:snapToGrid w:val="0"/>
        </w:rPr>
        <w:t>.</w:t>
      </w:r>
      <w:r>
        <w:rPr>
          <w:snapToGrid w:val="0"/>
        </w:rPr>
        <w:tab/>
        <w:t>Access to records kept by employer</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by No. 79 of 1995 s. 54; amended by No. 36 of 2006 s. 61.] </w:t>
      </w:r>
    </w:p>
    <w:p>
      <w:pPr>
        <w:pStyle w:val="Heading3"/>
      </w:pPr>
      <w:bookmarkStart w:id="122" w:name="_Toc89155455"/>
      <w:bookmarkStart w:id="123" w:name="_Toc89155492"/>
      <w:bookmarkStart w:id="124" w:name="_Toc89508269"/>
      <w:bookmarkStart w:id="125" w:name="_Toc102384946"/>
      <w:bookmarkStart w:id="126" w:name="_Toc139862974"/>
      <w:bookmarkStart w:id="127" w:name="_Toc140027995"/>
      <w:bookmarkStart w:id="128" w:name="_Toc142711176"/>
      <w:bookmarkStart w:id="129" w:name="_Toc142715198"/>
      <w:bookmarkStart w:id="130" w:name="_Toc144096990"/>
      <w:bookmarkStart w:id="131" w:name="_Toc145990810"/>
      <w:bookmarkStart w:id="132" w:name="_Toc199752926"/>
      <w:r>
        <w:rPr>
          <w:rStyle w:val="CharDivNo"/>
        </w:rPr>
        <w:t>Division 3</w:t>
      </w:r>
      <w:r>
        <w:t> — </w:t>
      </w:r>
      <w:r>
        <w:rPr>
          <w:rStyle w:val="CharDivText"/>
        </w:rPr>
        <w:t>Prohibition of employment during long service leave</w:t>
      </w:r>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11314625"/>
      <w:bookmarkStart w:id="134" w:name="_Toc38865857"/>
      <w:bookmarkStart w:id="135" w:name="_Toc102384947"/>
      <w:bookmarkStart w:id="136" w:name="_Toc199752927"/>
      <w:r>
        <w:rPr>
          <w:rStyle w:val="CharSectno"/>
        </w:rPr>
        <w:t>27</w:t>
      </w:r>
      <w:r>
        <w:rPr>
          <w:snapToGrid w:val="0"/>
        </w:rPr>
        <w:t>.</w:t>
      </w:r>
      <w:r>
        <w:rPr>
          <w:snapToGrid w:val="0"/>
        </w:rPr>
        <w:tab/>
        <w:t>Prohibition of employment during long service leave</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[Division 4 (s. 28-31) repealed by No. 79 of 1995 s. 55.]</w:t>
      </w:r>
    </w:p>
    <w:p>
      <w:pPr>
        <w:pStyle w:val="Ednotedivision"/>
        <w:tabs>
          <w:tab w:val="left" w:pos="1418"/>
        </w:tabs>
      </w:pPr>
      <w:r>
        <w:t>[Division 5:</w:t>
      </w:r>
      <w:r>
        <w:tab/>
        <w:t>s. 32-34 repealed by No. 79 of 1995 s. 56;</w:t>
      </w:r>
      <w:r>
        <w:br/>
      </w:r>
      <w:r>
        <w:tab/>
        <w:t>s. 35 and 36 repealed by No. 36 of 2006 s. 62.]</w:t>
      </w:r>
    </w:p>
    <w:p>
      <w:pPr>
        <w:pStyle w:val="Heading3"/>
      </w:pPr>
      <w:bookmarkStart w:id="137" w:name="_Toc89155460"/>
      <w:bookmarkStart w:id="138" w:name="_Toc89155497"/>
      <w:bookmarkStart w:id="139" w:name="_Toc89508274"/>
      <w:bookmarkStart w:id="140" w:name="_Toc102384952"/>
      <w:bookmarkStart w:id="141" w:name="_Toc139862979"/>
      <w:bookmarkStart w:id="142" w:name="_Toc140027997"/>
      <w:bookmarkStart w:id="143" w:name="_Toc142711178"/>
      <w:bookmarkStart w:id="144" w:name="_Toc142715200"/>
      <w:bookmarkStart w:id="145" w:name="_Toc144096992"/>
      <w:bookmarkStart w:id="146" w:name="_Toc145990812"/>
      <w:bookmarkStart w:id="147" w:name="_Toc199752928"/>
      <w:r>
        <w:rPr>
          <w:rStyle w:val="CharDivNo"/>
        </w:rPr>
        <w:t>Division 6</w:t>
      </w:r>
      <w:r>
        <w:t> — </w:t>
      </w:r>
      <w:r>
        <w:rPr>
          <w:rStyle w:val="CharDivText"/>
        </w:rPr>
        <w:t>Representation of parties in proceedings under this Act</w:t>
      </w:r>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411314628"/>
      <w:bookmarkStart w:id="149" w:name="_Toc38865860"/>
      <w:bookmarkStart w:id="150" w:name="_Toc102384953"/>
      <w:bookmarkStart w:id="151" w:name="_Toc199752929"/>
      <w:r>
        <w:rPr>
          <w:rStyle w:val="CharSectno"/>
        </w:rPr>
        <w:t>37</w:t>
      </w:r>
      <w:r>
        <w:rPr>
          <w:snapToGrid w:val="0"/>
        </w:rPr>
        <w:t>.</w:t>
      </w:r>
      <w:r>
        <w:rPr>
          <w:snapToGrid w:val="0"/>
        </w:rPr>
        <w:tab/>
        <w:t>Representation of parties in proceedings under this Act</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a </w:t>
      </w:r>
      <w:r>
        <w:t xml:space="preserve">certificated practitioner (within the meaning of the </w:t>
      </w:r>
      <w:r>
        <w:rPr>
          <w:i/>
        </w:rPr>
        <w:t>Legal Practice Act 2003</w:t>
      </w:r>
      <w:r>
        <w:t xml:space="preserve">) </w:t>
      </w:r>
      <w:r>
        <w:rPr>
          <w:snapToGrid w:val="0"/>
        </w:rPr>
        <w:t>or by the person’s agent duly appointed for that purpose.</w:t>
      </w:r>
    </w:p>
    <w:p>
      <w:pPr>
        <w:pStyle w:val="Footnotesection"/>
      </w:pPr>
      <w:r>
        <w:tab/>
        <w:t xml:space="preserve">[Section 37 amended by No. 79 of 1995 s. 58; No. 65 of 2003 s. 50.] </w:t>
      </w:r>
    </w:p>
    <w:p>
      <w:pPr>
        <w:pStyle w:val="Heading3"/>
        <w:rPr>
          <w:snapToGrid w:val="0"/>
        </w:rPr>
      </w:pPr>
      <w:bookmarkStart w:id="152" w:name="_Toc89155462"/>
      <w:bookmarkStart w:id="153" w:name="_Toc89155499"/>
      <w:bookmarkStart w:id="154" w:name="_Toc89508276"/>
      <w:bookmarkStart w:id="155" w:name="_Toc102384954"/>
      <w:bookmarkStart w:id="156" w:name="_Toc139862981"/>
      <w:bookmarkStart w:id="157" w:name="_Toc140027999"/>
      <w:bookmarkStart w:id="158" w:name="_Toc142711180"/>
      <w:bookmarkStart w:id="159" w:name="_Toc142715202"/>
      <w:bookmarkStart w:id="160" w:name="_Toc144096994"/>
      <w:bookmarkStart w:id="161" w:name="_Toc145990814"/>
      <w:bookmarkStart w:id="162" w:name="_Toc199752930"/>
      <w:r>
        <w:rPr>
          <w:rStyle w:val="CharDivNo"/>
        </w:rPr>
        <w:t>Division 7</w:t>
      </w:r>
      <w:r>
        <w:rPr>
          <w:snapToGrid w:val="0"/>
        </w:rPr>
        <w:t> — </w:t>
      </w:r>
      <w:r>
        <w:rPr>
          <w:rStyle w:val="CharDivText"/>
        </w:rPr>
        <w:t>Regulations</w:t>
      </w:r>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411314629"/>
      <w:bookmarkStart w:id="164" w:name="_Toc38865861"/>
      <w:bookmarkStart w:id="165" w:name="_Toc102384955"/>
      <w:bookmarkStart w:id="166" w:name="_Toc199752931"/>
      <w:r>
        <w:rPr>
          <w:rStyle w:val="CharSectno"/>
        </w:rPr>
        <w:t>38</w:t>
      </w:r>
      <w:r>
        <w:rPr>
          <w:snapToGrid w:val="0"/>
        </w:rPr>
        <w:t>.</w:t>
      </w:r>
      <w:r>
        <w:rPr>
          <w:snapToGrid w:val="0"/>
        </w:rPr>
        <w:tab/>
        <w:t>Regulation making power</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by No. 113 of 1965 s. 8; No. 79 of 1995 s. 59.] </w:t>
      </w:r>
    </w:p>
    <w:p>
      <w:pPr>
        <w:pStyle w:val="Heading5"/>
        <w:rPr>
          <w:snapToGrid w:val="0"/>
        </w:rPr>
      </w:pPr>
      <w:bookmarkStart w:id="167" w:name="_Toc411314630"/>
      <w:bookmarkStart w:id="168" w:name="_Toc38865862"/>
      <w:bookmarkStart w:id="169" w:name="_Toc102384956"/>
      <w:bookmarkStart w:id="170" w:name="_Toc199752932"/>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by No. 79 of 1995 s. 60.] </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71" w:name="_Toc89155465"/>
      <w:bookmarkStart w:id="172" w:name="_Toc89155502"/>
      <w:bookmarkStart w:id="173" w:name="_Toc89508279"/>
      <w:bookmarkStart w:id="174" w:name="_Toc102384957"/>
      <w:bookmarkStart w:id="175" w:name="_Toc139862984"/>
      <w:bookmarkStart w:id="176" w:name="_Toc140028002"/>
      <w:bookmarkStart w:id="177" w:name="_Toc142711183"/>
      <w:bookmarkStart w:id="178" w:name="_Toc142715205"/>
      <w:bookmarkStart w:id="179" w:name="_Toc144096997"/>
      <w:bookmarkStart w:id="180" w:name="_Toc145990817"/>
      <w:bookmarkStart w:id="181" w:name="_Toc199752933"/>
      <w:r>
        <w:t>Notes</w:t>
      </w:r>
      <w:bookmarkEnd w:id="171"/>
      <w:bookmarkEnd w:id="172"/>
      <w:bookmarkEnd w:id="173"/>
      <w:bookmarkEnd w:id="174"/>
      <w:bookmarkEnd w:id="175"/>
      <w:bookmarkEnd w:id="176"/>
      <w:bookmarkEnd w:id="177"/>
      <w:bookmarkEnd w:id="178"/>
      <w:bookmarkEnd w:id="179"/>
      <w:bookmarkEnd w:id="180"/>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Long Service Leave Act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2" w:name="_Toc199752934"/>
      <w:r>
        <w:rPr>
          <w:snapToGrid w:val="0"/>
        </w:rPr>
        <w:t>Compilation table</w:t>
      </w:r>
      <w:bookmarkEnd w:id="1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Long Service Leave Act 1958</w:t>
            </w:r>
          </w:p>
        </w:tc>
        <w:tc>
          <w:tcPr>
            <w:tcW w:w="1134" w:type="dxa"/>
          </w:tcPr>
          <w:p>
            <w:pPr>
              <w:pStyle w:val="nTable"/>
              <w:spacing w:after="40"/>
              <w:rPr>
                <w:sz w:val="19"/>
              </w:rPr>
            </w:pPr>
            <w:r>
              <w:rPr>
                <w:sz w:val="19"/>
              </w:rPr>
              <w:t>44 of 1958</w:t>
            </w:r>
            <w:r>
              <w:rPr>
                <w:sz w:val="19"/>
              </w:rPr>
              <w:br/>
              <w:t>(7 Eliz. II No. 44)</w:t>
            </w:r>
          </w:p>
        </w:tc>
        <w:tc>
          <w:tcPr>
            <w:tcW w:w="1134" w:type="dxa"/>
          </w:tcPr>
          <w:p>
            <w:pPr>
              <w:pStyle w:val="nTable"/>
              <w:spacing w:after="40"/>
              <w:rPr>
                <w:sz w:val="19"/>
              </w:rPr>
            </w:pPr>
            <w:r>
              <w:rPr>
                <w:sz w:val="19"/>
              </w:rPr>
              <w:t>12 Dec 1958</w:t>
            </w:r>
          </w:p>
        </w:tc>
        <w:tc>
          <w:tcPr>
            <w:tcW w:w="2551" w:type="dxa"/>
          </w:tcPr>
          <w:p>
            <w:pPr>
              <w:pStyle w:val="nTable"/>
              <w:spacing w:after="40"/>
              <w:rPr>
                <w:sz w:val="19"/>
              </w:rPr>
            </w:pPr>
            <w:r>
              <w:rPr>
                <w:sz w:val="19"/>
              </w:rPr>
              <w:t xml:space="preserve">24 Dec 1958 (see s. 2 and </w:t>
            </w:r>
            <w:r>
              <w:rPr>
                <w:i/>
                <w:sz w:val="19"/>
              </w:rPr>
              <w:t>Gazette</w:t>
            </w:r>
            <w:r>
              <w:rPr>
                <w:sz w:val="19"/>
              </w:rPr>
              <w:t xml:space="preserve"> 24 Dec 1958 p. 3371)</w:t>
            </w:r>
          </w:p>
        </w:tc>
      </w:tr>
      <w:tr>
        <w:trPr>
          <w:cantSplit/>
        </w:trPr>
        <w:tc>
          <w:tcPr>
            <w:tcW w:w="7087" w:type="dxa"/>
            <w:gridSpan w:val="4"/>
          </w:tcPr>
          <w:p>
            <w:pPr>
              <w:pStyle w:val="nTable"/>
              <w:spacing w:after="40"/>
              <w:rPr>
                <w:b/>
                <w:sz w:val="19"/>
              </w:rPr>
            </w:pPr>
            <w:r>
              <w:rPr>
                <w:b/>
                <w:sz w:val="19"/>
              </w:rPr>
              <w:t xml:space="preserve">Reprint of the </w:t>
            </w:r>
            <w:r>
              <w:rPr>
                <w:b/>
                <w:i/>
                <w:noProof/>
                <w:snapToGrid w:val="0"/>
                <w:sz w:val="19"/>
              </w:rPr>
              <w:t>Long Service Leave Act 1958</w:t>
            </w:r>
            <w:r>
              <w:rPr>
                <w:b/>
                <w:noProof/>
                <w:snapToGrid w:val="0"/>
                <w:sz w:val="19"/>
              </w:rPr>
              <w:t xml:space="preserve"> authorised 30 Jan 1963</w:t>
            </w:r>
          </w:p>
        </w:tc>
      </w:tr>
      <w:tr>
        <w:tc>
          <w:tcPr>
            <w:tcW w:w="2268" w:type="dxa"/>
          </w:tcPr>
          <w:p>
            <w:pPr>
              <w:pStyle w:val="nTable"/>
              <w:spacing w:after="40"/>
              <w:rPr>
                <w:i/>
                <w:sz w:val="19"/>
              </w:rPr>
            </w:pPr>
            <w:r>
              <w:rPr>
                <w:i/>
                <w:sz w:val="19"/>
              </w:rPr>
              <w:t>Long Service Leave Act Amendment Act (No. 2) 1964</w:t>
            </w:r>
          </w:p>
        </w:tc>
        <w:tc>
          <w:tcPr>
            <w:tcW w:w="1134" w:type="dxa"/>
          </w:tcPr>
          <w:p>
            <w:pPr>
              <w:pStyle w:val="nTable"/>
              <w:spacing w:after="40"/>
              <w:rPr>
                <w:sz w:val="19"/>
              </w:rPr>
            </w:pPr>
            <w:r>
              <w:rPr>
                <w:sz w:val="19"/>
              </w:rPr>
              <w:t>37 of 1964</w:t>
            </w:r>
            <w:r>
              <w:rPr>
                <w:sz w:val="19"/>
              </w:rPr>
              <w:br/>
              <w:t>(13 Eliz. II No. 37)</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Long Service Leave Act Amendment Act 1973</w:t>
            </w:r>
          </w:p>
        </w:tc>
        <w:tc>
          <w:tcPr>
            <w:tcW w:w="1134" w:type="dxa"/>
          </w:tcPr>
          <w:p>
            <w:pPr>
              <w:pStyle w:val="nTable"/>
              <w:spacing w:after="40"/>
              <w:rPr>
                <w:sz w:val="19"/>
              </w:rPr>
            </w:pPr>
            <w:r>
              <w:rPr>
                <w:sz w:val="19"/>
              </w:rPr>
              <w:t>97 of 1973</w:t>
            </w:r>
          </w:p>
        </w:tc>
        <w:tc>
          <w:tcPr>
            <w:tcW w:w="1134" w:type="dxa"/>
          </w:tcPr>
          <w:p>
            <w:pPr>
              <w:pStyle w:val="nTable"/>
              <w:spacing w:after="40"/>
              <w:rPr>
                <w:sz w:val="19"/>
              </w:rPr>
            </w:pPr>
            <w:r>
              <w:rPr>
                <w:sz w:val="19"/>
              </w:rPr>
              <w:t>27 Dec 1973</w:t>
            </w:r>
          </w:p>
        </w:tc>
        <w:tc>
          <w:tcPr>
            <w:tcW w:w="2551" w:type="dxa"/>
          </w:tcPr>
          <w:p>
            <w:pPr>
              <w:pStyle w:val="nTable"/>
              <w:spacing w:after="40"/>
              <w:rPr>
                <w:sz w:val="19"/>
              </w:rPr>
            </w:pPr>
            <w:r>
              <w:rPr>
                <w:sz w:val="19"/>
              </w:rPr>
              <w:t xml:space="preserve">1 Mar 1974 (see s. 2 and </w:t>
            </w:r>
            <w:r>
              <w:rPr>
                <w:i/>
                <w:sz w:val="19"/>
              </w:rPr>
              <w:t>Gazette</w:t>
            </w:r>
            <w:r>
              <w:rPr>
                <w:sz w:val="19"/>
              </w:rPr>
              <w:t xml:space="preserve"> 1 Mar 1974 p. 648)</w:t>
            </w:r>
          </w:p>
        </w:tc>
      </w:tr>
      <w:tr>
        <w:trPr>
          <w:cantSplit/>
        </w:trPr>
        <w:tc>
          <w:tcPr>
            <w:tcW w:w="7087" w:type="dxa"/>
            <w:gridSpan w:val="4"/>
          </w:tcPr>
          <w:p>
            <w:pPr>
              <w:pStyle w:val="nTable"/>
              <w:spacing w:after="40"/>
              <w:rPr>
                <w:sz w:val="19"/>
              </w:rPr>
            </w:pPr>
            <w:r>
              <w:rPr>
                <w:b/>
                <w:sz w:val="19"/>
              </w:rPr>
              <w:t xml:space="preserve">Reprint of the </w:t>
            </w:r>
            <w:r>
              <w:rPr>
                <w:b/>
                <w:i/>
                <w:noProof/>
                <w:snapToGrid w:val="0"/>
                <w:sz w:val="19"/>
              </w:rPr>
              <w:t>Long Service Leave Act 1958</w:t>
            </w:r>
            <w:r>
              <w:rPr>
                <w:b/>
                <w:noProof/>
                <w:snapToGrid w:val="0"/>
                <w:sz w:val="19"/>
              </w:rPr>
              <w:t xml:space="preserve"> approved 11 Jul 1974</w:t>
            </w:r>
            <w:r>
              <w:rPr>
                <w:noProof/>
                <w:snapToGrid w:val="0"/>
                <w:sz w:val="19"/>
              </w:rPr>
              <w:t xml:space="preserve"> (includes amendments listed above)</w:t>
            </w:r>
          </w:p>
        </w:tc>
      </w:tr>
      <w:tr>
        <w:tc>
          <w:tcPr>
            <w:tcW w:w="2268" w:type="dxa"/>
          </w:tcPr>
          <w:p>
            <w:pPr>
              <w:pStyle w:val="nTable"/>
              <w:spacing w:after="40"/>
              <w:rPr>
                <w:sz w:val="19"/>
              </w:rPr>
            </w:pPr>
            <w:r>
              <w:rPr>
                <w:i/>
                <w:sz w:val="19"/>
              </w:rPr>
              <w:t>Acts Amendment (Industrial Magistrate’s Courts) Act 1991</w:t>
            </w:r>
            <w:r>
              <w:rPr>
                <w:sz w:val="19"/>
              </w:rPr>
              <w:t xml:space="preserve"> Pt. 4</w:t>
            </w:r>
          </w:p>
        </w:tc>
        <w:tc>
          <w:tcPr>
            <w:tcW w:w="1134" w:type="dxa"/>
          </w:tcPr>
          <w:p>
            <w:pPr>
              <w:pStyle w:val="nTable"/>
              <w:spacing w:after="40"/>
              <w:rPr>
                <w:sz w:val="19"/>
              </w:rPr>
            </w:pPr>
            <w:r>
              <w:rPr>
                <w:sz w:val="19"/>
              </w:rPr>
              <w:t>44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c>
          <w:tcPr>
            <w:tcW w:w="2268" w:type="dxa"/>
          </w:tcPr>
          <w:p>
            <w:pPr>
              <w:pStyle w:val="nTable"/>
              <w:spacing w:after="40"/>
              <w:rPr>
                <w:sz w:val="19"/>
              </w:rPr>
            </w:pPr>
            <w:r>
              <w:rPr>
                <w:i/>
                <w:sz w:val="19"/>
              </w:rPr>
              <w:t>Industrial Relations Legislation Amendment and Repeal Act 1995</w:t>
            </w:r>
            <w:r>
              <w:rPr>
                <w:sz w:val="19"/>
              </w:rPr>
              <w:t xml:space="preserve"> Pt. 8 </w:t>
            </w:r>
            <w:r>
              <w:rPr>
                <w:sz w:val="19"/>
                <w:vertAlign w:val="superscript"/>
              </w:rPr>
              <w:t>5</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c>
          <w:tcPr>
            <w:tcW w:w="2268" w:type="dxa"/>
          </w:tcPr>
          <w:p>
            <w:pPr>
              <w:pStyle w:val="nTable"/>
              <w:spacing w:after="40"/>
              <w:rPr>
                <w:sz w:val="19"/>
              </w:rPr>
            </w:pPr>
            <w:r>
              <w:rPr>
                <w:i/>
                <w:sz w:val="19"/>
              </w:rPr>
              <w:t>Labour Relations Reform Act 2002</w:t>
            </w:r>
            <w:r>
              <w:rPr>
                <w:sz w:val="19"/>
              </w:rPr>
              <w:t xml:space="preserve"> s. 20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7" w:type="dxa"/>
            <w:gridSpan w:val="4"/>
          </w:tcPr>
          <w:p>
            <w:pPr>
              <w:pStyle w:val="nTable"/>
              <w:spacing w:after="40"/>
              <w:rPr>
                <w:sz w:val="19"/>
              </w:rPr>
            </w:pPr>
            <w:r>
              <w:rPr>
                <w:b/>
                <w:sz w:val="19"/>
              </w:rPr>
              <w:t xml:space="preserve">Reprint 3: The </w:t>
            </w:r>
            <w:r>
              <w:rPr>
                <w:b/>
                <w:i/>
                <w:noProof/>
                <w:snapToGrid w:val="0"/>
                <w:sz w:val="19"/>
              </w:rPr>
              <w:t>Long Service Leave Act 1958</w:t>
            </w:r>
            <w:r>
              <w:rPr>
                <w:b/>
                <w:noProof/>
                <w:snapToGrid w:val="0"/>
                <w:sz w:val="19"/>
              </w:rPr>
              <w:t xml:space="preserve"> as at 16 May 2003</w:t>
            </w:r>
            <w:r>
              <w:rPr>
                <w:noProof/>
                <w:snapToGrid w:val="0"/>
                <w:sz w:val="19"/>
              </w:rPr>
              <w:t xml:space="preserve"> (includes amendments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Acts Amendment and Repeal (Courts and Legal Practice) Act 2003</w:t>
            </w:r>
            <w:r>
              <w:rPr>
                <w:sz w:val="19"/>
              </w:rPr>
              <w:t xml:space="preserve"> s. 50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keepNext/>
              <w:keepLines/>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Labour Relations Legislation Amendment Act 2006</w:t>
            </w:r>
            <w:r>
              <w:rPr>
                <w:snapToGrid w:val="0"/>
                <w:sz w:val="19"/>
                <w:lang w:val="en-US"/>
              </w:rPr>
              <w:t xml:space="preserve"> Pt. 7 Div. 2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36 of 2006</w:t>
            </w:r>
          </w:p>
        </w:tc>
        <w:tc>
          <w:tcPr>
            <w:tcW w:w="1134"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noProof/>
                <w:snapToGrid w:val="0"/>
                <w:sz w:val="19"/>
              </w:rPr>
              <w:t>Long Service Leave Act 1958</w:t>
            </w:r>
            <w:r>
              <w:rPr>
                <w:b/>
                <w:noProof/>
                <w:snapToGrid w:val="0"/>
                <w:sz w:val="19"/>
              </w:rPr>
              <w:t xml:space="preserve"> as at 1 Sep 2006</w:t>
            </w:r>
            <w:r>
              <w:rPr>
                <w:noProof/>
                <w:snapToGrid w:val="0"/>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3" w:name="_Toc534778309"/>
      <w:bookmarkStart w:id="184" w:name="_Toc7405063"/>
      <w:bookmarkStart w:id="185" w:name="_Toc199752935"/>
      <w:r>
        <w:rPr>
          <w:snapToGrid w:val="0"/>
        </w:rPr>
        <w:t>Provisions that have not come into operation</w:t>
      </w:r>
      <w:bookmarkEnd w:id="183"/>
      <w:bookmarkEnd w:id="184"/>
      <w:bookmarkEnd w:id="18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676 </w:t>
            </w:r>
            <w:r>
              <w:rPr>
                <w:snapToGrid w:val="0"/>
                <w:sz w:val="19"/>
                <w:vertAlign w:val="superscript"/>
                <w:lang w:val="en-US"/>
              </w:rPr>
              <w:t>7</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iCs/>
                <w:snapToGrid w:val="0"/>
                <w:sz w:val="19"/>
                <w:lang w:val="en-US"/>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54 </w:t>
            </w:r>
            <w:r>
              <w:rPr>
                <w:snapToGrid w:val="0"/>
                <w:sz w:val="19"/>
                <w:vertAlign w:val="superscript"/>
              </w:rPr>
              <w:t>8</w:t>
            </w:r>
          </w:p>
        </w:tc>
        <w:tc>
          <w:tcPr>
            <w:tcW w:w="1118" w:type="dxa"/>
            <w:tcBorders>
              <w:top w:val="nil"/>
              <w:bottom w:val="single" w:sz="4" w:space="0" w:color="auto"/>
            </w:tcBorders>
          </w:tcPr>
          <w:p>
            <w:pPr>
              <w:pStyle w:val="nTable"/>
              <w:spacing w:after="40"/>
              <w:rPr>
                <w:snapToGrid w:val="0"/>
                <w:sz w:val="19"/>
                <w:lang w:val="en-US"/>
              </w:rPr>
            </w:pPr>
            <w:r>
              <w:rPr>
                <w:sz w:val="19"/>
              </w:rPr>
              <w:t>44 of 2008</w:t>
            </w:r>
          </w:p>
        </w:tc>
        <w:tc>
          <w:tcPr>
            <w:tcW w:w="1134" w:type="dxa"/>
            <w:tcBorders>
              <w:top w:val="nil"/>
              <w:bottom w:val="single" w:sz="4" w:space="0" w:color="auto"/>
            </w:tcBorders>
          </w:tcPr>
          <w:p>
            <w:pPr>
              <w:pStyle w:val="nTable"/>
              <w:spacing w:after="40"/>
              <w:rPr>
                <w:snapToGrid w:val="0"/>
                <w:sz w:val="19"/>
                <w:lang w:val="en-US"/>
              </w:rPr>
            </w:pPr>
            <w:r>
              <w:rPr>
                <w:sz w:val="19"/>
              </w:rPr>
              <w:t>10 Dec 2008</w:t>
            </w:r>
          </w:p>
        </w:tc>
        <w:tc>
          <w:tcPr>
            <w:tcW w:w="2552" w:type="dxa"/>
            <w:tcBorders>
              <w:top w:val="nil"/>
              <w:bottom w:val="single" w:sz="4" w:space="0" w:color="auto"/>
            </w:tcBorders>
          </w:tcPr>
          <w:p>
            <w:pPr>
              <w:pStyle w:val="nTable"/>
              <w:spacing w:after="40"/>
              <w:rPr>
                <w:snapToGrid w:val="0"/>
                <w:sz w:val="19"/>
                <w:lang w:val="en-US"/>
              </w:rPr>
            </w:pPr>
            <w:r>
              <w:rPr>
                <w:sz w:val="19"/>
              </w:rPr>
              <w:t>To be proclaimed (see s. 2(1)(b) and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Statute Law Revision Act 1950</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snapToGrid w:val="0"/>
        </w:rPr>
        <w:t>Defence Legislation Amendment Act 1992</w:t>
      </w:r>
      <w:r>
        <w:rPr>
          <w:snapToGrid w:val="0"/>
        </w:rPr>
        <w:t xml:space="preserve"> of the Commonwealth.</w:t>
      </w:r>
    </w:p>
    <w:p>
      <w:pPr>
        <w:pStyle w:val="nSubsection"/>
        <w:rPr>
          <w:snapToGrid w:val="0"/>
        </w:rPr>
      </w:pPr>
      <w:r>
        <w:rPr>
          <w:snapToGrid w:val="0"/>
          <w:vertAlign w:val="superscript"/>
        </w:rPr>
        <w:t>4</w:t>
      </w:r>
      <w:r>
        <w:rPr>
          <w:snapToGrid w:val="0"/>
        </w:rPr>
        <w:tab/>
        <w:t xml:space="preserve">Repealed by the </w:t>
      </w:r>
      <w:r>
        <w:rPr>
          <w:i/>
          <w:snapToGrid w:val="0"/>
        </w:rPr>
        <w:t xml:space="preserve">Industrial Relations (Consequential Provisions) Act 1988 </w:t>
      </w:r>
      <w:r>
        <w:rPr>
          <w:snapToGrid w:val="0"/>
        </w:rPr>
        <w:t>of the Commonwealth.</w:t>
      </w:r>
    </w:p>
    <w:p>
      <w:pPr>
        <w:pStyle w:val="nSubsection"/>
      </w:pPr>
      <w:r>
        <w:rPr>
          <w:snapToGrid w:val="0"/>
          <w:vertAlign w:val="superscript"/>
        </w:rPr>
        <w:t>5</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Subsection"/>
      </w:pPr>
      <w:r>
        <w:rPr>
          <w:vertAlign w:val="superscript"/>
        </w:rPr>
        <w:t>6</w:t>
      </w:r>
      <w:r>
        <w:tab/>
        <w:t xml:space="preserve">The </w:t>
      </w:r>
      <w:r>
        <w:rPr>
          <w:i/>
        </w:rPr>
        <w:t>Labour Relations Legislation Amendment Act 2006</w:t>
      </w:r>
      <w:r>
        <w:t xml:space="preserve"> Pt. 7 Div. 3 reads as follows:</w:t>
      </w:r>
    </w:p>
    <w:p>
      <w:pPr>
        <w:pStyle w:val="MiscOpen"/>
      </w:pPr>
      <w:r>
        <w:t>“</w:t>
      </w:r>
    </w:p>
    <w:p>
      <w:pPr>
        <w:pStyle w:val="nzHeading3"/>
      </w:pPr>
      <w:bookmarkStart w:id="186" w:name="_Toc125348944"/>
      <w:bookmarkStart w:id="187" w:name="_Toc125349964"/>
      <w:bookmarkStart w:id="188" w:name="_Toc125360873"/>
      <w:bookmarkStart w:id="189" w:name="_Toc125361022"/>
      <w:bookmarkStart w:id="190" w:name="_Toc125367414"/>
      <w:bookmarkStart w:id="191" w:name="_Toc125431363"/>
      <w:bookmarkStart w:id="192" w:name="_Toc125438932"/>
      <w:bookmarkStart w:id="193" w:name="_Toc125439046"/>
      <w:bookmarkStart w:id="194" w:name="_Toc125443223"/>
      <w:bookmarkStart w:id="195" w:name="_Toc125443251"/>
      <w:bookmarkStart w:id="196" w:name="_Toc125443589"/>
      <w:bookmarkStart w:id="197" w:name="_Toc125536619"/>
      <w:bookmarkStart w:id="198" w:name="_Toc125800656"/>
      <w:bookmarkStart w:id="199" w:name="_Toc125878573"/>
      <w:bookmarkStart w:id="200" w:name="_Toc125878718"/>
      <w:bookmarkStart w:id="201" w:name="_Toc125961339"/>
      <w:bookmarkStart w:id="202" w:name="_Toc126398800"/>
      <w:bookmarkStart w:id="203" w:name="_Toc126404207"/>
      <w:bookmarkStart w:id="204" w:name="_Toc126480414"/>
      <w:bookmarkStart w:id="205" w:name="_Toc126480891"/>
      <w:bookmarkStart w:id="206" w:name="_Toc126481022"/>
      <w:bookmarkStart w:id="207" w:name="_Toc126481375"/>
      <w:bookmarkStart w:id="208" w:name="_Toc126489902"/>
      <w:bookmarkStart w:id="209" w:name="_Toc126577407"/>
      <w:bookmarkStart w:id="210" w:name="_Toc126993820"/>
      <w:bookmarkStart w:id="211" w:name="_Toc127077632"/>
      <w:bookmarkStart w:id="212" w:name="_Toc127156372"/>
      <w:bookmarkStart w:id="213" w:name="_Toc127157450"/>
      <w:bookmarkStart w:id="214" w:name="_Toc127166065"/>
      <w:bookmarkStart w:id="215" w:name="_Toc127166308"/>
      <w:bookmarkStart w:id="216" w:name="_Toc127172414"/>
      <w:bookmarkStart w:id="217" w:name="_Toc127173965"/>
      <w:bookmarkStart w:id="218" w:name="_Toc127173997"/>
      <w:bookmarkStart w:id="219" w:name="_Toc127179823"/>
      <w:bookmarkStart w:id="220" w:name="_Toc127182319"/>
      <w:bookmarkStart w:id="221" w:name="_Toc127262156"/>
      <w:bookmarkStart w:id="222" w:name="_Toc127266400"/>
      <w:bookmarkStart w:id="223" w:name="_Toc127266445"/>
      <w:bookmarkStart w:id="224" w:name="_Toc127268507"/>
      <w:bookmarkStart w:id="225" w:name="_Toc127770944"/>
      <w:bookmarkStart w:id="226" w:name="_Toc127787452"/>
      <w:bookmarkStart w:id="227" w:name="_Toc127864036"/>
      <w:bookmarkStart w:id="228" w:name="_Toc127869928"/>
      <w:bookmarkStart w:id="229" w:name="_Toc127873875"/>
      <w:bookmarkStart w:id="230" w:name="_Toc127934569"/>
      <w:bookmarkStart w:id="231" w:name="_Toc127934603"/>
      <w:bookmarkStart w:id="232" w:name="_Toc127936633"/>
      <w:bookmarkStart w:id="233" w:name="_Toc128361814"/>
      <w:bookmarkStart w:id="234" w:name="_Toc128385177"/>
      <w:bookmarkStart w:id="235" w:name="_Toc128388941"/>
      <w:bookmarkStart w:id="236" w:name="_Toc128389505"/>
      <w:bookmarkStart w:id="237" w:name="_Toc128392544"/>
      <w:bookmarkStart w:id="238" w:name="_Toc128475240"/>
      <w:bookmarkStart w:id="239" w:name="_Toc128475512"/>
      <w:bookmarkStart w:id="240" w:name="_Toc128475547"/>
      <w:bookmarkStart w:id="241" w:name="_Toc128480879"/>
      <w:bookmarkStart w:id="242" w:name="_Toc129602793"/>
      <w:bookmarkStart w:id="243" w:name="_Toc129668327"/>
      <w:bookmarkStart w:id="244" w:name="_Toc129669082"/>
      <w:bookmarkStart w:id="245" w:name="_Toc129669124"/>
      <w:bookmarkStart w:id="246" w:name="_Toc129677900"/>
      <w:bookmarkStart w:id="247" w:name="_Toc129681354"/>
      <w:bookmarkStart w:id="248" w:name="_Toc129681521"/>
      <w:bookmarkStart w:id="249" w:name="_Toc129687327"/>
      <w:bookmarkStart w:id="250" w:name="_Toc129688349"/>
      <w:bookmarkStart w:id="251" w:name="_Toc129748639"/>
      <w:bookmarkStart w:id="252" w:name="_Toc129748707"/>
      <w:bookmarkStart w:id="253" w:name="_Toc129755121"/>
      <w:bookmarkStart w:id="254" w:name="_Toc129766995"/>
      <w:bookmarkStart w:id="255" w:name="_Toc129768971"/>
      <w:bookmarkStart w:id="256" w:name="_Toc129769404"/>
      <w:bookmarkStart w:id="257" w:name="_Toc129769800"/>
      <w:bookmarkStart w:id="258" w:name="_Toc129770432"/>
      <w:bookmarkStart w:id="259" w:name="_Toc129770805"/>
      <w:bookmarkStart w:id="260" w:name="_Toc129771031"/>
      <w:bookmarkStart w:id="261" w:name="_Toc129771234"/>
      <w:bookmarkStart w:id="262" w:name="_Toc129772707"/>
      <w:bookmarkStart w:id="263" w:name="_Toc129773082"/>
      <w:bookmarkStart w:id="264" w:name="_Toc129773188"/>
      <w:bookmarkStart w:id="265" w:name="_Toc129773349"/>
      <w:bookmarkStart w:id="266" w:name="_Toc129773502"/>
      <w:bookmarkStart w:id="267" w:name="_Toc130370011"/>
      <w:bookmarkStart w:id="268" w:name="_Toc130372095"/>
      <w:bookmarkStart w:id="269" w:name="_Toc130372653"/>
      <w:bookmarkStart w:id="270" w:name="_Toc130373001"/>
      <w:bookmarkStart w:id="271" w:name="_Toc130375622"/>
      <w:bookmarkStart w:id="272" w:name="_Toc131244467"/>
      <w:bookmarkStart w:id="273" w:name="_Toc131301963"/>
      <w:bookmarkStart w:id="274" w:name="_Toc131302073"/>
      <w:bookmarkStart w:id="275" w:name="_Toc131304328"/>
      <w:bookmarkStart w:id="276" w:name="_Toc131306339"/>
      <w:bookmarkStart w:id="277" w:name="_Toc131306449"/>
      <w:bookmarkStart w:id="278" w:name="_Toc131312789"/>
      <w:bookmarkStart w:id="279" w:name="_Toc131312921"/>
      <w:bookmarkStart w:id="280" w:name="_Toc131317209"/>
      <w:bookmarkStart w:id="281" w:name="_Toc131389267"/>
      <w:bookmarkStart w:id="282" w:name="_Toc139342461"/>
      <w:bookmarkStart w:id="283" w:name="_Toc139360828"/>
      <w:bookmarkStart w:id="284" w:name="_Toc139792915"/>
      <w:bookmarkStart w:id="285" w:name="_Toc139797379"/>
      <w:r>
        <w:rPr>
          <w:rStyle w:val="CharDivNo"/>
        </w:rPr>
        <w:t>Division 3</w:t>
      </w:r>
      <w:r>
        <w:t> — </w:t>
      </w:r>
      <w:r>
        <w:rPr>
          <w:rStyle w:val="CharDivText"/>
        </w:rPr>
        <w:t>Repeal of the LSL General Order</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nzHeading5"/>
      </w:pPr>
      <w:bookmarkStart w:id="286" w:name="_Toc129769405"/>
      <w:bookmarkStart w:id="287" w:name="_Toc129771235"/>
      <w:bookmarkStart w:id="288" w:name="_Toc139360829"/>
      <w:bookmarkStart w:id="289" w:name="_Toc139792916"/>
      <w:bookmarkStart w:id="290" w:name="_Toc139797380"/>
      <w:r>
        <w:rPr>
          <w:rStyle w:val="CharSectno"/>
        </w:rPr>
        <w:t>63</w:t>
      </w:r>
      <w:r>
        <w:t>.</w:t>
      </w:r>
      <w:r>
        <w:tab/>
        <w:t>Meaning of terms used in this Division</w:t>
      </w:r>
      <w:bookmarkEnd w:id="286"/>
      <w:bookmarkEnd w:id="287"/>
      <w:bookmarkEnd w:id="288"/>
      <w:bookmarkEnd w:id="289"/>
      <w:bookmarkEnd w:id="290"/>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bookmarkStart w:id="291" w:name="_Toc129769406"/>
      <w:bookmarkStart w:id="292" w:name="_Toc129771236"/>
      <w:bookmarkStart w:id="293" w:name="_Toc139360830"/>
      <w:bookmarkStart w:id="294" w:name="_Toc139792917"/>
      <w:bookmarkStart w:id="295" w:name="_Toc139797381"/>
      <w:r>
        <w:rPr>
          <w:rStyle w:val="CharSectno"/>
        </w:rPr>
        <w:t>64</w:t>
      </w:r>
      <w:r>
        <w:t>.</w:t>
      </w:r>
      <w:r>
        <w:tab/>
        <w:t>LSL General Order repealed</w:t>
      </w:r>
      <w:bookmarkEnd w:id="291"/>
      <w:bookmarkEnd w:id="292"/>
      <w:bookmarkEnd w:id="293"/>
      <w:bookmarkEnd w:id="294"/>
      <w:bookmarkEnd w:id="295"/>
    </w:p>
    <w:p>
      <w:pPr>
        <w:pStyle w:val="nzSubsection"/>
      </w:pPr>
      <w:r>
        <w:tab/>
      </w:r>
      <w:r>
        <w:tab/>
        <w:t>The LSL General Order is repealed.</w:t>
      </w:r>
    </w:p>
    <w:p>
      <w:pPr>
        <w:pStyle w:val="nzHeading5"/>
      </w:pPr>
      <w:bookmarkStart w:id="296" w:name="_Toc129769407"/>
      <w:bookmarkStart w:id="297" w:name="_Toc129771237"/>
      <w:bookmarkStart w:id="298" w:name="_Toc139360831"/>
      <w:bookmarkStart w:id="299" w:name="_Toc139792918"/>
      <w:bookmarkStart w:id="300" w:name="_Toc139797382"/>
      <w:r>
        <w:rPr>
          <w:rStyle w:val="CharSectno"/>
        </w:rPr>
        <w:t>65</w:t>
      </w:r>
      <w:r>
        <w:t>.</w:t>
      </w:r>
      <w:r>
        <w:tab/>
        <w:t>Transitional provision — references to the LSL General Order</w:t>
      </w:r>
      <w:bookmarkEnd w:id="296"/>
      <w:bookmarkEnd w:id="297"/>
      <w:bookmarkEnd w:id="298"/>
      <w:bookmarkEnd w:id="299"/>
      <w:bookmarkEnd w:id="300"/>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676</w:t>
      </w:r>
      <w:r>
        <w:rPr>
          <w:snapToGrid w:val="0"/>
        </w:rPr>
        <w:t xml:space="preserve"> had not come into operation.  It reads as follows:</w:t>
      </w:r>
    </w:p>
    <w:p>
      <w:pPr>
        <w:pStyle w:val="MiscOpen"/>
        <w:rPr>
          <w:snapToGrid w:val="0"/>
        </w:rPr>
      </w:pPr>
      <w:r>
        <w:rPr>
          <w:snapToGrid w:val="0"/>
        </w:rPr>
        <w:t>“</w:t>
      </w:r>
    </w:p>
    <w:p>
      <w:pPr>
        <w:pStyle w:val="nzHeading5"/>
      </w:pPr>
      <w:bookmarkStart w:id="301" w:name="_Toc198708653"/>
      <w:r>
        <w:rPr>
          <w:rStyle w:val="CharSectno"/>
        </w:rPr>
        <w:t>676</w:t>
      </w:r>
      <w:r>
        <w:t>.</w:t>
      </w:r>
      <w:r>
        <w:tab/>
      </w:r>
      <w:r>
        <w:rPr>
          <w:i/>
          <w:iCs/>
        </w:rPr>
        <w:t>Long Service Leave Act 1958</w:t>
      </w:r>
      <w:r>
        <w:t xml:space="preserve"> amended</w:t>
      </w:r>
      <w:bookmarkEnd w:id="301"/>
    </w:p>
    <w:p>
      <w:pPr>
        <w:pStyle w:val="nzSubsection"/>
      </w:pPr>
      <w:r>
        <w:tab/>
        <w:t>(1)</w:t>
      </w:r>
      <w:r>
        <w:tab/>
        <w:t xml:space="preserve">The amendments in this section are to the </w:t>
      </w:r>
      <w:r>
        <w:rPr>
          <w:i/>
          <w:iCs/>
        </w:rPr>
        <w:t>Long Service Leave Act 1958</w:t>
      </w:r>
      <w:r>
        <w:t>.</w:t>
      </w:r>
    </w:p>
    <w:p>
      <w:pPr>
        <w:pStyle w:val="nz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rPr>
        <w:t>Training Legislation Amendment and Repeal Act 2008</w:t>
      </w:r>
      <w:r>
        <w:rPr>
          <w:snapToGrid w:val="0"/>
        </w:rPr>
        <w:t xml:space="preserve"> s. 54 had not come into operation.  It reads as follows:</w:t>
      </w:r>
    </w:p>
    <w:p>
      <w:pPr>
        <w:pStyle w:val="MiscOpen"/>
        <w:rPr>
          <w:snapToGrid w:val="0"/>
        </w:rPr>
      </w:pPr>
      <w:r>
        <w:rPr>
          <w:snapToGrid w:val="0"/>
        </w:rPr>
        <w:t>“</w:t>
      </w:r>
    </w:p>
    <w:p/>
    <w:p>
      <w:pPr>
        <w:pStyle w:val="nzHeading5"/>
      </w:pPr>
      <w:bookmarkStart w:id="302" w:name="_Toc216022810"/>
      <w:bookmarkStart w:id="303" w:name="_Toc217187713"/>
      <w:r>
        <w:rPr>
          <w:rStyle w:val="CharSectno"/>
        </w:rPr>
        <w:t>54</w:t>
      </w:r>
      <w:r>
        <w:t>.</w:t>
      </w:r>
      <w:r>
        <w:tab/>
      </w:r>
      <w:r>
        <w:rPr>
          <w:i/>
        </w:rPr>
        <w:t xml:space="preserve">Long Service Leave Act 1958 </w:t>
      </w:r>
      <w:r>
        <w:t>amended</w:t>
      </w:r>
      <w:bookmarkEnd w:id="302"/>
      <w:bookmarkEnd w:id="303"/>
    </w:p>
    <w:p>
      <w:pPr>
        <w:pStyle w:val="nzSubsection"/>
      </w:pPr>
      <w:r>
        <w:tab/>
        <w:t>(1)</w:t>
      </w:r>
      <w:r>
        <w:tab/>
        <w:t xml:space="preserve">This section amends the </w:t>
      </w:r>
      <w:r>
        <w:rPr>
          <w:i/>
        </w:rPr>
        <w:t>Long Service Leave Act 1958</w:t>
      </w:r>
      <w:r>
        <w:t>.</w:t>
      </w:r>
    </w:p>
    <w:p>
      <w:pPr>
        <w:pStyle w:val="nzSubsection"/>
      </w:pPr>
      <w:r>
        <w:tab/>
        <w:t>(2)</w:t>
      </w:r>
      <w:r>
        <w:tab/>
        <w:t xml:space="preserve">In section 4(1) delete the definitions of </w:t>
      </w:r>
      <w:r>
        <w:rPr>
          <w:b/>
          <w:bCs/>
          <w:i/>
          <w:iCs/>
        </w:rPr>
        <w:t>apprentice</w:t>
      </w:r>
      <w:r>
        <w:t xml:space="preserve"> and </w:t>
      </w:r>
      <w:r>
        <w:rPr>
          <w:b/>
          <w:bCs/>
          <w:i/>
          <w:iCs/>
        </w:rPr>
        <w:t>industrial trainee</w:t>
      </w:r>
      <w:r>
        <w:t>.</w:t>
      </w:r>
    </w:p>
    <w:p>
      <w:pPr>
        <w:pStyle w:val="nzSubsection"/>
      </w:pPr>
      <w:r>
        <w:tab/>
        <w:t>(3)</w:t>
      </w:r>
      <w:r>
        <w:tab/>
        <w:t>In section 4(1) insert in alphabetical order:</w:t>
      </w:r>
    </w:p>
    <w:p>
      <w:pPr>
        <w:pStyle w:val="BlankOpen"/>
      </w:pPr>
    </w:p>
    <w:p>
      <w:pPr>
        <w:pStyle w:val="nz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BlankClose"/>
      </w:pPr>
    </w:p>
    <w:p>
      <w:pPr>
        <w:pStyle w:val="nzSubsection"/>
      </w:pPr>
      <w:r>
        <w:tab/>
        <w:t>(4)</w:t>
      </w:r>
      <w:r>
        <w:tab/>
        <w:t xml:space="preserve">In section 4(1) in the definition of </w:t>
      </w:r>
      <w:r>
        <w:rPr>
          <w:b/>
          <w:bCs/>
          <w:i/>
          <w:iCs/>
        </w:rPr>
        <w:t>employee</w:t>
      </w:r>
      <w:r>
        <w:t xml:space="preserve"> in paragraph (a) delete “apprentice or industrial trainee;” and insert:</w:t>
      </w:r>
    </w:p>
    <w:p>
      <w:pPr>
        <w:pStyle w:val="BlankOpen"/>
      </w:pPr>
    </w:p>
    <w:p>
      <w:pPr>
        <w:pStyle w:val="nzSubsection"/>
      </w:pPr>
      <w:r>
        <w:tab/>
      </w:r>
      <w:r>
        <w:tab/>
        <w:t>apprentice;</w:t>
      </w:r>
    </w:p>
    <w:p>
      <w:pPr>
        <w:pStyle w:val="BlankClose"/>
      </w:pPr>
    </w:p>
    <w:p>
      <w:pPr>
        <w:pStyle w:val="MiscClose"/>
      </w:pPr>
      <w: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4D9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42C3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E06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3066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EC4A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CE1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E096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806D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74F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06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BEE2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59E84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6257</Words>
  <Characters>29598</Characters>
  <Application>Microsoft Office Word</Application>
  <DocSecurity>0</DocSecurity>
  <Lines>845</Lines>
  <Paragraphs>442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1958 - 04-c0-02</dc:title>
  <dc:subject/>
  <dc:creator/>
  <cp:keywords/>
  <dc:description/>
  <cp:lastModifiedBy>svcMRProcess</cp:lastModifiedBy>
  <cp:revision>4</cp:revision>
  <cp:lastPrinted>2006-08-23T05:21:00Z</cp:lastPrinted>
  <dcterms:created xsi:type="dcterms:W3CDTF">2018-09-04T06:46:00Z</dcterms:created>
  <dcterms:modified xsi:type="dcterms:W3CDTF">2018-09-04T06:46:00Z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468</vt:i4>
  </property>
  <property fmtid="{D5CDD505-2E9C-101B-9397-08002B2CF9AE}" pid="6" name="ReprintNo">
    <vt:lpwstr>4</vt:lpwstr>
  </property>
  <property fmtid="{D5CDD505-2E9C-101B-9397-08002B2CF9AE}" pid="7" name="AsAtDate">
    <vt:lpwstr>10 Dec 2008</vt:lpwstr>
  </property>
  <property fmtid="{D5CDD505-2E9C-101B-9397-08002B2CF9AE}" pid="8" name="Suffix">
    <vt:lpwstr>04-c0-02</vt:lpwstr>
  </property>
</Properties>
</file>