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Magistrates Court Act 2004</w:t>
      </w:r>
    </w:p>
    <w:p>
      <w:pPr>
        <w:pStyle w:val="NameofActRegPage1"/>
        <w:spacing w:before="1800" w:after="4200"/>
      </w:pPr>
      <w:r>
        <w:fldChar w:fldCharType="begin"/>
      </w:r>
      <w:r>
        <w:instrText xml:space="preserve"> STYLEREF "Name Of Act/Reg"</w:instrText>
      </w:r>
      <w:r>
        <w:fldChar w:fldCharType="separate"/>
      </w:r>
      <w:r>
        <w:rPr>
          <w:noProof/>
        </w:rPr>
        <w:t>Magistrates Court (Fees)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_Toc210119101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_Toc210119102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_Toc210119103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_Toc210119104 \h </w:instrText>
      </w:r>
      <w:r>
        <w:fldChar w:fldCharType="separate"/>
      </w:r>
      <w:r>
        <w:t>3</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_Toc210119105 \h </w:instrText>
      </w:r>
      <w:r>
        <w:fldChar w:fldCharType="separate"/>
      </w:r>
      <w:r>
        <w:t>5</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_Toc210119106 \h </w:instrText>
      </w:r>
      <w:r>
        <w:fldChar w:fldCharType="separate"/>
      </w:r>
      <w:r>
        <w:t>5</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_Toc210119107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Court or registrar may remit fees</w:t>
      </w:r>
      <w:r>
        <w:tab/>
      </w:r>
      <w:r>
        <w:fldChar w:fldCharType="begin"/>
      </w:r>
      <w:r>
        <w:instrText xml:space="preserve"> PAGEREF _Toc210119108 \h </w:instrText>
      </w:r>
      <w:r>
        <w:fldChar w:fldCharType="separate"/>
      </w:r>
      <w:r>
        <w:t>7</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_Toc210119109 \h </w:instrText>
      </w:r>
      <w:r>
        <w:fldChar w:fldCharType="separate"/>
      </w:r>
      <w:r>
        <w:t>9</w:t>
      </w:r>
      <w:r>
        <w:fldChar w:fldCharType="end"/>
      </w:r>
    </w:p>
    <w:p>
      <w:pPr>
        <w:pStyle w:val="TOC8"/>
        <w:rPr>
          <w:sz w:val="24"/>
          <w:szCs w:val="24"/>
        </w:rPr>
      </w:pPr>
      <w:r>
        <w:rPr>
          <w:szCs w:val="24"/>
        </w:rPr>
        <w:t>10.</w:t>
      </w:r>
      <w:r>
        <w:rPr>
          <w:szCs w:val="24"/>
        </w:rPr>
        <w:tab/>
        <w:t>Schedule 1 Division 2 item 5 fee</w:t>
      </w:r>
      <w:r>
        <w:tab/>
      </w:r>
      <w:r>
        <w:fldChar w:fldCharType="begin"/>
      </w:r>
      <w:r>
        <w:instrText xml:space="preserve"> PAGEREF _Toc210119110 \h </w:instrText>
      </w:r>
      <w:r>
        <w:fldChar w:fldCharType="separate"/>
      </w:r>
      <w:r>
        <w:t>9</w:t>
      </w:r>
      <w:r>
        <w:fldChar w:fldCharType="end"/>
      </w:r>
    </w:p>
    <w:p>
      <w:pPr>
        <w:pStyle w:val="TOC8"/>
        <w:rPr>
          <w:sz w:val="24"/>
          <w:szCs w:val="24"/>
        </w:rPr>
      </w:pPr>
      <w:r>
        <w:rPr>
          <w:szCs w:val="24"/>
        </w:rPr>
        <w:t>11.</w:t>
      </w:r>
      <w:r>
        <w:rPr>
          <w:szCs w:val="24"/>
        </w:rPr>
        <w:tab/>
        <w:t>Schedule 1 Division 2 item 6 fee</w:t>
      </w:r>
      <w:r>
        <w:tab/>
      </w:r>
      <w:r>
        <w:fldChar w:fldCharType="begin"/>
      </w:r>
      <w:r>
        <w:instrText xml:space="preserve"> PAGEREF _Toc210119111 \h </w:instrText>
      </w:r>
      <w:r>
        <w:fldChar w:fldCharType="separate"/>
      </w:r>
      <w:r>
        <w:t>9</w:t>
      </w:r>
      <w:r>
        <w:fldChar w:fldCharType="end"/>
      </w:r>
    </w:p>
    <w:p>
      <w:pPr>
        <w:pStyle w:val="TOC8"/>
        <w:rPr>
          <w:sz w:val="24"/>
          <w:szCs w:val="24"/>
        </w:rPr>
      </w:pPr>
      <w:r>
        <w:rPr>
          <w:szCs w:val="24"/>
        </w:rPr>
        <w:t>12.</w:t>
      </w:r>
      <w:r>
        <w:rPr>
          <w:szCs w:val="24"/>
        </w:rPr>
        <w:tab/>
        <w:t>Fees for searchable information</w:t>
      </w:r>
      <w:r>
        <w:tab/>
      </w:r>
      <w:r>
        <w:fldChar w:fldCharType="begin"/>
      </w:r>
      <w:r>
        <w:instrText xml:space="preserve"> PAGEREF _Toc210119112 \h </w:instrText>
      </w:r>
      <w:r>
        <w:fldChar w:fldCharType="separate"/>
      </w:r>
      <w:r>
        <w:t>10</w:t>
      </w:r>
      <w:r>
        <w:fldChar w:fldCharType="end"/>
      </w:r>
    </w:p>
    <w:p>
      <w:pPr>
        <w:pStyle w:val="TOC8"/>
        <w:rPr>
          <w:sz w:val="24"/>
          <w:szCs w:val="24"/>
        </w:rPr>
      </w:pPr>
      <w:r>
        <w:rPr>
          <w:szCs w:val="24"/>
        </w:rPr>
        <w:t>13.</w:t>
      </w:r>
      <w:r>
        <w:rPr>
          <w:szCs w:val="24"/>
        </w:rPr>
        <w:tab/>
        <w:t>Resolution of disputes as to fees</w:t>
      </w:r>
      <w:r>
        <w:tab/>
      </w:r>
      <w:r>
        <w:fldChar w:fldCharType="begin"/>
      </w:r>
      <w:r>
        <w:instrText xml:space="preserve"> PAGEREF _Toc210119113 \h </w:instrText>
      </w:r>
      <w:r>
        <w:fldChar w:fldCharType="separate"/>
      </w:r>
      <w:r>
        <w:t>10</w:t>
      </w:r>
      <w:r>
        <w:fldChar w:fldCharType="end"/>
      </w:r>
    </w:p>
    <w:p>
      <w:pPr>
        <w:pStyle w:val="TOC8"/>
        <w:rPr>
          <w:sz w:val="24"/>
          <w:szCs w:val="24"/>
        </w:rPr>
      </w:pPr>
      <w:r>
        <w:rPr>
          <w:szCs w:val="24"/>
        </w:rPr>
        <w:t>14.</w:t>
      </w:r>
      <w:r>
        <w:rPr>
          <w:szCs w:val="24"/>
        </w:rPr>
        <w:tab/>
        <w:t>Recovery of unpaid fees</w:t>
      </w:r>
      <w:r>
        <w:tab/>
      </w:r>
      <w:r>
        <w:fldChar w:fldCharType="begin"/>
      </w:r>
      <w:r>
        <w:instrText xml:space="preserve"> PAGEREF _Toc210119114 \h </w:instrText>
      </w:r>
      <w:r>
        <w:fldChar w:fldCharType="separate"/>
      </w:r>
      <w:r>
        <w:t>10</w:t>
      </w:r>
      <w:r>
        <w:fldChar w:fldCharType="end"/>
      </w:r>
    </w:p>
    <w:p>
      <w:pPr>
        <w:pStyle w:val="TOC8"/>
        <w:rPr>
          <w:sz w:val="24"/>
          <w:szCs w:val="24"/>
        </w:rPr>
      </w:pPr>
      <w:r>
        <w:rPr>
          <w:szCs w:val="24"/>
        </w:rPr>
        <w:t>15.</w:t>
      </w:r>
      <w:r>
        <w:rPr>
          <w:szCs w:val="24"/>
        </w:rPr>
        <w:tab/>
        <w:t>Transitional</w:t>
      </w:r>
      <w:r>
        <w:tab/>
      </w:r>
      <w:r>
        <w:fldChar w:fldCharType="begin"/>
      </w:r>
      <w:r>
        <w:instrText xml:space="preserve"> PAGEREF _Toc210119115 \h </w:instrText>
      </w:r>
      <w:r>
        <w:fldChar w:fldCharType="separate"/>
      </w:r>
      <w:r>
        <w:t>10</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Declaration that a person is a small business or a non</w:t>
      </w:r>
      <w:r>
        <w:rPr>
          <w:szCs w:val="22"/>
        </w:rPr>
        <w:noBreakHyphen/>
        <w:t>profit association</w:t>
      </w:r>
      <w:r>
        <w:tab/>
      </w:r>
      <w:r>
        <w:fldChar w:fldCharType="begin"/>
      </w:r>
      <w:r>
        <w:instrText xml:space="preserve"> PAGEREF _Toc210119121 \h </w:instrText>
      </w:r>
      <w:r>
        <w:fldChar w:fldCharType="separate"/>
      </w:r>
      <w:r>
        <w:t>20</w:t>
      </w:r>
      <w:r>
        <w:fldChar w:fldCharType="end"/>
      </w:r>
    </w:p>
    <w:p>
      <w:pPr>
        <w:pStyle w:val="TOC8"/>
        <w:rPr>
          <w:sz w:val="24"/>
          <w:szCs w:val="24"/>
        </w:rPr>
      </w:pPr>
      <w:r>
        <w:rPr>
          <w:szCs w:val="22"/>
        </w:rPr>
        <w:t>2.</w:t>
      </w:r>
      <w:r>
        <w:rPr>
          <w:szCs w:val="22"/>
        </w:rPr>
        <w:tab/>
        <w:t>Application to remit fees</w:t>
      </w:r>
      <w:r>
        <w:tab/>
      </w:r>
      <w:r>
        <w:fldChar w:fldCharType="begin"/>
      </w:r>
      <w:r>
        <w:instrText xml:space="preserve"> PAGEREF _Toc210119122 \h </w:instrText>
      </w:r>
      <w:r>
        <w:fldChar w:fldCharType="separate"/>
      </w:r>
      <w:r>
        <w:t>21</w:t>
      </w:r>
      <w:r>
        <w:fldChar w:fldCharType="end"/>
      </w:r>
    </w:p>
    <w:p>
      <w:pPr>
        <w:pStyle w:val="TOC8"/>
        <w:rPr>
          <w:sz w:val="24"/>
          <w:szCs w:val="24"/>
        </w:rPr>
      </w:pPr>
      <w:r>
        <w:rPr>
          <w:szCs w:val="22"/>
        </w:rPr>
        <w:t>3.</w:t>
      </w:r>
      <w:r>
        <w:rPr>
          <w:szCs w:val="22"/>
        </w:rPr>
        <w:tab/>
        <w:t>Application for determination of dispute about fees</w:t>
      </w:r>
      <w:r>
        <w:tab/>
      </w:r>
      <w:r>
        <w:fldChar w:fldCharType="begin"/>
      </w:r>
      <w:r>
        <w:instrText xml:space="preserve"> PAGEREF _Toc210119123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_Toc210119125 \h </w:instrText>
      </w:r>
      <w:r>
        <w:fldChar w:fldCharType="separate"/>
      </w:r>
      <w:r>
        <w:t>26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(Fees)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100631316"/>
      <w:bookmarkStart w:id="9" w:name="_Toc102451445"/>
      <w:bookmarkStart w:id="10" w:name="_Toc210119101"/>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21011910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20" w:name="_Toc96402830"/>
      <w:bookmarkStart w:id="21" w:name="_Toc100631318"/>
      <w:bookmarkStart w:id="22" w:name="_Toc102451447"/>
      <w:bookmarkStart w:id="23" w:name="_Toc210119103"/>
      <w:r>
        <w:rPr>
          <w:rStyle w:val="CharSectno"/>
        </w:rPr>
        <w:t>3</w:t>
      </w:r>
      <w:r>
        <w:t>.</w:t>
      </w:r>
      <w:r>
        <w:tab/>
        <w:t>Terms used in these regulations</w:t>
      </w:r>
      <w:bookmarkEnd w:id="20"/>
      <w:bookmarkEnd w:id="21"/>
      <w:bookmarkEnd w:id="22"/>
      <w:bookmarkEnd w:id="23"/>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4" w:name="_Toc437922206"/>
      <w:bookmarkStart w:id="25" w:name="_Toc483972641"/>
      <w:bookmarkStart w:id="26" w:name="_Toc506018772"/>
      <w:bookmarkStart w:id="27" w:name="_Toc519738591"/>
      <w:bookmarkStart w:id="28" w:name="_Toc520868379"/>
      <w:bookmarkStart w:id="29" w:name="_Toc533482756"/>
      <w:bookmarkStart w:id="30" w:name="_Toc61252559"/>
      <w:bookmarkStart w:id="31" w:name="_Toc96402831"/>
      <w:bookmarkStart w:id="32" w:name="_Toc100631319"/>
      <w:bookmarkStart w:id="33" w:name="_Toc102451448"/>
      <w:bookmarkStart w:id="34" w:name="_Toc210119104"/>
      <w:r>
        <w:rPr>
          <w:rStyle w:val="CharSectno"/>
        </w:rPr>
        <w:t>4</w:t>
      </w:r>
      <w:r>
        <w:t>.</w:t>
      </w:r>
      <w:r>
        <w:tab/>
      </w:r>
      <w:r>
        <w:rPr>
          <w:snapToGrid w:val="0"/>
        </w:rPr>
        <w:t>Fees to be charged</w:t>
      </w:r>
      <w:bookmarkEnd w:id="24"/>
      <w:bookmarkEnd w:id="25"/>
      <w:bookmarkEnd w:id="26"/>
      <w:bookmarkEnd w:id="27"/>
      <w:bookmarkEnd w:id="28"/>
      <w:bookmarkEnd w:id="29"/>
      <w:bookmarkEnd w:id="30"/>
      <w:bookmarkEnd w:id="31"/>
      <w:bookmarkEnd w:id="32"/>
      <w:bookmarkEnd w:id="33"/>
      <w:bookmarkEnd w:id="34"/>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5" w:name="_Toc437922207"/>
      <w:bookmarkStart w:id="36" w:name="_Toc483972642"/>
      <w:bookmarkStart w:id="37" w:name="_Toc506018773"/>
      <w:bookmarkStart w:id="38" w:name="_Toc519738592"/>
      <w:bookmarkStart w:id="39" w:name="_Toc520868380"/>
      <w:bookmarkStart w:id="40" w:name="_Toc533482757"/>
      <w:bookmarkStart w:id="41" w:name="_Toc61252560"/>
      <w:bookmarkStart w:id="42" w:name="_Toc96402832"/>
      <w:bookmarkStart w:id="43" w:name="_Toc100631320"/>
      <w:bookmarkStart w:id="44" w:name="_Toc102451449"/>
      <w:bookmarkStart w:id="45" w:name="_Toc210119105"/>
      <w:r>
        <w:rPr>
          <w:rStyle w:val="CharSectno"/>
        </w:rPr>
        <w:t>5</w:t>
      </w:r>
      <w:r>
        <w:t>.</w:t>
      </w:r>
      <w:r>
        <w:tab/>
      </w:r>
      <w:r>
        <w:rPr>
          <w:snapToGrid w:val="0"/>
        </w:rPr>
        <w:t>Exemptions</w:t>
      </w:r>
      <w:bookmarkEnd w:id="35"/>
      <w:bookmarkEnd w:id="36"/>
      <w:bookmarkEnd w:id="37"/>
      <w:bookmarkEnd w:id="38"/>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6" w:name="_Toc100631321"/>
      <w:bookmarkStart w:id="47" w:name="_Toc102451450"/>
      <w:bookmarkStart w:id="48" w:name="_Toc210119106"/>
      <w:r>
        <w:rPr>
          <w:rStyle w:val="CharSectno"/>
        </w:rPr>
        <w:t>6</w:t>
      </w:r>
      <w:r>
        <w:t>.</w:t>
      </w:r>
      <w:r>
        <w:tab/>
        <w:t>Fees subject to conditions or waiver</w:t>
      </w:r>
      <w:bookmarkEnd w:id="46"/>
      <w:bookmarkEnd w:id="47"/>
      <w:bookmarkEnd w:id="48"/>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9" w:name="_Toc437922208"/>
      <w:bookmarkStart w:id="50" w:name="_Toc483972643"/>
      <w:bookmarkStart w:id="51" w:name="_Toc506018774"/>
      <w:bookmarkStart w:id="52" w:name="_Toc519738593"/>
      <w:bookmarkStart w:id="53" w:name="_Toc520868381"/>
      <w:bookmarkStart w:id="54" w:name="_Toc533482758"/>
      <w:bookmarkStart w:id="55" w:name="_Toc61252561"/>
      <w:bookmarkStart w:id="56" w:name="_Toc96402833"/>
      <w:bookmarkStart w:id="57" w:name="_Toc100631322"/>
      <w:bookmarkStart w:id="58" w:name="_Toc102451451"/>
      <w:bookmarkStart w:id="59" w:name="_Toc210119107"/>
      <w:r>
        <w:rPr>
          <w:rStyle w:val="CharSectno"/>
        </w:rPr>
        <w:t>7</w:t>
      </w:r>
      <w:r>
        <w:t>.</w:t>
      </w:r>
      <w:r>
        <w:tab/>
      </w:r>
      <w:r>
        <w:rPr>
          <w:rStyle w:val="CharSectno"/>
        </w:rPr>
        <w:t>F</w:t>
      </w:r>
      <w:r>
        <w:rPr>
          <w:snapToGrid w:val="0"/>
        </w:rPr>
        <w:t>ees to be paid before documents etc. filed</w:t>
      </w:r>
      <w:bookmarkEnd w:id="49"/>
      <w:bookmarkEnd w:id="50"/>
      <w:bookmarkEnd w:id="51"/>
      <w:bookmarkEnd w:id="52"/>
      <w:bookmarkEnd w:id="53"/>
      <w:bookmarkEnd w:id="54"/>
      <w:bookmarkEnd w:id="55"/>
      <w:bookmarkEnd w:id="56"/>
      <w:bookmarkEnd w:id="57"/>
      <w:bookmarkEnd w:id="58"/>
      <w:bookmarkEnd w:id="59"/>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0" w:name="_Toc437922210"/>
      <w:bookmarkStart w:id="61" w:name="_Toc483972645"/>
      <w:bookmarkStart w:id="62" w:name="_Toc506018776"/>
      <w:bookmarkStart w:id="63" w:name="_Toc519738594"/>
      <w:bookmarkStart w:id="64" w:name="_Toc520868382"/>
      <w:bookmarkStart w:id="65" w:name="_Toc533482759"/>
      <w:bookmarkStart w:id="66" w:name="_Toc61252562"/>
      <w:bookmarkStart w:id="67" w:name="_Toc96402834"/>
      <w:bookmarkStart w:id="68" w:name="_Toc100631323"/>
      <w:bookmarkStart w:id="69" w:name="_Toc102451452"/>
      <w:bookmarkStart w:id="70" w:name="_Toc210119108"/>
      <w:r>
        <w:rPr>
          <w:rStyle w:val="CharSectno"/>
        </w:rPr>
        <w:t>8</w:t>
      </w:r>
      <w:r>
        <w:t>.</w:t>
      </w:r>
      <w:r>
        <w:tab/>
      </w:r>
      <w:r>
        <w:rPr>
          <w:snapToGrid w:val="0"/>
        </w:rPr>
        <w:t>Court or registrar may remit fees</w:t>
      </w:r>
      <w:bookmarkEnd w:id="60"/>
      <w:bookmarkEnd w:id="61"/>
      <w:bookmarkEnd w:id="62"/>
      <w:bookmarkEnd w:id="63"/>
      <w:bookmarkEnd w:id="64"/>
      <w:bookmarkEnd w:id="65"/>
      <w:bookmarkEnd w:id="66"/>
      <w:bookmarkEnd w:id="67"/>
      <w:bookmarkEnd w:id="68"/>
      <w:bookmarkEnd w:id="69"/>
      <w:bookmarkEnd w:id="70"/>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1" w:name="_Toc437922211"/>
      <w:bookmarkStart w:id="72" w:name="_Toc483972646"/>
      <w:bookmarkStart w:id="73" w:name="_Toc506018777"/>
      <w:bookmarkStart w:id="74" w:name="_Toc519738595"/>
      <w:bookmarkStart w:id="75" w:name="_Toc520868383"/>
      <w:bookmarkStart w:id="76" w:name="_Toc533482760"/>
      <w:r>
        <w:tab/>
        <w:t>(12)</w:t>
      </w:r>
      <w:r>
        <w:tab/>
        <w:t>Despite the provisions of these regulations, a fee is not to be charged in respect of an application under subregulation (2).</w:t>
      </w:r>
    </w:p>
    <w:p>
      <w:pPr>
        <w:pStyle w:val="Heading5"/>
        <w:rPr>
          <w:snapToGrid w:val="0"/>
        </w:rPr>
      </w:pPr>
      <w:bookmarkStart w:id="77" w:name="_Toc61252563"/>
      <w:bookmarkStart w:id="78" w:name="_Toc96402835"/>
      <w:bookmarkStart w:id="79" w:name="_Toc100631324"/>
      <w:bookmarkStart w:id="80" w:name="_Toc102451453"/>
      <w:bookmarkStart w:id="81" w:name="_Toc210119109"/>
      <w:r>
        <w:rPr>
          <w:rStyle w:val="CharSectno"/>
        </w:rPr>
        <w:t>9</w:t>
      </w:r>
      <w:r>
        <w:t>.</w:t>
      </w:r>
      <w:r>
        <w:tab/>
      </w:r>
      <w:r>
        <w:rPr>
          <w:snapToGrid w:val="0"/>
        </w:rPr>
        <w:t>Conventions</w:t>
      </w:r>
      <w:bookmarkEnd w:id="71"/>
      <w:bookmarkEnd w:id="72"/>
      <w:bookmarkEnd w:id="73"/>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2" w:name="_Toc533482761"/>
      <w:bookmarkStart w:id="83" w:name="_Toc61252564"/>
      <w:bookmarkStart w:id="84" w:name="_Toc96402836"/>
      <w:bookmarkStart w:id="85" w:name="_Toc100631325"/>
      <w:bookmarkStart w:id="86" w:name="_Toc102451454"/>
      <w:bookmarkStart w:id="87" w:name="_Toc210119110"/>
      <w:r>
        <w:rPr>
          <w:rStyle w:val="CharSectno"/>
        </w:rPr>
        <w:t>10</w:t>
      </w:r>
      <w:r>
        <w:t>.</w:t>
      </w:r>
      <w:r>
        <w:tab/>
        <w:t>Schedule 1 Division 2 item 5 fee</w:t>
      </w:r>
      <w:bookmarkEnd w:id="82"/>
      <w:bookmarkEnd w:id="83"/>
      <w:bookmarkEnd w:id="84"/>
      <w:bookmarkEnd w:id="85"/>
      <w:bookmarkEnd w:id="86"/>
      <w:bookmarkEnd w:id="87"/>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8" w:name="_Toc533482762"/>
      <w:bookmarkStart w:id="89" w:name="_Toc61252565"/>
      <w:bookmarkStart w:id="90" w:name="_Toc96402837"/>
      <w:bookmarkStart w:id="91" w:name="_Toc100631326"/>
      <w:bookmarkStart w:id="92" w:name="_Toc102451455"/>
      <w:bookmarkStart w:id="93" w:name="_Toc210119111"/>
      <w:r>
        <w:rPr>
          <w:rStyle w:val="CharSectno"/>
        </w:rPr>
        <w:t>11</w:t>
      </w:r>
      <w:r>
        <w:t>.</w:t>
      </w:r>
      <w:r>
        <w:tab/>
        <w:t>Schedule 1 Division 2 item 6 fee</w:t>
      </w:r>
      <w:bookmarkEnd w:id="88"/>
      <w:bookmarkEnd w:id="89"/>
      <w:bookmarkEnd w:id="90"/>
      <w:bookmarkEnd w:id="91"/>
      <w:bookmarkEnd w:id="92"/>
      <w:bookmarkEnd w:id="9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4" w:name="_Toc210119112"/>
      <w:bookmarkStart w:id="95" w:name="_Toc96398500"/>
      <w:bookmarkStart w:id="96" w:name="_Toc100631328"/>
      <w:bookmarkStart w:id="97" w:name="_Toc102451457"/>
      <w:r>
        <w:rPr>
          <w:rStyle w:val="CharSectno"/>
        </w:rPr>
        <w:t>12</w:t>
      </w:r>
      <w:r>
        <w:t>.</w:t>
      </w:r>
      <w:r>
        <w:tab/>
        <w:t>Fees for searchable information</w:t>
      </w:r>
      <w:bookmarkEnd w:id="94"/>
    </w:p>
    <w:p>
      <w:pPr>
        <w:pStyle w:val="Subsection"/>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98" w:name="_Toc210119113"/>
      <w:r>
        <w:rPr>
          <w:rStyle w:val="CharSectno"/>
        </w:rPr>
        <w:t>13</w:t>
      </w:r>
      <w:r>
        <w:t>.</w:t>
      </w:r>
      <w:r>
        <w:tab/>
        <w:t>Resolution of disputes as to fees</w:t>
      </w:r>
      <w:bookmarkEnd w:id="95"/>
      <w:bookmarkEnd w:id="96"/>
      <w:bookmarkEnd w:id="97"/>
      <w:bookmarkEnd w:id="98"/>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9" w:name="_Toc100631329"/>
      <w:bookmarkStart w:id="100" w:name="_Toc102451458"/>
      <w:bookmarkStart w:id="101" w:name="_Toc210119114"/>
      <w:r>
        <w:rPr>
          <w:rStyle w:val="CharSectno"/>
        </w:rPr>
        <w:t>14</w:t>
      </w:r>
      <w:r>
        <w:t>.</w:t>
      </w:r>
      <w:r>
        <w:tab/>
        <w:t>Recovery of unpaid fees</w:t>
      </w:r>
      <w:bookmarkEnd w:id="99"/>
      <w:bookmarkEnd w:id="100"/>
      <w:bookmarkEnd w:id="101"/>
    </w:p>
    <w:p>
      <w:pPr>
        <w:pStyle w:val="Subsection"/>
      </w:pPr>
      <w:r>
        <w:tab/>
      </w:r>
      <w:r>
        <w:tab/>
        <w:t>Any unpaid fee is a debt due to the State and may be recovered by action in a court of competent jurisdiction.</w:t>
      </w:r>
    </w:p>
    <w:p>
      <w:pPr>
        <w:pStyle w:val="Heading5"/>
      </w:pPr>
      <w:bookmarkStart w:id="102" w:name="_Toc533482764"/>
      <w:bookmarkStart w:id="103" w:name="_Toc61252567"/>
      <w:bookmarkStart w:id="104" w:name="_Toc96402839"/>
      <w:bookmarkStart w:id="105" w:name="_Toc100631330"/>
      <w:bookmarkStart w:id="106" w:name="_Toc102451459"/>
      <w:bookmarkStart w:id="107" w:name="_Toc210119115"/>
      <w:r>
        <w:rPr>
          <w:rStyle w:val="CharSectno"/>
        </w:rPr>
        <w:t>15</w:t>
      </w:r>
      <w:r>
        <w:t>.</w:t>
      </w:r>
      <w:r>
        <w:tab/>
        <w:t>Transitional</w:t>
      </w:r>
      <w:bookmarkEnd w:id="102"/>
      <w:bookmarkEnd w:id="103"/>
      <w:bookmarkEnd w:id="104"/>
      <w:bookmarkEnd w:id="105"/>
      <w:bookmarkEnd w:id="106"/>
      <w:bookmarkEnd w:id="10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08" w:name="_Toc100631331"/>
      <w:bookmarkStart w:id="109" w:name="_Toc102451460"/>
    </w:p>
    <w:p>
      <w:pPr>
        <w:pStyle w:val="yScheduleHeading"/>
      </w:pPr>
      <w:bookmarkStart w:id="110" w:name="_Toc139104715"/>
      <w:bookmarkStart w:id="111" w:name="_Toc139276713"/>
      <w:bookmarkStart w:id="112" w:name="_Toc171051732"/>
      <w:bookmarkStart w:id="113" w:name="_Toc198631552"/>
      <w:bookmarkStart w:id="114" w:name="_Toc202521832"/>
      <w:bookmarkStart w:id="115" w:name="_Toc203535227"/>
      <w:bookmarkStart w:id="116" w:name="_Toc207168612"/>
      <w:bookmarkStart w:id="117" w:name="_Toc210114988"/>
      <w:bookmarkStart w:id="118" w:name="_Toc210119116"/>
      <w:r>
        <w:rPr>
          <w:rStyle w:val="CharSchNo"/>
        </w:rPr>
        <w:t>Schedule 1</w:t>
      </w:r>
      <w:r>
        <w:t xml:space="preserve"> — </w:t>
      </w:r>
      <w:r>
        <w:rPr>
          <w:rStyle w:val="CharSchText"/>
        </w:rPr>
        <w:t>Fees</w:t>
      </w:r>
      <w:bookmarkEnd w:id="108"/>
      <w:bookmarkEnd w:id="109"/>
      <w:bookmarkEnd w:id="110"/>
      <w:bookmarkEnd w:id="111"/>
      <w:bookmarkEnd w:id="112"/>
      <w:bookmarkEnd w:id="113"/>
      <w:bookmarkEnd w:id="114"/>
      <w:bookmarkEnd w:id="115"/>
      <w:bookmarkEnd w:id="116"/>
      <w:bookmarkEnd w:id="117"/>
      <w:bookmarkEnd w:id="118"/>
    </w:p>
    <w:p>
      <w:pPr>
        <w:pStyle w:val="yShoulderClause"/>
        <w:spacing w:after="360"/>
      </w:pPr>
      <w:r>
        <w:t>[r. 4]</w:t>
      </w:r>
    </w:p>
    <w:p>
      <w:pPr>
        <w:pStyle w:val="yHeading3"/>
        <w:spacing w:before="120" w:after="120"/>
      </w:pPr>
      <w:bookmarkStart w:id="119" w:name="_Toc100631332"/>
      <w:bookmarkStart w:id="120" w:name="_Toc102451461"/>
      <w:bookmarkStart w:id="121" w:name="_Toc139104716"/>
      <w:bookmarkStart w:id="122" w:name="_Toc139276714"/>
      <w:bookmarkStart w:id="123" w:name="_Toc171051733"/>
      <w:bookmarkStart w:id="124" w:name="_Toc198631553"/>
      <w:bookmarkStart w:id="125" w:name="_Toc202521833"/>
      <w:bookmarkStart w:id="126" w:name="_Toc203535228"/>
      <w:bookmarkStart w:id="127" w:name="_Toc207168613"/>
      <w:bookmarkStart w:id="128" w:name="_Toc210114989"/>
      <w:bookmarkStart w:id="129" w:name="_Toc210119117"/>
      <w:r>
        <w:rPr>
          <w:rStyle w:val="CharSDivNo"/>
        </w:rPr>
        <w:t>Division 1</w:t>
      </w:r>
      <w:r>
        <w:rPr>
          <w:b w:val="0"/>
        </w:rPr>
        <w:t> — </w:t>
      </w:r>
      <w:r>
        <w:rPr>
          <w:rStyle w:val="CharSDivText"/>
        </w:rPr>
        <w:t>General</w:t>
      </w:r>
      <w:bookmarkEnd w:id="119"/>
      <w:bookmarkEnd w:id="120"/>
      <w:bookmarkEnd w:id="121"/>
      <w:bookmarkEnd w:id="122"/>
      <w:bookmarkEnd w:id="123"/>
      <w:bookmarkEnd w:id="124"/>
      <w:bookmarkEnd w:id="125"/>
      <w:bookmarkEnd w:id="126"/>
      <w:bookmarkEnd w:id="127"/>
      <w:bookmarkEnd w:id="128"/>
      <w:bookmarkEnd w:id="129"/>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t>42.50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1.10</w:t>
            </w:r>
          </w:p>
          <w:p>
            <w:pPr>
              <w:pStyle w:val="yTable"/>
              <w:spacing w:before="0"/>
              <w:ind w:right="601"/>
              <w:jc w:val="right"/>
              <w:rPr>
                <w:sz w:val="20"/>
              </w:rPr>
            </w:pPr>
            <w:r>
              <w:rPr>
                <w:sz w:val="20"/>
              </w:rPr>
              <w:br/>
              <w:t>1.20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t>25.00</w:t>
            </w:r>
          </w:p>
          <w:p>
            <w:pPr>
              <w:pStyle w:val="yTable"/>
              <w:ind w:right="601"/>
              <w:jc w:val="right"/>
              <w:rPr>
                <w:sz w:val="20"/>
              </w:rPr>
            </w:pPr>
            <w:r>
              <w:rPr>
                <w:sz w:val="20"/>
              </w:rPr>
              <w:br/>
            </w:r>
            <w:r>
              <w:rPr>
                <w:sz w:val="20"/>
              </w:rPr>
              <w:br/>
            </w:r>
            <w:r>
              <w:rPr>
                <w:sz w:val="20"/>
              </w:rPr>
              <w:br/>
              <w:t>25.00</w:t>
            </w:r>
          </w:p>
          <w:p>
            <w:pPr>
              <w:pStyle w:val="yTable"/>
              <w:spacing w:before="0"/>
              <w:ind w:right="601"/>
              <w:jc w:val="right"/>
              <w:rPr>
                <w:sz w:val="20"/>
              </w:rPr>
            </w:pPr>
            <w:r>
              <w:rPr>
                <w:sz w:val="20"/>
              </w:rPr>
              <w:br/>
              <w:t>61.50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567" w:type="dxa"/>
          </w:tcPr>
          <w:p>
            <w:pPr>
              <w:pStyle w:val="yTable"/>
              <w:rPr>
                <w:sz w:val="20"/>
              </w:rPr>
            </w:pPr>
            <w:r>
              <w:rPr>
                <w:sz w:val="20"/>
              </w:rPr>
              <w:t>5.</w:t>
            </w:r>
          </w:p>
        </w:tc>
        <w:tc>
          <w:tcPr>
            <w:tcW w:w="3827" w:type="dxa"/>
          </w:tcPr>
          <w:p>
            <w:pPr>
              <w:pStyle w:val="yTable"/>
              <w:rPr>
                <w:sz w:val="20"/>
              </w:rPr>
            </w:pPr>
            <w:r>
              <w:rPr>
                <w:sz w:val="20"/>
              </w:rPr>
              <w:t xml:space="preserve">For provision of information under the </w:t>
            </w:r>
            <w:r>
              <w:rPr>
                <w:i/>
                <w:iCs/>
                <w:sz w:val="20"/>
              </w:rPr>
              <w:t>Magistrates Court (General) Rules 2005</w:t>
            </w:r>
            <w:r>
              <w:rPr>
                <w:sz w:val="20"/>
              </w:rPr>
              <w:t xml:space="preserve"> rule 41A — </w:t>
            </w:r>
          </w:p>
          <w:p>
            <w:pPr>
              <w:pStyle w:val="yTable"/>
              <w:tabs>
                <w:tab w:val="left" w:pos="176"/>
                <w:tab w:val="left" w:pos="601"/>
              </w:tabs>
              <w:ind w:left="601" w:hanging="601"/>
              <w:rPr>
                <w:sz w:val="20"/>
              </w:rPr>
            </w:pPr>
            <w:r>
              <w:rPr>
                <w:sz w:val="20"/>
              </w:rPr>
              <w:tab/>
              <w:t>(a)</w:t>
            </w:r>
            <w:r>
              <w:rPr>
                <w:sz w:val="20"/>
              </w:rPr>
              <w:tab/>
              <w:t>fee per case specified in the information ……………...................</w:t>
            </w:r>
          </w:p>
          <w:p>
            <w:pPr>
              <w:pStyle w:val="yTable"/>
              <w:tabs>
                <w:tab w:val="left" w:pos="176"/>
                <w:tab w:val="left" w:pos="601"/>
              </w:tabs>
              <w:ind w:left="601" w:hanging="601"/>
              <w:rPr>
                <w:sz w:val="20"/>
              </w:rPr>
            </w:pPr>
            <w:r>
              <w:rPr>
                <w:sz w:val="20"/>
              </w:rPr>
              <w:tab/>
              <w:t>(b)</w:t>
            </w:r>
            <w:r>
              <w:rPr>
                <w:sz w:val="20"/>
              </w:rPr>
              <w:tab/>
              <w:t>annual fee for information provided by email to approved recipient …….</w:t>
            </w:r>
          </w:p>
        </w:tc>
        <w:tc>
          <w:tcPr>
            <w:tcW w:w="2126" w:type="dxa"/>
          </w:tcPr>
          <w:p>
            <w:pPr>
              <w:pStyle w:val="yTable"/>
              <w:ind w:right="601"/>
              <w:jc w:val="right"/>
              <w:rPr>
                <w:sz w:val="20"/>
              </w:rPr>
            </w:pPr>
            <w:r>
              <w:rPr>
                <w:sz w:val="20"/>
              </w:rPr>
              <w:br/>
            </w:r>
          </w:p>
          <w:p>
            <w:pPr>
              <w:pStyle w:val="yTable"/>
              <w:ind w:right="601"/>
              <w:jc w:val="right"/>
              <w:rPr>
                <w:sz w:val="20"/>
              </w:rPr>
            </w:pPr>
            <w:r>
              <w:rPr>
                <w:sz w:val="20"/>
              </w:rPr>
              <w:br/>
            </w:r>
            <w:r>
              <w:rPr>
                <w:sz w:val="20"/>
              </w:rPr>
              <w:br/>
              <w:t>1.05</w:t>
            </w:r>
          </w:p>
          <w:p>
            <w:pPr>
              <w:pStyle w:val="yTable"/>
              <w:ind w:right="601"/>
              <w:jc w:val="right"/>
              <w:rPr>
                <w:sz w:val="20"/>
              </w:rPr>
            </w:pPr>
            <w:r>
              <w:rPr>
                <w:sz w:val="20"/>
              </w:rPr>
              <w:br/>
              <w:t>34 662.00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t>36.50</w:t>
            </w:r>
          </w:p>
          <w:p>
            <w:pPr>
              <w:pStyle w:val="yTable"/>
              <w:ind w:right="601"/>
              <w:jc w:val="right"/>
              <w:rPr>
                <w:sz w:val="20"/>
              </w:rPr>
            </w:pPr>
            <w:r>
              <w:rPr>
                <w:sz w:val="20"/>
              </w:rPr>
              <w:br/>
            </w:r>
            <w:r>
              <w:rPr>
                <w:sz w:val="20"/>
              </w:rPr>
              <w:br/>
            </w:r>
            <w:r>
              <w:rPr>
                <w:sz w:val="20"/>
              </w:rPr>
              <w:br/>
            </w:r>
            <w:r>
              <w:rPr>
                <w:sz w:val="20"/>
              </w:rPr>
              <w:br/>
            </w:r>
            <w:r>
              <w:rPr>
                <w:sz w:val="20"/>
              </w:rPr>
              <w:br/>
            </w:r>
            <w:r>
              <w:rPr>
                <w:sz w:val="20"/>
              </w:rPr>
              <w:br/>
              <w:t>61.50</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8.65</w:t>
            </w:r>
          </w:p>
          <w:p>
            <w:pPr>
              <w:pStyle w:val="yTable"/>
              <w:ind w:right="601"/>
              <w:jc w:val="right"/>
              <w:rPr>
                <w:sz w:val="20"/>
              </w:rPr>
            </w:pPr>
            <w:r>
              <w:rPr>
                <w:sz w:val="20"/>
              </w:rPr>
              <w:br/>
            </w:r>
            <w:r>
              <w:rPr>
                <w:sz w:val="20"/>
              </w:rPr>
              <w:br/>
              <w:t>1.10</w:t>
            </w:r>
          </w:p>
          <w:p>
            <w:pPr>
              <w:pStyle w:val="yTable"/>
              <w:ind w:right="601"/>
              <w:jc w:val="right"/>
              <w:rPr>
                <w:sz w:val="20"/>
              </w:rPr>
            </w:pPr>
            <w:r>
              <w:rPr>
                <w:sz w:val="20"/>
              </w:rPr>
              <w:br/>
              <w:t>12.00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4.85</w:t>
            </w:r>
          </w:p>
          <w:p>
            <w:pPr>
              <w:pStyle w:val="yTable"/>
              <w:ind w:right="601"/>
              <w:jc w:val="right"/>
              <w:rPr>
                <w:sz w:val="20"/>
              </w:rPr>
            </w:pPr>
            <w:r>
              <w:rPr>
                <w:sz w:val="20"/>
              </w:rPr>
              <w:br/>
            </w:r>
            <w:r>
              <w:rPr>
                <w:sz w:val="20"/>
              </w:rPr>
              <w:br/>
            </w:r>
            <w:r>
              <w:rPr>
                <w:sz w:val="20"/>
              </w:rPr>
              <w:br/>
            </w:r>
            <w:r>
              <w:rPr>
                <w:sz w:val="20"/>
              </w:rPr>
              <w:br/>
              <w:t>12.00</w:t>
            </w:r>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Pr>
          <w:p>
            <w:pPr>
              <w:pStyle w:val="yTable"/>
              <w:rPr>
                <w:sz w:val="20"/>
              </w:rPr>
            </w:pPr>
            <w:r>
              <w:rPr>
                <w:sz w:val="20"/>
              </w:rPr>
              <w:t>NOTE 1</w:t>
            </w:r>
          </w:p>
          <w:p>
            <w:pPr>
              <w:pStyle w:val="yTable"/>
              <w:spacing w:before="0"/>
              <w:rPr>
                <w:sz w:val="20"/>
              </w:rPr>
            </w:pPr>
            <w:r>
              <w:rPr>
                <w:sz w:val="20"/>
              </w:rPr>
              <w:t>A minimum fee of $17.25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 26 Jun 2007 p. 3033-4; 16 May 2008 p. 1911; 27 Jun 2008 p. 3068-9.]</w:t>
      </w:r>
    </w:p>
    <w:p>
      <w:pPr>
        <w:pStyle w:val="yHeading3"/>
        <w:spacing w:after="240"/>
      </w:pPr>
      <w:bookmarkStart w:id="130" w:name="_Toc100631333"/>
      <w:bookmarkStart w:id="131" w:name="_Toc102451462"/>
      <w:bookmarkStart w:id="132" w:name="_Toc139104717"/>
      <w:bookmarkStart w:id="133" w:name="_Toc139276715"/>
      <w:bookmarkStart w:id="134" w:name="_Toc171051734"/>
      <w:bookmarkStart w:id="135" w:name="_Toc198631554"/>
      <w:bookmarkStart w:id="136" w:name="_Toc202521834"/>
      <w:bookmarkStart w:id="137" w:name="_Toc203535229"/>
      <w:bookmarkStart w:id="138" w:name="_Toc207168614"/>
      <w:bookmarkStart w:id="139" w:name="_Toc210114990"/>
      <w:bookmarkStart w:id="140" w:name="_Toc210119118"/>
      <w:r>
        <w:rPr>
          <w:rStyle w:val="CharSDivNo"/>
        </w:rPr>
        <w:t>Division 2</w:t>
      </w:r>
      <w:r>
        <w:rPr>
          <w:b w:val="0"/>
        </w:rPr>
        <w:t> — </w:t>
      </w:r>
      <w:r>
        <w:rPr>
          <w:rStyle w:val="CharSDivText"/>
        </w:rPr>
        <w:t>Civil jurisdiction</w:t>
      </w:r>
      <w:bookmarkEnd w:id="130"/>
      <w:bookmarkEnd w:id="131"/>
      <w:bookmarkEnd w:id="132"/>
      <w:bookmarkEnd w:id="133"/>
      <w:bookmarkEnd w:id="134"/>
      <w:bookmarkEnd w:id="135"/>
      <w:bookmarkEnd w:id="136"/>
      <w:bookmarkEnd w:id="137"/>
      <w:bookmarkEnd w:id="138"/>
      <w:bookmarkEnd w:id="139"/>
      <w:bookmarkEnd w:id="140"/>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$10 000</w:t>
            </w:r>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$10 000 but not exceeding $50 000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$50 000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20"/>
              </w:rPr>
            </w:pPr>
            <w:r>
              <w:rPr>
                <w:sz w:val="20"/>
              </w:rPr>
              <w:br/>
            </w:r>
            <w:r>
              <w:rPr>
                <w:sz w:val="20"/>
              </w:rPr>
              <w:br/>
            </w:r>
            <w:r>
              <w:rPr>
                <w:sz w:val="20"/>
              </w:rPr>
              <w:br/>
            </w:r>
            <w:r>
              <w:rPr>
                <w:sz w:val="20"/>
              </w:rPr>
              <w:br/>
            </w:r>
            <w:r>
              <w:rPr>
                <w:sz w:val="20"/>
              </w:rPr>
              <w:br/>
              <w:t>71.50</w:t>
            </w:r>
          </w:p>
        </w:tc>
        <w:tc>
          <w:tcPr>
            <w:tcW w:w="770" w:type="dxa"/>
          </w:tcPr>
          <w:p>
            <w:pPr>
              <w:pStyle w:val="yTable"/>
              <w:jc w:val="center"/>
              <w:rPr>
                <w:sz w:val="20"/>
              </w:rPr>
            </w:pPr>
            <w:r>
              <w:rPr>
                <w:sz w:val="20"/>
              </w:rPr>
              <w:br/>
            </w:r>
            <w:r>
              <w:rPr>
                <w:sz w:val="20"/>
              </w:rPr>
              <w:br/>
            </w:r>
            <w:r>
              <w:rPr>
                <w:sz w:val="20"/>
              </w:rPr>
              <w:br/>
            </w:r>
            <w:r>
              <w:rPr>
                <w:sz w:val="20"/>
              </w:rPr>
              <w:br/>
            </w:r>
            <w:r>
              <w:rPr>
                <w:sz w:val="20"/>
              </w:rPr>
              <w:br/>
              <w:t>108.00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t>183.00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t>275.00</w:t>
            </w:r>
          </w:p>
        </w:tc>
        <w:tc>
          <w:tcPr>
            <w:tcW w:w="783" w:type="dxa"/>
          </w:tcPr>
          <w:p>
            <w:pPr>
              <w:pStyle w:val="yTable"/>
              <w:jc w:val="center"/>
              <w:rPr>
                <w:sz w:val="20"/>
              </w:rPr>
            </w:pPr>
            <w:r>
              <w:rPr>
                <w:sz w:val="20"/>
              </w:rPr>
              <w:br/>
            </w:r>
            <w:r>
              <w:rPr>
                <w:sz w:val="20"/>
              </w:rPr>
              <w:br/>
            </w:r>
            <w:r>
              <w:rPr>
                <w:sz w:val="20"/>
              </w:rPr>
              <w:br/>
            </w:r>
            <w:r>
              <w:rPr>
                <w:sz w:val="20"/>
              </w:rPr>
              <w:br/>
            </w:r>
            <w:r>
              <w:rPr>
                <w:sz w:val="20"/>
              </w:rPr>
              <w:br/>
              <w:t>292.00</w:t>
            </w:r>
          </w:p>
        </w:tc>
        <w:tc>
          <w:tcPr>
            <w:tcW w:w="798" w:type="dxa"/>
          </w:tcPr>
          <w:p>
            <w:pPr>
              <w:pStyle w:val="yTable"/>
              <w:jc w:val="center"/>
              <w:rPr>
                <w:sz w:val="20"/>
              </w:rPr>
            </w:pPr>
            <w:r>
              <w:rPr>
                <w:sz w:val="20"/>
              </w:rPr>
              <w:br/>
            </w:r>
            <w:r>
              <w:rPr>
                <w:sz w:val="20"/>
              </w:rPr>
              <w:br/>
            </w:r>
            <w:r>
              <w:rPr>
                <w:sz w:val="20"/>
              </w:rPr>
              <w:br/>
            </w:r>
            <w:r>
              <w:rPr>
                <w:sz w:val="20"/>
              </w:rPr>
              <w:br/>
            </w:r>
            <w:r>
              <w:rPr>
                <w:sz w:val="20"/>
              </w:rPr>
              <w:br/>
              <w:t>438.00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46.50</w:t>
            </w:r>
          </w:p>
        </w:tc>
        <w:tc>
          <w:tcPr>
            <w:tcW w:w="770"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70.00</w:t>
            </w:r>
          </w:p>
        </w:tc>
        <w:tc>
          <w:tcPr>
            <w:tcW w:w="854"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85.00</w:t>
            </w:r>
          </w:p>
        </w:tc>
        <w:tc>
          <w:tcPr>
            <w:tcW w:w="857"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109.50</w:t>
            </w:r>
          </w:p>
        </w:tc>
        <w:tc>
          <w:tcPr>
            <w:tcW w:w="783"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135.50</w:t>
            </w:r>
          </w:p>
        </w:tc>
        <w:tc>
          <w:tcPr>
            <w:tcW w:w="798"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174.50</w:t>
            </w:r>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20"/>
              </w:rPr>
            </w:pPr>
            <w:r>
              <w:rPr>
                <w:sz w:val="20"/>
              </w:rPr>
              <w:br/>
              <w:t>24.00</w:t>
            </w:r>
          </w:p>
        </w:tc>
        <w:tc>
          <w:tcPr>
            <w:tcW w:w="770" w:type="dxa"/>
          </w:tcPr>
          <w:p>
            <w:pPr>
              <w:pStyle w:val="yTable"/>
              <w:jc w:val="center"/>
              <w:rPr>
                <w:sz w:val="20"/>
              </w:rPr>
            </w:pPr>
            <w:r>
              <w:rPr>
                <w:sz w:val="20"/>
              </w:rPr>
              <w:br/>
              <w:t>47.50</w:t>
            </w:r>
          </w:p>
        </w:tc>
        <w:tc>
          <w:tcPr>
            <w:tcW w:w="854" w:type="dxa"/>
            <w:gridSpan w:val="2"/>
          </w:tcPr>
          <w:p>
            <w:pPr>
              <w:pStyle w:val="yTable"/>
              <w:jc w:val="center"/>
              <w:rPr>
                <w:sz w:val="20"/>
              </w:rPr>
            </w:pPr>
            <w:r>
              <w:rPr>
                <w:sz w:val="20"/>
              </w:rPr>
              <w:br/>
              <w:t>36.00</w:t>
            </w:r>
          </w:p>
        </w:tc>
        <w:tc>
          <w:tcPr>
            <w:tcW w:w="857" w:type="dxa"/>
            <w:gridSpan w:val="2"/>
          </w:tcPr>
          <w:p>
            <w:pPr>
              <w:pStyle w:val="yTable"/>
              <w:jc w:val="center"/>
              <w:rPr>
                <w:sz w:val="20"/>
              </w:rPr>
            </w:pPr>
            <w:r>
              <w:rPr>
                <w:sz w:val="20"/>
              </w:rPr>
              <w:br/>
              <w:t>72.50</w:t>
            </w:r>
          </w:p>
        </w:tc>
        <w:tc>
          <w:tcPr>
            <w:tcW w:w="783" w:type="dxa"/>
          </w:tcPr>
          <w:p>
            <w:pPr>
              <w:pStyle w:val="yTable"/>
              <w:jc w:val="center"/>
              <w:rPr>
                <w:sz w:val="20"/>
              </w:rPr>
            </w:pPr>
            <w:r>
              <w:rPr>
                <w:sz w:val="20"/>
              </w:rPr>
              <w:br/>
              <w:t>48.50</w:t>
            </w:r>
          </w:p>
        </w:tc>
        <w:tc>
          <w:tcPr>
            <w:tcW w:w="798" w:type="dxa"/>
          </w:tcPr>
          <w:p>
            <w:pPr>
              <w:pStyle w:val="yTable"/>
              <w:jc w:val="center"/>
              <w:rPr>
                <w:sz w:val="20"/>
              </w:rPr>
            </w:pPr>
            <w:r>
              <w:rPr>
                <w:sz w:val="20"/>
              </w:rPr>
              <w:br/>
              <w:t>97.00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20"/>
              </w:rPr>
            </w:pPr>
            <w:r>
              <w:rPr>
                <w:sz w:val="20"/>
              </w:rPr>
              <w:br/>
              <w:t>113.50</w:t>
            </w:r>
          </w:p>
        </w:tc>
        <w:tc>
          <w:tcPr>
            <w:tcW w:w="770" w:type="dxa"/>
          </w:tcPr>
          <w:p>
            <w:pPr>
              <w:pStyle w:val="yTable"/>
              <w:jc w:val="center"/>
              <w:rPr>
                <w:sz w:val="20"/>
              </w:rPr>
            </w:pPr>
            <w:r>
              <w:rPr>
                <w:sz w:val="20"/>
              </w:rPr>
              <w:br/>
              <w:t>170.50</w:t>
            </w:r>
          </w:p>
        </w:tc>
        <w:tc>
          <w:tcPr>
            <w:tcW w:w="854" w:type="dxa"/>
            <w:gridSpan w:val="2"/>
          </w:tcPr>
          <w:p>
            <w:pPr>
              <w:pStyle w:val="yTable"/>
              <w:jc w:val="center"/>
              <w:rPr>
                <w:sz w:val="20"/>
              </w:rPr>
            </w:pPr>
            <w:r>
              <w:rPr>
                <w:sz w:val="20"/>
              </w:rPr>
              <w:br/>
              <w:t>206.00</w:t>
            </w:r>
          </w:p>
        </w:tc>
        <w:tc>
          <w:tcPr>
            <w:tcW w:w="857" w:type="dxa"/>
            <w:gridSpan w:val="2"/>
          </w:tcPr>
          <w:p>
            <w:pPr>
              <w:pStyle w:val="yTable"/>
              <w:jc w:val="center"/>
              <w:rPr>
                <w:sz w:val="20"/>
              </w:rPr>
            </w:pPr>
            <w:r>
              <w:rPr>
                <w:sz w:val="20"/>
              </w:rPr>
              <w:br/>
              <w:t>308.00</w:t>
            </w:r>
          </w:p>
        </w:tc>
        <w:tc>
          <w:tcPr>
            <w:tcW w:w="783" w:type="dxa"/>
          </w:tcPr>
          <w:p>
            <w:pPr>
              <w:pStyle w:val="yTable"/>
              <w:jc w:val="center"/>
              <w:rPr>
                <w:sz w:val="20"/>
              </w:rPr>
            </w:pPr>
            <w:r>
              <w:rPr>
                <w:sz w:val="20"/>
              </w:rPr>
              <w:br/>
              <w:t>230.00</w:t>
            </w:r>
          </w:p>
        </w:tc>
        <w:tc>
          <w:tcPr>
            <w:tcW w:w="798" w:type="dxa"/>
          </w:tcPr>
          <w:p>
            <w:pPr>
              <w:pStyle w:val="yTable"/>
              <w:jc w:val="center"/>
              <w:rPr>
                <w:sz w:val="20"/>
              </w:rPr>
            </w:pPr>
            <w:r>
              <w:rPr>
                <w:sz w:val="20"/>
              </w:rPr>
              <w:br/>
              <w:t>344.00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spacing w:before="140"/>
              <w:rPr>
                <w:sz w:val="18"/>
              </w:rPr>
            </w:pPr>
            <w:r>
              <w:rPr>
                <w:sz w:val="18"/>
              </w:rPr>
              <w:t>5.</w:t>
            </w:r>
          </w:p>
        </w:tc>
        <w:tc>
          <w:tcPr>
            <w:tcW w:w="1554" w:type="dxa"/>
          </w:tcPr>
          <w:p>
            <w:pPr>
              <w:pStyle w:val="yTable"/>
              <w:spacing w:before="140"/>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spacing w:before="140"/>
              <w:rPr>
                <w:sz w:val="18"/>
              </w:rPr>
            </w:pPr>
            <w:r>
              <w:rPr>
                <w:sz w:val="18"/>
              </w:rPr>
              <w:t>6.</w:t>
            </w:r>
          </w:p>
        </w:tc>
        <w:tc>
          <w:tcPr>
            <w:tcW w:w="1554" w:type="dxa"/>
          </w:tcPr>
          <w:p>
            <w:pPr>
              <w:pStyle w:val="yTable"/>
              <w:spacing w:before="140"/>
              <w:ind w:left="-29" w:right="-68" w:hanging="11"/>
              <w:rPr>
                <w:sz w:val="18"/>
              </w:rPr>
            </w:pPr>
            <w:r>
              <w:rPr>
                <w:sz w:val="18"/>
              </w:rPr>
              <w:t>Half Daily hearing fee before the Court constituted by a magistrate</w:t>
            </w:r>
          </w:p>
        </w:tc>
        <w:tc>
          <w:tcPr>
            <w:tcW w:w="966" w:type="dxa"/>
          </w:tcPr>
          <w:p>
            <w:pPr>
              <w:pStyle w:val="yTable"/>
              <w:jc w:val="center"/>
              <w:rPr>
                <w:sz w:val="20"/>
              </w:rPr>
            </w:pP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60.00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89.50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72.50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108.50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97.50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147.50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20"/>
              </w:rPr>
            </w:pPr>
            <w:r>
              <w:rPr>
                <w:sz w:val="20"/>
              </w:rPr>
              <w:br/>
            </w:r>
            <w:r>
              <w:rPr>
                <w:sz w:val="20"/>
              </w:rPr>
              <w:br/>
            </w:r>
            <w:r>
              <w:rPr>
                <w:sz w:val="20"/>
              </w:rPr>
              <w:br/>
              <w:t>60.00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70" w:type="dxa"/>
          </w:tcPr>
          <w:p>
            <w:pPr>
              <w:pStyle w:val="yTable"/>
              <w:jc w:val="center"/>
              <w:rPr>
                <w:sz w:val="20"/>
              </w:rPr>
            </w:pPr>
            <w:r>
              <w:rPr>
                <w:sz w:val="20"/>
              </w:rPr>
              <w:br/>
            </w:r>
            <w:r>
              <w:rPr>
                <w:sz w:val="20"/>
              </w:rPr>
              <w:br/>
            </w:r>
            <w:r>
              <w:rPr>
                <w:sz w:val="20"/>
              </w:rPr>
              <w:br/>
              <w:t>89.50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4" w:type="dxa"/>
            <w:gridSpan w:val="2"/>
          </w:tcPr>
          <w:p>
            <w:pPr>
              <w:pStyle w:val="yTable"/>
              <w:jc w:val="center"/>
              <w:rPr>
                <w:sz w:val="20"/>
              </w:rPr>
            </w:pPr>
            <w:r>
              <w:rPr>
                <w:sz w:val="20"/>
              </w:rPr>
              <w:br/>
            </w:r>
            <w:r>
              <w:rPr>
                <w:sz w:val="20"/>
              </w:rPr>
              <w:br/>
            </w:r>
            <w:r>
              <w:rPr>
                <w:sz w:val="20"/>
              </w:rPr>
              <w:br/>
              <w:t>72.50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7" w:type="dxa"/>
            <w:gridSpan w:val="2"/>
          </w:tcPr>
          <w:p>
            <w:pPr>
              <w:pStyle w:val="yTable"/>
              <w:jc w:val="center"/>
              <w:rPr>
                <w:sz w:val="20"/>
              </w:rPr>
            </w:pPr>
            <w:r>
              <w:rPr>
                <w:sz w:val="20"/>
              </w:rPr>
              <w:br/>
            </w:r>
            <w:r>
              <w:rPr>
                <w:sz w:val="20"/>
              </w:rPr>
              <w:br/>
            </w:r>
            <w:r>
              <w:rPr>
                <w:sz w:val="20"/>
              </w:rPr>
              <w:br/>
              <w:t>108.50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83" w:type="dxa"/>
          </w:tcPr>
          <w:p>
            <w:pPr>
              <w:pStyle w:val="yTable"/>
              <w:jc w:val="center"/>
              <w:rPr>
                <w:sz w:val="20"/>
              </w:rPr>
            </w:pPr>
            <w:r>
              <w:rPr>
                <w:sz w:val="20"/>
              </w:rPr>
              <w:br/>
            </w:r>
            <w:r>
              <w:rPr>
                <w:sz w:val="20"/>
              </w:rPr>
              <w:br/>
            </w:r>
            <w:r>
              <w:rPr>
                <w:sz w:val="20"/>
              </w:rPr>
              <w:br/>
              <w:t>97.50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98" w:type="dxa"/>
          </w:tcPr>
          <w:p>
            <w:pPr>
              <w:pStyle w:val="yTable"/>
              <w:jc w:val="center"/>
              <w:rPr>
                <w:sz w:val="20"/>
              </w:rPr>
            </w:pPr>
            <w:r>
              <w:rPr>
                <w:sz w:val="20"/>
              </w:rPr>
              <w:br/>
            </w:r>
            <w:r>
              <w:rPr>
                <w:sz w:val="20"/>
              </w:rPr>
              <w:br/>
            </w:r>
            <w:r>
              <w:rPr>
                <w:sz w:val="20"/>
              </w:rPr>
              <w:br/>
              <w:t>147.50</w:t>
            </w:r>
          </w:p>
          <w:p>
            <w:pPr>
              <w:pStyle w:val="yTable"/>
              <w:spacing w:before="0"/>
              <w:jc w:val="center"/>
              <w:rPr>
                <w:sz w:val="20"/>
              </w:rPr>
            </w:pPr>
            <w:r>
              <w:rPr>
                <w:sz w:val="20"/>
              </w:rPr>
              <w:br/>
            </w:r>
            <w:r>
              <w:rPr>
                <w:sz w:val="20"/>
              </w:rPr>
              <w:br/>
            </w:r>
            <w:r>
              <w:rPr>
                <w:sz w:val="20"/>
              </w:rPr>
              <w:br/>
            </w:r>
            <w:r>
              <w:rPr>
                <w:sz w:val="20"/>
              </w:rPr>
              <w:br/>
            </w:r>
            <w:r>
              <w:rPr>
                <w:sz w:val="20"/>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r>
        <w:trPr>
          <w:cantSplit/>
        </w:trPr>
        <w:tc>
          <w:tcPr>
            <w:tcW w:w="7086" w:type="dxa"/>
            <w:gridSpan w:val="11"/>
          </w:tcPr>
          <w:p>
            <w:pPr>
              <w:pStyle w:val="yTable"/>
            </w:pPr>
            <w:r>
              <w:rPr>
                <w:sz w:val="18"/>
              </w:rPr>
              <w:t>NOTE 3</w:t>
            </w:r>
          </w:p>
          <w:p>
            <w:pPr>
              <w:pStyle w:val="yTable"/>
              <w:tabs>
                <w:tab w:val="left" w:pos="431"/>
              </w:tabs>
              <w:ind w:left="431" w:hanging="431"/>
              <w:rPr>
                <w:sz w:val="18"/>
              </w:rPr>
            </w:pPr>
            <w:r>
              <w:rPr>
                <w:sz w:val="18"/>
              </w:rPr>
              <w:t xml:space="preserve">If the parties agree on the bill of costs and the appointment is cancelled, the following percentage of the fee paid is to be refunded — </w:t>
            </w:r>
          </w:p>
          <w:p>
            <w:pPr>
              <w:pStyle w:val="yTable"/>
              <w:tabs>
                <w:tab w:val="left" w:pos="431"/>
              </w:tabs>
              <w:ind w:left="431" w:hanging="431"/>
              <w:rPr>
                <w:sz w:val="18"/>
              </w:rPr>
            </w:pPr>
            <w:r>
              <w:rPr>
                <w:sz w:val="18"/>
              </w:rPr>
              <w:t>(a)</w:t>
            </w:r>
            <w:r>
              <w:rPr>
                <w:sz w:val="18"/>
              </w:rPr>
              <w:tab/>
              <w:t>if the appointment is cancelled less than 3 days before the day of the appointment, nil;</w:t>
            </w:r>
          </w:p>
          <w:p>
            <w:pPr>
              <w:pStyle w:val="yTable"/>
              <w:tabs>
                <w:tab w:val="left" w:pos="431"/>
              </w:tabs>
              <w:ind w:left="431" w:hanging="431"/>
              <w:rPr>
                <w:sz w:val="18"/>
              </w:rPr>
            </w:pPr>
            <w:r>
              <w:rPr>
                <w:sz w:val="18"/>
              </w:rPr>
              <w:t>(b)</w:t>
            </w:r>
            <w:r>
              <w:rPr>
                <w:sz w:val="18"/>
              </w:rPr>
              <w:tab/>
              <w:t>if the appointment is cancelled 3 days or more and less than 10 days before the day of the appointment, 50%;</w:t>
            </w:r>
          </w:p>
          <w:p>
            <w:pPr>
              <w:pStyle w:val="yTable"/>
              <w:tabs>
                <w:tab w:val="left" w:pos="431"/>
              </w:tabs>
              <w:ind w:left="431" w:hanging="431"/>
              <w:rPr>
                <w:sz w:val="18"/>
              </w:rPr>
            </w:pPr>
            <w:r>
              <w:rPr>
                <w:sz w:val="18"/>
              </w:rPr>
              <w:t>(c)</w:t>
            </w:r>
            <w:r>
              <w:rPr>
                <w:sz w:val="18"/>
              </w:rPr>
              <w:tab/>
              <w:t>if the appointment is cancelled 10 or more days before the day of the appointment, 80%.</w:t>
            </w:r>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Pr>
          <w:p>
            <w:pPr>
              <w:pStyle w:val="yTable"/>
              <w:jc w:val="center"/>
              <w:rPr>
                <w:sz w:val="18"/>
              </w:rPr>
            </w:pPr>
            <w:r>
              <w:rPr>
                <w:sz w:val="18"/>
              </w:rPr>
              <w:t>9.</w:t>
            </w:r>
          </w:p>
        </w:tc>
        <w:tc>
          <w:tcPr>
            <w:tcW w:w="4824" w:type="dxa"/>
          </w:tcPr>
          <w:p>
            <w:pPr>
              <w:pStyle w:val="yTable"/>
              <w:rPr>
                <w:sz w:val="18"/>
              </w:rPr>
            </w:pPr>
            <w:r>
              <w:rPr>
                <w:sz w:val="18"/>
              </w:rPr>
              <w:t>On the execution of an arrest warrant of any kind —</w:t>
            </w:r>
          </w:p>
        </w:tc>
        <w:tc>
          <w:tcPr>
            <w:tcW w:w="1581" w:type="dxa"/>
          </w:tcPr>
          <w:p>
            <w:pPr>
              <w:pStyle w:val="yTable"/>
              <w:ind w:right="485"/>
              <w:jc w:val="right"/>
              <w:rPr>
                <w:sz w:val="18"/>
              </w:rPr>
            </w:pP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(a)</w:t>
            </w:r>
            <w:r>
              <w:rPr>
                <w:sz w:val="18"/>
              </w:rPr>
              <w:tab/>
              <w:t>for arresting the person ……………….</w:t>
            </w:r>
          </w:p>
        </w:tc>
        <w:tc>
          <w:tcPr>
            <w:tcW w:w="1581" w:type="dxa"/>
          </w:tcPr>
          <w:p>
            <w:pPr>
              <w:pStyle w:val="yTable"/>
              <w:ind w:right="485"/>
              <w:jc w:val="right"/>
              <w:rPr>
                <w:sz w:val="20"/>
              </w:rPr>
            </w:pPr>
            <w:r>
              <w:rPr>
                <w:sz w:val="20"/>
              </w:rP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(b)</w:t>
            </w:r>
            <w:r>
              <w:rPr>
                <w:sz w:val="18"/>
              </w:rPr>
              <w:tab/>
              <w:t>for conveying the person to a court or a custodial place and releasing the person from arrest or custody …………</w:t>
            </w:r>
          </w:p>
        </w:tc>
        <w:tc>
          <w:tcPr>
            <w:tcW w:w="1581" w:type="dxa"/>
          </w:tcPr>
          <w:p>
            <w:pPr>
              <w:pStyle w:val="yTable"/>
              <w:ind w:right="485"/>
              <w:jc w:val="right"/>
              <w:rPr>
                <w:sz w:val="20"/>
              </w:rPr>
            </w:pPr>
            <w:r>
              <w:rPr>
                <w:sz w:val="20"/>
              </w:rPr>
              <w:b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(c)</w:t>
            </w:r>
            <w:r>
              <w:rPr>
                <w:sz w:val="18"/>
              </w:rPr>
              <w:tab/>
              <w:t>for each 30 minutes after 2 hours and 30 minutes that an enforcement officer is required to keep the person in custody until he or she is conveyed to a court or a custodial place …………….………….………….…….</w:t>
            </w:r>
          </w:p>
        </w:tc>
        <w:tc>
          <w:tcPr>
            <w:tcW w:w="1581" w:type="dxa"/>
          </w:tcPr>
          <w:p>
            <w:pPr>
              <w:pStyle w:val="yTable"/>
              <w:ind w:right="485"/>
              <w:jc w:val="right"/>
              <w:rPr>
                <w:sz w:val="20"/>
              </w:rPr>
            </w:pPr>
            <w:r>
              <w:rPr>
                <w:sz w:val="20"/>
              </w:rPr>
              <w:br/>
            </w:r>
            <w:r>
              <w:rPr>
                <w:sz w:val="20"/>
              </w:rPr>
              <w:br/>
            </w:r>
            <w:r>
              <w:rPr>
                <w:sz w:val="20"/>
              </w:rPr>
              <w:br/>
              <w:t>20.50</w:t>
            </w:r>
          </w:p>
        </w:tc>
      </w:tr>
      <w:tr>
        <w:trPr>
          <w:cantSplit/>
        </w:trPr>
        <w:tc>
          <w:tcPr>
            <w:tcW w:w="7086" w:type="dxa"/>
            <w:gridSpan w:val="3"/>
          </w:tcPr>
          <w:p>
            <w:pPr>
              <w:pStyle w:val="yTable"/>
              <w:tabs>
                <w:tab w:val="left" w:pos="431"/>
              </w:tabs>
              <w:ind w:left="431" w:hanging="431"/>
              <w:rPr>
                <w:sz w:val="18"/>
              </w:rPr>
            </w:pPr>
            <w:r>
              <w:rPr>
                <w:sz w:val="18"/>
              </w:rPr>
              <w:t>NOTE 1</w:t>
            </w:r>
          </w:p>
          <w:p>
            <w:pPr>
              <w:pStyle w:val="yTable"/>
              <w:rPr>
                <w:sz w:val="18"/>
              </w:rPr>
            </w:pPr>
            <w:r>
              <w:rPr>
                <w:sz w:val="18"/>
              </w:rPr>
              <w:t>The fee under paragraph (a) is payable whether or not the Sheriff’s functions under the warrant are performed and includes up to 3 attempts to perform the functions at the same address.</w:t>
            </w:r>
          </w:p>
        </w:tc>
      </w:tr>
      <w:tr>
        <w:trPr>
          <w:cantSplit/>
        </w:trPr>
        <w:tc>
          <w:tcPr>
            <w:tcW w:w="7086" w:type="dxa"/>
            <w:gridSpan w:val="3"/>
          </w:tcPr>
          <w:p>
            <w:pPr>
              <w:pStyle w:val="yTable"/>
              <w:tabs>
                <w:tab w:val="left" w:pos="431"/>
              </w:tabs>
              <w:ind w:left="431" w:hanging="431"/>
              <w:rPr>
                <w:sz w:val="18"/>
              </w:rPr>
            </w:pPr>
            <w:r>
              <w:rPr>
                <w:sz w:val="18"/>
              </w:rPr>
              <w:t>NOTE 2</w:t>
            </w:r>
          </w:p>
          <w:p>
            <w:pPr>
              <w:pStyle w:val="yTable"/>
              <w:tabs>
                <w:tab w:val="left" w:pos="431"/>
              </w:tabs>
              <w:ind w:left="431" w:hanging="431"/>
              <w:rPr>
                <w:sz w:val="18"/>
              </w:rPr>
            </w:pPr>
            <w:r>
              <w:rPr>
                <w:sz w:val="18"/>
              </w:rPr>
              <w:t xml:space="preserve">The fee under paragraph (a) includes — </w:t>
            </w:r>
          </w:p>
          <w:p>
            <w:pPr>
              <w:pStyle w:val="yTable"/>
              <w:tabs>
                <w:tab w:val="left" w:pos="431"/>
              </w:tabs>
              <w:ind w:left="431" w:hanging="431"/>
              <w:rPr>
                <w:sz w:val="18"/>
              </w:rPr>
            </w:pPr>
            <w:r>
              <w:rPr>
                <w:sz w:val="18"/>
              </w:rPr>
              <w:t>(a)</w:t>
            </w:r>
            <w:r>
              <w:rPr>
                <w:sz w:val="18"/>
              </w:rPr>
              <w:tab/>
              <w:t>receipt of the warrant; and</w:t>
            </w:r>
          </w:p>
          <w:p>
            <w:pPr>
              <w:pStyle w:val="yTable"/>
              <w:tabs>
                <w:tab w:val="left" w:pos="431"/>
              </w:tabs>
              <w:ind w:left="431" w:hanging="431"/>
              <w:rPr>
                <w:sz w:val="18"/>
              </w:rPr>
            </w:pPr>
            <w:r>
              <w:rPr>
                <w:sz w:val="18"/>
              </w:rPr>
              <w:t>(b)</w:t>
            </w:r>
            <w:r>
              <w:rPr>
                <w:sz w:val="18"/>
              </w:rPr>
              <w:tab/>
              <w:t>attendances and inquiries before attempting arrest; and</w:t>
            </w:r>
          </w:p>
          <w:p>
            <w:pPr>
              <w:pStyle w:val="yTable"/>
              <w:tabs>
                <w:tab w:val="left" w:pos="431"/>
              </w:tabs>
              <w:ind w:left="431" w:hanging="431"/>
              <w:rPr>
                <w:sz w:val="18"/>
              </w:rPr>
            </w:pPr>
            <w:r>
              <w:rPr>
                <w:sz w:val="18"/>
              </w:rPr>
              <w:t>(c)</w:t>
            </w:r>
            <w:r>
              <w:rPr>
                <w:sz w:val="18"/>
              </w:rPr>
              <w:tab/>
              <w:t>giving any notice; and</w:t>
            </w:r>
          </w:p>
          <w:p>
            <w:pPr>
              <w:pStyle w:val="yTable"/>
              <w:tabs>
                <w:tab w:val="left" w:pos="431"/>
              </w:tabs>
              <w:ind w:left="431" w:hanging="431"/>
              <w:rPr>
                <w:sz w:val="18"/>
              </w:rPr>
            </w:pPr>
            <w:r>
              <w:rPr>
                <w:sz w:val="18"/>
              </w:rPr>
              <w:t>(d)</w:t>
            </w:r>
            <w:r>
              <w:rPr>
                <w:sz w:val="18"/>
              </w:rPr>
              <w:tab/>
              <w:t>making any report.</w:t>
            </w:r>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20"/>
              </w:rPr>
            </w:pPr>
            <w:r>
              <w:rPr>
                <w:sz w:val="20"/>
              </w:rPr>
              <w:br/>
              <w:t>183.00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71.50</w:t>
            </w:r>
          </w:p>
        </w:tc>
      </w:tr>
    </w:tbl>
    <w:p>
      <w:pPr>
        <w:pStyle w:val="yFootnotesection"/>
      </w:pPr>
      <w:bookmarkStart w:id="141" w:name="_Toc100631334"/>
      <w:bookmarkStart w:id="142" w:name="_Toc102451463"/>
      <w:r>
        <w:tab/>
        <w:t>[Division 2 amended in Gazette 23 Jun 2006 p. 2179</w:t>
      </w:r>
      <w:r>
        <w:noBreakHyphen/>
        <w:t>81; 26 Jun 2007 p. 3034-5; 27 Jun 2008 p. 3069-70; 23 Dec 2008 p. 5472</w:t>
      </w:r>
      <w:r>
        <w:noBreakHyphen/>
        <w:t>3.]</w:t>
      </w:r>
    </w:p>
    <w:p>
      <w:pPr>
        <w:pStyle w:val="yHeading3"/>
        <w:spacing w:after="240"/>
      </w:pPr>
      <w:bookmarkStart w:id="143" w:name="_Toc139104718"/>
      <w:bookmarkStart w:id="144" w:name="_Toc139276716"/>
      <w:bookmarkStart w:id="145" w:name="_Toc171051735"/>
      <w:bookmarkStart w:id="146" w:name="_Toc198631555"/>
      <w:bookmarkStart w:id="147" w:name="_Toc202521835"/>
      <w:bookmarkStart w:id="148" w:name="_Toc203535230"/>
      <w:bookmarkStart w:id="149" w:name="_Toc207168615"/>
      <w:bookmarkStart w:id="150" w:name="_Toc210114991"/>
      <w:bookmarkStart w:id="151" w:name="_Toc210119119"/>
      <w:r>
        <w:rPr>
          <w:rStyle w:val="CharSDivNo"/>
        </w:rPr>
        <w:t>Division 3</w:t>
      </w:r>
      <w:r>
        <w:rPr>
          <w:b w:val="0"/>
        </w:rPr>
        <w:t> — </w:t>
      </w:r>
      <w:r>
        <w:rPr>
          <w:rStyle w:val="CharSDivText"/>
        </w:rPr>
        <w:t>Criminal jurisdiction</w:t>
      </w:r>
      <w:bookmarkEnd w:id="141"/>
      <w:bookmarkEnd w:id="142"/>
      <w:bookmarkEnd w:id="143"/>
      <w:bookmarkEnd w:id="144"/>
      <w:bookmarkEnd w:id="145"/>
      <w:bookmarkEnd w:id="146"/>
      <w:bookmarkEnd w:id="147"/>
      <w:bookmarkEnd w:id="148"/>
      <w:bookmarkEnd w:id="149"/>
      <w:bookmarkEnd w:id="150"/>
      <w:bookmarkEnd w:id="151"/>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60.00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11.50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152" w:name="_Toc100631335"/>
      <w:r>
        <w:tab/>
        <w:t>[Division 3 amended in Gazette 23 Jun 2006 p. 2181; 26 Jun 2007 p. 3035; 27 Jun 2008 p. 3070.]</w:t>
      </w:r>
    </w:p>
    <w:p>
      <w:pPr>
        <w:pStyle w:val="yScheduleHeading"/>
      </w:pPr>
      <w:bookmarkStart w:id="153" w:name="_Toc102451464"/>
      <w:bookmarkStart w:id="154" w:name="_Toc139104719"/>
      <w:bookmarkStart w:id="155" w:name="_Toc139276717"/>
      <w:bookmarkStart w:id="156" w:name="_Toc171051736"/>
      <w:bookmarkStart w:id="157" w:name="_Toc198631556"/>
      <w:bookmarkStart w:id="158" w:name="_Toc202521836"/>
      <w:bookmarkStart w:id="159" w:name="_Toc203535231"/>
      <w:bookmarkStart w:id="160" w:name="_Toc207168616"/>
      <w:bookmarkStart w:id="161" w:name="_Toc210114992"/>
      <w:bookmarkStart w:id="162" w:name="_Toc210119120"/>
      <w:r>
        <w:rPr>
          <w:rStyle w:val="CharSchNo"/>
        </w:rPr>
        <w:t>Schedule 2</w:t>
      </w:r>
      <w:r>
        <w:rPr>
          <w:rStyle w:val="CharSDivNo"/>
        </w:rPr>
        <w:t> </w:t>
      </w:r>
      <w:r>
        <w:t>—</w:t>
      </w:r>
      <w:r>
        <w:rPr>
          <w:rStyle w:val="CharSDivText"/>
        </w:rPr>
        <w:t> </w:t>
      </w:r>
      <w:r>
        <w:rPr>
          <w:rStyle w:val="CharSchText"/>
        </w:rPr>
        <w:t>Forms</w:t>
      </w:r>
      <w:bookmarkEnd w:id="152"/>
      <w:bookmarkEnd w:id="153"/>
      <w:bookmarkEnd w:id="154"/>
      <w:bookmarkEnd w:id="155"/>
      <w:bookmarkEnd w:id="156"/>
      <w:bookmarkEnd w:id="157"/>
      <w:bookmarkEnd w:id="158"/>
      <w:bookmarkEnd w:id="159"/>
      <w:bookmarkEnd w:id="160"/>
      <w:bookmarkEnd w:id="161"/>
      <w:bookmarkEnd w:id="162"/>
    </w:p>
    <w:p>
      <w:pPr>
        <w:pStyle w:val="yShoulderClause"/>
      </w:pPr>
      <w:r>
        <w:t>[r. 4(6), 8(6), 13(2)]</w:t>
      </w:r>
    </w:p>
    <w:p>
      <w:pPr>
        <w:pStyle w:val="yHeading5"/>
      </w:pPr>
      <w:bookmarkStart w:id="163" w:name="_Toc96398510"/>
      <w:bookmarkStart w:id="164" w:name="_Toc96417044"/>
      <w:bookmarkStart w:id="165" w:name="_Toc100631336"/>
      <w:bookmarkStart w:id="166" w:name="_Toc102451465"/>
      <w:bookmarkStart w:id="167" w:name="_Toc210119121"/>
      <w:r>
        <w:rPr>
          <w:rStyle w:val="CharSClsNo"/>
        </w:rPr>
        <w:t>1</w:t>
      </w:r>
      <w:r>
        <w:t>.</w:t>
      </w:r>
      <w:r>
        <w:tab/>
        <w:t>Declaration that a person is a small business or a non</w:t>
      </w:r>
      <w:r>
        <w:noBreakHyphen/>
        <w:t>profit association</w:t>
      </w:r>
      <w:bookmarkEnd w:id="163"/>
      <w:bookmarkEnd w:id="164"/>
      <w:bookmarkEnd w:id="165"/>
      <w:bookmarkEnd w:id="166"/>
      <w:bookmarkEnd w:id="167"/>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168" w:name="_Toc96398511"/>
      <w:bookmarkStart w:id="169" w:name="_Toc96417045"/>
      <w:bookmarkStart w:id="170" w:name="_Toc100631337"/>
      <w:bookmarkStart w:id="171" w:name="_Toc102451466"/>
      <w:bookmarkStart w:id="172" w:name="_Toc210119122"/>
      <w:r>
        <w:rPr>
          <w:rStyle w:val="CharSClsNo"/>
        </w:rPr>
        <w:t>2</w:t>
      </w:r>
      <w:r>
        <w:t>.</w:t>
      </w:r>
      <w:r>
        <w:tab/>
        <w:t>Application to remit fees</w:t>
      </w:r>
      <w:bookmarkEnd w:id="168"/>
      <w:bookmarkEnd w:id="169"/>
      <w:bookmarkEnd w:id="170"/>
      <w:bookmarkEnd w:id="171"/>
      <w:bookmarkEnd w:id="17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73" w:name="_Toc100631338"/>
      <w:bookmarkStart w:id="174" w:name="_Toc102451467"/>
      <w:bookmarkStart w:id="175" w:name="_Toc210119123"/>
      <w:r>
        <w:rPr>
          <w:rStyle w:val="CharSClsNo"/>
        </w:rPr>
        <w:t>3</w:t>
      </w:r>
      <w:r>
        <w:t>.</w:t>
      </w:r>
      <w:r>
        <w:tab/>
        <w:t>Application for determination of dispute about fees</w:t>
      </w:r>
      <w:bookmarkEnd w:id="173"/>
      <w:bookmarkEnd w:id="174"/>
      <w:bookmarkEnd w:id="17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76" w:name="_Toc102451468"/>
      <w:bookmarkStart w:id="177" w:name="_Toc139104723"/>
      <w:bookmarkStart w:id="178" w:name="_Toc139276721"/>
      <w:bookmarkStart w:id="179" w:name="_Toc171051740"/>
      <w:bookmarkStart w:id="180" w:name="_Toc198631560"/>
      <w:bookmarkStart w:id="181" w:name="_Toc202521840"/>
      <w:bookmarkStart w:id="182" w:name="_Toc203535235"/>
      <w:bookmarkStart w:id="183" w:name="_Toc207168620"/>
      <w:bookmarkStart w:id="184" w:name="_Toc210114996"/>
      <w:bookmarkStart w:id="185" w:name="_Toc210119124"/>
      <w:r>
        <w:t>Notes</w:t>
      </w:r>
      <w:bookmarkEnd w:id="176"/>
      <w:bookmarkEnd w:id="177"/>
      <w:bookmarkEnd w:id="178"/>
      <w:bookmarkEnd w:id="179"/>
      <w:bookmarkEnd w:id="180"/>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(Fees) Regulations 2005</w:t>
      </w:r>
      <w:r>
        <w:rPr>
          <w:snapToGrid w:val="0"/>
        </w:rPr>
        <w:t xml:space="preserve"> and includes the amendments made by the other written laws referred to in the following table.</w:t>
      </w:r>
    </w:p>
    <w:p>
      <w:pPr>
        <w:pStyle w:val="nHeading3"/>
      </w:pPr>
      <w:bookmarkStart w:id="186" w:name="_Toc70311430"/>
      <w:bookmarkStart w:id="187" w:name="_Toc102451469"/>
      <w:bookmarkStart w:id="188" w:name="_Toc210119125"/>
      <w:r>
        <w:t>Compilation table</w:t>
      </w:r>
      <w:bookmarkEnd w:id="186"/>
      <w:bookmarkEnd w:id="187"/>
      <w:bookmarkEnd w:id="1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sz w:val="19"/>
              </w:rPr>
              <w:t>Magistrates Court (Fees) Regulations 2005</w:t>
            </w:r>
          </w:p>
        </w:tc>
        <w:tc>
          <w:tcPr>
            <w:tcW w:w="1276" w:type="dxa"/>
            <w:tcBorders>
              <w:top w:val="single" w:sz="4" w:space="0" w:color="auto"/>
            </w:tcBorders>
          </w:tcPr>
          <w:p>
            <w:pPr>
              <w:pStyle w:val="nTable"/>
              <w:rPr>
                <w:sz w:val="19"/>
              </w:rPr>
            </w:pPr>
            <w:r>
              <w:rPr>
                <w:sz w:val="19"/>
              </w:rPr>
              <w:t>28 Apr 2005 p. 1573-603</w:t>
            </w:r>
          </w:p>
        </w:tc>
        <w:tc>
          <w:tcPr>
            <w:tcW w:w="2693" w:type="dxa"/>
            <w:tcBorders>
              <w:top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rPr>
                <w:i/>
                <w:sz w:val="19"/>
              </w:rPr>
            </w:pPr>
            <w:r>
              <w:rPr>
                <w:i/>
                <w:sz w:val="19"/>
              </w:rPr>
              <w:t>Magistrates Court (Fees) Amendment Regulations 2006</w:t>
            </w:r>
          </w:p>
        </w:tc>
        <w:tc>
          <w:tcPr>
            <w:tcW w:w="1276" w:type="dxa"/>
          </w:tcPr>
          <w:p>
            <w:pPr>
              <w:pStyle w:val="nTable"/>
              <w:rPr>
                <w:sz w:val="19"/>
              </w:rPr>
            </w:pPr>
            <w:r>
              <w:rPr>
                <w:sz w:val="19"/>
              </w:rPr>
              <w:t>23 Jun 2006 p. 2178</w:t>
            </w:r>
            <w:r>
              <w:rPr>
                <w:sz w:val="19"/>
              </w:rPr>
              <w:noBreakHyphen/>
              <w:t>81</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Magistrates Court (Fees) Amendment Regulations 2007</w:t>
            </w:r>
          </w:p>
        </w:tc>
        <w:tc>
          <w:tcPr>
            <w:tcW w:w="1276" w:type="dxa"/>
          </w:tcPr>
          <w:p>
            <w:pPr>
              <w:pStyle w:val="nTable"/>
              <w:rPr>
                <w:sz w:val="19"/>
              </w:rPr>
            </w:pPr>
            <w:r>
              <w:rPr>
                <w:sz w:val="19"/>
              </w:rPr>
              <w:t>26 Jun 2007 p. 3033-5</w:t>
            </w:r>
          </w:p>
        </w:tc>
        <w:tc>
          <w:tcPr>
            <w:tcW w:w="2693" w:type="dxa"/>
          </w:tcPr>
          <w:p>
            <w:pPr>
              <w:pStyle w:val="nTable"/>
              <w:rPr>
                <w:sz w:val="19"/>
              </w:rPr>
            </w:pPr>
            <w:r>
              <w:rPr>
                <w:sz w:val="19"/>
              </w:rPr>
              <w:t>r. 1 and 2: 26 Jun 2007 (see r. 2(a));</w:t>
            </w:r>
          </w:p>
          <w:p>
            <w:pPr>
              <w:pStyle w:val="nTable"/>
              <w:rPr>
                <w:sz w:val="19"/>
              </w:rPr>
            </w:pPr>
            <w:r>
              <w:rPr>
                <w:sz w:val="19"/>
              </w:rPr>
              <w:t>Regulations other than r. 1 and 2: 1 Jul 2007 (see r. 2(b))</w:t>
            </w:r>
          </w:p>
        </w:tc>
      </w:tr>
      <w:tr>
        <w:tc>
          <w:tcPr>
            <w:tcW w:w="3118" w:type="dxa"/>
          </w:tcPr>
          <w:p>
            <w:pPr>
              <w:pStyle w:val="nTable"/>
              <w:rPr>
                <w:i/>
                <w:sz w:val="19"/>
              </w:rPr>
            </w:pPr>
            <w:r>
              <w:rPr>
                <w:i/>
                <w:sz w:val="19"/>
              </w:rPr>
              <w:t>Magistrates Court (Fees) Amendment Regulations (No. 2) 2008</w:t>
            </w:r>
          </w:p>
        </w:tc>
        <w:tc>
          <w:tcPr>
            <w:tcW w:w="1276" w:type="dxa"/>
          </w:tcPr>
          <w:p>
            <w:pPr>
              <w:pStyle w:val="nTable"/>
              <w:rPr>
                <w:sz w:val="19"/>
              </w:rPr>
            </w:pPr>
            <w:r>
              <w:rPr>
                <w:sz w:val="19"/>
              </w:rPr>
              <w:t>27 Jun 2008 p. 3068-70</w:t>
            </w:r>
          </w:p>
        </w:tc>
        <w:tc>
          <w:tcPr>
            <w:tcW w:w="2693" w:type="dxa"/>
          </w:tcPr>
          <w:p>
            <w:pPr>
              <w:pStyle w:val="nTable"/>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rPr>
                <w:i/>
                <w:sz w:val="19"/>
              </w:rPr>
            </w:pPr>
            <w:r>
              <w:rPr>
                <w:i/>
                <w:sz w:val="19"/>
              </w:rPr>
              <w:t>Magistrates Court (Fees) Amendment Regulations 2008</w:t>
            </w:r>
          </w:p>
        </w:tc>
        <w:tc>
          <w:tcPr>
            <w:tcW w:w="1276" w:type="dxa"/>
          </w:tcPr>
          <w:p>
            <w:pPr>
              <w:pStyle w:val="nTable"/>
              <w:rPr>
                <w:sz w:val="19"/>
              </w:rPr>
            </w:pPr>
            <w:r>
              <w:rPr>
                <w:sz w:val="19"/>
              </w:rPr>
              <w:t>16 May 2008 p. 1910-11</w:t>
            </w:r>
          </w:p>
        </w:tc>
        <w:tc>
          <w:tcPr>
            <w:tcW w:w="2693" w:type="dxa"/>
          </w:tcPr>
          <w:p>
            <w:pPr>
              <w:pStyle w:val="nTable"/>
              <w:rPr>
                <w:snapToGrid w:val="0"/>
                <w:sz w:val="19"/>
                <w:lang w:val="en-US"/>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rPr>
                <w:i/>
                <w:sz w:val="19"/>
              </w:rPr>
            </w:pPr>
            <w:r>
              <w:rPr>
                <w:i/>
                <w:sz w:val="19"/>
              </w:rPr>
              <w:t>Magistrates Court (Fees) Amendment Regulations (No. 3) 2008</w:t>
            </w:r>
          </w:p>
        </w:tc>
        <w:tc>
          <w:tcPr>
            <w:tcW w:w="1276" w:type="dxa"/>
          </w:tcPr>
          <w:p>
            <w:pPr>
              <w:pStyle w:val="nTable"/>
              <w:rPr>
                <w:sz w:val="19"/>
              </w:rPr>
            </w:pPr>
            <w:r>
              <w:rPr>
                <w:sz w:val="19"/>
              </w:rPr>
              <w:t>22 Aug 2008 p. 3669-70</w:t>
            </w:r>
          </w:p>
        </w:tc>
        <w:tc>
          <w:tcPr>
            <w:tcW w:w="2693" w:type="dxa"/>
          </w:tcPr>
          <w:p>
            <w:pPr>
              <w:pStyle w:val="nTable"/>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Borders>
              <w:bottom w:val="single" w:sz="4" w:space="0" w:color="auto"/>
            </w:tcBorders>
          </w:tcPr>
          <w:p>
            <w:pPr>
              <w:pStyle w:val="nTable"/>
              <w:rPr>
                <w:i/>
                <w:sz w:val="19"/>
              </w:rPr>
            </w:pPr>
            <w:r>
              <w:rPr>
                <w:i/>
                <w:sz w:val="19"/>
              </w:rPr>
              <w:t>Magistrates Court (Fees) Amendment Regulations (No. 4) 2008</w:t>
            </w:r>
          </w:p>
        </w:tc>
        <w:tc>
          <w:tcPr>
            <w:tcW w:w="1276" w:type="dxa"/>
            <w:tcBorders>
              <w:bottom w:val="single" w:sz="4" w:space="0" w:color="auto"/>
            </w:tcBorders>
          </w:tcPr>
          <w:p>
            <w:pPr>
              <w:pStyle w:val="nTable"/>
              <w:rPr>
                <w:sz w:val="19"/>
              </w:rPr>
            </w:pPr>
            <w:r>
              <w:rPr>
                <w:sz w:val="19"/>
              </w:rPr>
              <w:t>23 Dec 2008 p. 5472</w:t>
            </w:r>
            <w:r>
              <w:rPr>
                <w:sz w:val="19"/>
              </w:rPr>
              <w:noBreakHyphen/>
              <w:t>3</w:t>
            </w:r>
          </w:p>
        </w:tc>
        <w:tc>
          <w:tcPr>
            <w:tcW w:w="2693" w:type="dxa"/>
            <w:tcBorders>
              <w:bottom w:val="single" w:sz="4" w:space="0" w:color="auto"/>
            </w:tcBorders>
          </w:tcPr>
          <w:p>
            <w:pPr>
              <w:pStyle w:val="nTable"/>
              <w:rPr>
                <w:snapToGrid w:val="0"/>
                <w:sz w:val="19"/>
                <w:lang w:val="en-US"/>
              </w:rPr>
            </w:pPr>
            <w:r>
              <w:rPr>
                <w:snapToGrid w:val="0"/>
                <w:sz w:val="19"/>
                <w:lang w:val="en-US"/>
              </w:rPr>
              <w:t>r. 1 and 2: 23 Dec 2008 (see r. 2(a));</w:t>
            </w:r>
            <w:r>
              <w:rPr>
                <w:snapToGrid w:val="0"/>
                <w:sz w:val="19"/>
                <w:lang w:val="en-US"/>
              </w:rPr>
              <w:br/>
              <w:t>Regulations other than r. 1 and 2: 24 Dec 2008 (see r. 2(b))</w:t>
            </w:r>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6353</Words>
  <Characters>32657</Characters>
  <Application>Microsoft Office Word</Application>
  <DocSecurity>0</DocSecurity>
  <Lines>1555</Lines>
  <Paragraphs>812</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38198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2005 - 00-i0-01</dc:title>
  <dc:subject/>
  <dc:creator/>
  <cp:keywords/>
  <dc:description/>
  <cp:lastModifiedBy>svcMRProcess</cp:lastModifiedBy>
  <cp:revision>4</cp:revision>
  <cp:lastPrinted>2005-04-06T23:51:00Z</cp:lastPrinted>
  <dcterms:created xsi:type="dcterms:W3CDTF">2018-09-12T17:03:00Z</dcterms:created>
  <dcterms:modified xsi:type="dcterms:W3CDTF">2018-09-12T17:03:00Z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20081224</vt:lpwstr>
  </property>
  <property fmtid="{D5CDD505-2E9C-101B-9397-08002B2CF9AE}" pid="4" name="DocumentType">
    <vt:lpwstr>Reg</vt:lpwstr>
  </property>
  <property fmtid="{D5CDD505-2E9C-101B-9397-08002B2CF9AE}" pid="5" name="OwlsUID">
    <vt:i4>37120</vt:i4>
  </property>
  <property fmtid="{D5CDD505-2E9C-101B-9397-08002B2CF9AE}" pid="6" name="AsAtDate">
    <vt:lpwstr>24 Dec 2008</vt:lpwstr>
  </property>
  <property fmtid="{D5CDD505-2E9C-101B-9397-08002B2CF9AE}" pid="7" name="Suffix">
    <vt:lpwstr>00-i0-01</vt:lpwstr>
  </property>
</Properties>
</file>