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right="192"/>
      </w:pPr>
      <w:r>
        <w:fldChar w:fldCharType="begin"/>
      </w:r>
      <w:r>
        <w:instrText xml:space="preserve"> STYLEREF "Name Of Act/Reg"</w:instrText>
      </w:r>
      <w:r>
        <w:fldChar w:fldCharType="separate"/>
      </w:r>
      <w:r>
        <w:rPr>
          <w:noProof/>
        </w:rPr>
        <w:t>Mining Act 1978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Mining Act 1978</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_Toc122328406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_Toc122328407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napToGrid w:val="0"/>
          <w:szCs w:val="24"/>
        </w:rPr>
        <w:t>4.</w:t>
      </w:r>
      <w:r>
        <w:rPr>
          <w:noProof/>
          <w:sz w:val="24"/>
          <w:szCs w:val="24"/>
        </w:rPr>
        <w:tab/>
      </w:r>
      <w:r>
        <w:rPr>
          <w:noProof/>
          <w:snapToGrid w:val="0"/>
          <w:szCs w:val="24"/>
        </w:rPr>
        <w:t>Transitional provisions</w:t>
      </w:r>
      <w:r>
        <w:rPr>
          <w:noProof/>
        </w:rPr>
        <w:tab/>
      </w:r>
      <w:r>
        <w:rPr>
          <w:noProof/>
        </w:rPr>
        <w:fldChar w:fldCharType="begin"/>
      </w:r>
      <w:r>
        <w:rPr>
          <w:noProof/>
        </w:rPr>
        <w:instrText xml:space="preserve"> PAGEREF _Toc122328408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napToGrid w:val="0"/>
          <w:szCs w:val="24"/>
        </w:rPr>
        <w:t>5.</w:t>
      </w:r>
      <w:r>
        <w:rPr>
          <w:noProof/>
          <w:sz w:val="24"/>
          <w:szCs w:val="24"/>
        </w:rPr>
        <w:tab/>
      </w:r>
      <w:r>
        <w:rPr>
          <w:noProof/>
          <w:snapToGrid w:val="0"/>
          <w:szCs w:val="24"/>
        </w:rPr>
        <w:t>Saving</w:t>
      </w:r>
      <w:r>
        <w:rPr>
          <w:noProof/>
        </w:rPr>
        <w:tab/>
      </w:r>
      <w:r>
        <w:rPr>
          <w:noProof/>
        </w:rPr>
        <w:fldChar w:fldCharType="begin"/>
      </w:r>
      <w:r>
        <w:rPr>
          <w:noProof/>
        </w:rPr>
        <w:instrText xml:space="preserve"> PAGEREF _Toc122328409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Operation of this Act</w:t>
      </w:r>
      <w:r>
        <w:rPr>
          <w:noProof/>
        </w:rPr>
        <w:tab/>
      </w:r>
      <w:r>
        <w:rPr>
          <w:noProof/>
        </w:rPr>
        <w:fldChar w:fldCharType="begin"/>
      </w:r>
      <w:r>
        <w:rPr>
          <w:noProof/>
        </w:rPr>
        <w:instrText xml:space="preserve"> PAGEREF _Toc122328410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_Toc122328411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8A</w:t>
      </w:r>
      <w:r>
        <w:rPr>
          <w:noProof/>
          <w:snapToGrid w:val="0"/>
          <w:szCs w:val="24"/>
        </w:rPr>
        <w:t>.</w:t>
      </w:r>
      <w:r>
        <w:rPr>
          <w:noProof/>
          <w:sz w:val="24"/>
          <w:szCs w:val="24"/>
        </w:rPr>
        <w:tab/>
      </w:r>
      <w:r>
        <w:rPr>
          <w:noProof/>
          <w:snapToGrid w:val="0"/>
          <w:szCs w:val="24"/>
        </w:rPr>
        <w:t>Rights in respect of oil shale or coal</w:t>
      </w:r>
      <w:r>
        <w:rPr>
          <w:noProof/>
        </w:rPr>
        <w:tab/>
      </w:r>
      <w:r>
        <w:rPr>
          <w:noProof/>
        </w:rPr>
        <w:fldChar w:fldCharType="begin"/>
      </w:r>
      <w:r>
        <w:rPr>
          <w:noProof/>
        </w:rPr>
        <w:instrText xml:space="preserve"> PAGEREF _Toc122328412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Gold and silver and other precious metals property of the Crown</w:t>
      </w:r>
      <w:r>
        <w:rPr>
          <w:noProof/>
        </w:rPr>
        <w:tab/>
      </w:r>
      <w:r>
        <w:rPr>
          <w:noProof/>
        </w:rPr>
        <w:fldChar w:fldCharType="begin"/>
      </w:r>
      <w:r>
        <w:rPr>
          <w:noProof/>
        </w:rPr>
        <w:instrText xml:space="preserve"> PAGEREF _Toc122328413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9B.</w:t>
      </w:r>
      <w:r>
        <w:rPr>
          <w:noProof/>
          <w:sz w:val="24"/>
          <w:szCs w:val="24"/>
        </w:rPr>
        <w:tab/>
      </w:r>
      <w:r>
        <w:rPr>
          <w:noProof/>
          <w:szCs w:val="24"/>
        </w:rPr>
        <w:t>Position on the Earth’s surface</w:t>
      </w:r>
      <w:r>
        <w:rPr>
          <w:noProof/>
        </w:rPr>
        <w:tab/>
      </w:r>
      <w:r>
        <w:rPr>
          <w:noProof/>
        </w:rPr>
        <w:fldChar w:fldCharType="begin"/>
      </w:r>
      <w:r>
        <w:rPr>
          <w:noProof/>
        </w:rPr>
        <w:instrText xml:space="preserve"> PAGEREF _Toc122328414 \h </w:instrText>
      </w:r>
      <w:r>
        <w:rPr>
          <w:noProof/>
        </w:rPr>
      </w:r>
      <w:r>
        <w:rPr>
          <w:noProof/>
        </w:rPr>
        <w:fldChar w:fldCharType="separate"/>
      </w:r>
      <w:r>
        <w:rPr>
          <w:noProof/>
        </w:rPr>
        <w:t>12</w:t>
      </w:r>
      <w:r>
        <w:rPr>
          <w:noProof/>
        </w:rPr>
        <w:fldChar w:fldCharType="end"/>
      </w:r>
    </w:p>
    <w:p>
      <w:pPr>
        <w:pStyle w:val="TOC2"/>
        <w:tabs>
          <w:tab w:val="right" w:leader="dot" w:pos="7086"/>
        </w:tabs>
        <w:rPr>
          <w:b w:val="0"/>
          <w:noProof/>
          <w:sz w:val="24"/>
          <w:szCs w:val="24"/>
        </w:rPr>
      </w:pPr>
      <w:r>
        <w:rPr>
          <w:noProof/>
          <w:szCs w:val="30"/>
        </w:rPr>
        <w:t>Part II — Administration, mineral fields and courts</w:t>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Administration of Act</w:t>
      </w:r>
      <w:r>
        <w:rPr>
          <w:noProof/>
        </w:rPr>
        <w:tab/>
      </w:r>
      <w:r>
        <w:rPr>
          <w:noProof/>
        </w:rPr>
        <w:fldChar w:fldCharType="begin"/>
      </w:r>
      <w:r>
        <w:rPr>
          <w:noProof/>
        </w:rPr>
        <w:instrText xml:space="preserve"> PAGEREF _Toc122328416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Chief executive officer and other officers</w:t>
      </w:r>
      <w:r>
        <w:rPr>
          <w:noProof/>
        </w:rPr>
        <w:tab/>
      </w:r>
      <w:r>
        <w:rPr>
          <w:noProof/>
        </w:rPr>
        <w:fldChar w:fldCharType="begin"/>
      </w:r>
      <w:r>
        <w:rPr>
          <w:noProof/>
        </w:rPr>
        <w:instrText xml:space="preserve"> PAGEREF _Toc122328417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Delegation</w:t>
      </w:r>
      <w:r>
        <w:rPr>
          <w:noProof/>
        </w:rPr>
        <w:tab/>
      </w:r>
      <w:r>
        <w:rPr>
          <w:noProof/>
        </w:rPr>
        <w:fldChar w:fldCharType="begin"/>
      </w:r>
      <w:r>
        <w:rPr>
          <w:noProof/>
        </w:rPr>
        <w:instrText xml:space="preserve"> PAGEREF _Toc122328418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Wardens of mines</w:t>
      </w:r>
      <w:r>
        <w:rPr>
          <w:noProof/>
        </w:rPr>
        <w:tab/>
      </w:r>
      <w:r>
        <w:rPr>
          <w:noProof/>
        </w:rPr>
        <w:fldChar w:fldCharType="begin"/>
      </w:r>
      <w:r>
        <w:rPr>
          <w:noProof/>
        </w:rPr>
        <w:instrText xml:space="preserve"> PAGEREF _Toc122328419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Power to appoint acting warden</w:t>
      </w:r>
      <w:r>
        <w:rPr>
          <w:noProof/>
        </w:rPr>
        <w:tab/>
      </w:r>
      <w:r>
        <w:rPr>
          <w:noProof/>
        </w:rPr>
        <w:fldChar w:fldCharType="begin"/>
      </w:r>
      <w:r>
        <w:rPr>
          <w:noProof/>
        </w:rPr>
        <w:instrText xml:space="preserve"> PAGEREF _Toc122328420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Warden prohibited from adjudicating in certain matters and officer prohibited from using information</w:t>
      </w:r>
      <w:r>
        <w:rPr>
          <w:noProof/>
        </w:rPr>
        <w:tab/>
      </w:r>
      <w:r>
        <w:rPr>
          <w:noProof/>
        </w:rPr>
        <w:fldChar w:fldCharType="begin"/>
      </w:r>
      <w:r>
        <w:rPr>
          <w:noProof/>
        </w:rPr>
        <w:instrText xml:space="preserve"> PAGEREF _Toc122328421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Power to proclaim mineral fields</w:t>
      </w:r>
      <w:r>
        <w:rPr>
          <w:noProof/>
        </w:rPr>
        <w:tab/>
      </w:r>
      <w:r>
        <w:rPr>
          <w:noProof/>
        </w:rPr>
        <w:fldChar w:fldCharType="begin"/>
      </w:r>
      <w:r>
        <w:rPr>
          <w:noProof/>
        </w:rPr>
        <w:instrText xml:space="preserve"> PAGEREF _Toc122328422 \h </w:instrText>
      </w:r>
      <w:r>
        <w:rPr>
          <w:noProof/>
        </w:rPr>
      </w:r>
      <w:r>
        <w:rPr>
          <w:noProof/>
        </w:rPr>
        <w:fldChar w:fldCharType="separate"/>
      </w:r>
      <w:r>
        <w:rPr>
          <w:noProof/>
        </w:rPr>
        <w:t>17</w:t>
      </w:r>
      <w:r>
        <w:rPr>
          <w:noProof/>
        </w:rPr>
        <w:fldChar w:fldCharType="end"/>
      </w:r>
    </w:p>
    <w:p>
      <w:pPr>
        <w:pStyle w:val="TOC2"/>
        <w:tabs>
          <w:tab w:val="right" w:leader="dot" w:pos="7086"/>
        </w:tabs>
        <w:rPr>
          <w:b w:val="0"/>
          <w:noProof/>
          <w:sz w:val="24"/>
          <w:szCs w:val="24"/>
        </w:rPr>
      </w:pPr>
      <w:r>
        <w:rPr>
          <w:noProof/>
          <w:szCs w:val="30"/>
        </w:rPr>
        <w:t>Part III — Land open for mining</w:t>
      </w:r>
    </w:p>
    <w:p>
      <w:pPr>
        <w:pStyle w:val="TOC3"/>
        <w:rPr>
          <w:b w:val="0"/>
          <w:noProof/>
          <w:sz w:val="24"/>
          <w:szCs w:val="24"/>
        </w:rPr>
      </w:pPr>
      <w:r>
        <w:rPr>
          <w:noProof/>
          <w:szCs w:val="26"/>
        </w:rPr>
        <w:t>Division 1</w:t>
      </w:r>
      <w:r>
        <w:rPr>
          <w:noProof/>
          <w:snapToGrid w:val="0"/>
          <w:szCs w:val="26"/>
        </w:rPr>
        <w:t> — </w:t>
      </w:r>
      <w:r>
        <w:rPr>
          <w:noProof/>
          <w:szCs w:val="26"/>
        </w:rPr>
        <w:t>Crown land</w:t>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Crown land open for mining</w:t>
      </w:r>
      <w:r>
        <w:rPr>
          <w:noProof/>
        </w:rPr>
        <w:tab/>
      </w:r>
      <w:r>
        <w:rPr>
          <w:noProof/>
        </w:rPr>
        <w:fldChar w:fldCharType="begin"/>
      </w:r>
      <w:r>
        <w:rPr>
          <w:noProof/>
        </w:rPr>
        <w:instrText xml:space="preserve"> PAGEREF _Toc122328425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Power to set aside land for mining or exempt it therefrom</w:t>
      </w:r>
      <w:r>
        <w:rPr>
          <w:noProof/>
        </w:rPr>
        <w:tab/>
      </w:r>
      <w:r>
        <w:rPr>
          <w:noProof/>
        </w:rPr>
        <w:fldChar w:fldCharType="begin"/>
      </w:r>
      <w:r>
        <w:rPr>
          <w:noProof/>
        </w:rPr>
        <w:instrText xml:space="preserve"> PAGEREF _Toc122328426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General rights to prospect and protection of certain Crown land</w:t>
      </w:r>
      <w:r>
        <w:rPr>
          <w:noProof/>
        </w:rPr>
        <w:tab/>
      </w:r>
      <w:r>
        <w:rPr>
          <w:noProof/>
        </w:rPr>
        <w:fldChar w:fldCharType="begin"/>
      </w:r>
      <w:r>
        <w:rPr>
          <w:noProof/>
        </w:rPr>
        <w:instrText xml:space="preserve"> PAGEREF _Toc122328427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20A.</w:t>
      </w:r>
      <w:r>
        <w:rPr>
          <w:noProof/>
          <w:sz w:val="24"/>
          <w:szCs w:val="24"/>
        </w:rPr>
        <w:tab/>
      </w:r>
      <w:r>
        <w:rPr>
          <w:noProof/>
          <w:szCs w:val="24"/>
        </w:rPr>
        <w:t>Permit to prospect on Crown land the subject of an exploration licence</w:t>
      </w:r>
      <w:r>
        <w:rPr>
          <w:noProof/>
        </w:rPr>
        <w:tab/>
      </w:r>
      <w:r>
        <w:rPr>
          <w:noProof/>
        </w:rPr>
        <w:fldChar w:fldCharType="begin"/>
      </w:r>
      <w:r>
        <w:rPr>
          <w:noProof/>
        </w:rPr>
        <w:instrText xml:space="preserve"> PAGEREF _Toc122328428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20B.</w:t>
      </w:r>
      <w:r>
        <w:rPr>
          <w:noProof/>
          <w:sz w:val="24"/>
          <w:szCs w:val="24"/>
        </w:rPr>
        <w:tab/>
      </w:r>
      <w:r>
        <w:rPr>
          <w:noProof/>
          <w:szCs w:val="24"/>
        </w:rPr>
        <w:t>Power to remove Crown land from the operation of section 20A</w:t>
      </w:r>
      <w:r>
        <w:rPr>
          <w:noProof/>
        </w:rPr>
        <w:tab/>
      </w:r>
      <w:r>
        <w:rPr>
          <w:noProof/>
        </w:rPr>
        <w:fldChar w:fldCharType="begin"/>
      </w:r>
      <w:r>
        <w:rPr>
          <w:noProof/>
        </w:rPr>
        <w:instrText xml:space="preserve"> PAGEREF _Toc122328429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20C.</w:t>
      </w:r>
      <w:r>
        <w:rPr>
          <w:noProof/>
          <w:sz w:val="24"/>
          <w:szCs w:val="24"/>
        </w:rPr>
        <w:tab/>
      </w:r>
      <w:r>
        <w:rPr>
          <w:noProof/>
          <w:szCs w:val="24"/>
        </w:rPr>
        <w:t>Limitation on actions in tort</w:t>
      </w:r>
      <w:r>
        <w:rPr>
          <w:noProof/>
        </w:rPr>
        <w:tab/>
      </w:r>
      <w:r>
        <w:rPr>
          <w:noProof/>
        </w:rPr>
        <w:fldChar w:fldCharType="begin"/>
      </w:r>
      <w:r>
        <w:rPr>
          <w:noProof/>
        </w:rPr>
        <w:instrText xml:space="preserve"> PAGEREF _Toc122328430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Power to resume land</w:t>
      </w:r>
      <w:r>
        <w:rPr>
          <w:noProof/>
        </w:rPr>
        <w:tab/>
      </w:r>
      <w:r>
        <w:rPr>
          <w:noProof/>
        </w:rPr>
        <w:fldChar w:fldCharType="begin"/>
      </w:r>
      <w:r>
        <w:rPr>
          <w:noProof/>
        </w:rPr>
        <w:instrText xml:space="preserve"> PAGEREF _Toc122328431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Effect of resumption</w:t>
      </w:r>
      <w:r>
        <w:rPr>
          <w:noProof/>
        </w:rPr>
        <w:tab/>
      </w:r>
      <w:r>
        <w:rPr>
          <w:noProof/>
        </w:rPr>
        <w:fldChar w:fldCharType="begin"/>
      </w:r>
      <w:r>
        <w:rPr>
          <w:noProof/>
        </w:rPr>
        <w:instrText xml:space="preserve"> PAGEREF _Toc122328432 \h </w:instrText>
      </w:r>
      <w:r>
        <w:rPr>
          <w:noProof/>
        </w:rPr>
      </w:r>
      <w:r>
        <w:rPr>
          <w:noProof/>
        </w:rPr>
        <w:fldChar w:fldCharType="separate"/>
      </w:r>
      <w:r>
        <w:rPr>
          <w:noProof/>
        </w:rPr>
        <w:t>30</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Public reserves, etc.</w:t>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Mining on public reserves, etc.</w:t>
      </w:r>
      <w:r>
        <w:rPr>
          <w:noProof/>
        </w:rPr>
        <w:tab/>
      </w:r>
      <w:r>
        <w:rPr>
          <w:noProof/>
        </w:rPr>
        <w:fldChar w:fldCharType="begin"/>
      </w:r>
      <w:r>
        <w:rPr>
          <w:noProof/>
        </w:rPr>
        <w:instrText xml:space="preserve"> PAGEREF _Toc122328434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Classification of reserves</w:t>
      </w:r>
      <w:r>
        <w:rPr>
          <w:noProof/>
        </w:rPr>
        <w:tab/>
      </w:r>
      <w:r>
        <w:rPr>
          <w:noProof/>
        </w:rPr>
        <w:fldChar w:fldCharType="begin"/>
      </w:r>
      <w:r>
        <w:rPr>
          <w:noProof/>
        </w:rPr>
        <w:instrText xml:space="preserve"> PAGEREF _Toc122328435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24A</w:t>
      </w:r>
      <w:r>
        <w:rPr>
          <w:noProof/>
          <w:snapToGrid w:val="0"/>
          <w:szCs w:val="24"/>
        </w:rPr>
        <w:t>.</w:t>
      </w:r>
      <w:r>
        <w:rPr>
          <w:noProof/>
          <w:sz w:val="24"/>
          <w:szCs w:val="24"/>
        </w:rPr>
        <w:tab/>
      </w:r>
      <w:r>
        <w:rPr>
          <w:noProof/>
          <w:snapToGrid w:val="0"/>
          <w:szCs w:val="24"/>
        </w:rPr>
        <w:t>Mining in marine reserves</w:t>
      </w:r>
      <w:r>
        <w:rPr>
          <w:noProof/>
        </w:rPr>
        <w:tab/>
      </w:r>
      <w:r>
        <w:rPr>
          <w:noProof/>
        </w:rPr>
        <w:fldChar w:fldCharType="begin"/>
      </w:r>
      <w:r>
        <w:rPr>
          <w:noProof/>
        </w:rPr>
        <w:instrText xml:space="preserve"> PAGEREF _Toc122328436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Mining on foreshore, sea bed, navigable waters or townsite</w:t>
      </w:r>
      <w:r>
        <w:rPr>
          <w:noProof/>
        </w:rPr>
        <w:tab/>
      </w:r>
      <w:r>
        <w:rPr>
          <w:noProof/>
        </w:rPr>
        <w:fldChar w:fldCharType="begin"/>
      </w:r>
      <w:r>
        <w:rPr>
          <w:noProof/>
        </w:rPr>
        <w:instrText xml:space="preserve"> PAGEREF _Toc122328437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Terms and conditions</w:t>
      </w:r>
      <w:r>
        <w:rPr>
          <w:noProof/>
        </w:rPr>
        <w:tab/>
      </w:r>
      <w:r>
        <w:rPr>
          <w:noProof/>
        </w:rPr>
        <w:fldChar w:fldCharType="begin"/>
      </w:r>
      <w:r>
        <w:rPr>
          <w:noProof/>
        </w:rPr>
        <w:instrText xml:space="preserve"> PAGEREF _Toc122328438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26A</w:t>
      </w:r>
      <w:r>
        <w:rPr>
          <w:noProof/>
          <w:snapToGrid w:val="0"/>
          <w:szCs w:val="24"/>
        </w:rPr>
        <w:t>.</w:t>
      </w:r>
      <w:r>
        <w:rPr>
          <w:noProof/>
          <w:sz w:val="24"/>
          <w:szCs w:val="24"/>
        </w:rPr>
        <w:tab/>
      </w:r>
      <w:r>
        <w:rPr>
          <w:noProof/>
          <w:snapToGrid w:val="0"/>
          <w:szCs w:val="24"/>
        </w:rPr>
        <w:t>Mining tenements within townsites</w:t>
      </w:r>
      <w:r>
        <w:rPr>
          <w:noProof/>
        </w:rPr>
        <w:tab/>
      </w:r>
      <w:r>
        <w:rPr>
          <w:noProof/>
        </w:rPr>
        <w:fldChar w:fldCharType="begin"/>
      </w:r>
      <w:r>
        <w:rPr>
          <w:noProof/>
        </w:rPr>
        <w:instrText xml:space="preserve"> PAGEREF _Toc122328439 \h </w:instrText>
      </w:r>
      <w:r>
        <w:rPr>
          <w:noProof/>
        </w:rPr>
      </w:r>
      <w:r>
        <w:rPr>
          <w:noProof/>
        </w:rPr>
        <w:fldChar w:fldCharType="separate"/>
      </w:r>
      <w:r>
        <w:rPr>
          <w:noProof/>
        </w:rPr>
        <w:t>40</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Private land</w:t>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Private land open for mining</w:t>
      </w:r>
      <w:r>
        <w:rPr>
          <w:noProof/>
        </w:rPr>
        <w:tab/>
      </w:r>
      <w:r>
        <w:rPr>
          <w:noProof/>
        </w:rPr>
        <w:fldChar w:fldCharType="begin"/>
      </w:r>
      <w:r>
        <w:rPr>
          <w:noProof/>
        </w:rPr>
        <w:instrText xml:space="preserve"> PAGEREF _Toc122328441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Unlawful entry on private land</w:t>
      </w:r>
      <w:r>
        <w:rPr>
          <w:noProof/>
        </w:rPr>
        <w:tab/>
      </w:r>
      <w:r>
        <w:rPr>
          <w:noProof/>
        </w:rPr>
        <w:fldChar w:fldCharType="begin"/>
      </w:r>
      <w:r>
        <w:rPr>
          <w:noProof/>
        </w:rPr>
        <w:instrText xml:space="preserve"> PAGEREF _Toc122328442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Granting of mining tenements in respect of private land</w:t>
      </w:r>
      <w:r>
        <w:rPr>
          <w:noProof/>
        </w:rPr>
        <w:tab/>
      </w:r>
      <w:r>
        <w:rPr>
          <w:noProof/>
        </w:rPr>
        <w:fldChar w:fldCharType="begin"/>
      </w:r>
      <w:r>
        <w:rPr>
          <w:noProof/>
        </w:rPr>
        <w:instrText xml:space="preserve"> PAGEREF _Toc122328443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Granting of permits in respect of private land</w:t>
      </w:r>
      <w:r>
        <w:rPr>
          <w:noProof/>
        </w:rPr>
        <w:tab/>
      </w:r>
      <w:r>
        <w:rPr>
          <w:noProof/>
        </w:rPr>
        <w:fldChar w:fldCharType="begin"/>
      </w:r>
      <w:r>
        <w:rPr>
          <w:noProof/>
        </w:rPr>
        <w:instrText xml:space="preserve"> PAGEREF _Toc122328444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Holder of permit to give notice to owner and occupier</w:t>
      </w:r>
      <w:r>
        <w:rPr>
          <w:noProof/>
        </w:rPr>
        <w:tab/>
      </w:r>
      <w:r>
        <w:rPr>
          <w:noProof/>
        </w:rPr>
        <w:fldChar w:fldCharType="begin"/>
      </w:r>
      <w:r>
        <w:rPr>
          <w:noProof/>
        </w:rPr>
        <w:instrText xml:space="preserve"> PAGEREF _Toc122328445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Rights conferred by a permit</w:t>
      </w:r>
      <w:r>
        <w:rPr>
          <w:noProof/>
        </w:rPr>
        <w:tab/>
      </w:r>
      <w:r>
        <w:rPr>
          <w:noProof/>
        </w:rPr>
        <w:fldChar w:fldCharType="begin"/>
      </w:r>
      <w:r>
        <w:rPr>
          <w:noProof/>
        </w:rPr>
        <w:instrText xml:space="preserve"> PAGEREF _Toc122328446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Application for mining tenement by permit holder</w:t>
      </w:r>
      <w:r>
        <w:rPr>
          <w:noProof/>
        </w:rPr>
        <w:tab/>
      </w:r>
      <w:r>
        <w:rPr>
          <w:noProof/>
        </w:rPr>
        <w:fldChar w:fldCharType="begin"/>
      </w:r>
      <w:r>
        <w:rPr>
          <w:noProof/>
        </w:rPr>
        <w:instrText xml:space="preserve"> PAGEREF _Toc122328447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Compensation to be agreed upon or determined before mining operation commences</w:t>
      </w:r>
      <w:r>
        <w:rPr>
          <w:noProof/>
        </w:rPr>
        <w:tab/>
      </w:r>
      <w:r>
        <w:rPr>
          <w:noProof/>
        </w:rPr>
        <w:fldChar w:fldCharType="begin"/>
      </w:r>
      <w:r>
        <w:rPr>
          <w:noProof/>
        </w:rPr>
        <w:instrText xml:space="preserve"> PAGEREF _Toc122328448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Application to bring certain private land under this Division</w:t>
      </w:r>
      <w:r>
        <w:rPr>
          <w:noProof/>
        </w:rPr>
        <w:tab/>
      </w:r>
      <w:r>
        <w:rPr>
          <w:noProof/>
        </w:rPr>
        <w:fldChar w:fldCharType="begin"/>
      </w:r>
      <w:r>
        <w:rPr>
          <w:noProof/>
        </w:rPr>
        <w:instrText xml:space="preserve"> PAGEREF _Toc122328449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Right of owner to apply for mining tenement</w:t>
      </w:r>
      <w:r>
        <w:rPr>
          <w:noProof/>
        </w:rPr>
        <w:tab/>
      </w:r>
      <w:r>
        <w:rPr>
          <w:noProof/>
        </w:rPr>
        <w:fldChar w:fldCharType="begin"/>
      </w:r>
      <w:r>
        <w:rPr>
          <w:noProof/>
        </w:rPr>
        <w:instrText xml:space="preserve"> PAGEREF _Toc122328450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napToGrid w:val="0"/>
          <w:szCs w:val="24"/>
        </w:rPr>
        <w:t>Owner to comply with mining tenement conditions</w:t>
      </w:r>
      <w:r>
        <w:rPr>
          <w:noProof/>
        </w:rPr>
        <w:tab/>
      </w:r>
      <w:r>
        <w:rPr>
          <w:noProof/>
        </w:rPr>
        <w:fldChar w:fldCharType="begin"/>
      </w:r>
      <w:r>
        <w:rPr>
          <w:noProof/>
        </w:rPr>
        <w:instrText xml:space="preserve"> PAGEREF _Toc122328451 \h </w:instrText>
      </w:r>
      <w:r>
        <w:rPr>
          <w:noProof/>
        </w:rPr>
      </w:r>
      <w:r>
        <w:rPr>
          <w:noProof/>
        </w:rPr>
        <w:fldChar w:fldCharType="separate"/>
      </w:r>
      <w:r>
        <w:rPr>
          <w:noProof/>
        </w:rPr>
        <w:t>52</w:t>
      </w:r>
      <w:r>
        <w:rPr>
          <w:noProof/>
        </w:rPr>
        <w:fldChar w:fldCharType="end"/>
      </w:r>
    </w:p>
    <w:p>
      <w:pPr>
        <w:pStyle w:val="TOC2"/>
        <w:tabs>
          <w:tab w:val="right" w:leader="dot" w:pos="7086"/>
        </w:tabs>
        <w:rPr>
          <w:b w:val="0"/>
          <w:noProof/>
          <w:sz w:val="24"/>
          <w:szCs w:val="24"/>
        </w:rPr>
      </w:pPr>
      <w:r>
        <w:rPr>
          <w:noProof/>
          <w:szCs w:val="30"/>
        </w:rPr>
        <w:t>Part IV — Mining tenements</w:t>
      </w:r>
    </w:p>
    <w:p>
      <w:pPr>
        <w:pStyle w:val="TOC3"/>
        <w:rPr>
          <w:b w:val="0"/>
          <w:noProof/>
          <w:sz w:val="24"/>
          <w:szCs w:val="24"/>
        </w:rPr>
      </w:pPr>
      <w:r>
        <w:rPr>
          <w:noProof/>
          <w:szCs w:val="26"/>
        </w:rPr>
        <w:t>Division 1</w:t>
      </w:r>
      <w:r>
        <w:rPr>
          <w:noProof/>
          <w:snapToGrid w:val="0"/>
          <w:szCs w:val="26"/>
        </w:rPr>
        <w:t> — </w:t>
      </w:r>
      <w:r>
        <w:rPr>
          <w:noProof/>
          <w:szCs w:val="26"/>
        </w:rPr>
        <w:t>Prospecting licence</w:t>
      </w:r>
    </w:p>
    <w:p>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Grant of prospecting licence</w:t>
      </w:r>
      <w:r>
        <w:rPr>
          <w:noProof/>
        </w:rPr>
        <w:tab/>
      </w:r>
      <w:r>
        <w:rPr>
          <w:noProof/>
        </w:rPr>
        <w:fldChar w:fldCharType="begin"/>
      </w:r>
      <w:r>
        <w:rPr>
          <w:noProof/>
        </w:rPr>
        <w:instrText xml:space="preserve"> PAGEREF _Toc122328454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Application for prospecting licence</w:t>
      </w:r>
      <w:r>
        <w:rPr>
          <w:noProof/>
        </w:rPr>
        <w:tab/>
      </w:r>
      <w:r>
        <w:rPr>
          <w:noProof/>
        </w:rPr>
        <w:fldChar w:fldCharType="begin"/>
      </w:r>
      <w:r>
        <w:rPr>
          <w:noProof/>
        </w:rPr>
        <w:instrText xml:space="preserve"> PAGEREF _Toc122328455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Determination of application for prospecting licence</w:t>
      </w:r>
      <w:r>
        <w:rPr>
          <w:noProof/>
        </w:rPr>
        <w:tab/>
      </w:r>
      <w:r>
        <w:rPr>
          <w:noProof/>
        </w:rPr>
        <w:fldChar w:fldCharType="begin"/>
      </w:r>
      <w:r>
        <w:rPr>
          <w:noProof/>
        </w:rPr>
        <w:instrText xml:space="preserve"> PAGEREF _Toc122328456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43.</w:t>
      </w:r>
      <w:r>
        <w:rPr>
          <w:noProof/>
          <w:sz w:val="24"/>
          <w:szCs w:val="24"/>
        </w:rPr>
        <w:tab/>
      </w:r>
      <w:r>
        <w:rPr>
          <w:noProof/>
          <w:szCs w:val="24"/>
        </w:rPr>
        <w:t>Prospecting licence not to include land already the subject of a mining tenement</w:t>
      </w:r>
      <w:r>
        <w:rPr>
          <w:noProof/>
        </w:rPr>
        <w:tab/>
      </w:r>
      <w:r>
        <w:rPr>
          <w:noProof/>
        </w:rPr>
        <w:fldChar w:fldCharType="begin"/>
      </w:r>
      <w:r>
        <w:rPr>
          <w:noProof/>
        </w:rPr>
        <w:instrText xml:space="preserve"> PAGEREF _Toc122328457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Power to grant prospecting licence over all or part of land in application</w:t>
      </w:r>
      <w:r>
        <w:rPr>
          <w:noProof/>
        </w:rPr>
        <w:tab/>
      </w:r>
      <w:r>
        <w:rPr>
          <w:noProof/>
        </w:rPr>
        <w:fldChar w:fldCharType="begin"/>
      </w:r>
      <w:r>
        <w:rPr>
          <w:noProof/>
        </w:rPr>
        <w:instrText xml:space="preserve"> PAGEREF _Toc122328458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Term of prospecting licence</w:t>
      </w:r>
      <w:r>
        <w:rPr>
          <w:noProof/>
        </w:rPr>
        <w:tab/>
      </w:r>
      <w:r>
        <w:rPr>
          <w:noProof/>
        </w:rPr>
        <w:fldChar w:fldCharType="begin"/>
      </w:r>
      <w:r>
        <w:rPr>
          <w:noProof/>
        </w:rPr>
        <w:instrText xml:space="preserve"> PAGEREF _Toc122328459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Conditions attached to every prospecting licence</w:t>
      </w:r>
      <w:r>
        <w:rPr>
          <w:noProof/>
        </w:rPr>
        <w:tab/>
      </w:r>
      <w:r>
        <w:rPr>
          <w:noProof/>
        </w:rPr>
        <w:fldChar w:fldCharType="begin"/>
      </w:r>
      <w:r>
        <w:rPr>
          <w:noProof/>
        </w:rPr>
        <w:instrText xml:space="preserve"> PAGEREF _Toc122328460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4"/>
        </w:rPr>
        <w:t>46A</w:t>
      </w:r>
      <w:r>
        <w:rPr>
          <w:noProof/>
          <w:snapToGrid w:val="0"/>
          <w:szCs w:val="24"/>
        </w:rPr>
        <w:t>.</w:t>
      </w:r>
      <w:r>
        <w:rPr>
          <w:noProof/>
          <w:sz w:val="24"/>
          <w:szCs w:val="24"/>
        </w:rPr>
        <w:tab/>
      </w:r>
      <w:r>
        <w:rPr>
          <w:noProof/>
          <w:snapToGrid w:val="0"/>
          <w:szCs w:val="24"/>
        </w:rPr>
        <w:t>Conditions for prevention or reduction of injury to land</w:t>
      </w:r>
      <w:r>
        <w:rPr>
          <w:noProof/>
        </w:rPr>
        <w:tab/>
      </w:r>
      <w:r>
        <w:rPr>
          <w:noProof/>
        </w:rPr>
        <w:fldChar w:fldCharType="begin"/>
      </w:r>
      <w:r>
        <w:rPr>
          <w:noProof/>
        </w:rPr>
        <w:instrText xml:space="preserve"> PAGEREF _Toc122328461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Survey of area of prospecting licence not required in first instance</w:t>
      </w:r>
      <w:r>
        <w:rPr>
          <w:noProof/>
        </w:rPr>
        <w:tab/>
      </w:r>
      <w:r>
        <w:rPr>
          <w:noProof/>
        </w:rPr>
        <w:fldChar w:fldCharType="begin"/>
      </w:r>
      <w:r>
        <w:rPr>
          <w:noProof/>
        </w:rPr>
        <w:instrText xml:space="preserve"> PAGEREF _Toc122328462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Rights conferred by prospecting licence</w:t>
      </w:r>
      <w:r>
        <w:rPr>
          <w:noProof/>
        </w:rPr>
        <w:tab/>
      </w:r>
      <w:r>
        <w:rPr>
          <w:noProof/>
        </w:rPr>
        <w:fldChar w:fldCharType="begin"/>
      </w:r>
      <w:r>
        <w:rPr>
          <w:noProof/>
        </w:rPr>
        <w:instrText xml:space="preserve"> PAGEREF _Toc122328463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49</w:t>
      </w:r>
      <w:r>
        <w:rPr>
          <w:noProof/>
          <w:snapToGrid w:val="0"/>
          <w:szCs w:val="24"/>
        </w:rPr>
        <w:t>.</w:t>
      </w:r>
      <w:r>
        <w:rPr>
          <w:noProof/>
          <w:sz w:val="24"/>
          <w:szCs w:val="24"/>
        </w:rPr>
        <w:tab/>
      </w:r>
      <w:r>
        <w:rPr>
          <w:noProof/>
          <w:snapToGrid w:val="0"/>
          <w:szCs w:val="24"/>
        </w:rPr>
        <w:t>Holder of prospecting licence to have priority for grant of mining leases or general purpose leases</w:t>
      </w:r>
      <w:r>
        <w:rPr>
          <w:noProof/>
        </w:rPr>
        <w:tab/>
      </w:r>
      <w:r>
        <w:rPr>
          <w:noProof/>
        </w:rPr>
        <w:fldChar w:fldCharType="begin"/>
      </w:r>
      <w:r>
        <w:rPr>
          <w:noProof/>
        </w:rPr>
        <w:instrText xml:space="preserve"> PAGEREF _Toc122328464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50</w:t>
      </w:r>
      <w:r>
        <w:rPr>
          <w:noProof/>
          <w:snapToGrid w:val="0"/>
          <w:szCs w:val="24"/>
        </w:rPr>
        <w:t>.</w:t>
      </w:r>
      <w:r>
        <w:rPr>
          <w:noProof/>
          <w:sz w:val="24"/>
          <w:szCs w:val="24"/>
        </w:rPr>
        <w:tab/>
      </w:r>
      <w:r>
        <w:rPr>
          <w:noProof/>
          <w:snapToGrid w:val="0"/>
          <w:szCs w:val="24"/>
        </w:rPr>
        <w:t>Compliance with expenditure conditions</w:t>
      </w:r>
      <w:r>
        <w:rPr>
          <w:noProof/>
        </w:rPr>
        <w:tab/>
      </w:r>
      <w:r>
        <w:rPr>
          <w:noProof/>
        </w:rPr>
        <w:fldChar w:fldCharType="begin"/>
      </w:r>
      <w:r>
        <w:rPr>
          <w:noProof/>
        </w:rPr>
        <w:instrText xml:space="preserve"> PAGEREF _Toc122328465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51</w:t>
      </w:r>
      <w:r>
        <w:rPr>
          <w:noProof/>
          <w:snapToGrid w:val="0"/>
          <w:szCs w:val="24"/>
        </w:rPr>
        <w:t>.</w:t>
      </w:r>
      <w:r>
        <w:rPr>
          <w:noProof/>
          <w:sz w:val="24"/>
          <w:szCs w:val="24"/>
        </w:rPr>
        <w:tab/>
      </w:r>
      <w:r>
        <w:rPr>
          <w:noProof/>
          <w:snapToGrid w:val="0"/>
          <w:szCs w:val="24"/>
        </w:rPr>
        <w:t>Reports of work and expenditure</w:t>
      </w:r>
      <w:r>
        <w:rPr>
          <w:noProof/>
        </w:rPr>
        <w:tab/>
      </w:r>
      <w:r>
        <w:rPr>
          <w:noProof/>
        </w:rPr>
        <w:fldChar w:fldCharType="begin"/>
      </w:r>
      <w:r>
        <w:rPr>
          <w:noProof/>
        </w:rPr>
        <w:instrText xml:space="preserve"> PAGEREF _Toc122328466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52</w:t>
      </w:r>
      <w:r>
        <w:rPr>
          <w:noProof/>
          <w:snapToGrid w:val="0"/>
          <w:szCs w:val="24"/>
        </w:rPr>
        <w:t>.</w:t>
      </w:r>
      <w:r>
        <w:rPr>
          <w:noProof/>
          <w:sz w:val="24"/>
          <w:szCs w:val="24"/>
        </w:rPr>
        <w:tab/>
      </w:r>
      <w:r>
        <w:rPr>
          <w:noProof/>
          <w:snapToGrid w:val="0"/>
          <w:szCs w:val="24"/>
        </w:rPr>
        <w:t>Security relating to prospecting licence</w:t>
      </w:r>
      <w:r>
        <w:rPr>
          <w:noProof/>
        </w:rPr>
        <w:tab/>
      </w:r>
      <w:r>
        <w:rPr>
          <w:noProof/>
        </w:rPr>
        <w:fldChar w:fldCharType="begin"/>
      </w:r>
      <w:r>
        <w:rPr>
          <w:noProof/>
        </w:rPr>
        <w:instrText xml:space="preserve"> PAGEREF _Toc122328467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56</w:t>
      </w:r>
      <w:r>
        <w:rPr>
          <w:noProof/>
          <w:snapToGrid w:val="0"/>
          <w:szCs w:val="24"/>
        </w:rPr>
        <w:t>.</w:t>
      </w:r>
      <w:r>
        <w:rPr>
          <w:noProof/>
          <w:sz w:val="24"/>
          <w:szCs w:val="24"/>
        </w:rPr>
        <w:tab/>
      </w:r>
      <w:r>
        <w:rPr>
          <w:noProof/>
          <w:snapToGrid w:val="0"/>
          <w:szCs w:val="24"/>
        </w:rPr>
        <w:t>Appeal against refusal to grant prospecting licence</w:t>
      </w:r>
      <w:r>
        <w:rPr>
          <w:noProof/>
        </w:rPr>
        <w:tab/>
      </w:r>
      <w:r>
        <w:rPr>
          <w:noProof/>
        </w:rPr>
        <w:fldChar w:fldCharType="begin"/>
      </w:r>
      <w:r>
        <w:rPr>
          <w:noProof/>
        </w:rPr>
        <w:instrText xml:space="preserve"> PAGEREF _Toc122328468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56A</w:t>
      </w:r>
      <w:r>
        <w:rPr>
          <w:noProof/>
          <w:snapToGrid w:val="0"/>
          <w:szCs w:val="24"/>
        </w:rPr>
        <w:t>.</w:t>
      </w:r>
      <w:r>
        <w:rPr>
          <w:noProof/>
          <w:sz w:val="24"/>
          <w:szCs w:val="24"/>
        </w:rPr>
        <w:tab/>
      </w:r>
      <w:r>
        <w:rPr>
          <w:noProof/>
          <w:snapToGrid w:val="0"/>
          <w:szCs w:val="24"/>
        </w:rPr>
        <w:t>Special prospecting licences</w:t>
      </w:r>
      <w:r>
        <w:rPr>
          <w:noProof/>
        </w:rPr>
        <w:tab/>
      </w:r>
      <w:r>
        <w:rPr>
          <w:noProof/>
        </w:rPr>
        <w:fldChar w:fldCharType="begin"/>
      </w:r>
      <w:r>
        <w:rPr>
          <w:noProof/>
        </w:rPr>
        <w:instrText xml:space="preserve"> PAGEREF _Toc122328469 \h </w:instrText>
      </w:r>
      <w:r>
        <w:rPr>
          <w:noProof/>
        </w:rPr>
      </w:r>
      <w:r>
        <w:rPr>
          <w:noProof/>
        </w:rPr>
        <w:fldChar w:fldCharType="separate"/>
      </w:r>
      <w:r>
        <w:rPr>
          <w:noProof/>
        </w:rPr>
        <w:t>63</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Exploration licence</w:t>
      </w:r>
    </w:p>
    <w:p>
      <w:pPr>
        <w:pStyle w:val="TOC4"/>
        <w:tabs>
          <w:tab w:val="left" w:pos="1701"/>
        </w:tabs>
        <w:rPr>
          <w:noProof/>
          <w:sz w:val="24"/>
          <w:szCs w:val="24"/>
        </w:rPr>
      </w:pPr>
      <w:r>
        <w:rPr>
          <w:noProof/>
          <w:szCs w:val="24"/>
        </w:rPr>
        <w:t>56C</w:t>
      </w:r>
      <w:r>
        <w:rPr>
          <w:noProof/>
          <w:snapToGrid w:val="0"/>
          <w:szCs w:val="24"/>
        </w:rPr>
        <w:t>.</w:t>
      </w:r>
      <w:r>
        <w:rPr>
          <w:noProof/>
          <w:sz w:val="24"/>
          <w:szCs w:val="24"/>
        </w:rPr>
        <w:tab/>
      </w:r>
      <w:r>
        <w:rPr>
          <w:noProof/>
          <w:snapToGrid w:val="0"/>
          <w:szCs w:val="24"/>
        </w:rPr>
        <w:t>Graticular sections</w:t>
      </w:r>
      <w:r>
        <w:rPr>
          <w:noProof/>
        </w:rPr>
        <w:tab/>
      </w:r>
      <w:r>
        <w:rPr>
          <w:noProof/>
        </w:rPr>
        <w:fldChar w:fldCharType="begin"/>
      </w:r>
      <w:r>
        <w:rPr>
          <w:noProof/>
        </w:rPr>
        <w:instrText xml:space="preserve"> PAGEREF _Toc122328471 \h </w:instrText>
      </w:r>
      <w:r>
        <w:rPr>
          <w:noProof/>
        </w:rPr>
      </w:r>
      <w:r>
        <w:rPr>
          <w:noProof/>
        </w:rPr>
        <w:fldChar w:fldCharType="separate"/>
      </w:r>
      <w:r>
        <w:rPr>
          <w:noProof/>
        </w:rPr>
        <w:t>69</w:t>
      </w:r>
      <w:r>
        <w:rPr>
          <w:noProof/>
        </w:rPr>
        <w:fldChar w:fldCharType="end"/>
      </w:r>
    </w:p>
    <w:p>
      <w:pPr>
        <w:pStyle w:val="TOC4"/>
        <w:tabs>
          <w:tab w:val="left" w:pos="1701"/>
        </w:tabs>
        <w:rPr>
          <w:noProof/>
          <w:sz w:val="24"/>
          <w:szCs w:val="24"/>
        </w:rPr>
      </w:pPr>
      <w:r>
        <w:rPr>
          <w:noProof/>
          <w:szCs w:val="24"/>
        </w:rPr>
        <w:t>57</w:t>
      </w:r>
      <w:r>
        <w:rPr>
          <w:noProof/>
          <w:snapToGrid w:val="0"/>
          <w:szCs w:val="24"/>
        </w:rPr>
        <w:t>.</w:t>
      </w:r>
      <w:r>
        <w:rPr>
          <w:noProof/>
          <w:sz w:val="24"/>
          <w:szCs w:val="24"/>
        </w:rPr>
        <w:tab/>
      </w:r>
      <w:r>
        <w:rPr>
          <w:noProof/>
          <w:snapToGrid w:val="0"/>
          <w:szCs w:val="24"/>
        </w:rPr>
        <w:t>Grant of exploration licence</w:t>
      </w:r>
      <w:r>
        <w:rPr>
          <w:noProof/>
        </w:rPr>
        <w:tab/>
      </w:r>
      <w:r>
        <w:rPr>
          <w:noProof/>
        </w:rPr>
        <w:fldChar w:fldCharType="begin"/>
      </w:r>
      <w:r>
        <w:rPr>
          <w:noProof/>
        </w:rPr>
        <w:instrText xml:space="preserve"> PAGEREF _Toc122328472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58</w:t>
      </w:r>
      <w:r>
        <w:rPr>
          <w:noProof/>
          <w:snapToGrid w:val="0"/>
          <w:szCs w:val="24"/>
        </w:rPr>
        <w:t>.</w:t>
      </w:r>
      <w:r>
        <w:rPr>
          <w:noProof/>
          <w:sz w:val="24"/>
          <w:szCs w:val="24"/>
        </w:rPr>
        <w:tab/>
      </w:r>
      <w:r>
        <w:rPr>
          <w:noProof/>
          <w:snapToGrid w:val="0"/>
          <w:szCs w:val="24"/>
        </w:rPr>
        <w:t>Application for exploration licence</w:t>
      </w:r>
      <w:r>
        <w:rPr>
          <w:noProof/>
        </w:rPr>
        <w:tab/>
      </w:r>
      <w:r>
        <w:rPr>
          <w:noProof/>
        </w:rPr>
        <w:fldChar w:fldCharType="begin"/>
      </w:r>
      <w:r>
        <w:rPr>
          <w:noProof/>
        </w:rPr>
        <w:instrText xml:space="preserve"> PAGEREF _Toc122328473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59</w:t>
      </w:r>
      <w:r>
        <w:rPr>
          <w:noProof/>
          <w:snapToGrid w:val="0"/>
          <w:szCs w:val="24"/>
        </w:rPr>
        <w:t>.</w:t>
      </w:r>
      <w:r>
        <w:rPr>
          <w:noProof/>
          <w:sz w:val="24"/>
          <w:szCs w:val="24"/>
        </w:rPr>
        <w:tab/>
      </w:r>
      <w:r>
        <w:rPr>
          <w:noProof/>
          <w:snapToGrid w:val="0"/>
          <w:szCs w:val="24"/>
        </w:rPr>
        <w:t>Determination of application for exploration licence</w:t>
      </w:r>
      <w:r>
        <w:rPr>
          <w:noProof/>
        </w:rPr>
        <w:tab/>
      </w:r>
      <w:r>
        <w:rPr>
          <w:noProof/>
        </w:rPr>
        <w:fldChar w:fldCharType="begin"/>
      </w:r>
      <w:r>
        <w:rPr>
          <w:noProof/>
        </w:rPr>
        <w:instrText xml:space="preserve"> PAGEREF _Toc122328474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4"/>
        </w:rPr>
        <w:t>60</w:t>
      </w:r>
      <w:r>
        <w:rPr>
          <w:noProof/>
          <w:snapToGrid w:val="0"/>
          <w:szCs w:val="24"/>
        </w:rPr>
        <w:t>.</w:t>
      </w:r>
      <w:r>
        <w:rPr>
          <w:noProof/>
          <w:sz w:val="24"/>
          <w:szCs w:val="24"/>
        </w:rPr>
        <w:tab/>
      </w:r>
      <w:r>
        <w:rPr>
          <w:noProof/>
          <w:snapToGrid w:val="0"/>
          <w:szCs w:val="24"/>
        </w:rPr>
        <w:t>Security relating to exploration licence</w:t>
      </w:r>
      <w:r>
        <w:rPr>
          <w:noProof/>
        </w:rPr>
        <w:tab/>
      </w:r>
      <w:r>
        <w:rPr>
          <w:noProof/>
        </w:rPr>
        <w:fldChar w:fldCharType="begin"/>
      </w:r>
      <w:r>
        <w:rPr>
          <w:noProof/>
        </w:rPr>
        <w:instrText xml:space="preserve"> PAGEREF _Toc122328475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61</w:t>
      </w:r>
      <w:r>
        <w:rPr>
          <w:noProof/>
          <w:snapToGrid w:val="0"/>
          <w:szCs w:val="24"/>
        </w:rPr>
        <w:t>.</w:t>
      </w:r>
      <w:r>
        <w:rPr>
          <w:noProof/>
          <w:sz w:val="24"/>
          <w:szCs w:val="24"/>
        </w:rPr>
        <w:tab/>
      </w:r>
      <w:r>
        <w:rPr>
          <w:noProof/>
          <w:snapToGrid w:val="0"/>
          <w:szCs w:val="24"/>
        </w:rPr>
        <w:t>Term of exploration licence</w:t>
      </w:r>
      <w:r>
        <w:rPr>
          <w:noProof/>
        </w:rPr>
        <w:tab/>
      </w:r>
      <w:r>
        <w:rPr>
          <w:noProof/>
        </w:rPr>
        <w:fldChar w:fldCharType="begin"/>
      </w:r>
      <w:r>
        <w:rPr>
          <w:noProof/>
        </w:rPr>
        <w:instrText xml:space="preserve"> PAGEREF _Toc122328476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62</w:t>
      </w:r>
      <w:r>
        <w:rPr>
          <w:noProof/>
          <w:snapToGrid w:val="0"/>
          <w:szCs w:val="24"/>
        </w:rPr>
        <w:t>.</w:t>
      </w:r>
      <w:r>
        <w:rPr>
          <w:noProof/>
          <w:sz w:val="24"/>
          <w:szCs w:val="24"/>
        </w:rPr>
        <w:tab/>
      </w:r>
      <w:r>
        <w:rPr>
          <w:noProof/>
          <w:snapToGrid w:val="0"/>
          <w:szCs w:val="24"/>
        </w:rPr>
        <w:t>Expenditure conditions</w:t>
      </w:r>
      <w:r>
        <w:rPr>
          <w:noProof/>
        </w:rPr>
        <w:tab/>
      </w:r>
      <w:r>
        <w:rPr>
          <w:noProof/>
        </w:rPr>
        <w:fldChar w:fldCharType="begin"/>
      </w:r>
      <w:r>
        <w:rPr>
          <w:noProof/>
        </w:rPr>
        <w:instrText xml:space="preserve"> PAGEREF _Toc122328477 \h </w:instrText>
      </w:r>
      <w:r>
        <w:rPr>
          <w:noProof/>
        </w:rPr>
      </w:r>
      <w:r>
        <w:rPr>
          <w:noProof/>
        </w:rPr>
        <w:fldChar w:fldCharType="separate"/>
      </w:r>
      <w:r>
        <w:rPr>
          <w:noProof/>
        </w:rPr>
        <w:t>77</w:t>
      </w:r>
      <w:r>
        <w:rPr>
          <w:noProof/>
        </w:rPr>
        <w:fldChar w:fldCharType="end"/>
      </w:r>
    </w:p>
    <w:p>
      <w:pPr>
        <w:pStyle w:val="TOC4"/>
        <w:tabs>
          <w:tab w:val="left" w:pos="1701"/>
        </w:tabs>
        <w:rPr>
          <w:noProof/>
          <w:sz w:val="24"/>
          <w:szCs w:val="24"/>
        </w:rPr>
      </w:pPr>
      <w:r>
        <w:rPr>
          <w:noProof/>
          <w:szCs w:val="24"/>
        </w:rPr>
        <w:t>63</w:t>
      </w:r>
      <w:r>
        <w:rPr>
          <w:noProof/>
          <w:snapToGrid w:val="0"/>
          <w:szCs w:val="24"/>
        </w:rPr>
        <w:t>.</w:t>
      </w:r>
      <w:r>
        <w:rPr>
          <w:noProof/>
          <w:sz w:val="24"/>
          <w:szCs w:val="24"/>
        </w:rPr>
        <w:tab/>
      </w:r>
      <w:r>
        <w:rPr>
          <w:noProof/>
          <w:snapToGrid w:val="0"/>
          <w:szCs w:val="24"/>
        </w:rPr>
        <w:t>Condition attached to exploration licence</w:t>
      </w:r>
      <w:r>
        <w:rPr>
          <w:noProof/>
        </w:rPr>
        <w:tab/>
      </w:r>
      <w:r>
        <w:rPr>
          <w:noProof/>
        </w:rPr>
        <w:fldChar w:fldCharType="begin"/>
      </w:r>
      <w:r>
        <w:rPr>
          <w:noProof/>
        </w:rPr>
        <w:instrText xml:space="preserve"> PAGEREF _Toc122328478 \h </w:instrText>
      </w:r>
      <w:r>
        <w:rPr>
          <w:noProof/>
        </w:rPr>
      </w:r>
      <w:r>
        <w:rPr>
          <w:noProof/>
        </w:rPr>
        <w:fldChar w:fldCharType="separate"/>
      </w:r>
      <w:r>
        <w:rPr>
          <w:noProof/>
        </w:rPr>
        <w:t>77</w:t>
      </w:r>
      <w:r>
        <w:rPr>
          <w:noProof/>
        </w:rPr>
        <w:fldChar w:fldCharType="end"/>
      </w:r>
    </w:p>
    <w:p>
      <w:pPr>
        <w:pStyle w:val="TOC4"/>
        <w:tabs>
          <w:tab w:val="left" w:pos="1701"/>
        </w:tabs>
        <w:rPr>
          <w:noProof/>
          <w:sz w:val="24"/>
          <w:szCs w:val="24"/>
        </w:rPr>
      </w:pPr>
      <w:r>
        <w:rPr>
          <w:noProof/>
          <w:szCs w:val="24"/>
        </w:rPr>
        <w:t>63AA</w:t>
      </w:r>
      <w:r>
        <w:rPr>
          <w:noProof/>
          <w:snapToGrid w:val="0"/>
          <w:szCs w:val="24"/>
        </w:rPr>
        <w:t>.</w:t>
      </w:r>
      <w:r>
        <w:rPr>
          <w:noProof/>
          <w:sz w:val="24"/>
          <w:szCs w:val="24"/>
        </w:rPr>
        <w:tab/>
      </w:r>
      <w:r>
        <w:rPr>
          <w:noProof/>
          <w:snapToGrid w:val="0"/>
          <w:szCs w:val="24"/>
        </w:rPr>
        <w:t>Conditions for prevention or reduction of injury to land</w:t>
      </w:r>
      <w:r>
        <w:rPr>
          <w:noProof/>
        </w:rPr>
        <w:tab/>
      </w:r>
      <w:r>
        <w:rPr>
          <w:noProof/>
        </w:rPr>
        <w:fldChar w:fldCharType="begin"/>
      </w:r>
      <w:r>
        <w:rPr>
          <w:noProof/>
        </w:rPr>
        <w:instrText xml:space="preserve"> PAGEREF _Toc122328479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63A</w:t>
      </w:r>
      <w:r>
        <w:rPr>
          <w:noProof/>
          <w:snapToGrid w:val="0"/>
          <w:szCs w:val="24"/>
        </w:rPr>
        <w:t>.</w:t>
      </w:r>
      <w:r>
        <w:rPr>
          <w:noProof/>
          <w:sz w:val="24"/>
          <w:szCs w:val="24"/>
        </w:rPr>
        <w:tab/>
      </w:r>
      <w:r>
        <w:rPr>
          <w:noProof/>
          <w:snapToGrid w:val="0"/>
          <w:szCs w:val="24"/>
        </w:rPr>
        <w:t>When exploration licence liable to forfeiture</w:t>
      </w:r>
      <w:r>
        <w:rPr>
          <w:noProof/>
        </w:rPr>
        <w:tab/>
      </w:r>
      <w:r>
        <w:rPr>
          <w:noProof/>
        </w:rPr>
        <w:fldChar w:fldCharType="begin"/>
      </w:r>
      <w:r>
        <w:rPr>
          <w:noProof/>
        </w:rPr>
        <w:instrText xml:space="preserve"> PAGEREF _Toc122328480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64</w:t>
      </w:r>
      <w:r>
        <w:rPr>
          <w:noProof/>
          <w:snapToGrid w:val="0"/>
          <w:szCs w:val="24"/>
        </w:rPr>
        <w:t>.</w:t>
      </w:r>
      <w:r>
        <w:rPr>
          <w:noProof/>
          <w:sz w:val="24"/>
          <w:szCs w:val="24"/>
        </w:rPr>
        <w:tab/>
      </w:r>
      <w:r>
        <w:rPr>
          <w:noProof/>
          <w:snapToGrid w:val="0"/>
          <w:szCs w:val="24"/>
        </w:rPr>
        <w:t>Consent to dealing in exploration licence</w:t>
      </w:r>
      <w:r>
        <w:rPr>
          <w:noProof/>
        </w:rPr>
        <w:tab/>
      </w:r>
      <w:r>
        <w:rPr>
          <w:noProof/>
        </w:rPr>
        <w:fldChar w:fldCharType="begin"/>
      </w:r>
      <w:r>
        <w:rPr>
          <w:noProof/>
        </w:rPr>
        <w:instrText xml:space="preserve"> PAGEREF _Toc122328481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65</w:t>
      </w:r>
      <w:r>
        <w:rPr>
          <w:noProof/>
          <w:snapToGrid w:val="0"/>
          <w:szCs w:val="24"/>
        </w:rPr>
        <w:t>.</w:t>
      </w:r>
      <w:r>
        <w:rPr>
          <w:noProof/>
          <w:sz w:val="24"/>
          <w:szCs w:val="24"/>
        </w:rPr>
        <w:tab/>
      </w:r>
      <w:r>
        <w:rPr>
          <w:noProof/>
          <w:snapToGrid w:val="0"/>
          <w:szCs w:val="24"/>
        </w:rPr>
        <w:t>Surrender of certain areas subject to the exploration licence</w:t>
      </w:r>
      <w:r>
        <w:rPr>
          <w:noProof/>
        </w:rPr>
        <w:tab/>
      </w:r>
      <w:r>
        <w:rPr>
          <w:noProof/>
        </w:rPr>
        <w:fldChar w:fldCharType="begin"/>
      </w:r>
      <w:r>
        <w:rPr>
          <w:noProof/>
        </w:rPr>
        <w:instrText xml:space="preserve"> PAGEREF _Toc122328482 \h </w:instrText>
      </w:r>
      <w:r>
        <w:rPr>
          <w:noProof/>
        </w:rPr>
      </w:r>
      <w:r>
        <w:rPr>
          <w:noProof/>
        </w:rPr>
        <w:fldChar w:fldCharType="separate"/>
      </w:r>
      <w:r>
        <w:rPr>
          <w:noProof/>
        </w:rPr>
        <w:t>80</w:t>
      </w:r>
      <w:r>
        <w:rPr>
          <w:noProof/>
        </w:rPr>
        <w:fldChar w:fldCharType="end"/>
      </w:r>
    </w:p>
    <w:p>
      <w:pPr>
        <w:pStyle w:val="TOC4"/>
        <w:tabs>
          <w:tab w:val="left" w:pos="1701"/>
        </w:tabs>
        <w:rPr>
          <w:noProof/>
          <w:sz w:val="24"/>
          <w:szCs w:val="24"/>
        </w:rPr>
      </w:pPr>
      <w:r>
        <w:rPr>
          <w:noProof/>
          <w:szCs w:val="24"/>
        </w:rPr>
        <w:t>66</w:t>
      </w:r>
      <w:r>
        <w:rPr>
          <w:noProof/>
          <w:snapToGrid w:val="0"/>
          <w:szCs w:val="24"/>
        </w:rPr>
        <w:t>.</w:t>
      </w:r>
      <w:r>
        <w:rPr>
          <w:noProof/>
          <w:sz w:val="24"/>
          <w:szCs w:val="24"/>
        </w:rPr>
        <w:tab/>
      </w:r>
      <w:r>
        <w:rPr>
          <w:noProof/>
          <w:snapToGrid w:val="0"/>
          <w:szCs w:val="24"/>
        </w:rPr>
        <w:t>Rights conferred by exploration licence</w:t>
      </w:r>
      <w:r>
        <w:rPr>
          <w:noProof/>
        </w:rPr>
        <w:tab/>
      </w:r>
      <w:r>
        <w:rPr>
          <w:noProof/>
        </w:rPr>
        <w:fldChar w:fldCharType="begin"/>
      </w:r>
      <w:r>
        <w:rPr>
          <w:noProof/>
        </w:rPr>
        <w:instrText xml:space="preserve"> PAGEREF _Toc122328483 \h </w:instrText>
      </w:r>
      <w:r>
        <w:rPr>
          <w:noProof/>
        </w:rPr>
      </w:r>
      <w:r>
        <w:rPr>
          <w:noProof/>
        </w:rPr>
        <w:fldChar w:fldCharType="separate"/>
      </w:r>
      <w:r>
        <w:rPr>
          <w:noProof/>
        </w:rPr>
        <w:t>84</w:t>
      </w:r>
      <w:r>
        <w:rPr>
          <w:noProof/>
        </w:rPr>
        <w:fldChar w:fldCharType="end"/>
      </w:r>
    </w:p>
    <w:p>
      <w:pPr>
        <w:pStyle w:val="TOC4"/>
        <w:tabs>
          <w:tab w:val="left" w:pos="1701"/>
        </w:tabs>
        <w:rPr>
          <w:noProof/>
          <w:sz w:val="24"/>
          <w:szCs w:val="24"/>
        </w:rPr>
      </w:pPr>
      <w:r>
        <w:rPr>
          <w:noProof/>
          <w:szCs w:val="24"/>
        </w:rPr>
        <w:t>67</w:t>
      </w:r>
      <w:r>
        <w:rPr>
          <w:noProof/>
          <w:snapToGrid w:val="0"/>
          <w:szCs w:val="24"/>
        </w:rPr>
        <w:t>.</w:t>
      </w:r>
      <w:r>
        <w:rPr>
          <w:noProof/>
          <w:sz w:val="24"/>
          <w:szCs w:val="24"/>
        </w:rPr>
        <w:tab/>
      </w:r>
      <w:r>
        <w:rPr>
          <w:noProof/>
          <w:snapToGrid w:val="0"/>
          <w:szCs w:val="24"/>
        </w:rPr>
        <w:t>Holder of exploration licence to have priority for grant of mining leases or general purpose leases</w:t>
      </w:r>
      <w:r>
        <w:rPr>
          <w:noProof/>
        </w:rPr>
        <w:tab/>
      </w:r>
      <w:r>
        <w:rPr>
          <w:noProof/>
        </w:rPr>
        <w:fldChar w:fldCharType="begin"/>
      </w:r>
      <w:r>
        <w:rPr>
          <w:noProof/>
        </w:rPr>
        <w:instrText xml:space="preserve"> PAGEREF _Toc122328484 \h </w:instrText>
      </w:r>
      <w:r>
        <w:rPr>
          <w:noProof/>
        </w:rPr>
      </w:r>
      <w:r>
        <w:rPr>
          <w:noProof/>
        </w:rPr>
        <w:fldChar w:fldCharType="separate"/>
      </w:r>
      <w:r>
        <w:rPr>
          <w:noProof/>
        </w:rPr>
        <w:t>85</w:t>
      </w:r>
      <w:r>
        <w:rPr>
          <w:noProof/>
        </w:rPr>
        <w:fldChar w:fldCharType="end"/>
      </w:r>
    </w:p>
    <w:p>
      <w:pPr>
        <w:pStyle w:val="TOC4"/>
        <w:tabs>
          <w:tab w:val="left" w:pos="1701"/>
        </w:tabs>
        <w:rPr>
          <w:noProof/>
          <w:sz w:val="24"/>
          <w:szCs w:val="24"/>
        </w:rPr>
      </w:pPr>
      <w:r>
        <w:rPr>
          <w:noProof/>
          <w:szCs w:val="24"/>
        </w:rPr>
        <w:t>67A</w:t>
      </w:r>
      <w:r>
        <w:rPr>
          <w:noProof/>
          <w:snapToGrid w:val="0"/>
          <w:szCs w:val="24"/>
        </w:rPr>
        <w:t>.</w:t>
      </w:r>
      <w:r>
        <w:rPr>
          <w:noProof/>
          <w:sz w:val="24"/>
          <w:szCs w:val="24"/>
        </w:rPr>
        <w:tab/>
      </w:r>
      <w:r>
        <w:rPr>
          <w:noProof/>
          <w:snapToGrid w:val="0"/>
          <w:szCs w:val="24"/>
        </w:rPr>
        <w:t>Holder of exploration licence may apply to amalgamate secondary tenement</w:t>
      </w:r>
      <w:r>
        <w:rPr>
          <w:noProof/>
        </w:rPr>
        <w:tab/>
      </w:r>
      <w:r>
        <w:rPr>
          <w:noProof/>
        </w:rPr>
        <w:fldChar w:fldCharType="begin"/>
      </w:r>
      <w:r>
        <w:rPr>
          <w:noProof/>
        </w:rPr>
        <w:instrText xml:space="preserve"> PAGEREF _Toc122328485 \h </w:instrText>
      </w:r>
      <w:r>
        <w:rPr>
          <w:noProof/>
        </w:rPr>
      </w:r>
      <w:r>
        <w:rPr>
          <w:noProof/>
        </w:rPr>
        <w:fldChar w:fldCharType="separate"/>
      </w:r>
      <w:r>
        <w:rPr>
          <w:noProof/>
        </w:rPr>
        <w:t>86</w:t>
      </w:r>
      <w:r>
        <w:rPr>
          <w:noProof/>
        </w:rPr>
        <w:fldChar w:fldCharType="end"/>
      </w:r>
    </w:p>
    <w:p>
      <w:pPr>
        <w:pStyle w:val="TOC4"/>
        <w:tabs>
          <w:tab w:val="left" w:pos="1701"/>
        </w:tabs>
        <w:rPr>
          <w:noProof/>
          <w:sz w:val="24"/>
          <w:szCs w:val="24"/>
        </w:rPr>
      </w:pPr>
      <w:r>
        <w:rPr>
          <w:noProof/>
          <w:szCs w:val="24"/>
        </w:rPr>
        <w:t>68</w:t>
      </w:r>
      <w:r>
        <w:rPr>
          <w:noProof/>
          <w:snapToGrid w:val="0"/>
          <w:szCs w:val="24"/>
        </w:rPr>
        <w:t>.</w:t>
      </w:r>
      <w:r>
        <w:rPr>
          <w:noProof/>
          <w:sz w:val="24"/>
          <w:szCs w:val="24"/>
        </w:rPr>
        <w:tab/>
      </w:r>
      <w:r>
        <w:rPr>
          <w:noProof/>
          <w:snapToGrid w:val="0"/>
          <w:szCs w:val="24"/>
        </w:rPr>
        <w:t>Holder of exploration licence to keep geological records</w:t>
      </w:r>
      <w:r>
        <w:rPr>
          <w:noProof/>
        </w:rPr>
        <w:tab/>
      </w:r>
      <w:r>
        <w:rPr>
          <w:noProof/>
        </w:rPr>
        <w:fldChar w:fldCharType="begin"/>
      </w:r>
      <w:r>
        <w:rPr>
          <w:noProof/>
        </w:rPr>
        <w:instrText xml:space="preserve"> PAGEREF _Toc122328486 \h </w:instrText>
      </w:r>
      <w:r>
        <w:rPr>
          <w:noProof/>
        </w:rPr>
      </w:r>
      <w:r>
        <w:rPr>
          <w:noProof/>
        </w:rPr>
        <w:fldChar w:fldCharType="separate"/>
      </w:r>
      <w:r>
        <w:rPr>
          <w:noProof/>
        </w:rPr>
        <w:t>88</w:t>
      </w:r>
      <w:r>
        <w:rPr>
          <w:noProof/>
        </w:rPr>
        <w:fldChar w:fldCharType="end"/>
      </w:r>
    </w:p>
    <w:p>
      <w:pPr>
        <w:pStyle w:val="TOC4"/>
        <w:tabs>
          <w:tab w:val="left" w:pos="1701"/>
        </w:tabs>
        <w:rPr>
          <w:noProof/>
          <w:sz w:val="24"/>
          <w:szCs w:val="24"/>
        </w:rPr>
      </w:pPr>
      <w:r>
        <w:rPr>
          <w:noProof/>
          <w:szCs w:val="24"/>
        </w:rPr>
        <w:t>69</w:t>
      </w:r>
      <w:r>
        <w:rPr>
          <w:noProof/>
          <w:snapToGrid w:val="0"/>
          <w:szCs w:val="24"/>
        </w:rPr>
        <w:t>.</w:t>
      </w:r>
      <w:r>
        <w:rPr>
          <w:noProof/>
          <w:sz w:val="24"/>
          <w:szCs w:val="24"/>
        </w:rPr>
        <w:tab/>
      </w:r>
      <w:r>
        <w:rPr>
          <w:noProof/>
          <w:snapToGrid w:val="0"/>
          <w:szCs w:val="24"/>
        </w:rPr>
        <w:t>Land the subject of exploration licence not to be again marked out for a certain period</w:t>
      </w:r>
      <w:r>
        <w:rPr>
          <w:noProof/>
        </w:rPr>
        <w:tab/>
      </w:r>
      <w:r>
        <w:rPr>
          <w:noProof/>
        </w:rPr>
        <w:fldChar w:fldCharType="begin"/>
      </w:r>
      <w:r>
        <w:rPr>
          <w:noProof/>
        </w:rPr>
        <w:instrText xml:space="preserve"> PAGEREF _Toc122328487 \h </w:instrText>
      </w:r>
      <w:r>
        <w:rPr>
          <w:noProof/>
        </w:rPr>
      </w:r>
      <w:r>
        <w:rPr>
          <w:noProof/>
        </w:rPr>
        <w:fldChar w:fldCharType="separate"/>
      </w:r>
      <w:r>
        <w:rPr>
          <w:noProof/>
        </w:rPr>
        <w:t>88</w:t>
      </w:r>
      <w:r>
        <w:rPr>
          <w:noProof/>
        </w:rPr>
        <w:fldChar w:fldCharType="end"/>
      </w:r>
    </w:p>
    <w:p>
      <w:pPr>
        <w:pStyle w:val="TOC4"/>
        <w:tabs>
          <w:tab w:val="left" w:pos="1701"/>
        </w:tabs>
        <w:rPr>
          <w:noProof/>
          <w:sz w:val="24"/>
          <w:szCs w:val="24"/>
        </w:rPr>
      </w:pPr>
      <w:r>
        <w:rPr>
          <w:noProof/>
          <w:szCs w:val="24"/>
        </w:rPr>
        <w:t>70</w:t>
      </w:r>
      <w:r>
        <w:rPr>
          <w:noProof/>
          <w:snapToGrid w:val="0"/>
          <w:szCs w:val="24"/>
        </w:rPr>
        <w:t>.</w:t>
      </w:r>
      <w:r>
        <w:rPr>
          <w:noProof/>
          <w:sz w:val="24"/>
          <w:szCs w:val="24"/>
        </w:rPr>
        <w:tab/>
      </w:r>
      <w:r>
        <w:rPr>
          <w:noProof/>
          <w:snapToGrid w:val="0"/>
          <w:szCs w:val="24"/>
        </w:rPr>
        <w:t xml:space="preserve">Special prospecting licences on an </w:t>
      </w:r>
      <w:r>
        <w:rPr>
          <w:noProof/>
          <w:szCs w:val="24"/>
        </w:rPr>
        <w:t>primary tenement</w:t>
      </w:r>
      <w:r>
        <w:rPr>
          <w:noProof/>
        </w:rPr>
        <w:tab/>
      </w:r>
      <w:r>
        <w:rPr>
          <w:noProof/>
        </w:rPr>
        <w:fldChar w:fldCharType="begin"/>
      </w:r>
      <w:r>
        <w:rPr>
          <w:noProof/>
        </w:rPr>
        <w:instrText xml:space="preserve"> PAGEREF _Toc122328488 \h </w:instrText>
      </w:r>
      <w:r>
        <w:rPr>
          <w:noProof/>
        </w:rPr>
      </w:r>
      <w:r>
        <w:rPr>
          <w:noProof/>
        </w:rPr>
        <w:fldChar w:fldCharType="separate"/>
      </w:r>
      <w:r>
        <w:rPr>
          <w:noProof/>
        </w:rPr>
        <w:t>89</w:t>
      </w:r>
      <w:r>
        <w:rPr>
          <w:noProof/>
        </w:rPr>
        <w:fldChar w:fldCharType="end"/>
      </w:r>
    </w:p>
    <w:p>
      <w:pPr>
        <w:pStyle w:val="TOC3"/>
        <w:rPr>
          <w:b w:val="0"/>
          <w:noProof/>
          <w:sz w:val="24"/>
          <w:szCs w:val="24"/>
        </w:rPr>
      </w:pPr>
      <w:r>
        <w:rPr>
          <w:noProof/>
          <w:szCs w:val="26"/>
        </w:rPr>
        <w:t>Division 2A</w:t>
      </w:r>
      <w:r>
        <w:rPr>
          <w:noProof/>
          <w:snapToGrid w:val="0"/>
          <w:szCs w:val="26"/>
        </w:rPr>
        <w:t> — </w:t>
      </w:r>
      <w:r>
        <w:rPr>
          <w:noProof/>
          <w:szCs w:val="26"/>
        </w:rPr>
        <w:t>Retention licence</w:t>
      </w:r>
    </w:p>
    <w:p>
      <w:pPr>
        <w:pStyle w:val="TOC4"/>
        <w:tabs>
          <w:tab w:val="left" w:pos="1701"/>
        </w:tabs>
        <w:rPr>
          <w:noProof/>
          <w:sz w:val="24"/>
          <w:szCs w:val="24"/>
        </w:rPr>
      </w:pPr>
      <w:r>
        <w:rPr>
          <w:noProof/>
          <w:szCs w:val="24"/>
        </w:rPr>
        <w:t>70A</w:t>
      </w:r>
      <w:r>
        <w:rPr>
          <w:noProof/>
          <w:snapToGrid w:val="0"/>
          <w:szCs w:val="24"/>
        </w:rPr>
        <w:t>.</w:t>
      </w:r>
      <w:r>
        <w:rPr>
          <w:noProof/>
          <w:sz w:val="24"/>
          <w:szCs w:val="24"/>
        </w:rPr>
        <w:tab/>
      </w:r>
      <w:r>
        <w:rPr>
          <w:noProof/>
          <w:snapToGrid w:val="0"/>
          <w:szCs w:val="24"/>
        </w:rPr>
        <w:t>Definitions</w:t>
      </w:r>
      <w:r>
        <w:rPr>
          <w:noProof/>
        </w:rPr>
        <w:tab/>
      </w:r>
      <w:r>
        <w:rPr>
          <w:noProof/>
        </w:rPr>
        <w:fldChar w:fldCharType="begin"/>
      </w:r>
      <w:r>
        <w:rPr>
          <w:noProof/>
        </w:rPr>
        <w:instrText xml:space="preserve"> PAGEREF _Toc122328490 \h </w:instrText>
      </w:r>
      <w:r>
        <w:rPr>
          <w:noProof/>
        </w:rPr>
      </w:r>
      <w:r>
        <w:rPr>
          <w:noProof/>
        </w:rPr>
        <w:fldChar w:fldCharType="separate"/>
      </w:r>
      <w:r>
        <w:rPr>
          <w:noProof/>
        </w:rPr>
        <w:t>95</w:t>
      </w:r>
      <w:r>
        <w:rPr>
          <w:noProof/>
        </w:rPr>
        <w:fldChar w:fldCharType="end"/>
      </w:r>
    </w:p>
    <w:p>
      <w:pPr>
        <w:pStyle w:val="TOC4"/>
        <w:tabs>
          <w:tab w:val="left" w:pos="1701"/>
        </w:tabs>
        <w:rPr>
          <w:noProof/>
          <w:sz w:val="24"/>
          <w:szCs w:val="24"/>
        </w:rPr>
      </w:pPr>
      <w:r>
        <w:rPr>
          <w:noProof/>
          <w:szCs w:val="24"/>
        </w:rPr>
        <w:t>70B</w:t>
      </w:r>
      <w:r>
        <w:rPr>
          <w:noProof/>
          <w:snapToGrid w:val="0"/>
          <w:szCs w:val="24"/>
        </w:rPr>
        <w:t>.</w:t>
      </w:r>
      <w:r>
        <w:rPr>
          <w:noProof/>
          <w:sz w:val="24"/>
          <w:szCs w:val="24"/>
        </w:rPr>
        <w:tab/>
      </w:r>
      <w:r>
        <w:rPr>
          <w:noProof/>
          <w:snapToGrid w:val="0"/>
          <w:szCs w:val="24"/>
        </w:rPr>
        <w:t>Grant of retention licence</w:t>
      </w:r>
      <w:r>
        <w:rPr>
          <w:noProof/>
        </w:rPr>
        <w:tab/>
      </w:r>
      <w:r>
        <w:rPr>
          <w:noProof/>
        </w:rPr>
        <w:fldChar w:fldCharType="begin"/>
      </w:r>
      <w:r>
        <w:rPr>
          <w:noProof/>
        </w:rPr>
        <w:instrText xml:space="preserve"> PAGEREF _Toc122328491 \h </w:instrText>
      </w:r>
      <w:r>
        <w:rPr>
          <w:noProof/>
        </w:rPr>
      </w:r>
      <w:r>
        <w:rPr>
          <w:noProof/>
        </w:rPr>
        <w:fldChar w:fldCharType="separate"/>
      </w:r>
      <w:r>
        <w:rPr>
          <w:noProof/>
        </w:rPr>
        <w:t>95</w:t>
      </w:r>
      <w:r>
        <w:rPr>
          <w:noProof/>
        </w:rPr>
        <w:fldChar w:fldCharType="end"/>
      </w:r>
    </w:p>
    <w:p>
      <w:pPr>
        <w:pStyle w:val="TOC4"/>
        <w:tabs>
          <w:tab w:val="left" w:pos="1701"/>
        </w:tabs>
        <w:rPr>
          <w:noProof/>
          <w:sz w:val="24"/>
          <w:szCs w:val="24"/>
        </w:rPr>
      </w:pPr>
      <w:r>
        <w:rPr>
          <w:noProof/>
          <w:szCs w:val="24"/>
        </w:rPr>
        <w:t>70C</w:t>
      </w:r>
      <w:r>
        <w:rPr>
          <w:noProof/>
          <w:snapToGrid w:val="0"/>
          <w:szCs w:val="24"/>
        </w:rPr>
        <w:t>.</w:t>
      </w:r>
      <w:r>
        <w:rPr>
          <w:noProof/>
          <w:sz w:val="24"/>
          <w:szCs w:val="24"/>
        </w:rPr>
        <w:tab/>
      </w:r>
      <w:r>
        <w:rPr>
          <w:noProof/>
          <w:snapToGrid w:val="0"/>
          <w:szCs w:val="24"/>
        </w:rPr>
        <w:t>Application for retention licence</w:t>
      </w:r>
      <w:r>
        <w:rPr>
          <w:noProof/>
        </w:rPr>
        <w:tab/>
      </w:r>
      <w:r>
        <w:rPr>
          <w:noProof/>
        </w:rPr>
        <w:fldChar w:fldCharType="begin"/>
      </w:r>
      <w:r>
        <w:rPr>
          <w:noProof/>
        </w:rPr>
        <w:instrText xml:space="preserve"> PAGEREF _Toc122328492 \h </w:instrText>
      </w:r>
      <w:r>
        <w:rPr>
          <w:noProof/>
        </w:rPr>
      </w:r>
      <w:r>
        <w:rPr>
          <w:noProof/>
        </w:rPr>
        <w:fldChar w:fldCharType="separate"/>
      </w:r>
      <w:r>
        <w:rPr>
          <w:noProof/>
        </w:rPr>
        <w:t>96</w:t>
      </w:r>
      <w:r>
        <w:rPr>
          <w:noProof/>
        </w:rPr>
        <w:fldChar w:fldCharType="end"/>
      </w:r>
    </w:p>
    <w:p>
      <w:pPr>
        <w:pStyle w:val="TOC4"/>
        <w:tabs>
          <w:tab w:val="left" w:pos="1701"/>
        </w:tabs>
        <w:rPr>
          <w:noProof/>
          <w:sz w:val="24"/>
          <w:szCs w:val="24"/>
        </w:rPr>
      </w:pPr>
      <w:r>
        <w:rPr>
          <w:noProof/>
          <w:szCs w:val="24"/>
        </w:rPr>
        <w:t>70D</w:t>
      </w:r>
      <w:r>
        <w:rPr>
          <w:noProof/>
          <w:snapToGrid w:val="0"/>
          <w:szCs w:val="24"/>
        </w:rPr>
        <w:t>.</w:t>
      </w:r>
      <w:r>
        <w:rPr>
          <w:noProof/>
          <w:sz w:val="24"/>
          <w:szCs w:val="24"/>
        </w:rPr>
        <w:tab/>
      </w:r>
      <w:r>
        <w:rPr>
          <w:noProof/>
          <w:snapToGrid w:val="0"/>
          <w:szCs w:val="24"/>
        </w:rPr>
        <w:t>Determination of application for retention licence</w:t>
      </w:r>
      <w:r>
        <w:rPr>
          <w:noProof/>
        </w:rPr>
        <w:tab/>
      </w:r>
      <w:r>
        <w:rPr>
          <w:noProof/>
        </w:rPr>
        <w:fldChar w:fldCharType="begin"/>
      </w:r>
      <w:r>
        <w:rPr>
          <w:noProof/>
        </w:rPr>
        <w:instrText xml:space="preserve"> PAGEREF _Toc122328493 \h </w:instrText>
      </w:r>
      <w:r>
        <w:rPr>
          <w:noProof/>
        </w:rPr>
      </w:r>
      <w:r>
        <w:rPr>
          <w:noProof/>
        </w:rPr>
        <w:fldChar w:fldCharType="separate"/>
      </w:r>
      <w:r>
        <w:rPr>
          <w:noProof/>
        </w:rPr>
        <w:t>98</w:t>
      </w:r>
      <w:r>
        <w:rPr>
          <w:noProof/>
        </w:rPr>
        <w:fldChar w:fldCharType="end"/>
      </w:r>
    </w:p>
    <w:p>
      <w:pPr>
        <w:pStyle w:val="TOC4"/>
        <w:tabs>
          <w:tab w:val="left" w:pos="1701"/>
        </w:tabs>
        <w:rPr>
          <w:noProof/>
          <w:sz w:val="24"/>
          <w:szCs w:val="24"/>
        </w:rPr>
      </w:pPr>
      <w:r>
        <w:rPr>
          <w:noProof/>
          <w:szCs w:val="24"/>
        </w:rPr>
        <w:t>70E</w:t>
      </w:r>
      <w:r>
        <w:rPr>
          <w:noProof/>
          <w:snapToGrid w:val="0"/>
          <w:szCs w:val="24"/>
        </w:rPr>
        <w:t>.</w:t>
      </w:r>
      <w:r>
        <w:rPr>
          <w:noProof/>
          <w:sz w:val="24"/>
          <w:szCs w:val="24"/>
        </w:rPr>
        <w:tab/>
      </w:r>
      <w:r>
        <w:rPr>
          <w:noProof/>
          <w:snapToGrid w:val="0"/>
          <w:szCs w:val="24"/>
        </w:rPr>
        <w:t>Term of retention licence and renewal</w:t>
      </w:r>
      <w:r>
        <w:rPr>
          <w:noProof/>
        </w:rPr>
        <w:tab/>
      </w:r>
      <w:r>
        <w:rPr>
          <w:noProof/>
        </w:rPr>
        <w:fldChar w:fldCharType="begin"/>
      </w:r>
      <w:r>
        <w:rPr>
          <w:noProof/>
        </w:rPr>
        <w:instrText xml:space="preserve"> PAGEREF _Toc122328494 \h </w:instrText>
      </w:r>
      <w:r>
        <w:rPr>
          <w:noProof/>
        </w:rPr>
      </w:r>
      <w:r>
        <w:rPr>
          <w:noProof/>
        </w:rPr>
        <w:fldChar w:fldCharType="separate"/>
      </w:r>
      <w:r>
        <w:rPr>
          <w:noProof/>
        </w:rPr>
        <w:t>100</w:t>
      </w:r>
      <w:r>
        <w:rPr>
          <w:noProof/>
        </w:rPr>
        <w:fldChar w:fldCharType="end"/>
      </w:r>
    </w:p>
    <w:p>
      <w:pPr>
        <w:pStyle w:val="TOC4"/>
        <w:tabs>
          <w:tab w:val="left" w:pos="1701"/>
        </w:tabs>
        <w:rPr>
          <w:noProof/>
          <w:sz w:val="24"/>
          <w:szCs w:val="24"/>
        </w:rPr>
      </w:pPr>
      <w:r>
        <w:rPr>
          <w:noProof/>
          <w:szCs w:val="24"/>
        </w:rPr>
        <w:t>70F</w:t>
      </w:r>
      <w:r>
        <w:rPr>
          <w:noProof/>
          <w:snapToGrid w:val="0"/>
          <w:szCs w:val="24"/>
        </w:rPr>
        <w:t>.</w:t>
      </w:r>
      <w:r>
        <w:rPr>
          <w:noProof/>
          <w:sz w:val="24"/>
          <w:szCs w:val="24"/>
        </w:rPr>
        <w:tab/>
      </w:r>
      <w:r>
        <w:rPr>
          <w:noProof/>
          <w:snapToGrid w:val="0"/>
          <w:szCs w:val="24"/>
        </w:rPr>
        <w:t>Security relating to retention licence</w:t>
      </w:r>
      <w:r>
        <w:rPr>
          <w:noProof/>
        </w:rPr>
        <w:tab/>
      </w:r>
      <w:r>
        <w:rPr>
          <w:noProof/>
        </w:rPr>
        <w:fldChar w:fldCharType="begin"/>
      </w:r>
      <w:r>
        <w:rPr>
          <w:noProof/>
        </w:rPr>
        <w:instrText xml:space="preserve"> PAGEREF _Toc122328495 \h </w:instrText>
      </w:r>
      <w:r>
        <w:rPr>
          <w:noProof/>
        </w:rPr>
      </w:r>
      <w:r>
        <w:rPr>
          <w:noProof/>
        </w:rPr>
        <w:fldChar w:fldCharType="separate"/>
      </w:r>
      <w:r>
        <w:rPr>
          <w:noProof/>
        </w:rPr>
        <w:t>101</w:t>
      </w:r>
      <w:r>
        <w:rPr>
          <w:noProof/>
        </w:rPr>
        <w:fldChar w:fldCharType="end"/>
      </w:r>
    </w:p>
    <w:p>
      <w:pPr>
        <w:pStyle w:val="TOC4"/>
        <w:tabs>
          <w:tab w:val="left" w:pos="1701"/>
        </w:tabs>
        <w:rPr>
          <w:noProof/>
          <w:sz w:val="24"/>
          <w:szCs w:val="24"/>
        </w:rPr>
      </w:pPr>
      <w:r>
        <w:rPr>
          <w:noProof/>
          <w:szCs w:val="24"/>
        </w:rPr>
        <w:t>70G</w:t>
      </w:r>
      <w:r>
        <w:rPr>
          <w:noProof/>
          <w:snapToGrid w:val="0"/>
          <w:szCs w:val="24"/>
        </w:rPr>
        <w:t>.</w:t>
      </w:r>
      <w:r>
        <w:rPr>
          <w:noProof/>
          <w:sz w:val="24"/>
          <w:szCs w:val="24"/>
        </w:rPr>
        <w:tab/>
      </w:r>
      <w:r>
        <w:rPr>
          <w:noProof/>
          <w:snapToGrid w:val="0"/>
          <w:szCs w:val="24"/>
        </w:rPr>
        <w:t>Survey of area of retention licence not required in first instance</w:t>
      </w:r>
      <w:r>
        <w:rPr>
          <w:noProof/>
        </w:rPr>
        <w:tab/>
      </w:r>
      <w:r>
        <w:rPr>
          <w:noProof/>
        </w:rPr>
        <w:fldChar w:fldCharType="begin"/>
      </w:r>
      <w:r>
        <w:rPr>
          <w:noProof/>
        </w:rPr>
        <w:instrText xml:space="preserve"> PAGEREF _Toc122328496 \h </w:instrText>
      </w:r>
      <w:r>
        <w:rPr>
          <w:noProof/>
        </w:rPr>
      </w:r>
      <w:r>
        <w:rPr>
          <w:noProof/>
        </w:rPr>
        <w:fldChar w:fldCharType="separate"/>
      </w:r>
      <w:r>
        <w:rPr>
          <w:noProof/>
        </w:rPr>
        <w:t>101</w:t>
      </w:r>
      <w:r>
        <w:rPr>
          <w:noProof/>
        </w:rPr>
        <w:fldChar w:fldCharType="end"/>
      </w:r>
    </w:p>
    <w:p>
      <w:pPr>
        <w:pStyle w:val="TOC4"/>
        <w:tabs>
          <w:tab w:val="left" w:pos="1701"/>
        </w:tabs>
        <w:rPr>
          <w:noProof/>
          <w:sz w:val="24"/>
          <w:szCs w:val="24"/>
        </w:rPr>
      </w:pPr>
      <w:r>
        <w:rPr>
          <w:noProof/>
          <w:szCs w:val="24"/>
        </w:rPr>
        <w:t>70H</w:t>
      </w:r>
      <w:r>
        <w:rPr>
          <w:noProof/>
          <w:snapToGrid w:val="0"/>
          <w:szCs w:val="24"/>
        </w:rPr>
        <w:t>.</w:t>
      </w:r>
      <w:r>
        <w:rPr>
          <w:noProof/>
          <w:sz w:val="24"/>
          <w:szCs w:val="24"/>
        </w:rPr>
        <w:tab/>
      </w:r>
      <w:r>
        <w:rPr>
          <w:noProof/>
          <w:snapToGrid w:val="0"/>
          <w:szCs w:val="24"/>
        </w:rPr>
        <w:t>Conditions attached to retention licence</w:t>
      </w:r>
      <w:r>
        <w:rPr>
          <w:noProof/>
        </w:rPr>
        <w:tab/>
      </w:r>
      <w:r>
        <w:rPr>
          <w:noProof/>
        </w:rPr>
        <w:fldChar w:fldCharType="begin"/>
      </w:r>
      <w:r>
        <w:rPr>
          <w:noProof/>
        </w:rPr>
        <w:instrText xml:space="preserve"> PAGEREF _Toc122328497 \h </w:instrText>
      </w:r>
      <w:r>
        <w:rPr>
          <w:noProof/>
        </w:rPr>
      </w:r>
      <w:r>
        <w:rPr>
          <w:noProof/>
        </w:rPr>
        <w:fldChar w:fldCharType="separate"/>
      </w:r>
      <w:r>
        <w:rPr>
          <w:noProof/>
        </w:rPr>
        <w:t>101</w:t>
      </w:r>
      <w:r>
        <w:rPr>
          <w:noProof/>
        </w:rPr>
        <w:fldChar w:fldCharType="end"/>
      </w:r>
    </w:p>
    <w:p>
      <w:pPr>
        <w:pStyle w:val="TOC4"/>
        <w:tabs>
          <w:tab w:val="left" w:pos="1701"/>
        </w:tabs>
        <w:rPr>
          <w:noProof/>
          <w:sz w:val="24"/>
          <w:szCs w:val="24"/>
        </w:rPr>
      </w:pPr>
      <w:r>
        <w:rPr>
          <w:noProof/>
          <w:szCs w:val="24"/>
        </w:rPr>
        <w:t>70I</w:t>
      </w:r>
      <w:r>
        <w:rPr>
          <w:noProof/>
          <w:snapToGrid w:val="0"/>
          <w:szCs w:val="24"/>
        </w:rPr>
        <w:t>.</w:t>
      </w:r>
      <w:r>
        <w:rPr>
          <w:noProof/>
          <w:sz w:val="24"/>
          <w:szCs w:val="24"/>
        </w:rPr>
        <w:tab/>
      </w:r>
      <w:r>
        <w:rPr>
          <w:noProof/>
          <w:snapToGrid w:val="0"/>
          <w:szCs w:val="24"/>
        </w:rPr>
        <w:t>Conditions for prevention or reduction of injury to land</w:t>
      </w:r>
      <w:r>
        <w:rPr>
          <w:noProof/>
        </w:rPr>
        <w:tab/>
      </w:r>
      <w:r>
        <w:rPr>
          <w:noProof/>
        </w:rPr>
        <w:fldChar w:fldCharType="begin"/>
      </w:r>
      <w:r>
        <w:rPr>
          <w:noProof/>
        </w:rPr>
        <w:instrText xml:space="preserve"> PAGEREF _Toc122328498 \h </w:instrText>
      </w:r>
      <w:r>
        <w:rPr>
          <w:noProof/>
        </w:rPr>
      </w:r>
      <w:r>
        <w:rPr>
          <w:noProof/>
        </w:rPr>
        <w:fldChar w:fldCharType="separate"/>
      </w:r>
      <w:r>
        <w:rPr>
          <w:noProof/>
        </w:rPr>
        <w:t>102</w:t>
      </w:r>
      <w:r>
        <w:rPr>
          <w:noProof/>
        </w:rPr>
        <w:fldChar w:fldCharType="end"/>
      </w:r>
    </w:p>
    <w:p>
      <w:pPr>
        <w:pStyle w:val="TOC4"/>
        <w:tabs>
          <w:tab w:val="left" w:pos="1701"/>
        </w:tabs>
        <w:rPr>
          <w:noProof/>
          <w:sz w:val="24"/>
          <w:szCs w:val="24"/>
        </w:rPr>
      </w:pPr>
      <w:r>
        <w:rPr>
          <w:noProof/>
          <w:szCs w:val="24"/>
        </w:rPr>
        <w:t>70IA</w:t>
      </w:r>
      <w:r>
        <w:rPr>
          <w:noProof/>
          <w:snapToGrid w:val="0"/>
          <w:szCs w:val="24"/>
        </w:rPr>
        <w:t>.</w:t>
      </w:r>
      <w:r>
        <w:rPr>
          <w:noProof/>
          <w:sz w:val="24"/>
          <w:szCs w:val="24"/>
        </w:rPr>
        <w:tab/>
      </w:r>
      <w:r>
        <w:rPr>
          <w:noProof/>
          <w:snapToGrid w:val="0"/>
          <w:szCs w:val="24"/>
        </w:rPr>
        <w:t>Programme of work</w:t>
      </w:r>
      <w:r>
        <w:rPr>
          <w:noProof/>
        </w:rPr>
        <w:tab/>
      </w:r>
      <w:r>
        <w:rPr>
          <w:noProof/>
        </w:rPr>
        <w:fldChar w:fldCharType="begin"/>
      </w:r>
      <w:r>
        <w:rPr>
          <w:noProof/>
        </w:rPr>
        <w:instrText xml:space="preserve"> PAGEREF _Toc122328499 \h </w:instrText>
      </w:r>
      <w:r>
        <w:rPr>
          <w:noProof/>
        </w:rPr>
      </w:r>
      <w:r>
        <w:rPr>
          <w:noProof/>
        </w:rPr>
        <w:fldChar w:fldCharType="separate"/>
      </w:r>
      <w:r>
        <w:rPr>
          <w:noProof/>
        </w:rPr>
        <w:t>103</w:t>
      </w:r>
      <w:r>
        <w:rPr>
          <w:noProof/>
        </w:rPr>
        <w:fldChar w:fldCharType="end"/>
      </w:r>
    </w:p>
    <w:p>
      <w:pPr>
        <w:pStyle w:val="TOC4"/>
        <w:tabs>
          <w:tab w:val="left" w:pos="1701"/>
        </w:tabs>
        <w:rPr>
          <w:noProof/>
          <w:sz w:val="24"/>
          <w:szCs w:val="24"/>
        </w:rPr>
      </w:pPr>
      <w:r>
        <w:rPr>
          <w:noProof/>
          <w:szCs w:val="24"/>
        </w:rPr>
        <w:t>70J</w:t>
      </w:r>
      <w:r>
        <w:rPr>
          <w:noProof/>
          <w:snapToGrid w:val="0"/>
          <w:szCs w:val="24"/>
        </w:rPr>
        <w:t>.</w:t>
      </w:r>
      <w:r>
        <w:rPr>
          <w:noProof/>
          <w:sz w:val="24"/>
          <w:szCs w:val="24"/>
        </w:rPr>
        <w:tab/>
      </w:r>
      <w:r>
        <w:rPr>
          <w:noProof/>
          <w:snapToGrid w:val="0"/>
          <w:szCs w:val="24"/>
        </w:rPr>
        <w:t>Rights conferred by retention licence</w:t>
      </w:r>
      <w:r>
        <w:rPr>
          <w:noProof/>
        </w:rPr>
        <w:tab/>
      </w:r>
      <w:r>
        <w:rPr>
          <w:noProof/>
        </w:rPr>
        <w:fldChar w:fldCharType="begin"/>
      </w:r>
      <w:r>
        <w:rPr>
          <w:noProof/>
        </w:rPr>
        <w:instrText xml:space="preserve"> PAGEREF _Toc122328500 \h </w:instrText>
      </w:r>
      <w:r>
        <w:rPr>
          <w:noProof/>
        </w:rPr>
      </w:r>
      <w:r>
        <w:rPr>
          <w:noProof/>
        </w:rPr>
        <w:fldChar w:fldCharType="separate"/>
      </w:r>
      <w:r>
        <w:rPr>
          <w:noProof/>
        </w:rPr>
        <w:t>104</w:t>
      </w:r>
      <w:r>
        <w:rPr>
          <w:noProof/>
        </w:rPr>
        <w:fldChar w:fldCharType="end"/>
      </w:r>
    </w:p>
    <w:p>
      <w:pPr>
        <w:pStyle w:val="TOC4"/>
        <w:tabs>
          <w:tab w:val="left" w:pos="1701"/>
        </w:tabs>
        <w:rPr>
          <w:noProof/>
          <w:sz w:val="24"/>
          <w:szCs w:val="24"/>
        </w:rPr>
      </w:pPr>
      <w:r>
        <w:rPr>
          <w:noProof/>
          <w:szCs w:val="24"/>
        </w:rPr>
        <w:t>70K</w:t>
      </w:r>
      <w:r>
        <w:rPr>
          <w:noProof/>
          <w:snapToGrid w:val="0"/>
          <w:szCs w:val="24"/>
        </w:rPr>
        <w:t>.</w:t>
      </w:r>
      <w:r>
        <w:rPr>
          <w:noProof/>
          <w:sz w:val="24"/>
          <w:szCs w:val="24"/>
        </w:rPr>
        <w:tab/>
      </w:r>
      <w:r>
        <w:rPr>
          <w:noProof/>
          <w:snapToGrid w:val="0"/>
          <w:szCs w:val="24"/>
        </w:rPr>
        <w:t>When retention licence liable to forfeiture</w:t>
      </w:r>
      <w:r>
        <w:rPr>
          <w:noProof/>
        </w:rPr>
        <w:tab/>
      </w:r>
      <w:r>
        <w:rPr>
          <w:noProof/>
        </w:rPr>
        <w:fldChar w:fldCharType="begin"/>
      </w:r>
      <w:r>
        <w:rPr>
          <w:noProof/>
        </w:rPr>
        <w:instrText xml:space="preserve"> PAGEREF _Toc122328501 \h </w:instrText>
      </w:r>
      <w:r>
        <w:rPr>
          <w:noProof/>
        </w:rPr>
      </w:r>
      <w:r>
        <w:rPr>
          <w:noProof/>
        </w:rPr>
        <w:fldChar w:fldCharType="separate"/>
      </w:r>
      <w:r>
        <w:rPr>
          <w:noProof/>
        </w:rPr>
        <w:t>105</w:t>
      </w:r>
      <w:r>
        <w:rPr>
          <w:noProof/>
        </w:rPr>
        <w:fldChar w:fldCharType="end"/>
      </w:r>
    </w:p>
    <w:p>
      <w:pPr>
        <w:pStyle w:val="TOC4"/>
        <w:tabs>
          <w:tab w:val="left" w:pos="1701"/>
        </w:tabs>
        <w:rPr>
          <w:noProof/>
          <w:sz w:val="24"/>
          <w:szCs w:val="24"/>
        </w:rPr>
      </w:pPr>
      <w:r>
        <w:rPr>
          <w:noProof/>
          <w:szCs w:val="24"/>
        </w:rPr>
        <w:t>70L</w:t>
      </w:r>
      <w:r>
        <w:rPr>
          <w:noProof/>
          <w:snapToGrid w:val="0"/>
          <w:szCs w:val="24"/>
        </w:rPr>
        <w:t>.</w:t>
      </w:r>
      <w:r>
        <w:rPr>
          <w:noProof/>
          <w:sz w:val="24"/>
          <w:szCs w:val="24"/>
        </w:rPr>
        <w:tab/>
      </w:r>
      <w:r>
        <w:rPr>
          <w:noProof/>
          <w:snapToGrid w:val="0"/>
          <w:szCs w:val="24"/>
        </w:rPr>
        <w:t>Holder of retention licence to have priority for grant of mining lease or general purpose lease</w:t>
      </w:r>
      <w:r>
        <w:rPr>
          <w:noProof/>
        </w:rPr>
        <w:tab/>
      </w:r>
      <w:r>
        <w:rPr>
          <w:noProof/>
        </w:rPr>
        <w:fldChar w:fldCharType="begin"/>
      </w:r>
      <w:r>
        <w:rPr>
          <w:noProof/>
        </w:rPr>
        <w:instrText xml:space="preserve"> PAGEREF _Toc122328502 \h </w:instrText>
      </w:r>
      <w:r>
        <w:rPr>
          <w:noProof/>
        </w:rPr>
      </w:r>
      <w:r>
        <w:rPr>
          <w:noProof/>
        </w:rPr>
        <w:fldChar w:fldCharType="separate"/>
      </w:r>
      <w:r>
        <w:rPr>
          <w:noProof/>
        </w:rPr>
        <w:t>105</w:t>
      </w:r>
      <w:r>
        <w:rPr>
          <w:noProof/>
        </w:rPr>
        <w:fldChar w:fldCharType="end"/>
      </w:r>
    </w:p>
    <w:p>
      <w:pPr>
        <w:pStyle w:val="TOC4"/>
        <w:tabs>
          <w:tab w:val="left" w:pos="1701"/>
        </w:tabs>
        <w:rPr>
          <w:noProof/>
          <w:sz w:val="24"/>
          <w:szCs w:val="24"/>
        </w:rPr>
      </w:pPr>
      <w:r>
        <w:rPr>
          <w:noProof/>
          <w:szCs w:val="24"/>
        </w:rPr>
        <w:t>70M</w:t>
      </w:r>
      <w:r>
        <w:rPr>
          <w:noProof/>
          <w:snapToGrid w:val="0"/>
          <w:szCs w:val="24"/>
        </w:rPr>
        <w:t>.</w:t>
      </w:r>
      <w:r>
        <w:rPr>
          <w:noProof/>
          <w:sz w:val="24"/>
          <w:szCs w:val="24"/>
        </w:rPr>
        <w:tab/>
      </w:r>
      <w:r>
        <w:rPr>
          <w:noProof/>
          <w:snapToGrid w:val="0"/>
          <w:szCs w:val="24"/>
        </w:rPr>
        <w:t>Holder of retention licence to show cause why mining lease should not be applied for</w:t>
      </w:r>
      <w:r>
        <w:rPr>
          <w:noProof/>
        </w:rPr>
        <w:tab/>
      </w:r>
      <w:r>
        <w:rPr>
          <w:noProof/>
        </w:rPr>
        <w:fldChar w:fldCharType="begin"/>
      </w:r>
      <w:r>
        <w:rPr>
          <w:noProof/>
        </w:rPr>
        <w:instrText xml:space="preserve"> PAGEREF _Toc122328503 \h </w:instrText>
      </w:r>
      <w:r>
        <w:rPr>
          <w:noProof/>
        </w:rPr>
      </w:r>
      <w:r>
        <w:rPr>
          <w:noProof/>
        </w:rPr>
        <w:fldChar w:fldCharType="separate"/>
      </w:r>
      <w:r>
        <w:rPr>
          <w:noProof/>
        </w:rPr>
        <w:t>106</w:t>
      </w:r>
      <w:r>
        <w:rPr>
          <w:noProof/>
        </w:rPr>
        <w:fldChar w:fldCharType="end"/>
      </w:r>
    </w:p>
    <w:p>
      <w:pPr>
        <w:pStyle w:val="TOC4"/>
        <w:tabs>
          <w:tab w:val="left" w:pos="1701"/>
        </w:tabs>
        <w:rPr>
          <w:noProof/>
          <w:sz w:val="24"/>
          <w:szCs w:val="24"/>
        </w:rPr>
      </w:pPr>
      <w:r>
        <w:rPr>
          <w:noProof/>
          <w:szCs w:val="24"/>
        </w:rPr>
        <w:t>70N</w:t>
      </w:r>
      <w:r>
        <w:rPr>
          <w:noProof/>
          <w:snapToGrid w:val="0"/>
          <w:szCs w:val="24"/>
        </w:rPr>
        <w:t>.</w:t>
      </w:r>
      <w:r>
        <w:rPr>
          <w:noProof/>
          <w:sz w:val="24"/>
          <w:szCs w:val="24"/>
        </w:rPr>
        <w:tab/>
      </w:r>
      <w:r>
        <w:rPr>
          <w:noProof/>
          <w:snapToGrid w:val="0"/>
          <w:szCs w:val="24"/>
        </w:rPr>
        <w:t>Land the subject of retention licence not to be again marked out for a certain period</w:t>
      </w:r>
      <w:r>
        <w:rPr>
          <w:noProof/>
        </w:rPr>
        <w:tab/>
      </w:r>
      <w:r>
        <w:rPr>
          <w:noProof/>
        </w:rPr>
        <w:fldChar w:fldCharType="begin"/>
      </w:r>
      <w:r>
        <w:rPr>
          <w:noProof/>
        </w:rPr>
        <w:instrText xml:space="preserve"> PAGEREF _Toc122328504 \h </w:instrText>
      </w:r>
      <w:r>
        <w:rPr>
          <w:noProof/>
        </w:rPr>
      </w:r>
      <w:r>
        <w:rPr>
          <w:noProof/>
        </w:rPr>
        <w:fldChar w:fldCharType="separate"/>
      </w:r>
      <w:r>
        <w:rPr>
          <w:noProof/>
        </w:rPr>
        <w:t>107</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Mining lease</w:t>
      </w:r>
    </w:p>
    <w:p>
      <w:pPr>
        <w:pStyle w:val="TOC4"/>
        <w:tabs>
          <w:tab w:val="left" w:pos="1701"/>
        </w:tabs>
        <w:rPr>
          <w:noProof/>
          <w:sz w:val="24"/>
          <w:szCs w:val="24"/>
        </w:rPr>
      </w:pPr>
      <w:r>
        <w:rPr>
          <w:noProof/>
          <w:szCs w:val="24"/>
        </w:rPr>
        <w:t>71</w:t>
      </w:r>
      <w:r>
        <w:rPr>
          <w:noProof/>
          <w:snapToGrid w:val="0"/>
          <w:szCs w:val="24"/>
        </w:rPr>
        <w:t>.</w:t>
      </w:r>
      <w:r>
        <w:rPr>
          <w:noProof/>
          <w:sz w:val="24"/>
          <w:szCs w:val="24"/>
        </w:rPr>
        <w:tab/>
      </w:r>
      <w:r>
        <w:rPr>
          <w:noProof/>
          <w:snapToGrid w:val="0"/>
          <w:szCs w:val="24"/>
        </w:rPr>
        <w:t>Grant of mining lease</w:t>
      </w:r>
      <w:r>
        <w:rPr>
          <w:noProof/>
        </w:rPr>
        <w:tab/>
      </w:r>
      <w:r>
        <w:rPr>
          <w:noProof/>
        </w:rPr>
        <w:fldChar w:fldCharType="begin"/>
      </w:r>
      <w:r>
        <w:rPr>
          <w:noProof/>
        </w:rPr>
        <w:instrText xml:space="preserve"> PAGEREF _Toc122328506 \h </w:instrText>
      </w:r>
      <w:r>
        <w:rPr>
          <w:noProof/>
        </w:rPr>
      </w:r>
      <w:r>
        <w:rPr>
          <w:noProof/>
        </w:rPr>
        <w:fldChar w:fldCharType="separate"/>
      </w:r>
      <w:r>
        <w:rPr>
          <w:noProof/>
        </w:rPr>
        <w:t>108</w:t>
      </w:r>
      <w:r>
        <w:rPr>
          <w:noProof/>
        </w:rPr>
        <w:fldChar w:fldCharType="end"/>
      </w:r>
    </w:p>
    <w:p>
      <w:pPr>
        <w:pStyle w:val="TOC4"/>
        <w:tabs>
          <w:tab w:val="left" w:pos="1701"/>
        </w:tabs>
        <w:rPr>
          <w:noProof/>
          <w:sz w:val="24"/>
          <w:szCs w:val="24"/>
        </w:rPr>
      </w:pPr>
      <w:r>
        <w:rPr>
          <w:noProof/>
          <w:szCs w:val="24"/>
        </w:rPr>
        <w:t>72</w:t>
      </w:r>
      <w:r>
        <w:rPr>
          <w:noProof/>
          <w:snapToGrid w:val="0"/>
          <w:szCs w:val="24"/>
        </w:rPr>
        <w:t>.</w:t>
      </w:r>
      <w:r>
        <w:rPr>
          <w:noProof/>
          <w:sz w:val="24"/>
          <w:szCs w:val="24"/>
        </w:rPr>
        <w:tab/>
      </w:r>
      <w:r>
        <w:rPr>
          <w:noProof/>
          <w:snapToGrid w:val="0"/>
          <w:szCs w:val="24"/>
        </w:rPr>
        <w:t>Person may be granted more than one mining lease</w:t>
      </w:r>
      <w:r>
        <w:rPr>
          <w:noProof/>
        </w:rPr>
        <w:tab/>
      </w:r>
      <w:r>
        <w:rPr>
          <w:noProof/>
        </w:rPr>
        <w:fldChar w:fldCharType="begin"/>
      </w:r>
      <w:r>
        <w:rPr>
          <w:noProof/>
        </w:rPr>
        <w:instrText xml:space="preserve"> PAGEREF _Toc122328507 \h </w:instrText>
      </w:r>
      <w:r>
        <w:rPr>
          <w:noProof/>
        </w:rPr>
      </w:r>
      <w:r>
        <w:rPr>
          <w:noProof/>
        </w:rPr>
        <w:fldChar w:fldCharType="separate"/>
      </w:r>
      <w:r>
        <w:rPr>
          <w:noProof/>
        </w:rPr>
        <w:t>108</w:t>
      </w:r>
      <w:r>
        <w:rPr>
          <w:noProof/>
        </w:rPr>
        <w:fldChar w:fldCharType="end"/>
      </w:r>
    </w:p>
    <w:p>
      <w:pPr>
        <w:pStyle w:val="TOC4"/>
        <w:tabs>
          <w:tab w:val="left" w:pos="1701"/>
        </w:tabs>
        <w:rPr>
          <w:noProof/>
          <w:sz w:val="24"/>
          <w:szCs w:val="24"/>
        </w:rPr>
      </w:pPr>
      <w:r>
        <w:rPr>
          <w:noProof/>
          <w:szCs w:val="24"/>
        </w:rPr>
        <w:t>73</w:t>
      </w:r>
      <w:r>
        <w:rPr>
          <w:noProof/>
          <w:snapToGrid w:val="0"/>
          <w:szCs w:val="24"/>
        </w:rPr>
        <w:t>.</w:t>
      </w:r>
      <w:r>
        <w:rPr>
          <w:noProof/>
          <w:sz w:val="24"/>
          <w:szCs w:val="24"/>
        </w:rPr>
        <w:tab/>
      </w:r>
      <w:r>
        <w:rPr>
          <w:noProof/>
          <w:snapToGrid w:val="0"/>
          <w:szCs w:val="24"/>
        </w:rPr>
        <w:t>Area of mining lease</w:t>
      </w:r>
      <w:r>
        <w:rPr>
          <w:noProof/>
        </w:rPr>
        <w:tab/>
      </w:r>
      <w:r>
        <w:rPr>
          <w:noProof/>
        </w:rPr>
        <w:fldChar w:fldCharType="begin"/>
      </w:r>
      <w:r>
        <w:rPr>
          <w:noProof/>
        </w:rPr>
        <w:instrText xml:space="preserve"> PAGEREF _Toc122328508 \h </w:instrText>
      </w:r>
      <w:r>
        <w:rPr>
          <w:noProof/>
        </w:rPr>
      </w:r>
      <w:r>
        <w:rPr>
          <w:noProof/>
        </w:rPr>
        <w:fldChar w:fldCharType="separate"/>
      </w:r>
      <w:r>
        <w:rPr>
          <w:noProof/>
        </w:rPr>
        <w:t>108</w:t>
      </w:r>
      <w:r>
        <w:rPr>
          <w:noProof/>
        </w:rPr>
        <w:fldChar w:fldCharType="end"/>
      </w:r>
    </w:p>
    <w:p>
      <w:pPr>
        <w:pStyle w:val="TOC4"/>
        <w:tabs>
          <w:tab w:val="left" w:pos="1701"/>
        </w:tabs>
        <w:rPr>
          <w:noProof/>
          <w:sz w:val="24"/>
          <w:szCs w:val="24"/>
        </w:rPr>
      </w:pPr>
      <w:r>
        <w:rPr>
          <w:noProof/>
          <w:szCs w:val="24"/>
        </w:rPr>
        <w:t>74</w:t>
      </w:r>
      <w:r>
        <w:rPr>
          <w:noProof/>
          <w:snapToGrid w:val="0"/>
          <w:szCs w:val="24"/>
        </w:rPr>
        <w:t>.</w:t>
      </w:r>
      <w:r>
        <w:rPr>
          <w:noProof/>
          <w:sz w:val="24"/>
          <w:szCs w:val="24"/>
        </w:rPr>
        <w:tab/>
      </w:r>
      <w:r>
        <w:rPr>
          <w:noProof/>
          <w:snapToGrid w:val="0"/>
          <w:szCs w:val="24"/>
        </w:rPr>
        <w:t>Application for mining lease</w:t>
      </w:r>
      <w:r>
        <w:rPr>
          <w:noProof/>
        </w:rPr>
        <w:tab/>
      </w:r>
      <w:r>
        <w:rPr>
          <w:noProof/>
        </w:rPr>
        <w:fldChar w:fldCharType="begin"/>
      </w:r>
      <w:r>
        <w:rPr>
          <w:noProof/>
        </w:rPr>
        <w:instrText xml:space="preserve"> PAGEREF _Toc122328509 \h </w:instrText>
      </w:r>
      <w:r>
        <w:rPr>
          <w:noProof/>
        </w:rPr>
      </w:r>
      <w:r>
        <w:rPr>
          <w:noProof/>
        </w:rPr>
        <w:fldChar w:fldCharType="separate"/>
      </w:r>
      <w:r>
        <w:rPr>
          <w:noProof/>
        </w:rPr>
        <w:t>108</w:t>
      </w:r>
      <w:r>
        <w:rPr>
          <w:noProof/>
        </w:rPr>
        <w:fldChar w:fldCharType="end"/>
      </w:r>
    </w:p>
    <w:p>
      <w:pPr>
        <w:pStyle w:val="TOC4"/>
        <w:tabs>
          <w:tab w:val="left" w:pos="1701"/>
        </w:tabs>
        <w:rPr>
          <w:noProof/>
          <w:sz w:val="24"/>
          <w:szCs w:val="24"/>
        </w:rPr>
      </w:pPr>
      <w:r>
        <w:rPr>
          <w:noProof/>
          <w:szCs w:val="24"/>
        </w:rPr>
        <w:t>75</w:t>
      </w:r>
      <w:r>
        <w:rPr>
          <w:noProof/>
          <w:snapToGrid w:val="0"/>
          <w:szCs w:val="24"/>
        </w:rPr>
        <w:t>.</w:t>
      </w:r>
      <w:r>
        <w:rPr>
          <w:noProof/>
          <w:sz w:val="24"/>
          <w:szCs w:val="24"/>
        </w:rPr>
        <w:tab/>
      </w:r>
      <w:r>
        <w:rPr>
          <w:noProof/>
          <w:snapToGrid w:val="0"/>
          <w:szCs w:val="24"/>
        </w:rPr>
        <w:t>Determination of application for mining lease</w:t>
      </w:r>
      <w:r>
        <w:rPr>
          <w:noProof/>
        </w:rPr>
        <w:tab/>
      </w:r>
      <w:r>
        <w:rPr>
          <w:noProof/>
        </w:rPr>
        <w:fldChar w:fldCharType="begin"/>
      </w:r>
      <w:r>
        <w:rPr>
          <w:noProof/>
        </w:rPr>
        <w:instrText xml:space="preserve"> PAGEREF _Toc122328510 \h </w:instrText>
      </w:r>
      <w:r>
        <w:rPr>
          <w:noProof/>
        </w:rPr>
      </w:r>
      <w:r>
        <w:rPr>
          <w:noProof/>
        </w:rPr>
        <w:fldChar w:fldCharType="separate"/>
      </w:r>
      <w:r>
        <w:rPr>
          <w:noProof/>
        </w:rPr>
        <w:t>109</w:t>
      </w:r>
      <w:r>
        <w:rPr>
          <w:noProof/>
        </w:rPr>
        <w:fldChar w:fldCharType="end"/>
      </w:r>
    </w:p>
    <w:p>
      <w:pPr>
        <w:pStyle w:val="TOC4"/>
        <w:tabs>
          <w:tab w:val="left" w:pos="1701"/>
        </w:tabs>
        <w:rPr>
          <w:noProof/>
          <w:sz w:val="24"/>
          <w:szCs w:val="24"/>
        </w:rPr>
      </w:pPr>
      <w:r>
        <w:rPr>
          <w:noProof/>
          <w:szCs w:val="24"/>
        </w:rPr>
        <w:t>76</w:t>
      </w:r>
      <w:r>
        <w:rPr>
          <w:noProof/>
          <w:snapToGrid w:val="0"/>
          <w:szCs w:val="24"/>
        </w:rPr>
        <w:t>.</w:t>
      </w:r>
      <w:r>
        <w:rPr>
          <w:noProof/>
          <w:sz w:val="24"/>
          <w:szCs w:val="24"/>
        </w:rPr>
        <w:tab/>
      </w:r>
      <w:r>
        <w:rPr>
          <w:noProof/>
          <w:snapToGrid w:val="0"/>
          <w:szCs w:val="24"/>
        </w:rPr>
        <w:t>Priorities as to mining tenements</w:t>
      </w:r>
      <w:r>
        <w:rPr>
          <w:noProof/>
        </w:rPr>
        <w:tab/>
      </w:r>
      <w:r>
        <w:rPr>
          <w:noProof/>
        </w:rPr>
        <w:fldChar w:fldCharType="begin"/>
      </w:r>
      <w:r>
        <w:rPr>
          <w:noProof/>
        </w:rPr>
        <w:instrText xml:space="preserve"> PAGEREF _Toc122328511 \h </w:instrText>
      </w:r>
      <w:r>
        <w:rPr>
          <w:noProof/>
        </w:rPr>
      </w:r>
      <w:r>
        <w:rPr>
          <w:noProof/>
        </w:rPr>
        <w:fldChar w:fldCharType="separate"/>
      </w:r>
      <w:r>
        <w:rPr>
          <w:noProof/>
        </w:rPr>
        <w:t>111</w:t>
      </w:r>
      <w:r>
        <w:rPr>
          <w:noProof/>
        </w:rPr>
        <w:fldChar w:fldCharType="end"/>
      </w:r>
    </w:p>
    <w:p>
      <w:pPr>
        <w:pStyle w:val="TOC4"/>
        <w:tabs>
          <w:tab w:val="left" w:pos="1701"/>
        </w:tabs>
        <w:rPr>
          <w:noProof/>
          <w:sz w:val="24"/>
          <w:szCs w:val="24"/>
        </w:rPr>
      </w:pPr>
      <w:r>
        <w:rPr>
          <w:noProof/>
          <w:szCs w:val="24"/>
        </w:rPr>
        <w:t>78</w:t>
      </w:r>
      <w:r>
        <w:rPr>
          <w:noProof/>
          <w:snapToGrid w:val="0"/>
          <w:szCs w:val="24"/>
        </w:rPr>
        <w:t>.</w:t>
      </w:r>
      <w:r>
        <w:rPr>
          <w:noProof/>
          <w:sz w:val="24"/>
          <w:szCs w:val="24"/>
        </w:rPr>
        <w:tab/>
      </w:r>
      <w:r>
        <w:rPr>
          <w:noProof/>
          <w:snapToGrid w:val="0"/>
          <w:szCs w:val="24"/>
        </w:rPr>
        <w:t>Term of leases, options and renewals</w:t>
      </w:r>
      <w:r>
        <w:rPr>
          <w:noProof/>
        </w:rPr>
        <w:tab/>
      </w:r>
      <w:r>
        <w:rPr>
          <w:noProof/>
        </w:rPr>
        <w:fldChar w:fldCharType="begin"/>
      </w:r>
      <w:r>
        <w:rPr>
          <w:noProof/>
        </w:rPr>
        <w:instrText xml:space="preserve"> PAGEREF _Toc122328512 \h </w:instrText>
      </w:r>
      <w:r>
        <w:rPr>
          <w:noProof/>
        </w:rPr>
      </w:r>
      <w:r>
        <w:rPr>
          <w:noProof/>
        </w:rPr>
        <w:fldChar w:fldCharType="separate"/>
      </w:r>
      <w:r>
        <w:rPr>
          <w:noProof/>
        </w:rPr>
        <w:t>111</w:t>
      </w:r>
      <w:r>
        <w:rPr>
          <w:noProof/>
        </w:rPr>
        <w:fldChar w:fldCharType="end"/>
      </w:r>
    </w:p>
    <w:p>
      <w:pPr>
        <w:pStyle w:val="TOC4"/>
        <w:tabs>
          <w:tab w:val="left" w:pos="1701"/>
        </w:tabs>
        <w:rPr>
          <w:noProof/>
          <w:sz w:val="24"/>
          <w:szCs w:val="24"/>
        </w:rPr>
      </w:pPr>
      <w:r>
        <w:rPr>
          <w:noProof/>
          <w:szCs w:val="24"/>
        </w:rPr>
        <w:t>79</w:t>
      </w:r>
      <w:r>
        <w:rPr>
          <w:noProof/>
          <w:snapToGrid w:val="0"/>
          <w:szCs w:val="24"/>
        </w:rPr>
        <w:t>.</w:t>
      </w:r>
      <w:r>
        <w:rPr>
          <w:noProof/>
          <w:sz w:val="24"/>
          <w:szCs w:val="24"/>
        </w:rPr>
        <w:tab/>
      </w:r>
      <w:r>
        <w:rPr>
          <w:noProof/>
          <w:snapToGrid w:val="0"/>
          <w:szCs w:val="24"/>
        </w:rPr>
        <w:t>Approval of application</w:t>
      </w:r>
      <w:r>
        <w:rPr>
          <w:noProof/>
        </w:rPr>
        <w:tab/>
      </w:r>
      <w:r>
        <w:rPr>
          <w:noProof/>
        </w:rPr>
        <w:fldChar w:fldCharType="begin"/>
      </w:r>
      <w:r>
        <w:rPr>
          <w:noProof/>
        </w:rPr>
        <w:instrText xml:space="preserve"> PAGEREF _Toc122328513 \h </w:instrText>
      </w:r>
      <w:r>
        <w:rPr>
          <w:noProof/>
        </w:rPr>
      </w:r>
      <w:r>
        <w:rPr>
          <w:noProof/>
        </w:rPr>
        <w:fldChar w:fldCharType="separate"/>
      </w:r>
      <w:r>
        <w:rPr>
          <w:noProof/>
        </w:rPr>
        <w:t>112</w:t>
      </w:r>
      <w:r>
        <w:rPr>
          <w:noProof/>
        </w:rPr>
        <w:fldChar w:fldCharType="end"/>
      </w:r>
    </w:p>
    <w:p>
      <w:pPr>
        <w:pStyle w:val="TOC4"/>
        <w:tabs>
          <w:tab w:val="left" w:pos="1701"/>
        </w:tabs>
        <w:rPr>
          <w:noProof/>
          <w:sz w:val="24"/>
          <w:szCs w:val="24"/>
        </w:rPr>
      </w:pPr>
      <w:r>
        <w:rPr>
          <w:noProof/>
          <w:szCs w:val="24"/>
        </w:rPr>
        <w:t>80</w:t>
      </w:r>
      <w:r>
        <w:rPr>
          <w:noProof/>
          <w:snapToGrid w:val="0"/>
          <w:szCs w:val="24"/>
        </w:rPr>
        <w:t>.</w:t>
      </w:r>
      <w:r>
        <w:rPr>
          <w:noProof/>
          <w:sz w:val="24"/>
          <w:szCs w:val="24"/>
        </w:rPr>
        <w:tab/>
      </w:r>
      <w:r>
        <w:rPr>
          <w:noProof/>
          <w:snapToGrid w:val="0"/>
          <w:szCs w:val="24"/>
        </w:rPr>
        <w:t>Surveys of mining leases</w:t>
      </w:r>
      <w:r>
        <w:rPr>
          <w:noProof/>
        </w:rPr>
        <w:tab/>
      </w:r>
      <w:r>
        <w:rPr>
          <w:noProof/>
        </w:rPr>
        <w:fldChar w:fldCharType="begin"/>
      </w:r>
      <w:r>
        <w:rPr>
          <w:noProof/>
        </w:rPr>
        <w:instrText xml:space="preserve"> PAGEREF _Toc122328514 \h </w:instrText>
      </w:r>
      <w:r>
        <w:rPr>
          <w:noProof/>
        </w:rPr>
      </w:r>
      <w:r>
        <w:rPr>
          <w:noProof/>
        </w:rPr>
        <w:fldChar w:fldCharType="separate"/>
      </w:r>
      <w:r>
        <w:rPr>
          <w:noProof/>
        </w:rPr>
        <w:t>112</w:t>
      </w:r>
      <w:r>
        <w:rPr>
          <w:noProof/>
        </w:rPr>
        <w:fldChar w:fldCharType="end"/>
      </w:r>
    </w:p>
    <w:p>
      <w:pPr>
        <w:pStyle w:val="TOC4"/>
        <w:tabs>
          <w:tab w:val="left" w:pos="1701"/>
        </w:tabs>
        <w:rPr>
          <w:noProof/>
          <w:sz w:val="24"/>
          <w:szCs w:val="24"/>
        </w:rPr>
      </w:pPr>
      <w:r>
        <w:rPr>
          <w:noProof/>
          <w:szCs w:val="24"/>
        </w:rPr>
        <w:t>82</w:t>
      </w:r>
      <w:r>
        <w:rPr>
          <w:noProof/>
          <w:snapToGrid w:val="0"/>
          <w:szCs w:val="24"/>
        </w:rPr>
        <w:t>.</w:t>
      </w:r>
      <w:r>
        <w:rPr>
          <w:noProof/>
          <w:sz w:val="24"/>
          <w:szCs w:val="24"/>
        </w:rPr>
        <w:tab/>
      </w:r>
      <w:r>
        <w:rPr>
          <w:noProof/>
          <w:snapToGrid w:val="0"/>
          <w:szCs w:val="24"/>
        </w:rPr>
        <w:t>Covenants and conditions of lease</w:t>
      </w:r>
      <w:r>
        <w:rPr>
          <w:noProof/>
        </w:rPr>
        <w:tab/>
      </w:r>
      <w:r>
        <w:rPr>
          <w:noProof/>
        </w:rPr>
        <w:fldChar w:fldCharType="begin"/>
      </w:r>
      <w:r>
        <w:rPr>
          <w:noProof/>
        </w:rPr>
        <w:instrText xml:space="preserve"> PAGEREF _Toc122328515 \h </w:instrText>
      </w:r>
      <w:r>
        <w:rPr>
          <w:noProof/>
        </w:rPr>
      </w:r>
      <w:r>
        <w:rPr>
          <w:noProof/>
        </w:rPr>
        <w:fldChar w:fldCharType="separate"/>
      </w:r>
      <w:r>
        <w:rPr>
          <w:noProof/>
        </w:rPr>
        <w:t>113</w:t>
      </w:r>
      <w:r>
        <w:rPr>
          <w:noProof/>
        </w:rPr>
        <w:fldChar w:fldCharType="end"/>
      </w:r>
    </w:p>
    <w:p>
      <w:pPr>
        <w:pStyle w:val="TOC4"/>
        <w:tabs>
          <w:tab w:val="left" w:pos="1701"/>
        </w:tabs>
        <w:rPr>
          <w:noProof/>
          <w:sz w:val="24"/>
          <w:szCs w:val="24"/>
        </w:rPr>
      </w:pPr>
      <w:r>
        <w:rPr>
          <w:noProof/>
          <w:szCs w:val="24"/>
        </w:rPr>
        <w:t>83</w:t>
      </w:r>
      <w:r>
        <w:rPr>
          <w:noProof/>
          <w:snapToGrid w:val="0"/>
          <w:szCs w:val="24"/>
        </w:rPr>
        <w:t>.</w:t>
      </w:r>
      <w:r>
        <w:rPr>
          <w:noProof/>
          <w:sz w:val="24"/>
          <w:szCs w:val="24"/>
        </w:rPr>
        <w:tab/>
      </w:r>
      <w:r>
        <w:rPr>
          <w:noProof/>
          <w:snapToGrid w:val="0"/>
          <w:szCs w:val="24"/>
        </w:rPr>
        <w:t>Issue of mining leases</w:t>
      </w:r>
      <w:r>
        <w:rPr>
          <w:noProof/>
        </w:rPr>
        <w:tab/>
      </w:r>
      <w:r>
        <w:rPr>
          <w:noProof/>
        </w:rPr>
        <w:fldChar w:fldCharType="begin"/>
      </w:r>
      <w:r>
        <w:rPr>
          <w:noProof/>
        </w:rPr>
        <w:instrText xml:space="preserve"> PAGEREF _Toc122328516 \h </w:instrText>
      </w:r>
      <w:r>
        <w:rPr>
          <w:noProof/>
        </w:rPr>
      </w:r>
      <w:r>
        <w:rPr>
          <w:noProof/>
        </w:rPr>
        <w:fldChar w:fldCharType="separate"/>
      </w:r>
      <w:r>
        <w:rPr>
          <w:noProof/>
        </w:rPr>
        <w:t>114</w:t>
      </w:r>
      <w:r>
        <w:rPr>
          <w:noProof/>
        </w:rPr>
        <w:fldChar w:fldCharType="end"/>
      </w:r>
    </w:p>
    <w:p>
      <w:pPr>
        <w:pStyle w:val="TOC4"/>
        <w:tabs>
          <w:tab w:val="left" w:pos="1701"/>
        </w:tabs>
        <w:rPr>
          <w:noProof/>
          <w:sz w:val="24"/>
          <w:szCs w:val="24"/>
        </w:rPr>
      </w:pPr>
      <w:r>
        <w:rPr>
          <w:noProof/>
          <w:szCs w:val="24"/>
        </w:rPr>
        <w:t>84</w:t>
      </w:r>
      <w:r>
        <w:rPr>
          <w:noProof/>
          <w:snapToGrid w:val="0"/>
          <w:szCs w:val="24"/>
        </w:rPr>
        <w:t>.</w:t>
      </w:r>
      <w:r>
        <w:rPr>
          <w:noProof/>
          <w:sz w:val="24"/>
          <w:szCs w:val="24"/>
        </w:rPr>
        <w:tab/>
      </w:r>
      <w:r>
        <w:rPr>
          <w:noProof/>
          <w:snapToGrid w:val="0"/>
          <w:szCs w:val="24"/>
        </w:rPr>
        <w:t>Conditions for prevention or reduction of injury to land</w:t>
      </w:r>
      <w:r>
        <w:rPr>
          <w:noProof/>
        </w:rPr>
        <w:tab/>
      </w:r>
      <w:r>
        <w:rPr>
          <w:noProof/>
        </w:rPr>
        <w:fldChar w:fldCharType="begin"/>
      </w:r>
      <w:r>
        <w:rPr>
          <w:noProof/>
        </w:rPr>
        <w:instrText xml:space="preserve"> PAGEREF _Toc122328517 \h </w:instrText>
      </w:r>
      <w:r>
        <w:rPr>
          <w:noProof/>
        </w:rPr>
      </w:r>
      <w:r>
        <w:rPr>
          <w:noProof/>
        </w:rPr>
        <w:fldChar w:fldCharType="separate"/>
      </w:r>
      <w:r>
        <w:rPr>
          <w:noProof/>
        </w:rPr>
        <w:t>115</w:t>
      </w:r>
      <w:r>
        <w:rPr>
          <w:noProof/>
        </w:rPr>
        <w:fldChar w:fldCharType="end"/>
      </w:r>
    </w:p>
    <w:p>
      <w:pPr>
        <w:pStyle w:val="TOC4"/>
        <w:tabs>
          <w:tab w:val="left" w:pos="1701"/>
        </w:tabs>
        <w:rPr>
          <w:noProof/>
          <w:sz w:val="24"/>
          <w:szCs w:val="24"/>
        </w:rPr>
      </w:pPr>
      <w:r>
        <w:rPr>
          <w:noProof/>
          <w:szCs w:val="24"/>
        </w:rPr>
        <w:t>84A</w:t>
      </w:r>
      <w:r>
        <w:rPr>
          <w:noProof/>
          <w:snapToGrid w:val="0"/>
          <w:szCs w:val="24"/>
        </w:rPr>
        <w:t>.</w:t>
      </w:r>
      <w:r>
        <w:rPr>
          <w:noProof/>
          <w:sz w:val="24"/>
          <w:szCs w:val="24"/>
        </w:rPr>
        <w:tab/>
      </w:r>
      <w:r>
        <w:rPr>
          <w:noProof/>
          <w:snapToGrid w:val="0"/>
          <w:szCs w:val="24"/>
        </w:rPr>
        <w:t>Security relating to mining lease</w:t>
      </w:r>
      <w:r>
        <w:rPr>
          <w:noProof/>
        </w:rPr>
        <w:tab/>
      </w:r>
      <w:r>
        <w:rPr>
          <w:noProof/>
        </w:rPr>
        <w:fldChar w:fldCharType="begin"/>
      </w:r>
      <w:r>
        <w:rPr>
          <w:noProof/>
        </w:rPr>
        <w:instrText xml:space="preserve"> PAGEREF _Toc122328518 \h </w:instrText>
      </w:r>
      <w:r>
        <w:rPr>
          <w:noProof/>
        </w:rPr>
      </w:r>
      <w:r>
        <w:rPr>
          <w:noProof/>
        </w:rPr>
        <w:fldChar w:fldCharType="separate"/>
      </w:r>
      <w:r>
        <w:rPr>
          <w:noProof/>
        </w:rPr>
        <w:t>116</w:t>
      </w:r>
      <w:r>
        <w:rPr>
          <w:noProof/>
        </w:rPr>
        <w:fldChar w:fldCharType="end"/>
      </w:r>
    </w:p>
    <w:p>
      <w:pPr>
        <w:pStyle w:val="TOC4"/>
        <w:tabs>
          <w:tab w:val="left" w:pos="1701"/>
        </w:tabs>
        <w:rPr>
          <w:noProof/>
          <w:sz w:val="24"/>
          <w:szCs w:val="24"/>
        </w:rPr>
      </w:pPr>
      <w:r>
        <w:rPr>
          <w:noProof/>
          <w:szCs w:val="24"/>
        </w:rPr>
        <w:t>85</w:t>
      </w:r>
      <w:r>
        <w:rPr>
          <w:noProof/>
          <w:snapToGrid w:val="0"/>
          <w:szCs w:val="24"/>
        </w:rPr>
        <w:t>.</w:t>
      </w:r>
      <w:r>
        <w:rPr>
          <w:noProof/>
          <w:sz w:val="24"/>
          <w:szCs w:val="24"/>
        </w:rPr>
        <w:tab/>
      </w:r>
      <w:r>
        <w:rPr>
          <w:noProof/>
          <w:snapToGrid w:val="0"/>
          <w:szCs w:val="24"/>
        </w:rPr>
        <w:t>Rights of holder of mining lease</w:t>
      </w:r>
      <w:r>
        <w:rPr>
          <w:noProof/>
        </w:rPr>
        <w:tab/>
      </w:r>
      <w:r>
        <w:rPr>
          <w:noProof/>
        </w:rPr>
        <w:fldChar w:fldCharType="begin"/>
      </w:r>
      <w:r>
        <w:rPr>
          <w:noProof/>
        </w:rPr>
        <w:instrText xml:space="preserve"> PAGEREF _Toc122328519 \h </w:instrText>
      </w:r>
      <w:r>
        <w:rPr>
          <w:noProof/>
        </w:rPr>
      </w:r>
      <w:r>
        <w:rPr>
          <w:noProof/>
        </w:rPr>
        <w:fldChar w:fldCharType="separate"/>
      </w:r>
      <w:r>
        <w:rPr>
          <w:noProof/>
        </w:rPr>
        <w:t>116</w:t>
      </w:r>
      <w:r>
        <w:rPr>
          <w:noProof/>
        </w:rPr>
        <w:fldChar w:fldCharType="end"/>
      </w:r>
    </w:p>
    <w:p>
      <w:pPr>
        <w:pStyle w:val="TOC4"/>
        <w:tabs>
          <w:tab w:val="left" w:pos="1701"/>
        </w:tabs>
        <w:rPr>
          <w:noProof/>
          <w:sz w:val="24"/>
          <w:szCs w:val="24"/>
        </w:rPr>
      </w:pPr>
      <w:r>
        <w:rPr>
          <w:noProof/>
          <w:szCs w:val="24"/>
        </w:rPr>
        <w:t>85A</w:t>
      </w:r>
      <w:r>
        <w:rPr>
          <w:noProof/>
          <w:snapToGrid w:val="0"/>
          <w:szCs w:val="24"/>
        </w:rPr>
        <w:t>.</w:t>
      </w:r>
      <w:r>
        <w:rPr>
          <w:noProof/>
          <w:sz w:val="24"/>
          <w:szCs w:val="24"/>
        </w:rPr>
        <w:tab/>
      </w:r>
      <w:r>
        <w:rPr>
          <w:noProof/>
          <w:snapToGrid w:val="0"/>
          <w:szCs w:val="24"/>
        </w:rPr>
        <w:t>Land the subject of mining lease not to be again marked out for a certain period</w:t>
      </w:r>
      <w:r>
        <w:rPr>
          <w:noProof/>
        </w:rPr>
        <w:tab/>
      </w:r>
      <w:r>
        <w:rPr>
          <w:noProof/>
        </w:rPr>
        <w:fldChar w:fldCharType="begin"/>
      </w:r>
      <w:r>
        <w:rPr>
          <w:noProof/>
        </w:rPr>
        <w:instrText xml:space="preserve"> PAGEREF _Toc122328520 \h </w:instrText>
      </w:r>
      <w:r>
        <w:rPr>
          <w:noProof/>
        </w:rPr>
      </w:r>
      <w:r>
        <w:rPr>
          <w:noProof/>
        </w:rPr>
        <w:fldChar w:fldCharType="separate"/>
      </w:r>
      <w:r>
        <w:rPr>
          <w:noProof/>
        </w:rPr>
        <w:t>117</w:t>
      </w:r>
      <w:r>
        <w:rPr>
          <w:noProof/>
        </w:rPr>
        <w:fldChar w:fldCharType="end"/>
      </w:r>
    </w:p>
    <w:p>
      <w:pPr>
        <w:pStyle w:val="TOC4"/>
        <w:tabs>
          <w:tab w:val="left" w:pos="1701"/>
        </w:tabs>
        <w:rPr>
          <w:noProof/>
          <w:sz w:val="24"/>
          <w:szCs w:val="24"/>
        </w:rPr>
      </w:pPr>
      <w:r>
        <w:rPr>
          <w:noProof/>
          <w:szCs w:val="24"/>
        </w:rPr>
        <w:t>85B</w:t>
      </w:r>
      <w:r>
        <w:rPr>
          <w:noProof/>
          <w:snapToGrid w:val="0"/>
          <w:szCs w:val="24"/>
        </w:rPr>
        <w:t>.</w:t>
      </w:r>
      <w:r>
        <w:rPr>
          <w:noProof/>
          <w:sz w:val="24"/>
          <w:szCs w:val="24"/>
        </w:rPr>
        <w:tab/>
      </w:r>
      <w:r>
        <w:rPr>
          <w:noProof/>
          <w:snapToGrid w:val="0"/>
          <w:szCs w:val="24"/>
        </w:rPr>
        <w:t>Special prospecting licence on a mining lease</w:t>
      </w:r>
      <w:r>
        <w:rPr>
          <w:noProof/>
        </w:rPr>
        <w:tab/>
      </w:r>
      <w:r>
        <w:rPr>
          <w:noProof/>
        </w:rPr>
        <w:fldChar w:fldCharType="begin"/>
      </w:r>
      <w:r>
        <w:rPr>
          <w:noProof/>
        </w:rPr>
        <w:instrText xml:space="preserve"> PAGEREF _Toc122328521 \h </w:instrText>
      </w:r>
      <w:r>
        <w:rPr>
          <w:noProof/>
        </w:rPr>
      </w:r>
      <w:r>
        <w:rPr>
          <w:noProof/>
        </w:rPr>
        <w:fldChar w:fldCharType="separate"/>
      </w:r>
      <w:r>
        <w:rPr>
          <w:noProof/>
        </w:rPr>
        <w:t>117</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General purpose lease</w:t>
      </w:r>
    </w:p>
    <w:p>
      <w:pPr>
        <w:pStyle w:val="TOC4"/>
        <w:tabs>
          <w:tab w:val="left" w:pos="1701"/>
        </w:tabs>
        <w:rPr>
          <w:noProof/>
          <w:sz w:val="24"/>
          <w:szCs w:val="24"/>
        </w:rPr>
      </w:pPr>
      <w:r>
        <w:rPr>
          <w:noProof/>
          <w:szCs w:val="24"/>
        </w:rPr>
        <w:t>86</w:t>
      </w:r>
      <w:r>
        <w:rPr>
          <w:noProof/>
          <w:snapToGrid w:val="0"/>
          <w:szCs w:val="24"/>
        </w:rPr>
        <w:t>.</w:t>
      </w:r>
      <w:r>
        <w:rPr>
          <w:noProof/>
          <w:sz w:val="24"/>
          <w:szCs w:val="24"/>
        </w:rPr>
        <w:tab/>
      </w:r>
      <w:r>
        <w:rPr>
          <w:noProof/>
          <w:snapToGrid w:val="0"/>
          <w:szCs w:val="24"/>
        </w:rPr>
        <w:t>Grant of general purpose lease</w:t>
      </w:r>
      <w:r>
        <w:rPr>
          <w:noProof/>
        </w:rPr>
        <w:tab/>
      </w:r>
      <w:r>
        <w:rPr>
          <w:noProof/>
        </w:rPr>
        <w:fldChar w:fldCharType="begin"/>
      </w:r>
      <w:r>
        <w:rPr>
          <w:noProof/>
        </w:rPr>
        <w:instrText xml:space="preserve"> PAGEREF _Toc122328523 \h </w:instrText>
      </w:r>
      <w:r>
        <w:rPr>
          <w:noProof/>
        </w:rPr>
      </w:r>
      <w:r>
        <w:rPr>
          <w:noProof/>
        </w:rPr>
        <w:fldChar w:fldCharType="separate"/>
      </w:r>
      <w:r>
        <w:rPr>
          <w:noProof/>
        </w:rPr>
        <w:t>122</w:t>
      </w:r>
      <w:r>
        <w:rPr>
          <w:noProof/>
        </w:rPr>
        <w:fldChar w:fldCharType="end"/>
      </w:r>
    </w:p>
    <w:p>
      <w:pPr>
        <w:pStyle w:val="TOC4"/>
        <w:tabs>
          <w:tab w:val="left" w:pos="1701"/>
        </w:tabs>
        <w:rPr>
          <w:noProof/>
          <w:sz w:val="24"/>
          <w:szCs w:val="24"/>
        </w:rPr>
      </w:pPr>
      <w:r>
        <w:rPr>
          <w:noProof/>
          <w:szCs w:val="24"/>
        </w:rPr>
        <w:t>87</w:t>
      </w:r>
      <w:r>
        <w:rPr>
          <w:noProof/>
          <w:snapToGrid w:val="0"/>
          <w:szCs w:val="24"/>
        </w:rPr>
        <w:t>.</w:t>
      </w:r>
      <w:r>
        <w:rPr>
          <w:noProof/>
          <w:sz w:val="24"/>
          <w:szCs w:val="24"/>
        </w:rPr>
        <w:tab/>
      </w:r>
      <w:r>
        <w:rPr>
          <w:noProof/>
          <w:snapToGrid w:val="0"/>
          <w:szCs w:val="24"/>
        </w:rPr>
        <w:t>Purposes for which general purpose lease may be granted</w:t>
      </w:r>
      <w:r>
        <w:rPr>
          <w:noProof/>
        </w:rPr>
        <w:tab/>
      </w:r>
      <w:r>
        <w:rPr>
          <w:noProof/>
        </w:rPr>
        <w:fldChar w:fldCharType="begin"/>
      </w:r>
      <w:r>
        <w:rPr>
          <w:noProof/>
        </w:rPr>
        <w:instrText xml:space="preserve"> PAGEREF _Toc122328524 \h </w:instrText>
      </w:r>
      <w:r>
        <w:rPr>
          <w:noProof/>
        </w:rPr>
      </w:r>
      <w:r>
        <w:rPr>
          <w:noProof/>
        </w:rPr>
        <w:fldChar w:fldCharType="separate"/>
      </w:r>
      <w:r>
        <w:rPr>
          <w:noProof/>
        </w:rPr>
        <w:t>123</w:t>
      </w:r>
      <w:r>
        <w:rPr>
          <w:noProof/>
        </w:rPr>
        <w:fldChar w:fldCharType="end"/>
      </w:r>
    </w:p>
    <w:p>
      <w:pPr>
        <w:pStyle w:val="TOC4"/>
        <w:tabs>
          <w:tab w:val="left" w:pos="1701"/>
        </w:tabs>
        <w:rPr>
          <w:noProof/>
          <w:sz w:val="24"/>
          <w:szCs w:val="24"/>
        </w:rPr>
      </w:pPr>
      <w:r>
        <w:rPr>
          <w:noProof/>
          <w:szCs w:val="24"/>
        </w:rPr>
        <w:t>88</w:t>
      </w:r>
      <w:r>
        <w:rPr>
          <w:noProof/>
          <w:snapToGrid w:val="0"/>
          <w:szCs w:val="24"/>
        </w:rPr>
        <w:t>.</w:t>
      </w:r>
      <w:r>
        <w:rPr>
          <w:noProof/>
          <w:sz w:val="24"/>
          <w:szCs w:val="24"/>
        </w:rPr>
        <w:tab/>
      </w:r>
      <w:r>
        <w:rPr>
          <w:noProof/>
          <w:snapToGrid w:val="0"/>
          <w:szCs w:val="24"/>
        </w:rPr>
        <w:t>Term of general purpose lease</w:t>
      </w:r>
      <w:r>
        <w:rPr>
          <w:noProof/>
        </w:rPr>
        <w:tab/>
      </w:r>
      <w:r>
        <w:rPr>
          <w:noProof/>
        </w:rPr>
        <w:fldChar w:fldCharType="begin"/>
      </w:r>
      <w:r>
        <w:rPr>
          <w:noProof/>
        </w:rPr>
        <w:instrText xml:space="preserve"> PAGEREF _Toc122328525 \h </w:instrText>
      </w:r>
      <w:r>
        <w:rPr>
          <w:noProof/>
        </w:rPr>
      </w:r>
      <w:r>
        <w:rPr>
          <w:noProof/>
        </w:rPr>
        <w:fldChar w:fldCharType="separate"/>
      </w:r>
      <w:r>
        <w:rPr>
          <w:noProof/>
        </w:rPr>
        <w:t>123</w:t>
      </w:r>
      <w:r>
        <w:rPr>
          <w:noProof/>
        </w:rPr>
        <w:fldChar w:fldCharType="end"/>
      </w:r>
    </w:p>
    <w:p>
      <w:pPr>
        <w:pStyle w:val="TOC4"/>
        <w:tabs>
          <w:tab w:val="left" w:pos="1701"/>
        </w:tabs>
        <w:rPr>
          <w:noProof/>
          <w:sz w:val="24"/>
          <w:szCs w:val="24"/>
        </w:rPr>
      </w:pPr>
      <w:r>
        <w:rPr>
          <w:noProof/>
          <w:szCs w:val="24"/>
        </w:rPr>
        <w:t>89</w:t>
      </w:r>
      <w:r>
        <w:rPr>
          <w:noProof/>
          <w:snapToGrid w:val="0"/>
          <w:szCs w:val="24"/>
        </w:rPr>
        <w:t>.</w:t>
      </w:r>
      <w:r>
        <w:rPr>
          <w:noProof/>
          <w:sz w:val="24"/>
          <w:szCs w:val="24"/>
        </w:rPr>
        <w:tab/>
      </w:r>
      <w:r>
        <w:rPr>
          <w:noProof/>
          <w:snapToGrid w:val="0"/>
          <w:szCs w:val="24"/>
        </w:rPr>
        <w:t>Form of general purpose lease</w:t>
      </w:r>
      <w:r>
        <w:rPr>
          <w:noProof/>
        </w:rPr>
        <w:tab/>
      </w:r>
      <w:r>
        <w:rPr>
          <w:noProof/>
        </w:rPr>
        <w:fldChar w:fldCharType="begin"/>
      </w:r>
      <w:r>
        <w:rPr>
          <w:noProof/>
        </w:rPr>
        <w:instrText xml:space="preserve"> PAGEREF _Toc122328526 \h </w:instrText>
      </w:r>
      <w:r>
        <w:rPr>
          <w:noProof/>
        </w:rPr>
      </w:r>
      <w:r>
        <w:rPr>
          <w:noProof/>
        </w:rPr>
        <w:fldChar w:fldCharType="separate"/>
      </w:r>
      <w:r>
        <w:rPr>
          <w:noProof/>
        </w:rPr>
        <w:t>125</w:t>
      </w:r>
      <w:r>
        <w:rPr>
          <w:noProof/>
        </w:rPr>
        <w:fldChar w:fldCharType="end"/>
      </w:r>
    </w:p>
    <w:p>
      <w:pPr>
        <w:pStyle w:val="TOC4"/>
        <w:tabs>
          <w:tab w:val="left" w:pos="1701"/>
        </w:tabs>
        <w:rPr>
          <w:noProof/>
          <w:sz w:val="24"/>
          <w:szCs w:val="24"/>
        </w:rPr>
      </w:pPr>
      <w:r>
        <w:rPr>
          <w:noProof/>
          <w:szCs w:val="24"/>
        </w:rPr>
        <w:t>90</w:t>
      </w:r>
      <w:r>
        <w:rPr>
          <w:noProof/>
          <w:snapToGrid w:val="0"/>
          <w:szCs w:val="24"/>
        </w:rPr>
        <w:t>.</w:t>
      </w:r>
      <w:r>
        <w:rPr>
          <w:noProof/>
          <w:sz w:val="24"/>
          <w:szCs w:val="24"/>
        </w:rPr>
        <w:tab/>
      </w:r>
      <w:r>
        <w:rPr>
          <w:noProof/>
          <w:snapToGrid w:val="0"/>
          <w:szCs w:val="24"/>
        </w:rPr>
        <w:t>Certain provisions apply to general purpose leases</w:t>
      </w:r>
      <w:r>
        <w:rPr>
          <w:noProof/>
        </w:rPr>
        <w:tab/>
      </w:r>
      <w:r>
        <w:rPr>
          <w:noProof/>
        </w:rPr>
        <w:fldChar w:fldCharType="begin"/>
      </w:r>
      <w:r>
        <w:rPr>
          <w:noProof/>
        </w:rPr>
        <w:instrText xml:space="preserve"> PAGEREF _Toc122328527 \h </w:instrText>
      </w:r>
      <w:r>
        <w:rPr>
          <w:noProof/>
        </w:rPr>
      </w:r>
      <w:r>
        <w:rPr>
          <w:noProof/>
        </w:rPr>
        <w:fldChar w:fldCharType="separate"/>
      </w:r>
      <w:r>
        <w:rPr>
          <w:noProof/>
        </w:rPr>
        <w:t>125</w:t>
      </w:r>
      <w:r>
        <w:rPr>
          <w:noProof/>
        </w:rPr>
        <w:fldChar w:fldCharType="end"/>
      </w:r>
    </w:p>
    <w:p>
      <w:pPr>
        <w:pStyle w:val="TOC3"/>
        <w:rPr>
          <w:b w:val="0"/>
          <w:noProof/>
          <w:sz w:val="24"/>
          <w:szCs w:val="24"/>
        </w:rPr>
      </w:pPr>
      <w:r>
        <w:rPr>
          <w:noProof/>
          <w:szCs w:val="26"/>
        </w:rPr>
        <w:t>Division 5</w:t>
      </w:r>
      <w:r>
        <w:rPr>
          <w:noProof/>
          <w:snapToGrid w:val="0"/>
          <w:szCs w:val="26"/>
        </w:rPr>
        <w:t> — </w:t>
      </w:r>
      <w:r>
        <w:rPr>
          <w:noProof/>
          <w:szCs w:val="26"/>
        </w:rPr>
        <w:t>Miscellaneous licences</w:t>
      </w:r>
    </w:p>
    <w:p>
      <w:pPr>
        <w:pStyle w:val="TOC4"/>
        <w:tabs>
          <w:tab w:val="left" w:pos="1701"/>
        </w:tabs>
        <w:rPr>
          <w:noProof/>
          <w:sz w:val="24"/>
          <w:szCs w:val="24"/>
        </w:rPr>
      </w:pPr>
      <w:r>
        <w:rPr>
          <w:noProof/>
          <w:szCs w:val="24"/>
        </w:rPr>
        <w:t>91</w:t>
      </w:r>
      <w:r>
        <w:rPr>
          <w:noProof/>
          <w:snapToGrid w:val="0"/>
          <w:szCs w:val="24"/>
        </w:rPr>
        <w:t>.</w:t>
      </w:r>
      <w:r>
        <w:rPr>
          <w:noProof/>
          <w:sz w:val="24"/>
          <w:szCs w:val="24"/>
        </w:rPr>
        <w:tab/>
      </w:r>
      <w:r>
        <w:rPr>
          <w:noProof/>
          <w:snapToGrid w:val="0"/>
          <w:szCs w:val="24"/>
        </w:rPr>
        <w:t>Grant of miscellaneous licence</w:t>
      </w:r>
      <w:r>
        <w:rPr>
          <w:noProof/>
        </w:rPr>
        <w:tab/>
      </w:r>
      <w:r>
        <w:rPr>
          <w:noProof/>
        </w:rPr>
        <w:fldChar w:fldCharType="begin"/>
      </w:r>
      <w:r>
        <w:rPr>
          <w:noProof/>
        </w:rPr>
        <w:instrText xml:space="preserve"> PAGEREF _Toc122328529 \h </w:instrText>
      </w:r>
      <w:r>
        <w:rPr>
          <w:noProof/>
        </w:rPr>
      </w:r>
      <w:r>
        <w:rPr>
          <w:noProof/>
        </w:rPr>
        <w:fldChar w:fldCharType="separate"/>
      </w:r>
      <w:r>
        <w:rPr>
          <w:noProof/>
        </w:rPr>
        <w:t>125</w:t>
      </w:r>
      <w:r>
        <w:rPr>
          <w:noProof/>
        </w:rPr>
        <w:fldChar w:fldCharType="end"/>
      </w:r>
    </w:p>
    <w:p>
      <w:pPr>
        <w:pStyle w:val="TOC4"/>
        <w:tabs>
          <w:tab w:val="left" w:pos="1701"/>
        </w:tabs>
        <w:rPr>
          <w:noProof/>
          <w:sz w:val="24"/>
          <w:szCs w:val="24"/>
        </w:rPr>
      </w:pPr>
      <w:r>
        <w:rPr>
          <w:noProof/>
          <w:szCs w:val="24"/>
        </w:rPr>
        <w:t>91A</w:t>
      </w:r>
      <w:r>
        <w:rPr>
          <w:noProof/>
          <w:snapToGrid w:val="0"/>
          <w:szCs w:val="24"/>
        </w:rPr>
        <w:t>.</w:t>
      </w:r>
      <w:r>
        <w:rPr>
          <w:noProof/>
          <w:sz w:val="24"/>
          <w:szCs w:val="24"/>
        </w:rPr>
        <w:tab/>
      </w:r>
      <w:r>
        <w:rPr>
          <w:noProof/>
          <w:snapToGrid w:val="0"/>
          <w:szCs w:val="24"/>
        </w:rPr>
        <w:t>Term and renewal of existing licence or licence granted in respect of existing application</w:t>
      </w:r>
      <w:r>
        <w:rPr>
          <w:noProof/>
        </w:rPr>
        <w:tab/>
      </w:r>
      <w:r>
        <w:rPr>
          <w:noProof/>
        </w:rPr>
        <w:fldChar w:fldCharType="begin"/>
      </w:r>
      <w:r>
        <w:rPr>
          <w:noProof/>
        </w:rPr>
        <w:instrText xml:space="preserve"> PAGEREF _Toc122328530 \h </w:instrText>
      </w:r>
      <w:r>
        <w:rPr>
          <w:noProof/>
        </w:rPr>
      </w:r>
      <w:r>
        <w:rPr>
          <w:noProof/>
        </w:rPr>
        <w:fldChar w:fldCharType="separate"/>
      </w:r>
      <w:r>
        <w:rPr>
          <w:noProof/>
        </w:rPr>
        <w:t>127</w:t>
      </w:r>
      <w:r>
        <w:rPr>
          <w:noProof/>
        </w:rPr>
        <w:fldChar w:fldCharType="end"/>
      </w:r>
    </w:p>
    <w:p>
      <w:pPr>
        <w:pStyle w:val="TOC4"/>
        <w:tabs>
          <w:tab w:val="left" w:pos="1701"/>
        </w:tabs>
        <w:rPr>
          <w:noProof/>
          <w:sz w:val="24"/>
          <w:szCs w:val="24"/>
        </w:rPr>
      </w:pPr>
      <w:r>
        <w:rPr>
          <w:noProof/>
          <w:szCs w:val="24"/>
        </w:rPr>
        <w:t>91B</w:t>
      </w:r>
      <w:r>
        <w:rPr>
          <w:noProof/>
          <w:snapToGrid w:val="0"/>
          <w:szCs w:val="24"/>
        </w:rPr>
        <w:t>.</w:t>
      </w:r>
      <w:r>
        <w:rPr>
          <w:noProof/>
          <w:sz w:val="24"/>
          <w:szCs w:val="24"/>
        </w:rPr>
        <w:tab/>
      </w:r>
      <w:r>
        <w:rPr>
          <w:noProof/>
          <w:snapToGrid w:val="0"/>
          <w:szCs w:val="24"/>
        </w:rPr>
        <w:t>Term and renewal of licence granted in respect of new application</w:t>
      </w:r>
      <w:r>
        <w:rPr>
          <w:noProof/>
        </w:rPr>
        <w:tab/>
      </w:r>
      <w:r>
        <w:rPr>
          <w:noProof/>
        </w:rPr>
        <w:fldChar w:fldCharType="begin"/>
      </w:r>
      <w:r>
        <w:rPr>
          <w:noProof/>
        </w:rPr>
        <w:instrText xml:space="preserve"> PAGEREF _Toc122328531 \h </w:instrText>
      </w:r>
      <w:r>
        <w:rPr>
          <w:noProof/>
        </w:rPr>
      </w:r>
      <w:r>
        <w:rPr>
          <w:noProof/>
        </w:rPr>
        <w:fldChar w:fldCharType="separate"/>
      </w:r>
      <w:r>
        <w:rPr>
          <w:noProof/>
        </w:rPr>
        <w:t>128</w:t>
      </w:r>
      <w:r>
        <w:rPr>
          <w:noProof/>
        </w:rPr>
        <w:fldChar w:fldCharType="end"/>
      </w:r>
    </w:p>
    <w:p>
      <w:pPr>
        <w:pStyle w:val="TOC4"/>
        <w:tabs>
          <w:tab w:val="left" w:pos="1701"/>
        </w:tabs>
        <w:rPr>
          <w:noProof/>
          <w:sz w:val="24"/>
          <w:szCs w:val="24"/>
        </w:rPr>
      </w:pPr>
      <w:r>
        <w:rPr>
          <w:noProof/>
          <w:szCs w:val="24"/>
        </w:rPr>
        <w:t>92</w:t>
      </w:r>
      <w:r>
        <w:rPr>
          <w:noProof/>
          <w:snapToGrid w:val="0"/>
          <w:szCs w:val="24"/>
        </w:rPr>
        <w:t>.</w:t>
      </w:r>
      <w:r>
        <w:rPr>
          <w:noProof/>
          <w:sz w:val="24"/>
          <w:szCs w:val="24"/>
        </w:rPr>
        <w:tab/>
      </w:r>
      <w:r>
        <w:rPr>
          <w:noProof/>
          <w:snapToGrid w:val="0"/>
          <w:szCs w:val="24"/>
        </w:rPr>
        <w:t>Provisions applying to all miscellaneous licences</w:t>
      </w:r>
      <w:r>
        <w:rPr>
          <w:noProof/>
        </w:rPr>
        <w:tab/>
      </w:r>
      <w:r>
        <w:rPr>
          <w:noProof/>
        </w:rPr>
        <w:fldChar w:fldCharType="begin"/>
      </w:r>
      <w:r>
        <w:rPr>
          <w:noProof/>
        </w:rPr>
        <w:instrText xml:space="preserve"> PAGEREF _Toc122328532 \h </w:instrText>
      </w:r>
      <w:r>
        <w:rPr>
          <w:noProof/>
        </w:rPr>
      </w:r>
      <w:r>
        <w:rPr>
          <w:noProof/>
        </w:rPr>
        <w:fldChar w:fldCharType="separate"/>
      </w:r>
      <w:r>
        <w:rPr>
          <w:noProof/>
        </w:rPr>
        <w:t>129</w:t>
      </w:r>
      <w:r>
        <w:rPr>
          <w:noProof/>
        </w:rPr>
        <w:fldChar w:fldCharType="end"/>
      </w:r>
    </w:p>
    <w:p>
      <w:pPr>
        <w:pStyle w:val="TOC4"/>
        <w:tabs>
          <w:tab w:val="left" w:pos="1701"/>
        </w:tabs>
        <w:rPr>
          <w:noProof/>
          <w:sz w:val="24"/>
          <w:szCs w:val="24"/>
        </w:rPr>
      </w:pPr>
      <w:r>
        <w:rPr>
          <w:noProof/>
          <w:szCs w:val="24"/>
        </w:rPr>
        <w:t>93</w:t>
      </w:r>
      <w:r>
        <w:rPr>
          <w:noProof/>
          <w:snapToGrid w:val="0"/>
          <w:szCs w:val="24"/>
        </w:rPr>
        <w:t>.</w:t>
      </w:r>
      <w:r>
        <w:rPr>
          <w:noProof/>
          <w:sz w:val="24"/>
          <w:szCs w:val="24"/>
        </w:rPr>
        <w:tab/>
      </w:r>
      <w:r>
        <w:rPr>
          <w:noProof/>
          <w:snapToGrid w:val="0"/>
          <w:szCs w:val="24"/>
        </w:rPr>
        <w:t>Map to accompany plan</w:t>
      </w:r>
      <w:r>
        <w:rPr>
          <w:noProof/>
        </w:rPr>
        <w:tab/>
      </w:r>
      <w:r>
        <w:rPr>
          <w:noProof/>
        </w:rPr>
        <w:fldChar w:fldCharType="begin"/>
      </w:r>
      <w:r>
        <w:rPr>
          <w:noProof/>
        </w:rPr>
        <w:instrText xml:space="preserve"> PAGEREF _Toc122328533 \h </w:instrText>
      </w:r>
      <w:r>
        <w:rPr>
          <w:noProof/>
        </w:rPr>
      </w:r>
      <w:r>
        <w:rPr>
          <w:noProof/>
        </w:rPr>
        <w:fldChar w:fldCharType="separate"/>
      </w:r>
      <w:r>
        <w:rPr>
          <w:noProof/>
        </w:rPr>
        <w:t>129</w:t>
      </w:r>
      <w:r>
        <w:rPr>
          <w:noProof/>
        </w:rPr>
        <w:fldChar w:fldCharType="end"/>
      </w:r>
    </w:p>
    <w:p>
      <w:pPr>
        <w:pStyle w:val="TOC4"/>
        <w:tabs>
          <w:tab w:val="left" w:pos="1701"/>
        </w:tabs>
        <w:rPr>
          <w:noProof/>
          <w:sz w:val="24"/>
          <w:szCs w:val="24"/>
        </w:rPr>
      </w:pPr>
      <w:r>
        <w:rPr>
          <w:noProof/>
          <w:szCs w:val="24"/>
        </w:rPr>
        <w:t>94</w:t>
      </w:r>
      <w:r>
        <w:rPr>
          <w:noProof/>
          <w:snapToGrid w:val="0"/>
          <w:szCs w:val="24"/>
        </w:rPr>
        <w:t>.</w:t>
      </w:r>
      <w:r>
        <w:rPr>
          <w:noProof/>
          <w:sz w:val="24"/>
          <w:szCs w:val="24"/>
        </w:rPr>
        <w:tab/>
      </w:r>
      <w:r>
        <w:rPr>
          <w:noProof/>
          <w:snapToGrid w:val="0"/>
          <w:szCs w:val="24"/>
        </w:rPr>
        <w:t>Terms and conditions</w:t>
      </w:r>
      <w:r>
        <w:rPr>
          <w:noProof/>
        </w:rPr>
        <w:tab/>
      </w:r>
      <w:r>
        <w:rPr>
          <w:noProof/>
        </w:rPr>
        <w:fldChar w:fldCharType="begin"/>
      </w:r>
      <w:r>
        <w:rPr>
          <w:noProof/>
        </w:rPr>
        <w:instrText xml:space="preserve"> PAGEREF _Toc122328534 \h </w:instrText>
      </w:r>
      <w:r>
        <w:rPr>
          <w:noProof/>
        </w:rPr>
      </w:r>
      <w:r>
        <w:rPr>
          <w:noProof/>
        </w:rPr>
        <w:fldChar w:fldCharType="separate"/>
      </w:r>
      <w:r>
        <w:rPr>
          <w:noProof/>
        </w:rPr>
        <w:t>130</w:t>
      </w:r>
      <w:r>
        <w:rPr>
          <w:noProof/>
        </w:rPr>
        <w:fldChar w:fldCharType="end"/>
      </w:r>
    </w:p>
    <w:p>
      <w:pPr>
        <w:pStyle w:val="TOC4"/>
        <w:tabs>
          <w:tab w:val="left" w:pos="1701"/>
        </w:tabs>
        <w:rPr>
          <w:noProof/>
          <w:sz w:val="24"/>
          <w:szCs w:val="24"/>
        </w:rPr>
      </w:pPr>
      <w:r>
        <w:rPr>
          <w:noProof/>
          <w:szCs w:val="24"/>
        </w:rPr>
        <w:t>94A</w:t>
      </w:r>
      <w:r>
        <w:rPr>
          <w:noProof/>
          <w:snapToGrid w:val="0"/>
          <w:szCs w:val="24"/>
        </w:rPr>
        <w:t>.</w:t>
      </w:r>
      <w:r>
        <w:rPr>
          <w:noProof/>
          <w:sz w:val="24"/>
          <w:szCs w:val="24"/>
        </w:rPr>
        <w:tab/>
      </w:r>
      <w:r>
        <w:rPr>
          <w:noProof/>
          <w:snapToGrid w:val="0"/>
          <w:szCs w:val="24"/>
        </w:rPr>
        <w:t>Grant of mining tenement on land in a miscellaneous licence</w:t>
      </w:r>
      <w:r>
        <w:rPr>
          <w:noProof/>
        </w:rPr>
        <w:tab/>
      </w:r>
      <w:r>
        <w:rPr>
          <w:noProof/>
        </w:rPr>
        <w:fldChar w:fldCharType="begin"/>
      </w:r>
      <w:r>
        <w:rPr>
          <w:noProof/>
        </w:rPr>
        <w:instrText xml:space="preserve"> PAGEREF _Toc122328535 \h </w:instrText>
      </w:r>
      <w:r>
        <w:rPr>
          <w:noProof/>
        </w:rPr>
      </w:r>
      <w:r>
        <w:rPr>
          <w:noProof/>
        </w:rPr>
        <w:fldChar w:fldCharType="separate"/>
      </w:r>
      <w:r>
        <w:rPr>
          <w:noProof/>
        </w:rPr>
        <w:t>130</w:t>
      </w:r>
      <w:r>
        <w:rPr>
          <w:noProof/>
        </w:rPr>
        <w:fldChar w:fldCharType="end"/>
      </w:r>
    </w:p>
    <w:p>
      <w:pPr>
        <w:pStyle w:val="TOC4"/>
        <w:tabs>
          <w:tab w:val="left" w:pos="1701"/>
        </w:tabs>
        <w:rPr>
          <w:noProof/>
          <w:sz w:val="24"/>
          <w:szCs w:val="24"/>
        </w:rPr>
      </w:pPr>
      <w:r>
        <w:rPr>
          <w:noProof/>
          <w:szCs w:val="24"/>
        </w:rPr>
        <w:t>94B</w:t>
      </w:r>
      <w:r>
        <w:rPr>
          <w:noProof/>
          <w:snapToGrid w:val="0"/>
          <w:szCs w:val="24"/>
        </w:rPr>
        <w:t>.</w:t>
      </w:r>
      <w:r>
        <w:rPr>
          <w:noProof/>
          <w:sz w:val="24"/>
          <w:szCs w:val="24"/>
        </w:rPr>
        <w:tab/>
      </w:r>
      <w:r>
        <w:rPr>
          <w:noProof/>
          <w:snapToGrid w:val="0"/>
          <w:szCs w:val="24"/>
        </w:rPr>
        <w:t>Surrender etc., of concurrent tenement</w:t>
      </w:r>
      <w:r>
        <w:rPr>
          <w:noProof/>
        </w:rPr>
        <w:tab/>
      </w:r>
      <w:r>
        <w:rPr>
          <w:noProof/>
        </w:rPr>
        <w:fldChar w:fldCharType="begin"/>
      </w:r>
      <w:r>
        <w:rPr>
          <w:noProof/>
        </w:rPr>
        <w:instrText xml:space="preserve"> PAGEREF _Toc122328536 \h </w:instrText>
      </w:r>
      <w:r>
        <w:rPr>
          <w:noProof/>
        </w:rPr>
      </w:r>
      <w:r>
        <w:rPr>
          <w:noProof/>
        </w:rPr>
        <w:fldChar w:fldCharType="separate"/>
      </w:r>
      <w:r>
        <w:rPr>
          <w:noProof/>
        </w:rPr>
        <w:t>131</w:t>
      </w:r>
      <w:r>
        <w:rPr>
          <w:noProof/>
        </w:rPr>
        <w:fldChar w:fldCharType="end"/>
      </w:r>
    </w:p>
    <w:p>
      <w:pPr>
        <w:pStyle w:val="TOC3"/>
        <w:rPr>
          <w:b w:val="0"/>
          <w:noProof/>
          <w:sz w:val="24"/>
          <w:szCs w:val="24"/>
        </w:rPr>
      </w:pPr>
      <w:r>
        <w:rPr>
          <w:noProof/>
          <w:szCs w:val="26"/>
        </w:rPr>
        <w:t>Division 6</w:t>
      </w:r>
      <w:r>
        <w:rPr>
          <w:noProof/>
          <w:snapToGrid w:val="0"/>
          <w:szCs w:val="26"/>
        </w:rPr>
        <w:t> — </w:t>
      </w:r>
      <w:r>
        <w:rPr>
          <w:noProof/>
          <w:szCs w:val="26"/>
        </w:rPr>
        <w:t>Surrender and forfeiture of mining tenements</w:t>
      </w:r>
    </w:p>
    <w:p>
      <w:pPr>
        <w:pStyle w:val="TOC4"/>
        <w:tabs>
          <w:tab w:val="left" w:pos="1701"/>
        </w:tabs>
        <w:rPr>
          <w:noProof/>
          <w:sz w:val="24"/>
          <w:szCs w:val="24"/>
        </w:rPr>
      </w:pPr>
      <w:r>
        <w:rPr>
          <w:noProof/>
          <w:szCs w:val="24"/>
        </w:rPr>
        <w:t>95</w:t>
      </w:r>
      <w:r>
        <w:rPr>
          <w:noProof/>
          <w:snapToGrid w:val="0"/>
          <w:szCs w:val="24"/>
        </w:rPr>
        <w:t>.</w:t>
      </w:r>
      <w:r>
        <w:rPr>
          <w:noProof/>
          <w:sz w:val="24"/>
          <w:szCs w:val="24"/>
        </w:rPr>
        <w:tab/>
      </w:r>
      <w:r>
        <w:rPr>
          <w:noProof/>
          <w:snapToGrid w:val="0"/>
          <w:szCs w:val="24"/>
        </w:rPr>
        <w:t>Surrender of mining tenement</w:t>
      </w:r>
      <w:r>
        <w:rPr>
          <w:noProof/>
        </w:rPr>
        <w:tab/>
      </w:r>
      <w:r>
        <w:rPr>
          <w:noProof/>
        </w:rPr>
        <w:fldChar w:fldCharType="begin"/>
      </w:r>
      <w:r>
        <w:rPr>
          <w:noProof/>
        </w:rPr>
        <w:instrText xml:space="preserve"> PAGEREF _Toc122328538 \h </w:instrText>
      </w:r>
      <w:r>
        <w:rPr>
          <w:noProof/>
        </w:rPr>
      </w:r>
      <w:r>
        <w:rPr>
          <w:noProof/>
        </w:rPr>
        <w:fldChar w:fldCharType="separate"/>
      </w:r>
      <w:r>
        <w:rPr>
          <w:noProof/>
        </w:rPr>
        <w:t>131</w:t>
      </w:r>
      <w:r>
        <w:rPr>
          <w:noProof/>
        </w:rPr>
        <w:fldChar w:fldCharType="end"/>
      </w:r>
    </w:p>
    <w:p>
      <w:pPr>
        <w:pStyle w:val="TOC4"/>
        <w:tabs>
          <w:tab w:val="left" w:pos="1701"/>
        </w:tabs>
        <w:rPr>
          <w:noProof/>
          <w:sz w:val="24"/>
          <w:szCs w:val="24"/>
        </w:rPr>
      </w:pPr>
      <w:r>
        <w:rPr>
          <w:noProof/>
          <w:szCs w:val="24"/>
        </w:rPr>
        <w:t>95A.</w:t>
      </w:r>
      <w:r>
        <w:rPr>
          <w:noProof/>
          <w:sz w:val="24"/>
          <w:szCs w:val="24"/>
        </w:rPr>
        <w:tab/>
      </w:r>
      <w:r>
        <w:rPr>
          <w:noProof/>
          <w:szCs w:val="24"/>
        </w:rPr>
        <w:t>Exploration licence – surrender of part of block</w:t>
      </w:r>
      <w:r>
        <w:rPr>
          <w:noProof/>
        </w:rPr>
        <w:tab/>
      </w:r>
      <w:r>
        <w:rPr>
          <w:noProof/>
        </w:rPr>
        <w:fldChar w:fldCharType="begin"/>
      </w:r>
      <w:r>
        <w:rPr>
          <w:noProof/>
        </w:rPr>
        <w:instrText xml:space="preserve"> PAGEREF _Toc122328539 \h </w:instrText>
      </w:r>
      <w:r>
        <w:rPr>
          <w:noProof/>
        </w:rPr>
      </w:r>
      <w:r>
        <w:rPr>
          <w:noProof/>
        </w:rPr>
        <w:fldChar w:fldCharType="separate"/>
      </w:r>
      <w:r>
        <w:rPr>
          <w:noProof/>
        </w:rPr>
        <w:t>133</w:t>
      </w:r>
      <w:r>
        <w:rPr>
          <w:noProof/>
        </w:rPr>
        <w:fldChar w:fldCharType="end"/>
      </w:r>
    </w:p>
    <w:p>
      <w:pPr>
        <w:pStyle w:val="TOC4"/>
        <w:tabs>
          <w:tab w:val="left" w:pos="1701"/>
        </w:tabs>
        <w:rPr>
          <w:noProof/>
          <w:sz w:val="24"/>
          <w:szCs w:val="24"/>
        </w:rPr>
      </w:pPr>
      <w:r>
        <w:rPr>
          <w:noProof/>
          <w:szCs w:val="24"/>
        </w:rPr>
        <w:t>96</w:t>
      </w:r>
      <w:r>
        <w:rPr>
          <w:noProof/>
          <w:snapToGrid w:val="0"/>
          <w:szCs w:val="24"/>
        </w:rPr>
        <w:t>.</w:t>
      </w:r>
      <w:r>
        <w:rPr>
          <w:noProof/>
          <w:sz w:val="24"/>
          <w:szCs w:val="24"/>
        </w:rPr>
        <w:tab/>
      </w:r>
      <w:r>
        <w:rPr>
          <w:noProof/>
          <w:snapToGrid w:val="0"/>
          <w:szCs w:val="24"/>
        </w:rPr>
        <w:t>Forfeiture of certain mining tenements</w:t>
      </w:r>
      <w:r>
        <w:rPr>
          <w:noProof/>
        </w:rPr>
        <w:tab/>
      </w:r>
      <w:r>
        <w:rPr>
          <w:noProof/>
        </w:rPr>
        <w:fldChar w:fldCharType="begin"/>
      </w:r>
      <w:r>
        <w:rPr>
          <w:noProof/>
        </w:rPr>
        <w:instrText xml:space="preserve"> PAGEREF _Toc122328540 \h </w:instrText>
      </w:r>
      <w:r>
        <w:rPr>
          <w:noProof/>
        </w:rPr>
      </w:r>
      <w:r>
        <w:rPr>
          <w:noProof/>
        </w:rPr>
        <w:fldChar w:fldCharType="separate"/>
      </w:r>
      <w:r>
        <w:rPr>
          <w:noProof/>
        </w:rPr>
        <w:t>133</w:t>
      </w:r>
      <w:r>
        <w:rPr>
          <w:noProof/>
        </w:rPr>
        <w:fldChar w:fldCharType="end"/>
      </w:r>
    </w:p>
    <w:p>
      <w:pPr>
        <w:pStyle w:val="TOC4"/>
        <w:tabs>
          <w:tab w:val="left" w:pos="1701"/>
        </w:tabs>
        <w:rPr>
          <w:noProof/>
          <w:sz w:val="24"/>
          <w:szCs w:val="24"/>
        </w:rPr>
      </w:pPr>
      <w:r>
        <w:rPr>
          <w:noProof/>
          <w:szCs w:val="24"/>
        </w:rPr>
        <w:t>96A</w:t>
      </w:r>
      <w:r>
        <w:rPr>
          <w:noProof/>
          <w:snapToGrid w:val="0"/>
          <w:szCs w:val="24"/>
        </w:rPr>
        <w:t>.</w:t>
      </w:r>
      <w:r>
        <w:rPr>
          <w:noProof/>
          <w:sz w:val="24"/>
          <w:szCs w:val="24"/>
        </w:rPr>
        <w:tab/>
      </w:r>
      <w:r>
        <w:rPr>
          <w:noProof/>
          <w:snapToGrid w:val="0"/>
          <w:szCs w:val="24"/>
        </w:rPr>
        <w:t>Forfeiture of exploration licence or retention licence</w:t>
      </w:r>
      <w:r>
        <w:rPr>
          <w:noProof/>
        </w:rPr>
        <w:tab/>
      </w:r>
      <w:r>
        <w:rPr>
          <w:noProof/>
        </w:rPr>
        <w:fldChar w:fldCharType="begin"/>
      </w:r>
      <w:r>
        <w:rPr>
          <w:noProof/>
        </w:rPr>
        <w:instrText xml:space="preserve"> PAGEREF _Toc122328541 \h </w:instrText>
      </w:r>
      <w:r>
        <w:rPr>
          <w:noProof/>
        </w:rPr>
      </w:r>
      <w:r>
        <w:rPr>
          <w:noProof/>
        </w:rPr>
        <w:fldChar w:fldCharType="separate"/>
      </w:r>
      <w:r>
        <w:rPr>
          <w:noProof/>
        </w:rPr>
        <w:t>137</w:t>
      </w:r>
      <w:r>
        <w:rPr>
          <w:noProof/>
        </w:rPr>
        <w:fldChar w:fldCharType="end"/>
      </w:r>
    </w:p>
    <w:p>
      <w:pPr>
        <w:pStyle w:val="TOC4"/>
        <w:tabs>
          <w:tab w:val="left" w:pos="1701"/>
        </w:tabs>
        <w:rPr>
          <w:noProof/>
          <w:sz w:val="24"/>
          <w:szCs w:val="24"/>
        </w:rPr>
      </w:pPr>
      <w:r>
        <w:rPr>
          <w:noProof/>
          <w:szCs w:val="24"/>
        </w:rPr>
        <w:t>97</w:t>
      </w:r>
      <w:r>
        <w:rPr>
          <w:noProof/>
          <w:snapToGrid w:val="0"/>
          <w:szCs w:val="24"/>
        </w:rPr>
        <w:t>.</w:t>
      </w:r>
      <w:r>
        <w:rPr>
          <w:noProof/>
          <w:sz w:val="24"/>
          <w:szCs w:val="24"/>
        </w:rPr>
        <w:tab/>
      </w:r>
      <w:r>
        <w:rPr>
          <w:noProof/>
          <w:snapToGrid w:val="0"/>
          <w:szCs w:val="24"/>
        </w:rPr>
        <w:t>Forfeiture of mining lease or general purpose lease</w:t>
      </w:r>
      <w:r>
        <w:rPr>
          <w:noProof/>
        </w:rPr>
        <w:tab/>
      </w:r>
      <w:r>
        <w:rPr>
          <w:noProof/>
        </w:rPr>
        <w:fldChar w:fldCharType="begin"/>
      </w:r>
      <w:r>
        <w:rPr>
          <w:noProof/>
        </w:rPr>
        <w:instrText xml:space="preserve"> PAGEREF _Toc122328542 \h </w:instrText>
      </w:r>
      <w:r>
        <w:rPr>
          <w:noProof/>
        </w:rPr>
      </w:r>
      <w:r>
        <w:rPr>
          <w:noProof/>
        </w:rPr>
        <w:fldChar w:fldCharType="separate"/>
      </w:r>
      <w:r>
        <w:rPr>
          <w:noProof/>
        </w:rPr>
        <w:t>138</w:t>
      </w:r>
      <w:r>
        <w:rPr>
          <w:noProof/>
        </w:rPr>
        <w:fldChar w:fldCharType="end"/>
      </w:r>
    </w:p>
    <w:p>
      <w:pPr>
        <w:pStyle w:val="TOC4"/>
        <w:tabs>
          <w:tab w:val="left" w:pos="1701"/>
        </w:tabs>
        <w:rPr>
          <w:noProof/>
          <w:sz w:val="24"/>
          <w:szCs w:val="24"/>
        </w:rPr>
      </w:pPr>
      <w:r>
        <w:rPr>
          <w:noProof/>
          <w:szCs w:val="24"/>
        </w:rPr>
        <w:t>97A</w:t>
      </w:r>
      <w:r>
        <w:rPr>
          <w:noProof/>
          <w:snapToGrid w:val="0"/>
          <w:szCs w:val="24"/>
        </w:rPr>
        <w:t>.</w:t>
      </w:r>
      <w:r>
        <w:rPr>
          <w:noProof/>
          <w:sz w:val="24"/>
          <w:szCs w:val="24"/>
        </w:rPr>
        <w:tab/>
      </w:r>
      <w:r>
        <w:rPr>
          <w:noProof/>
          <w:snapToGrid w:val="0"/>
          <w:szCs w:val="24"/>
        </w:rPr>
        <w:t>Appeals against cancellation of forfeiture</w:t>
      </w:r>
      <w:r>
        <w:rPr>
          <w:noProof/>
        </w:rPr>
        <w:tab/>
      </w:r>
      <w:r>
        <w:rPr>
          <w:noProof/>
        </w:rPr>
        <w:fldChar w:fldCharType="begin"/>
      </w:r>
      <w:r>
        <w:rPr>
          <w:noProof/>
        </w:rPr>
        <w:instrText xml:space="preserve"> PAGEREF _Toc122328543 \h </w:instrText>
      </w:r>
      <w:r>
        <w:rPr>
          <w:noProof/>
        </w:rPr>
      </w:r>
      <w:r>
        <w:rPr>
          <w:noProof/>
        </w:rPr>
        <w:fldChar w:fldCharType="separate"/>
      </w:r>
      <w:r>
        <w:rPr>
          <w:noProof/>
        </w:rPr>
        <w:t>139</w:t>
      </w:r>
      <w:r>
        <w:rPr>
          <w:noProof/>
        </w:rPr>
        <w:fldChar w:fldCharType="end"/>
      </w:r>
    </w:p>
    <w:p>
      <w:pPr>
        <w:pStyle w:val="TOC4"/>
        <w:tabs>
          <w:tab w:val="left" w:pos="1701"/>
        </w:tabs>
        <w:rPr>
          <w:noProof/>
          <w:sz w:val="24"/>
          <w:szCs w:val="24"/>
        </w:rPr>
      </w:pPr>
      <w:r>
        <w:rPr>
          <w:noProof/>
          <w:szCs w:val="24"/>
        </w:rPr>
        <w:t>98</w:t>
      </w:r>
      <w:r>
        <w:rPr>
          <w:noProof/>
          <w:snapToGrid w:val="0"/>
          <w:szCs w:val="24"/>
        </w:rPr>
        <w:t>.</w:t>
      </w:r>
      <w:r>
        <w:rPr>
          <w:noProof/>
          <w:sz w:val="24"/>
          <w:szCs w:val="24"/>
        </w:rPr>
        <w:tab/>
      </w:r>
      <w:r>
        <w:rPr>
          <w:noProof/>
          <w:snapToGrid w:val="0"/>
          <w:szCs w:val="24"/>
        </w:rPr>
        <w:t>Application for forfeiture on other grounds</w:t>
      </w:r>
      <w:r>
        <w:rPr>
          <w:noProof/>
        </w:rPr>
        <w:tab/>
      </w:r>
      <w:r>
        <w:rPr>
          <w:noProof/>
        </w:rPr>
        <w:fldChar w:fldCharType="begin"/>
      </w:r>
      <w:r>
        <w:rPr>
          <w:noProof/>
        </w:rPr>
        <w:instrText xml:space="preserve"> PAGEREF _Toc122328544 \h </w:instrText>
      </w:r>
      <w:r>
        <w:rPr>
          <w:noProof/>
        </w:rPr>
      </w:r>
      <w:r>
        <w:rPr>
          <w:noProof/>
        </w:rPr>
        <w:fldChar w:fldCharType="separate"/>
      </w:r>
      <w:r>
        <w:rPr>
          <w:noProof/>
        </w:rPr>
        <w:t>141</w:t>
      </w:r>
      <w:r>
        <w:rPr>
          <w:noProof/>
        </w:rPr>
        <w:fldChar w:fldCharType="end"/>
      </w:r>
    </w:p>
    <w:p>
      <w:pPr>
        <w:pStyle w:val="TOC4"/>
        <w:tabs>
          <w:tab w:val="left" w:pos="1701"/>
        </w:tabs>
        <w:rPr>
          <w:noProof/>
          <w:sz w:val="24"/>
          <w:szCs w:val="24"/>
        </w:rPr>
      </w:pPr>
      <w:r>
        <w:rPr>
          <w:noProof/>
          <w:szCs w:val="24"/>
        </w:rPr>
        <w:t>99</w:t>
      </w:r>
      <w:r>
        <w:rPr>
          <w:noProof/>
          <w:snapToGrid w:val="0"/>
          <w:szCs w:val="24"/>
        </w:rPr>
        <w:t>.</w:t>
      </w:r>
      <w:r>
        <w:rPr>
          <w:noProof/>
          <w:sz w:val="24"/>
          <w:szCs w:val="24"/>
        </w:rPr>
        <w:tab/>
      </w:r>
      <w:r>
        <w:rPr>
          <w:noProof/>
          <w:snapToGrid w:val="0"/>
          <w:szCs w:val="24"/>
        </w:rPr>
        <w:t>Proceedings by Minister on recommendation</w:t>
      </w:r>
      <w:r>
        <w:rPr>
          <w:noProof/>
        </w:rPr>
        <w:tab/>
      </w:r>
      <w:r>
        <w:rPr>
          <w:noProof/>
        </w:rPr>
        <w:fldChar w:fldCharType="begin"/>
      </w:r>
      <w:r>
        <w:rPr>
          <w:noProof/>
        </w:rPr>
        <w:instrText xml:space="preserve"> PAGEREF _Toc122328545 \h </w:instrText>
      </w:r>
      <w:r>
        <w:rPr>
          <w:noProof/>
        </w:rPr>
      </w:r>
      <w:r>
        <w:rPr>
          <w:noProof/>
        </w:rPr>
        <w:fldChar w:fldCharType="separate"/>
      </w:r>
      <w:r>
        <w:rPr>
          <w:noProof/>
        </w:rPr>
        <w:t>143</w:t>
      </w:r>
      <w:r>
        <w:rPr>
          <w:noProof/>
        </w:rPr>
        <w:fldChar w:fldCharType="end"/>
      </w:r>
    </w:p>
    <w:p>
      <w:pPr>
        <w:pStyle w:val="TOC4"/>
        <w:tabs>
          <w:tab w:val="left" w:pos="1701"/>
        </w:tabs>
        <w:rPr>
          <w:noProof/>
          <w:sz w:val="24"/>
          <w:szCs w:val="24"/>
        </w:rPr>
      </w:pPr>
      <w:r>
        <w:rPr>
          <w:noProof/>
          <w:szCs w:val="24"/>
        </w:rPr>
        <w:t>100</w:t>
      </w:r>
      <w:r>
        <w:rPr>
          <w:noProof/>
          <w:snapToGrid w:val="0"/>
          <w:szCs w:val="24"/>
        </w:rPr>
        <w:t>.</w:t>
      </w:r>
      <w:r>
        <w:rPr>
          <w:noProof/>
          <w:sz w:val="24"/>
          <w:szCs w:val="24"/>
        </w:rPr>
        <w:tab/>
      </w:r>
      <w:r>
        <w:rPr>
          <w:noProof/>
          <w:snapToGrid w:val="0"/>
          <w:szCs w:val="24"/>
        </w:rPr>
        <w:t>Applicant to have priority for marking out and applying for surrendered or forfeited licence or lease</w:t>
      </w:r>
      <w:r>
        <w:rPr>
          <w:noProof/>
        </w:rPr>
        <w:tab/>
      </w:r>
      <w:r>
        <w:rPr>
          <w:noProof/>
        </w:rPr>
        <w:fldChar w:fldCharType="begin"/>
      </w:r>
      <w:r>
        <w:rPr>
          <w:noProof/>
        </w:rPr>
        <w:instrText xml:space="preserve"> PAGEREF _Toc122328546 \h </w:instrText>
      </w:r>
      <w:r>
        <w:rPr>
          <w:noProof/>
        </w:rPr>
      </w:r>
      <w:r>
        <w:rPr>
          <w:noProof/>
        </w:rPr>
        <w:fldChar w:fldCharType="separate"/>
      </w:r>
      <w:r>
        <w:rPr>
          <w:noProof/>
        </w:rPr>
        <w:t>144</w:t>
      </w:r>
      <w:r>
        <w:rPr>
          <w:noProof/>
        </w:rPr>
        <w:fldChar w:fldCharType="end"/>
      </w:r>
    </w:p>
    <w:p>
      <w:pPr>
        <w:pStyle w:val="TOC4"/>
        <w:tabs>
          <w:tab w:val="left" w:pos="1701"/>
        </w:tabs>
        <w:rPr>
          <w:noProof/>
          <w:sz w:val="24"/>
          <w:szCs w:val="24"/>
        </w:rPr>
      </w:pPr>
      <w:r>
        <w:rPr>
          <w:noProof/>
          <w:szCs w:val="24"/>
        </w:rPr>
        <w:t>101</w:t>
      </w:r>
      <w:r>
        <w:rPr>
          <w:noProof/>
          <w:snapToGrid w:val="0"/>
          <w:szCs w:val="24"/>
        </w:rPr>
        <w:t>.</w:t>
      </w:r>
      <w:r>
        <w:rPr>
          <w:noProof/>
          <w:sz w:val="24"/>
          <w:szCs w:val="24"/>
        </w:rPr>
        <w:tab/>
      </w:r>
      <w:r>
        <w:rPr>
          <w:noProof/>
          <w:snapToGrid w:val="0"/>
          <w:szCs w:val="24"/>
        </w:rPr>
        <w:t>Application for forfeiture of mining tenement while holder is a company in process of winding up</w:t>
      </w:r>
      <w:r>
        <w:rPr>
          <w:noProof/>
        </w:rPr>
        <w:tab/>
      </w:r>
      <w:r>
        <w:rPr>
          <w:noProof/>
        </w:rPr>
        <w:fldChar w:fldCharType="begin"/>
      </w:r>
      <w:r>
        <w:rPr>
          <w:noProof/>
        </w:rPr>
        <w:instrText xml:space="preserve"> PAGEREF _Toc122328547 \h </w:instrText>
      </w:r>
      <w:r>
        <w:rPr>
          <w:noProof/>
        </w:rPr>
      </w:r>
      <w:r>
        <w:rPr>
          <w:noProof/>
        </w:rPr>
        <w:fldChar w:fldCharType="separate"/>
      </w:r>
      <w:r>
        <w:rPr>
          <w:noProof/>
        </w:rPr>
        <w:t>145</w:t>
      </w:r>
      <w:r>
        <w:rPr>
          <w:noProof/>
        </w:rPr>
        <w:fldChar w:fldCharType="end"/>
      </w:r>
    </w:p>
    <w:p>
      <w:pPr>
        <w:pStyle w:val="TOC3"/>
        <w:rPr>
          <w:b w:val="0"/>
          <w:noProof/>
          <w:sz w:val="24"/>
          <w:szCs w:val="24"/>
        </w:rPr>
      </w:pPr>
      <w:r>
        <w:rPr>
          <w:noProof/>
          <w:szCs w:val="26"/>
        </w:rPr>
        <w:t>Division 7</w:t>
      </w:r>
      <w:r>
        <w:rPr>
          <w:noProof/>
          <w:snapToGrid w:val="0"/>
          <w:szCs w:val="26"/>
        </w:rPr>
        <w:t> — </w:t>
      </w:r>
      <w:r>
        <w:rPr>
          <w:noProof/>
          <w:szCs w:val="26"/>
        </w:rPr>
        <w:t>Exemption from expenditure conditions</w:t>
      </w:r>
    </w:p>
    <w:p>
      <w:pPr>
        <w:pStyle w:val="TOC4"/>
        <w:tabs>
          <w:tab w:val="left" w:pos="1701"/>
        </w:tabs>
        <w:rPr>
          <w:noProof/>
          <w:sz w:val="24"/>
          <w:szCs w:val="24"/>
        </w:rPr>
      </w:pPr>
      <w:r>
        <w:rPr>
          <w:noProof/>
          <w:szCs w:val="24"/>
        </w:rPr>
        <w:t>102</w:t>
      </w:r>
      <w:r>
        <w:rPr>
          <w:noProof/>
          <w:snapToGrid w:val="0"/>
          <w:szCs w:val="24"/>
        </w:rPr>
        <w:t>.</w:t>
      </w:r>
      <w:r>
        <w:rPr>
          <w:noProof/>
          <w:sz w:val="24"/>
          <w:szCs w:val="24"/>
        </w:rPr>
        <w:tab/>
      </w:r>
      <w:r>
        <w:rPr>
          <w:noProof/>
          <w:snapToGrid w:val="0"/>
          <w:szCs w:val="24"/>
        </w:rPr>
        <w:t>Exemption from expenditure conditions</w:t>
      </w:r>
      <w:r>
        <w:rPr>
          <w:noProof/>
        </w:rPr>
        <w:tab/>
      </w:r>
      <w:r>
        <w:rPr>
          <w:noProof/>
        </w:rPr>
        <w:fldChar w:fldCharType="begin"/>
      </w:r>
      <w:r>
        <w:rPr>
          <w:noProof/>
        </w:rPr>
        <w:instrText xml:space="preserve"> PAGEREF _Toc122328549 \h </w:instrText>
      </w:r>
      <w:r>
        <w:rPr>
          <w:noProof/>
        </w:rPr>
      </w:r>
      <w:r>
        <w:rPr>
          <w:noProof/>
        </w:rPr>
        <w:fldChar w:fldCharType="separate"/>
      </w:r>
      <w:r>
        <w:rPr>
          <w:noProof/>
        </w:rPr>
        <w:t>146</w:t>
      </w:r>
      <w:r>
        <w:rPr>
          <w:noProof/>
        </w:rPr>
        <w:fldChar w:fldCharType="end"/>
      </w:r>
    </w:p>
    <w:p>
      <w:pPr>
        <w:pStyle w:val="TOC4"/>
        <w:tabs>
          <w:tab w:val="left" w:pos="1701"/>
        </w:tabs>
        <w:rPr>
          <w:noProof/>
          <w:sz w:val="24"/>
          <w:szCs w:val="24"/>
        </w:rPr>
      </w:pPr>
      <w:r>
        <w:rPr>
          <w:noProof/>
          <w:szCs w:val="24"/>
        </w:rPr>
        <w:t>102A</w:t>
      </w:r>
      <w:r>
        <w:rPr>
          <w:noProof/>
          <w:snapToGrid w:val="0"/>
          <w:szCs w:val="24"/>
        </w:rPr>
        <w:t>.</w:t>
      </w:r>
      <w:r>
        <w:rPr>
          <w:noProof/>
          <w:sz w:val="24"/>
          <w:szCs w:val="24"/>
        </w:rPr>
        <w:tab/>
      </w:r>
      <w:r>
        <w:rPr>
          <w:noProof/>
          <w:snapToGrid w:val="0"/>
          <w:szCs w:val="24"/>
        </w:rPr>
        <w:t>Exemption from expenditure conditions in respect of certain holders of exploration licences</w:t>
      </w:r>
      <w:r>
        <w:rPr>
          <w:noProof/>
        </w:rPr>
        <w:tab/>
      </w:r>
      <w:r>
        <w:rPr>
          <w:noProof/>
        </w:rPr>
        <w:fldChar w:fldCharType="begin"/>
      </w:r>
      <w:r>
        <w:rPr>
          <w:noProof/>
        </w:rPr>
        <w:instrText xml:space="preserve"> PAGEREF _Toc122328550 \h </w:instrText>
      </w:r>
      <w:r>
        <w:rPr>
          <w:noProof/>
        </w:rPr>
      </w:r>
      <w:r>
        <w:rPr>
          <w:noProof/>
        </w:rPr>
        <w:fldChar w:fldCharType="separate"/>
      </w:r>
      <w:r>
        <w:rPr>
          <w:noProof/>
        </w:rPr>
        <w:t>148</w:t>
      </w:r>
      <w:r>
        <w:rPr>
          <w:noProof/>
        </w:rPr>
        <w:fldChar w:fldCharType="end"/>
      </w:r>
    </w:p>
    <w:p>
      <w:pPr>
        <w:pStyle w:val="TOC4"/>
        <w:tabs>
          <w:tab w:val="left" w:pos="1701"/>
        </w:tabs>
        <w:rPr>
          <w:noProof/>
          <w:sz w:val="24"/>
          <w:szCs w:val="24"/>
        </w:rPr>
      </w:pPr>
      <w:r>
        <w:rPr>
          <w:noProof/>
          <w:szCs w:val="24"/>
        </w:rPr>
        <w:t>103</w:t>
      </w:r>
      <w:r>
        <w:rPr>
          <w:noProof/>
          <w:snapToGrid w:val="0"/>
          <w:szCs w:val="24"/>
        </w:rPr>
        <w:t>.</w:t>
      </w:r>
      <w:r>
        <w:rPr>
          <w:noProof/>
          <w:sz w:val="24"/>
          <w:szCs w:val="24"/>
        </w:rPr>
        <w:tab/>
      </w:r>
      <w:r>
        <w:rPr>
          <w:noProof/>
          <w:snapToGrid w:val="0"/>
          <w:szCs w:val="24"/>
        </w:rPr>
        <w:t>Effect of exemption</w:t>
      </w:r>
      <w:r>
        <w:rPr>
          <w:noProof/>
        </w:rPr>
        <w:tab/>
      </w:r>
      <w:r>
        <w:rPr>
          <w:noProof/>
        </w:rPr>
        <w:fldChar w:fldCharType="begin"/>
      </w:r>
      <w:r>
        <w:rPr>
          <w:noProof/>
        </w:rPr>
        <w:instrText xml:space="preserve"> PAGEREF _Toc122328551 \h </w:instrText>
      </w:r>
      <w:r>
        <w:rPr>
          <w:noProof/>
        </w:rPr>
      </w:r>
      <w:r>
        <w:rPr>
          <w:noProof/>
        </w:rPr>
        <w:fldChar w:fldCharType="separate"/>
      </w:r>
      <w:r>
        <w:rPr>
          <w:noProof/>
        </w:rPr>
        <w:t>149</w:t>
      </w:r>
      <w:r>
        <w:rPr>
          <w:noProof/>
        </w:rPr>
        <w:fldChar w:fldCharType="end"/>
      </w:r>
    </w:p>
    <w:p>
      <w:pPr>
        <w:pStyle w:val="TOC3"/>
        <w:rPr>
          <w:b w:val="0"/>
          <w:noProof/>
          <w:sz w:val="24"/>
          <w:szCs w:val="24"/>
        </w:rPr>
      </w:pPr>
      <w:r>
        <w:rPr>
          <w:noProof/>
          <w:szCs w:val="26"/>
        </w:rPr>
        <w:t>Division 8</w:t>
      </w:r>
      <w:r>
        <w:rPr>
          <w:noProof/>
          <w:snapToGrid w:val="0"/>
          <w:szCs w:val="26"/>
        </w:rPr>
        <w:t> — </w:t>
      </w:r>
      <w:r>
        <w:rPr>
          <w:noProof/>
          <w:szCs w:val="26"/>
        </w:rPr>
        <w:t>Registration of documents affecting tenements</w:t>
      </w:r>
    </w:p>
    <w:p>
      <w:pPr>
        <w:pStyle w:val="TOC4"/>
        <w:tabs>
          <w:tab w:val="left" w:pos="1701"/>
        </w:tabs>
        <w:rPr>
          <w:noProof/>
          <w:sz w:val="24"/>
          <w:szCs w:val="24"/>
        </w:rPr>
      </w:pPr>
      <w:r>
        <w:rPr>
          <w:noProof/>
          <w:szCs w:val="24"/>
        </w:rPr>
        <w:t>103A</w:t>
      </w:r>
      <w:r>
        <w:rPr>
          <w:noProof/>
          <w:snapToGrid w:val="0"/>
          <w:szCs w:val="24"/>
        </w:rPr>
        <w:t>.</w:t>
      </w:r>
      <w:r>
        <w:rPr>
          <w:noProof/>
          <w:sz w:val="24"/>
          <w:szCs w:val="24"/>
        </w:rPr>
        <w:tab/>
      </w:r>
      <w:r>
        <w:rPr>
          <w:noProof/>
          <w:snapToGrid w:val="0"/>
          <w:szCs w:val="24"/>
        </w:rPr>
        <w:t>Time of lodgement to be taken as time of registration</w:t>
      </w:r>
      <w:r>
        <w:rPr>
          <w:noProof/>
        </w:rPr>
        <w:tab/>
      </w:r>
      <w:r>
        <w:rPr>
          <w:noProof/>
        </w:rPr>
        <w:fldChar w:fldCharType="begin"/>
      </w:r>
      <w:r>
        <w:rPr>
          <w:noProof/>
        </w:rPr>
        <w:instrText xml:space="preserve"> PAGEREF _Toc122328553 \h </w:instrText>
      </w:r>
      <w:r>
        <w:rPr>
          <w:noProof/>
        </w:rPr>
      </w:r>
      <w:r>
        <w:rPr>
          <w:noProof/>
        </w:rPr>
        <w:fldChar w:fldCharType="separate"/>
      </w:r>
      <w:r>
        <w:rPr>
          <w:noProof/>
        </w:rPr>
        <w:t>149</w:t>
      </w:r>
      <w:r>
        <w:rPr>
          <w:noProof/>
        </w:rPr>
        <w:fldChar w:fldCharType="end"/>
      </w:r>
    </w:p>
    <w:p>
      <w:pPr>
        <w:pStyle w:val="TOC2"/>
        <w:tabs>
          <w:tab w:val="right" w:leader="dot" w:pos="7086"/>
        </w:tabs>
        <w:rPr>
          <w:b w:val="0"/>
          <w:noProof/>
          <w:sz w:val="24"/>
          <w:szCs w:val="24"/>
        </w:rPr>
      </w:pPr>
      <w:r>
        <w:rPr>
          <w:noProof/>
          <w:szCs w:val="30"/>
        </w:rPr>
        <w:t>Part V — General provisions relating to mining and mining tenements</w:t>
      </w:r>
    </w:p>
    <w:p>
      <w:pPr>
        <w:pStyle w:val="TOC4"/>
        <w:tabs>
          <w:tab w:val="left" w:pos="1701"/>
        </w:tabs>
        <w:rPr>
          <w:noProof/>
          <w:sz w:val="24"/>
          <w:szCs w:val="24"/>
        </w:rPr>
      </w:pPr>
      <w:r>
        <w:rPr>
          <w:noProof/>
          <w:szCs w:val="24"/>
        </w:rPr>
        <w:t>104</w:t>
      </w:r>
      <w:r>
        <w:rPr>
          <w:noProof/>
          <w:snapToGrid w:val="0"/>
          <w:szCs w:val="24"/>
        </w:rPr>
        <w:t>.</w:t>
      </w:r>
      <w:r>
        <w:rPr>
          <w:noProof/>
          <w:sz w:val="24"/>
          <w:szCs w:val="24"/>
        </w:rPr>
        <w:tab/>
      </w:r>
      <w:r>
        <w:rPr>
          <w:noProof/>
          <w:snapToGrid w:val="0"/>
          <w:szCs w:val="24"/>
        </w:rPr>
        <w:t>Entry on land for purpose of marking out, etc.</w:t>
      </w:r>
      <w:r>
        <w:rPr>
          <w:noProof/>
        </w:rPr>
        <w:tab/>
      </w:r>
      <w:r>
        <w:rPr>
          <w:noProof/>
        </w:rPr>
        <w:fldChar w:fldCharType="begin"/>
      </w:r>
      <w:r>
        <w:rPr>
          <w:noProof/>
        </w:rPr>
        <w:instrText xml:space="preserve"> PAGEREF _Toc122328555 \h </w:instrText>
      </w:r>
      <w:r>
        <w:rPr>
          <w:noProof/>
        </w:rPr>
      </w:r>
      <w:r>
        <w:rPr>
          <w:noProof/>
        </w:rPr>
        <w:fldChar w:fldCharType="separate"/>
      </w:r>
      <w:r>
        <w:rPr>
          <w:noProof/>
        </w:rPr>
        <w:t>151</w:t>
      </w:r>
      <w:r>
        <w:rPr>
          <w:noProof/>
        </w:rPr>
        <w:fldChar w:fldCharType="end"/>
      </w:r>
    </w:p>
    <w:p>
      <w:pPr>
        <w:pStyle w:val="TOC4"/>
        <w:tabs>
          <w:tab w:val="left" w:pos="1701"/>
        </w:tabs>
        <w:rPr>
          <w:noProof/>
          <w:sz w:val="24"/>
          <w:szCs w:val="24"/>
        </w:rPr>
      </w:pPr>
      <w:r>
        <w:rPr>
          <w:noProof/>
          <w:szCs w:val="24"/>
        </w:rPr>
        <w:t>105</w:t>
      </w:r>
      <w:r>
        <w:rPr>
          <w:noProof/>
          <w:snapToGrid w:val="0"/>
          <w:szCs w:val="24"/>
        </w:rPr>
        <w:t>.</w:t>
      </w:r>
      <w:r>
        <w:rPr>
          <w:noProof/>
          <w:sz w:val="24"/>
          <w:szCs w:val="24"/>
        </w:rPr>
        <w:tab/>
      </w:r>
      <w:r>
        <w:rPr>
          <w:noProof/>
          <w:snapToGrid w:val="0"/>
          <w:szCs w:val="24"/>
        </w:rPr>
        <w:t>Marking out of mining tenement</w:t>
      </w:r>
      <w:r>
        <w:rPr>
          <w:noProof/>
        </w:rPr>
        <w:tab/>
      </w:r>
      <w:r>
        <w:rPr>
          <w:noProof/>
        </w:rPr>
        <w:fldChar w:fldCharType="begin"/>
      </w:r>
      <w:r>
        <w:rPr>
          <w:noProof/>
        </w:rPr>
        <w:instrText xml:space="preserve"> PAGEREF _Toc122328556 \h </w:instrText>
      </w:r>
      <w:r>
        <w:rPr>
          <w:noProof/>
        </w:rPr>
      </w:r>
      <w:r>
        <w:rPr>
          <w:noProof/>
        </w:rPr>
        <w:fldChar w:fldCharType="separate"/>
      </w:r>
      <w:r>
        <w:rPr>
          <w:noProof/>
        </w:rPr>
        <w:t>152</w:t>
      </w:r>
      <w:r>
        <w:rPr>
          <w:noProof/>
        </w:rPr>
        <w:fldChar w:fldCharType="end"/>
      </w:r>
    </w:p>
    <w:p>
      <w:pPr>
        <w:pStyle w:val="TOC4"/>
        <w:tabs>
          <w:tab w:val="left" w:pos="1701"/>
        </w:tabs>
        <w:rPr>
          <w:noProof/>
          <w:sz w:val="24"/>
          <w:szCs w:val="24"/>
        </w:rPr>
      </w:pPr>
      <w:r>
        <w:rPr>
          <w:noProof/>
          <w:szCs w:val="24"/>
        </w:rPr>
        <w:t>105A</w:t>
      </w:r>
      <w:r>
        <w:rPr>
          <w:noProof/>
          <w:snapToGrid w:val="0"/>
          <w:szCs w:val="24"/>
        </w:rPr>
        <w:t>.</w:t>
      </w:r>
      <w:r>
        <w:rPr>
          <w:noProof/>
          <w:sz w:val="24"/>
          <w:szCs w:val="24"/>
        </w:rPr>
        <w:tab/>
      </w:r>
      <w:r>
        <w:rPr>
          <w:noProof/>
          <w:snapToGrid w:val="0"/>
          <w:szCs w:val="24"/>
        </w:rPr>
        <w:t>Priorities between applicants for certain tenements</w:t>
      </w:r>
      <w:r>
        <w:rPr>
          <w:noProof/>
        </w:rPr>
        <w:tab/>
      </w:r>
      <w:r>
        <w:rPr>
          <w:noProof/>
        </w:rPr>
        <w:fldChar w:fldCharType="begin"/>
      </w:r>
      <w:r>
        <w:rPr>
          <w:noProof/>
        </w:rPr>
        <w:instrText xml:space="preserve"> PAGEREF _Toc122328557 \h </w:instrText>
      </w:r>
      <w:r>
        <w:rPr>
          <w:noProof/>
        </w:rPr>
      </w:r>
      <w:r>
        <w:rPr>
          <w:noProof/>
        </w:rPr>
        <w:fldChar w:fldCharType="separate"/>
      </w:r>
      <w:r>
        <w:rPr>
          <w:noProof/>
        </w:rPr>
        <w:t>152</w:t>
      </w:r>
      <w:r>
        <w:rPr>
          <w:noProof/>
        </w:rPr>
        <w:fldChar w:fldCharType="end"/>
      </w:r>
    </w:p>
    <w:p>
      <w:pPr>
        <w:pStyle w:val="TOC4"/>
        <w:tabs>
          <w:tab w:val="left" w:pos="1701"/>
        </w:tabs>
        <w:rPr>
          <w:noProof/>
          <w:sz w:val="24"/>
          <w:szCs w:val="24"/>
        </w:rPr>
      </w:pPr>
      <w:r>
        <w:rPr>
          <w:noProof/>
          <w:szCs w:val="24"/>
        </w:rPr>
        <w:t>105B</w:t>
      </w:r>
      <w:r>
        <w:rPr>
          <w:noProof/>
          <w:snapToGrid w:val="0"/>
          <w:szCs w:val="24"/>
        </w:rPr>
        <w:t>.</w:t>
      </w:r>
      <w:r>
        <w:rPr>
          <w:noProof/>
          <w:sz w:val="24"/>
          <w:szCs w:val="24"/>
        </w:rPr>
        <w:tab/>
      </w:r>
      <w:r>
        <w:rPr>
          <w:noProof/>
          <w:snapToGrid w:val="0"/>
          <w:szCs w:val="24"/>
        </w:rPr>
        <w:t>Grant of tenement subject to survey</w:t>
      </w:r>
      <w:r>
        <w:rPr>
          <w:noProof/>
        </w:rPr>
        <w:tab/>
      </w:r>
      <w:r>
        <w:rPr>
          <w:noProof/>
        </w:rPr>
        <w:fldChar w:fldCharType="begin"/>
      </w:r>
      <w:r>
        <w:rPr>
          <w:noProof/>
        </w:rPr>
        <w:instrText xml:space="preserve"> PAGEREF _Toc122328558 \h </w:instrText>
      </w:r>
      <w:r>
        <w:rPr>
          <w:noProof/>
        </w:rPr>
      </w:r>
      <w:r>
        <w:rPr>
          <w:noProof/>
        </w:rPr>
        <w:fldChar w:fldCharType="separate"/>
      </w:r>
      <w:r>
        <w:rPr>
          <w:noProof/>
        </w:rPr>
        <w:t>154</w:t>
      </w:r>
      <w:r>
        <w:rPr>
          <w:noProof/>
        </w:rPr>
        <w:fldChar w:fldCharType="end"/>
      </w:r>
    </w:p>
    <w:p>
      <w:pPr>
        <w:pStyle w:val="TOC4"/>
        <w:tabs>
          <w:tab w:val="left" w:pos="1701"/>
        </w:tabs>
        <w:rPr>
          <w:noProof/>
          <w:sz w:val="24"/>
          <w:szCs w:val="24"/>
        </w:rPr>
      </w:pPr>
      <w:r>
        <w:rPr>
          <w:noProof/>
          <w:szCs w:val="24"/>
        </w:rPr>
        <w:t>106</w:t>
      </w:r>
      <w:r>
        <w:rPr>
          <w:noProof/>
          <w:snapToGrid w:val="0"/>
          <w:szCs w:val="24"/>
        </w:rPr>
        <w:t>.</w:t>
      </w:r>
      <w:r>
        <w:rPr>
          <w:noProof/>
          <w:sz w:val="24"/>
          <w:szCs w:val="24"/>
        </w:rPr>
        <w:tab/>
      </w:r>
      <w:r>
        <w:rPr>
          <w:noProof/>
          <w:snapToGrid w:val="0"/>
          <w:szCs w:val="24"/>
        </w:rPr>
        <w:t>Offence of destroying marks or obstructing surveyor, etc.</w:t>
      </w:r>
      <w:r>
        <w:rPr>
          <w:noProof/>
        </w:rPr>
        <w:tab/>
      </w:r>
      <w:r>
        <w:rPr>
          <w:noProof/>
        </w:rPr>
        <w:fldChar w:fldCharType="begin"/>
      </w:r>
      <w:r>
        <w:rPr>
          <w:noProof/>
        </w:rPr>
        <w:instrText xml:space="preserve"> PAGEREF _Toc122328559 \h </w:instrText>
      </w:r>
      <w:r>
        <w:rPr>
          <w:noProof/>
        </w:rPr>
      </w:r>
      <w:r>
        <w:rPr>
          <w:noProof/>
        </w:rPr>
        <w:fldChar w:fldCharType="separate"/>
      </w:r>
      <w:r>
        <w:rPr>
          <w:noProof/>
        </w:rPr>
        <w:t>154</w:t>
      </w:r>
      <w:r>
        <w:rPr>
          <w:noProof/>
        </w:rPr>
        <w:fldChar w:fldCharType="end"/>
      </w:r>
    </w:p>
    <w:p>
      <w:pPr>
        <w:pStyle w:val="TOC4"/>
        <w:tabs>
          <w:tab w:val="left" w:pos="1701"/>
        </w:tabs>
        <w:rPr>
          <w:noProof/>
          <w:sz w:val="24"/>
          <w:szCs w:val="24"/>
        </w:rPr>
      </w:pPr>
      <w:r>
        <w:rPr>
          <w:noProof/>
          <w:szCs w:val="24"/>
        </w:rPr>
        <w:t>107</w:t>
      </w:r>
      <w:r>
        <w:rPr>
          <w:noProof/>
          <w:snapToGrid w:val="0"/>
          <w:szCs w:val="24"/>
        </w:rPr>
        <w:t>.</w:t>
      </w:r>
      <w:r>
        <w:rPr>
          <w:noProof/>
          <w:sz w:val="24"/>
          <w:szCs w:val="24"/>
        </w:rPr>
        <w:tab/>
      </w:r>
      <w:r>
        <w:rPr>
          <w:noProof/>
          <w:snapToGrid w:val="0"/>
          <w:szCs w:val="24"/>
        </w:rPr>
        <w:t>Areas covered by water not required to be marked out</w:t>
      </w:r>
      <w:r>
        <w:rPr>
          <w:noProof/>
        </w:rPr>
        <w:tab/>
      </w:r>
      <w:r>
        <w:rPr>
          <w:noProof/>
        </w:rPr>
        <w:fldChar w:fldCharType="begin"/>
      </w:r>
      <w:r>
        <w:rPr>
          <w:noProof/>
        </w:rPr>
        <w:instrText xml:space="preserve"> PAGEREF _Toc122328560 \h </w:instrText>
      </w:r>
      <w:r>
        <w:rPr>
          <w:noProof/>
        </w:rPr>
      </w:r>
      <w:r>
        <w:rPr>
          <w:noProof/>
        </w:rPr>
        <w:fldChar w:fldCharType="separate"/>
      </w:r>
      <w:r>
        <w:rPr>
          <w:noProof/>
        </w:rPr>
        <w:t>154</w:t>
      </w:r>
      <w:r>
        <w:rPr>
          <w:noProof/>
        </w:rPr>
        <w:fldChar w:fldCharType="end"/>
      </w:r>
    </w:p>
    <w:p>
      <w:pPr>
        <w:pStyle w:val="TOC4"/>
        <w:tabs>
          <w:tab w:val="left" w:pos="1701"/>
        </w:tabs>
        <w:rPr>
          <w:noProof/>
          <w:sz w:val="24"/>
          <w:szCs w:val="24"/>
        </w:rPr>
      </w:pPr>
      <w:r>
        <w:rPr>
          <w:noProof/>
          <w:szCs w:val="24"/>
        </w:rPr>
        <w:t>108</w:t>
      </w:r>
      <w:r>
        <w:rPr>
          <w:noProof/>
          <w:snapToGrid w:val="0"/>
          <w:szCs w:val="24"/>
        </w:rPr>
        <w:t>.</w:t>
      </w:r>
      <w:r>
        <w:rPr>
          <w:noProof/>
          <w:sz w:val="24"/>
          <w:szCs w:val="24"/>
        </w:rPr>
        <w:tab/>
      </w:r>
      <w:r>
        <w:rPr>
          <w:noProof/>
          <w:snapToGrid w:val="0"/>
          <w:szCs w:val="24"/>
        </w:rPr>
        <w:t>Rent payable for mining tenement</w:t>
      </w:r>
      <w:r>
        <w:rPr>
          <w:noProof/>
        </w:rPr>
        <w:tab/>
      </w:r>
      <w:r>
        <w:rPr>
          <w:noProof/>
        </w:rPr>
        <w:fldChar w:fldCharType="begin"/>
      </w:r>
      <w:r>
        <w:rPr>
          <w:noProof/>
        </w:rPr>
        <w:instrText xml:space="preserve"> PAGEREF _Toc122328561 \h </w:instrText>
      </w:r>
      <w:r>
        <w:rPr>
          <w:noProof/>
        </w:rPr>
      </w:r>
      <w:r>
        <w:rPr>
          <w:noProof/>
        </w:rPr>
        <w:fldChar w:fldCharType="separate"/>
      </w:r>
      <w:r>
        <w:rPr>
          <w:noProof/>
        </w:rPr>
        <w:t>155</w:t>
      </w:r>
      <w:r>
        <w:rPr>
          <w:noProof/>
        </w:rPr>
        <w:fldChar w:fldCharType="end"/>
      </w:r>
    </w:p>
    <w:p>
      <w:pPr>
        <w:pStyle w:val="TOC4"/>
        <w:tabs>
          <w:tab w:val="left" w:pos="1701"/>
        </w:tabs>
        <w:rPr>
          <w:noProof/>
          <w:sz w:val="24"/>
          <w:szCs w:val="24"/>
        </w:rPr>
      </w:pPr>
      <w:r>
        <w:rPr>
          <w:noProof/>
          <w:szCs w:val="24"/>
        </w:rPr>
        <w:t>109</w:t>
      </w:r>
      <w:r>
        <w:rPr>
          <w:noProof/>
          <w:snapToGrid w:val="0"/>
          <w:szCs w:val="24"/>
        </w:rPr>
        <w:t>.</w:t>
      </w:r>
      <w:r>
        <w:rPr>
          <w:noProof/>
          <w:sz w:val="24"/>
          <w:szCs w:val="24"/>
        </w:rPr>
        <w:tab/>
      </w:r>
      <w:r>
        <w:rPr>
          <w:noProof/>
          <w:snapToGrid w:val="0"/>
          <w:szCs w:val="24"/>
        </w:rPr>
        <w:t>Royalties</w:t>
      </w:r>
      <w:r>
        <w:rPr>
          <w:noProof/>
        </w:rPr>
        <w:tab/>
      </w:r>
      <w:r>
        <w:rPr>
          <w:noProof/>
        </w:rPr>
        <w:fldChar w:fldCharType="begin"/>
      </w:r>
      <w:r>
        <w:rPr>
          <w:noProof/>
        </w:rPr>
        <w:instrText xml:space="preserve"> PAGEREF _Toc122328562 \h </w:instrText>
      </w:r>
      <w:r>
        <w:rPr>
          <w:noProof/>
        </w:rPr>
      </w:r>
      <w:r>
        <w:rPr>
          <w:noProof/>
        </w:rPr>
        <w:fldChar w:fldCharType="separate"/>
      </w:r>
      <w:r>
        <w:rPr>
          <w:noProof/>
        </w:rPr>
        <w:t>155</w:t>
      </w:r>
      <w:r>
        <w:rPr>
          <w:noProof/>
        </w:rPr>
        <w:fldChar w:fldCharType="end"/>
      </w:r>
    </w:p>
    <w:p>
      <w:pPr>
        <w:pStyle w:val="TOC4"/>
        <w:tabs>
          <w:tab w:val="left" w:pos="1701"/>
        </w:tabs>
        <w:rPr>
          <w:noProof/>
          <w:sz w:val="24"/>
          <w:szCs w:val="24"/>
        </w:rPr>
      </w:pPr>
      <w:r>
        <w:rPr>
          <w:noProof/>
          <w:szCs w:val="24"/>
        </w:rPr>
        <w:t>109A</w:t>
      </w:r>
      <w:r>
        <w:rPr>
          <w:noProof/>
          <w:snapToGrid w:val="0"/>
          <w:szCs w:val="24"/>
        </w:rPr>
        <w:t>.</w:t>
      </w:r>
      <w:r>
        <w:rPr>
          <w:noProof/>
          <w:sz w:val="24"/>
          <w:szCs w:val="24"/>
        </w:rPr>
        <w:tab/>
      </w:r>
      <w:r>
        <w:rPr>
          <w:noProof/>
          <w:snapToGrid w:val="0"/>
          <w:szCs w:val="24"/>
        </w:rPr>
        <w:t>Verification of royalties payable</w:t>
      </w:r>
      <w:r>
        <w:rPr>
          <w:noProof/>
        </w:rPr>
        <w:tab/>
      </w:r>
      <w:r>
        <w:rPr>
          <w:noProof/>
        </w:rPr>
        <w:fldChar w:fldCharType="begin"/>
      </w:r>
      <w:r>
        <w:rPr>
          <w:noProof/>
        </w:rPr>
        <w:instrText xml:space="preserve"> PAGEREF _Toc122328563 \h </w:instrText>
      </w:r>
      <w:r>
        <w:rPr>
          <w:noProof/>
        </w:rPr>
      </w:r>
      <w:r>
        <w:rPr>
          <w:noProof/>
        </w:rPr>
        <w:fldChar w:fldCharType="separate"/>
      </w:r>
      <w:r>
        <w:rPr>
          <w:noProof/>
        </w:rPr>
        <w:t>156</w:t>
      </w:r>
      <w:r>
        <w:rPr>
          <w:noProof/>
        </w:rPr>
        <w:fldChar w:fldCharType="end"/>
      </w:r>
    </w:p>
    <w:p>
      <w:pPr>
        <w:pStyle w:val="TOC4"/>
        <w:tabs>
          <w:tab w:val="left" w:pos="1701"/>
        </w:tabs>
        <w:rPr>
          <w:noProof/>
          <w:sz w:val="24"/>
          <w:szCs w:val="24"/>
        </w:rPr>
      </w:pPr>
      <w:r>
        <w:rPr>
          <w:noProof/>
          <w:szCs w:val="24"/>
        </w:rPr>
        <w:t>110</w:t>
      </w:r>
      <w:r>
        <w:rPr>
          <w:noProof/>
          <w:snapToGrid w:val="0"/>
          <w:szCs w:val="24"/>
        </w:rPr>
        <w:t>.</w:t>
      </w:r>
      <w:r>
        <w:rPr>
          <w:noProof/>
          <w:sz w:val="24"/>
          <w:szCs w:val="24"/>
        </w:rPr>
        <w:tab/>
      </w:r>
      <w:r>
        <w:rPr>
          <w:noProof/>
          <w:snapToGrid w:val="0"/>
          <w:szCs w:val="24"/>
        </w:rPr>
        <w:t>Mining lease restricted to certain minerals</w:t>
      </w:r>
      <w:r>
        <w:rPr>
          <w:noProof/>
        </w:rPr>
        <w:tab/>
      </w:r>
      <w:r>
        <w:rPr>
          <w:noProof/>
        </w:rPr>
        <w:fldChar w:fldCharType="begin"/>
      </w:r>
      <w:r>
        <w:rPr>
          <w:noProof/>
        </w:rPr>
        <w:instrText xml:space="preserve"> PAGEREF _Toc122328564 \h </w:instrText>
      </w:r>
      <w:r>
        <w:rPr>
          <w:noProof/>
        </w:rPr>
      </w:r>
      <w:r>
        <w:rPr>
          <w:noProof/>
        </w:rPr>
        <w:fldChar w:fldCharType="separate"/>
      </w:r>
      <w:r>
        <w:rPr>
          <w:noProof/>
        </w:rPr>
        <w:t>161</w:t>
      </w:r>
      <w:r>
        <w:rPr>
          <w:noProof/>
        </w:rPr>
        <w:fldChar w:fldCharType="end"/>
      </w:r>
    </w:p>
    <w:p>
      <w:pPr>
        <w:pStyle w:val="TOC4"/>
        <w:tabs>
          <w:tab w:val="left" w:pos="1701"/>
        </w:tabs>
        <w:rPr>
          <w:noProof/>
          <w:sz w:val="24"/>
          <w:szCs w:val="24"/>
        </w:rPr>
      </w:pPr>
      <w:r>
        <w:rPr>
          <w:noProof/>
          <w:szCs w:val="24"/>
        </w:rPr>
        <w:t>111</w:t>
      </w:r>
      <w:r>
        <w:rPr>
          <w:noProof/>
          <w:snapToGrid w:val="0"/>
          <w:szCs w:val="24"/>
        </w:rPr>
        <w:t>.</w:t>
      </w:r>
      <w:r>
        <w:rPr>
          <w:noProof/>
          <w:sz w:val="24"/>
          <w:szCs w:val="24"/>
        </w:rPr>
        <w:tab/>
      </w:r>
      <w:r>
        <w:rPr>
          <w:noProof/>
          <w:snapToGrid w:val="0"/>
          <w:szCs w:val="24"/>
        </w:rPr>
        <w:t>Power of Minister to exclude mining for iron from mining tenements</w:t>
      </w:r>
      <w:r>
        <w:rPr>
          <w:noProof/>
        </w:rPr>
        <w:tab/>
      </w:r>
      <w:r>
        <w:rPr>
          <w:noProof/>
        </w:rPr>
        <w:fldChar w:fldCharType="begin"/>
      </w:r>
      <w:r>
        <w:rPr>
          <w:noProof/>
        </w:rPr>
        <w:instrText xml:space="preserve"> PAGEREF _Toc122328565 \h </w:instrText>
      </w:r>
      <w:r>
        <w:rPr>
          <w:noProof/>
        </w:rPr>
      </w:r>
      <w:r>
        <w:rPr>
          <w:noProof/>
        </w:rPr>
        <w:fldChar w:fldCharType="separate"/>
      </w:r>
      <w:r>
        <w:rPr>
          <w:noProof/>
        </w:rPr>
        <w:t>161</w:t>
      </w:r>
      <w:r>
        <w:rPr>
          <w:noProof/>
        </w:rPr>
        <w:fldChar w:fldCharType="end"/>
      </w:r>
    </w:p>
    <w:p>
      <w:pPr>
        <w:pStyle w:val="TOC4"/>
        <w:tabs>
          <w:tab w:val="left" w:pos="1701"/>
        </w:tabs>
        <w:rPr>
          <w:noProof/>
          <w:sz w:val="24"/>
          <w:szCs w:val="24"/>
        </w:rPr>
      </w:pPr>
      <w:r>
        <w:rPr>
          <w:noProof/>
          <w:szCs w:val="24"/>
        </w:rPr>
        <w:t>111A</w:t>
      </w:r>
      <w:r>
        <w:rPr>
          <w:noProof/>
          <w:snapToGrid w:val="0"/>
          <w:szCs w:val="24"/>
        </w:rPr>
        <w:t>.</w:t>
      </w:r>
      <w:r>
        <w:rPr>
          <w:noProof/>
          <w:sz w:val="24"/>
          <w:szCs w:val="24"/>
        </w:rPr>
        <w:tab/>
      </w:r>
      <w:r>
        <w:rPr>
          <w:noProof/>
          <w:snapToGrid w:val="0"/>
          <w:szCs w:val="24"/>
        </w:rPr>
        <w:t>Minister may terminate or summarily refuse certain applications</w:t>
      </w:r>
      <w:r>
        <w:rPr>
          <w:noProof/>
        </w:rPr>
        <w:tab/>
      </w:r>
      <w:r>
        <w:rPr>
          <w:noProof/>
        </w:rPr>
        <w:fldChar w:fldCharType="begin"/>
      </w:r>
      <w:r>
        <w:rPr>
          <w:noProof/>
        </w:rPr>
        <w:instrText xml:space="preserve"> PAGEREF _Toc122328566 \h </w:instrText>
      </w:r>
      <w:r>
        <w:rPr>
          <w:noProof/>
        </w:rPr>
      </w:r>
      <w:r>
        <w:rPr>
          <w:noProof/>
        </w:rPr>
        <w:fldChar w:fldCharType="separate"/>
      </w:r>
      <w:r>
        <w:rPr>
          <w:noProof/>
        </w:rPr>
        <w:t>162</w:t>
      </w:r>
      <w:r>
        <w:rPr>
          <w:noProof/>
        </w:rPr>
        <w:fldChar w:fldCharType="end"/>
      </w:r>
    </w:p>
    <w:p>
      <w:pPr>
        <w:pStyle w:val="TOC4"/>
        <w:tabs>
          <w:tab w:val="left" w:pos="1701"/>
        </w:tabs>
        <w:rPr>
          <w:noProof/>
          <w:sz w:val="24"/>
          <w:szCs w:val="24"/>
        </w:rPr>
      </w:pPr>
      <w:r>
        <w:rPr>
          <w:noProof/>
          <w:szCs w:val="24"/>
        </w:rPr>
        <w:t>112</w:t>
      </w:r>
      <w:r>
        <w:rPr>
          <w:noProof/>
          <w:snapToGrid w:val="0"/>
          <w:szCs w:val="24"/>
        </w:rPr>
        <w:t>.</w:t>
      </w:r>
      <w:r>
        <w:rPr>
          <w:noProof/>
          <w:sz w:val="24"/>
          <w:szCs w:val="24"/>
        </w:rPr>
        <w:tab/>
      </w:r>
      <w:r>
        <w:rPr>
          <w:noProof/>
          <w:snapToGrid w:val="0"/>
          <w:szCs w:val="24"/>
        </w:rPr>
        <w:t>Reservation in favour of Crown on prospecting licence or exploration licence to take rock, etc.</w:t>
      </w:r>
      <w:r>
        <w:rPr>
          <w:noProof/>
        </w:rPr>
        <w:tab/>
      </w:r>
      <w:r>
        <w:rPr>
          <w:noProof/>
        </w:rPr>
        <w:fldChar w:fldCharType="begin"/>
      </w:r>
      <w:r>
        <w:rPr>
          <w:noProof/>
        </w:rPr>
        <w:instrText xml:space="preserve"> PAGEREF _Toc122328567 \h </w:instrText>
      </w:r>
      <w:r>
        <w:rPr>
          <w:noProof/>
        </w:rPr>
      </w:r>
      <w:r>
        <w:rPr>
          <w:noProof/>
        </w:rPr>
        <w:fldChar w:fldCharType="separate"/>
      </w:r>
      <w:r>
        <w:rPr>
          <w:noProof/>
        </w:rPr>
        <w:t>163</w:t>
      </w:r>
      <w:r>
        <w:rPr>
          <w:noProof/>
        </w:rPr>
        <w:fldChar w:fldCharType="end"/>
      </w:r>
    </w:p>
    <w:p>
      <w:pPr>
        <w:pStyle w:val="TOC4"/>
        <w:tabs>
          <w:tab w:val="left" w:pos="1701"/>
        </w:tabs>
        <w:rPr>
          <w:noProof/>
          <w:sz w:val="24"/>
          <w:szCs w:val="24"/>
        </w:rPr>
      </w:pPr>
      <w:r>
        <w:rPr>
          <w:noProof/>
          <w:szCs w:val="24"/>
        </w:rPr>
        <w:t>113</w:t>
      </w:r>
      <w:r>
        <w:rPr>
          <w:noProof/>
          <w:snapToGrid w:val="0"/>
          <w:szCs w:val="24"/>
        </w:rPr>
        <w:t>.</w:t>
      </w:r>
      <w:r>
        <w:rPr>
          <w:noProof/>
          <w:sz w:val="24"/>
          <w:szCs w:val="24"/>
        </w:rPr>
        <w:tab/>
      </w:r>
      <w:r>
        <w:rPr>
          <w:noProof/>
          <w:snapToGrid w:val="0"/>
          <w:szCs w:val="24"/>
        </w:rPr>
        <w:t>Repossession of land on expiry, etc., of mining tenement</w:t>
      </w:r>
      <w:r>
        <w:rPr>
          <w:noProof/>
        </w:rPr>
        <w:tab/>
      </w:r>
      <w:r>
        <w:rPr>
          <w:noProof/>
        </w:rPr>
        <w:fldChar w:fldCharType="begin"/>
      </w:r>
      <w:r>
        <w:rPr>
          <w:noProof/>
        </w:rPr>
        <w:instrText xml:space="preserve"> PAGEREF _Toc122328568 \h </w:instrText>
      </w:r>
      <w:r>
        <w:rPr>
          <w:noProof/>
        </w:rPr>
      </w:r>
      <w:r>
        <w:rPr>
          <w:noProof/>
        </w:rPr>
        <w:fldChar w:fldCharType="separate"/>
      </w:r>
      <w:r>
        <w:rPr>
          <w:noProof/>
        </w:rPr>
        <w:t>164</w:t>
      </w:r>
      <w:r>
        <w:rPr>
          <w:noProof/>
        </w:rPr>
        <w:fldChar w:fldCharType="end"/>
      </w:r>
    </w:p>
    <w:p>
      <w:pPr>
        <w:pStyle w:val="TOC4"/>
        <w:tabs>
          <w:tab w:val="left" w:pos="1701"/>
        </w:tabs>
        <w:rPr>
          <w:noProof/>
          <w:sz w:val="24"/>
          <w:szCs w:val="24"/>
        </w:rPr>
      </w:pPr>
      <w:r>
        <w:rPr>
          <w:noProof/>
          <w:szCs w:val="24"/>
        </w:rPr>
        <w:t>114</w:t>
      </w:r>
      <w:r>
        <w:rPr>
          <w:noProof/>
          <w:snapToGrid w:val="0"/>
          <w:szCs w:val="24"/>
        </w:rPr>
        <w:t>.</w:t>
      </w:r>
      <w:r>
        <w:rPr>
          <w:noProof/>
          <w:sz w:val="24"/>
          <w:szCs w:val="24"/>
        </w:rPr>
        <w:tab/>
      </w:r>
      <w:r>
        <w:rPr>
          <w:noProof/>
          <w:snapToGrid w:val="0"/>
          <w:szCs w:val="24"/>
        </w:rPr>
        <w:t>Removal of buildings etc., on expiry etc., of mining tenement</w:t>
      </w:r>
      <w:r>
        <w:rPr>
          <w:noProof/>
        </w:rPr>
        <w:tab/>
      </w:r>
      <w:r>
        <w:rPr>
          <w:noProof/>
        </w:rPr>
        <w:fldChar w:fldCharType="begin"/>
      </w:r>
      <w:r>
        <w:rPr>
          <w:noProof/>
        </w:rPr>
        <w:instrText xml:space="preserve"> PAGEREF _Toc122328569 \h </w:instrText>
      </w:r>
      <w:r>
        <w:rPr>
          <w:noProof/>
        </w:rPr>
      </w:r>
      <w:r>
        <w:rPr>
          <w:noProof/>
        </w:rPr>
        <w:fldChar w:fldCharType="separate"/>
      </w:r>
      <w:r>
        <w:rPr>
          <w:noProof/>
        </w:rPr>
        <w:t>164</w:t>
      </w:r>
      <w:r>
        <w:rPr>
          <w:noProof/>
        </w:rPr>
        <w:fldChar w:fldCharType="end"/>
      </w:r>
    </w:p>
    <w:p>
      <w:pPr>
        <w:pStyle w:val="TOC4"/>
        <w:tabs>
          <w:tab w:val="left" w:pos="1701"/>
        </w:tabs>
        <w:rPr>
          <w:noProof/>
          <w:sz w:val="24"/>
          <w:szCs w:val="24"/>
        </w:rPr>
      </w:pPr>
      <w:r>
        <w:rPr>
          <w:noProof/>
          <w:szCs w:val="24"/>
        </w:rPr>
        <w:t>114A</w:t>
      </w:r>
      <w:r>
        <w:rPr>
          <w:noProof/>
          <w:snapToGrid w:val="0"/>
          <w:szCs w:val="24"/>
        </w:rPr>
        <w:t>.</w:t>
      </w:r>
      <w:r>
        <w:rPr>
          <w:noProof/>
          <w:sz w:val="24"/>
          <w:szCs w:val="24"/>
        </w:rPr>
        <w:tab/>
      </w:r>
      <w:r>
        <w:rPr>
          <w:noProof/>
          <w:snapToGrid w:val="0"/>
          <w:szCs w:val="24"/>
        </w:rPr>
        <w:t>Rights conferred under mining tenement exercisable in respect of mining product belonging to Crown</w:t>
      </w:r>
      <w:r>
        <w:rPr>
          <w:noProof/>
        </w:rPr>
        <w:tab/>
      </w:r>
      <w:r>
        <w:rPr>
          <w:noProof/>
        </w:rPr>
        <w:fldChar w:fldCharType="begin"/>
      </w:r>
      <w:r>
        <w:rPr>
          <w:noProof/>
        </w:rPr>
        <w:instrText xml:space="preserve"> PAGEREF _Toc122328570 \h </w:instrText>
      </w:r>
      <w:r>
        <w:rPr>
          <w:noProof/>
        </w:rPr>
      </w:r>
      <w:r>
        <w:rPr>
          <w:noProof/>
        </w:rPr>
        <w:fldChar w:fldCharType="separate"/>
      </w:r>
      <w:r>
        <w:rPr>
          <w:noProof/>
        </w:rPr>
        <w:t>167</w:t>
      </w:r>
      <w:r>
        <w:rPr>
          <w:noProof/>
        </w:rPr>
        <w:fldChar w:fldCharType="end"/>
      </w:r>
    </w:p>
    <w:p>
      <w:pPr>
        <w:pStyle w:val="TOC4"/>
        <w:tabs>
          <w:tab w:val="left" w:pos="1701"/>
        </w:tabs>
        <w:rPr>
          <w:noProof/>
          <w:sz w:val="24"/>
          <w:szCs w:val="24"/>
        </w:rPr>
      </w:pPr>
      <w:r>
        <w:rPr>
          <w:noProof/>
          <w:szCs w:val="24"/>
        </w:rPr>
        <w:t>115</w:t>
      </w:r>
      <w:r>
        <w:rPr>
          <w:noProof/>
          <w:snapToGrid w:val="0"/>
          <w:szCs w:val="24"/>
        </w:rPr>
        <w:t>.</w:t>
      </w:r>
      <w:r>
        <w:rPr>
          <w:noProof/>
          <w:sz w:val="24"/>
          <w:szCs w:val="24"/>
        </w:rPr>
        <w:tab/>
      </w:r>
      <w:r>
        <w:rPr>
          <w:noProof/>
          <w:snapToGrid w:val="0"/>
          <w:szCs w:val="24"/>
        </w:rPr>
        <w:t>Power to enter on land for geological etc., surveys</w:t>
      </w:r>
      <w:r>
        <w:rPr>
          <w:noProof/>
        </w:rPr>
        <w:tab/>
      </w:r>
      <w:r>
        <w:rPr>
          <w:noProof/>
        </w:rPr>
        <w:fldChar w:fldCharType="begin"/>
      </w:r>
      <w:r>
        <w:rPr>
          <w:noProof/>
        </w:rPr>
        <w:instrText xml:space="preserve"> PAGEREF _Toc122328571 \h </w:instrText>
      </w:r>
      <w:r>
        <w:rPr>
          <w:noProof/>
        </w:rPr>
      </w:r>
      <w:r>
        <w:rPr>
          <w:noProof/>
        </w:rPr>
        <w:fldChar w:fldCharType="separate"/>
      </w:r>
      <w:r>
        <w:rPr>
          <w:noProof/>
        </w:rPr>
        <w:t>167</w:t>
      </w:r>
      <w:r>
        <w:rPr>
          <w:noProof/>
        </w:rPr>
        <w:fldChar w:fldCharType="end"/>
      </w:r>
    </w:p>
    <w:p>
      <w:pPr>
        <w:pStyle w:val="TOC4"/>
        <w:tabs>
          <w:tab w:val="left" w:pos="1701"/>
        </w:tabs>
        <w:rPr>
          <w:noProof/>
          <w:sz w:val="24"/>
          <w:szCs w:val="24"/>
        </w:rPr>
      </w:pPr>
      <w:r>
        <w:rPr>
          <w:noProof/>
          <w:szCs w:val="24"/>
        </w:rPr>
        <w:t>115A</w:t>
      </w:r>
      <w:r>
        <w:rPr>
          <w:noProof/>
          <w:snapToGrid w:val="0"/>
          <w:szCs w:val="24"/>
        </w:rPr>
        <w:t xml:space="preserve">. </w:t>
      </w:r>
      <w:r>
        <w:rPr>
          <w:noProof/>
          <w:sz w:val="24"/>
          <w:szCs w:val="24"/>
        </w:rPr>
        <w:tab/>
      </w:r>
      <w:r>
        <w:rPr>
          <w:noProof/>
          <w:snapToGrid w:val="0"/>
          <w:szCs w:val="24"/>
        </w:rPr>
        <w:t>Mineral exploration reports</w:t>
      </w:r>
      <w:r>
        <w:rPr>
          <w:noProof/>
        </w:rPr>
        <w:tab/>
      </w:r>
      <w:r>
        <w:rPr>
          <w:noProof/>
        </w:rPr>
        <w:fldChar w:fldCharType="begin"/>
      </w:r>
      <w:r>
        <w:rPr>
          <w:noProof/>
        </w:rPr>
        <w:instrText xml:space="preserve"> PAGEREF _Toc122328572 \h </w:instrText>
      </w:r>
      <w:r>
        <w:rPr>
          <w:noProof/>
        </w:rPr>
      </w:r>
      <w:r>
        <w:rPr>
          <w:noProof/>
        </w:rPr>
        <w:fldChar w:fldCharType="separate"/>
      </w:r>
      <w:r>
        <w:rPr>
          <w:noProof/>
        </w:rPr>
        <w:t>169</w:t>
      </w:r>
      <w:r>
        <w:rPr>
          <w:noProof/>
        </w:rPr>
        <w:fldChar w:fldCharType="end"/>
      </w:r>
    </w:p>
    <w:p>
      <w:pPr>
        <w:pStyle w:val="TOC4"/>
        <w:tabs>
          <w:tab w:val="left" w:pos="1701"/>
        </w:tabs>
        <w:rPr>
          <w:noProof/>
          <w:sz w:val="24"/>
          <w:szCs w:val="24"/>
        </w:rPr>
      </w:pPr>
      <w:r>
        <w:rPr>
          <w:noProof/>
          <w:szCs w:val="24"/>
        </w:rPr>
        <w:t>116</w:t>
      </w:r>
      <w:r>
        <w:rPr>
          <w:noProof/>
          <w:snapToGrid w:val="0"/>
          <w:szCs w:val="24"/>
        </w:rPr>
        <w:t>.</w:t>
      </w:r>
      <w:r>
        <w:rPr>
          <w:noProof/>
          <w:sz w:val="24"/>
          <w:szCs w:val="24"/>
        </w:rPr>
        <w:tab/>
      </w:r>
      <w:r>
        <w:rPr>
          <w:noProof/>
          <w:snapToGrid w:val="0"/>
          <w:szCs w:val="24"/>
        </w:rPr>
        <w:t>Instrument of licence or lease</w:t>
      </w:r>
      <w:r>
        <w:rPr>
          <w:noProof/>
        </w:rPr>
        <w:tab/>
      </w:r>
      <w:r>
        <w:rPr>
          <w:noProof/>
        </w:rPr>
        <w:fldChar w:fldCharType="begin"/>
      </w:r>
      <w:r>
        <w:rPr>
          <w:noProof/>
        </w:rPr>
        <w:instrText xml:space="preserve"> PAGEREF _Toc122328573 \h </w:instrText>
      </w:r>
      <w:r>
        <w:rPr>
          <w:noProof/>
        </w:rPr>
      </w:r>
      <w:r>
        <w:rPr>
          <w:noProof/>
        </w:rPr>
        <w:fldChar w:fldCharType="separate"/>
      </w:r>
      <w:r>
        <w:rPr>
          <w:noProof/>
        </w:rPr>
        <w:t>170</w:t>
      </w:r>
      <w:r>
        <w:rPr>
          <w:noProof/>
        </w:rPr>
        <w:fldChar w:fldCharType="end"/>
      </w:r>
    </w:p>
    <w:p>
      <w:pPr>
        <w:pStyle w:val="TOC4"/>
        <w:tabs>
          <w:tab w:val="left" w:pos="1701"/>
        </w:tabs>
        <w:rPr>
          <w:noProof/>
          <w:sz w:val="24"/>
          <w:szCs w:val="24"/>
        </w:rPr>
      </w:pPr>
      <w:r>
        <w:rPr>
          <w:noProof/>
          <w:szCs w:val="24"/>
        </w:rPr>
        <w:t>117</w:t>
      </w:r>
      <w:r>
        <w:rPr>
          <w:noProof/>
          <w:snapToGrid w:val="0"/>
          <w:szCs w:val="24"/>
        </w:rPr>
        <w:t>.</w:t>
      </w:r>
      <w:r>
        <w:rPr>
          <w:noProof/>
          <w:sz w:val="24"/>
          <w:szCs w:val="24"/>
        </w:rPr>
        <w:tab/>
      </w:r>
      <w:r>
        <w:rPr>
          <w:noProof/>
          <w:snapToGrid w:val="0"/>
          <w:szCs w:val="24"/>
        </w:rPr>
        <w:t>Mining tenements protected</w:t>
      </w:r>
      <w:r>
        <w:rPr>
          <w:noProof/>
        </w:rPr>
        <w:tab/>
      </w:r>
      <w:r>
        <w:rPr>
          <w:noProof/>
        </w:rPr>
        <w:fldChar w:fldCharType="begin"/>
      </w:r>
      <w:r>
        <w:rPr>
          <w:noProof/>
        </w:rPr>
        <w:instrText xml:space="preserve"> PAGEREF _Toc122328574 \h </w:instrText>
      </w:r>
      <w:r>
        <w:rPr>
          <w:noProof/>
        </w:rPr>
      </w:r>
      <w:r>
        <w:rPr>
          <w:noProof/>
        </w:rPr>
        <w:fldChar w:fldCharType="separate"/>
      </w:r>
      <w:r>
        <w:rPr>
          <w:noProof/>
        </w:rPr>
        <w:t>170</w:t>
      </w:r>
      <w:r>
        <w:rPr>
          <w:noProof/>
        </w:rPr>
        <w:fldChar w:fldCharType="end"/>
      </w:r>
    </w:p>
    <w:p>
      <w:pPr>
        <w:pStyle w:val="TOC4"/>
        <w:tabs>
          <w:tab w:val="left" w:pos="1701"/>
        </w:tabs>
        <w:rPr>
          <w:noProof/>
          <w:sz w:val="24"/>
          <w:szCs w:val="24"/>
        </w:rPr>
      </w:pPr>
      <w:r>
        <w:rPr>
          <w:noProof/>
          <w:szCs w:val="24"/>
        </w:rPr>
        <w:t>118</w:t>
      </w:r>
      <w:r>
        <w:rPr>
          <w:noProof/>
          <w:snapToGrid w:val="0"/>
          <w:szCs w:val="24"/>
        </w:rPr>
        <w:t>.</w:t>
      </w:r>
      <w:r>
        <w:rPr>
          <w:noProof/>
          <w:sz w:val="24"/>
          <w:szCs w:val="24"/>
        </w:rPr>
        <w:tab/>
      </w:r>
      <w:r>
        <w:rPr>
          <w:noProof/>
          <w:snapToGrid w:val="0"/>
          <w:szCs w:val="24"/>
        </w:rPr>
        <w:t>Notice of application to be given to lessee of pastoral lease</w:t>
      </w:r>
      <w:r>
        <w:rPr>
          <w:noProof/>
        </w:rPr>
        <w:tab/>
      </w:r>
      <w:r>
        <w:rPr>
          <w:noProof/>
        </w:rPr>
        <w:fldChar w:fldCharType="begin"/>
      </w:r>
      <w:r>
        <w:rPr>
          <w:noProof/>
        </w:rPr>
        <w:instrText xml:space="preserve"> PAGEREF _Toc122328575 \h </w:instrText>
      </w:r>
      <w:r>
        <w:rPr>
          <w:noProof/>
        </w:rPr>
      </w:r>
      <w:r>
        <w:rPr>
          <w:noProof/>
        </w:rPr>
        <w:fldChar w:fldCharType="separate"/>
      </w:r>
      <w:r>
        <w:rPr>
          <w:noProof/>
        </w:rPr>
        <w:t>171</w:t>
      </w:r>
      <w:r>
        <w:rPr>
          <w:noProof/>
        </w:rPr>
        <w:fldChar w:fldCharType="end"/>
      </w:r>
    </w:p>
    <w:p>
      <w:pPr>
        <w:pStyle w:val="TOC4"/>
        <w:tabs>
          <w:tab w:val="left" w:pos="1701"/>
        </w:tabs>
        <w:rPr>
          <w:noProof/>
          <w:sz w:val="24"/>
          <w:szCs w:val="24"/>
        </w:rPr>
      </w:pPr>
      <w:r>
        <w:rPr>
          <w:noProof/>
          <w:szCs w:val="24"/>
        </w:rPr>
        <w:t>119</w:t>
      </w:r>
      <w:r>
        <w:rPr>
          <w:noProof/>
          <w:snapToGrid w:val="0"/>
          <w:szCs w:val="24"/>
        </w:rPr>
        <w:t>.</w:t>
      </w:r>
      <w:r>
        <w:rPr>
          <w:noProof/>
          <w:sz w:val="24"/>
          <w:szCs w:val="24"/>
        </w:rPr>
        <w:tab/>
      </w:r>
      <w:r>
        <w:rPr>
          <w:noProof/>
          <w:snapToGrid w:val="0"/>
          <w:szCs w:val="24"/>
        </w:rPr>
        <w:t>Mining tenement may be sold, etc.</w:t>
      </w:r>
      <w:r>
        <w:rPr>
          <w:noProof/>
        </w:rPr>
        <w:tab/>
      </w:r>
      <w:r>
        <w:rPr>
          <w:noProof/>
        </w:rPr>
        <w:fldChar w:fldCharType="begin"/>
      </w:r>
      <w:r>
        <w:rPr>
          <w:noProof/>
        </w:rPr>
        <w:instrText xml:space="preserve"> PAGEREF _Toc122328576 \h </w:instrText>
      </w:r>
      <w:r>
        <w:rPr>
          <w:noProof/>
        </w:rPr>
      </w:r>
      <w:r>
        <w:rPr>
          <w:noProof/>
        </w:rPr>
        <w:fldChar w:fldCharType="separate"/>
      </w:r>
      <w:r>
        <w:rPr>
          <w:noProof/>
        </w:rPr>
        <w:t>171</w:t>
      </w:r>
      <w:r>
        <w:rPr>
          <w:noProof/>
        </w:rPr>
        <w:fldChar w:fldCharType="end"/>
      </w:r>
    </w:p>
    <w:p>
      <w:pPr>
        <w:pStyle w:val="TOC4"/>
        <w:tabs>
          <w:tab w:val="left" w:pos="1701"/>
        </w:tabs>
        <w:rPr>
          <w:noProof/>
          <w:sz w:val="24"/>
          <w:szCs w:val="24"/>
        </w:rPr>
      </w:pPr>
      <w:r>
        <w:rPr>
          <w:noProof/>
          <w:szCs w:val="24"/>
        </w:rPr>
        <w:t>119A</w:t>
      </w:r>
      <w:r>
        <w:rPr>
          <w:noProof/>
          <w:snapToGrid w:val="0"/>
          <w:szCs w:val="24"/>
        </w:rPr>
        <w:t>.</w:t>
      </w:r>
      <w:r>
        <w:rPr>
          <w:noProof/>
          <w:sz w:val="24"/>
          <w:szCs w:val="24"/>
        </w:rPr>
        <w:tab/>
      </w:r>
      <w:r>
        <w:rPr>
          <w:noProof/>
          <w:snapToGrid w:val="0"/>
          <w:szCs w:val="24"/>
        </w:rPr>
        <w:t>Mortgages of mining tenements</w:t>
      </w:r>
      <w:r>
        <w:rPr>
          <w:noProof/>
        </w:rPr>
        <w:tab/>
      </w:r>
      <w:r>
        <w:rPr>
          <w:noProof/>
        </w:rPr>
        <w:fldChar w:fldCharType="begin"/>
      </w:r>
      <w:r>
        <w:rPr>
          <w:noProof/>
        </w:rPr>
        <w:instrText xml:space="preserve"> PAGEREF _Toc122328577 \h </w:instrText>
      </w:r>
      <w:r>
        <w:rPr>
          <w:noProof/>
        </w:rPr>
      </w:r>
      <w:r>
        <w:rPr>
          <w:noProof/>
        </w:rPr>
        <w:fldChar w:fldCharType="separate"/>
      </w:r>
      <w:r>
        <w:rPr>
          <w:noProof/>
        </w:rPr>
        <w:t>172</w:t>
      </w:r>
      <w:r>
        <w:rPr>
          <w:noProof/>
        </w:rPr>
        <w:fldChar w:fldCharType="end"/>
      </w:r>
    </w:p>
    <w:p>
      <w:pPr>
        <w:pStyle w:val="TOC4"/>
        <w:tabs>
          <w:tab w:val="left" w:pos="1701"/>
        </w:tabs>
        <w:rPr>
          <w:noProof/>
          <w:sz w:val="24"/>
          <w:szCs w:val="24"/>
        </w:rPr>
      </w:pPr>
      <w:r>
        <w:rPr>
          <w:noProof/>
          <w:szCs w:val="24"/>
        </w:rPr>
        <w:t>120</w:t>
      </w:r>
      <w:r>
        <w:rPr>
          <w:noProof/>
          <w:snapToGrid w:val="0"/>
          <w:szCs w:val="24"/>
        </w:rPr>
        <w:t>.</w:t>
      </w:r>
      <w:r>
        <w:rPr>
          <w:noProof/>
          <w:sz w:val="24"/>
          <w:szCs w:val="24"/>
        </w:rPr>
        <w:tab/>
      </w:r>
      <w:r>
        <w:rPr>
          <w:noProof/>
          <w:snapToGrid w:val="0"/>
          <w:szCs w:val="24"/>
        </w:rPr>
        <w:t>Town planning schemes and local laws to be considered but not to derogate from this Act</w:t>
      </w:r>
      <w:r>
        <w:rPr>
          <w:noProof/>
        </w:rPr>
        <w:tab/>
      </w:r>
      <w:r>
        <w:rPr>
          <w:noProof/>
        </w:rPr>
        <w:fldChar w:fldCharType="begin"/>
      </w:r>
      <w:r>
        <w:rPr>
          <w:noProof/>
        </w:rPr>
        <w:instrText xml:space="preserve"> PAGEREF _Toc122328578 \h </w:instrText>
      </w:r>
      <w:r>
        <w:rPr>
          <w:noProof/>
        </w:rPr>
      </w:r>
      <w:r>
        <w:rPr>
          <w:noProof/>
        </w:rPr>
        <w:fldChar w:fldCharType="separate"/>
      </w:r>
      <w:r>
        <w:rPr>
          <w:noProof/>
        </w:rPr>
        <w:t>172</w:t>
      </w:r>
      <w:r>
        <w:rPr>
          <w:noProof/>
        </w:rPr>
        <w:fldChar w:fldCharType="end"/>
      </w:r>
    </w:p>
    <w:p>
      <w:pPr>
        <w:pStyle w:val="TOC2"/>
        <w:tabs>
          <w:tab w:val="right" w:leader="dot" w:pos="7086"/>
        </w:tabs>
        <w:rPr>
          <w:b w:val="0"/>
          <w:noProof/>
          <w:sz w:val="24"/>
          <w:szCs w:val="24"/>
        </w:rPr>
      </w:pPr>
      <w:r>
        <w:rPr>
          <w:noProof/>
          <w:szCs w:val="30"/>
        </w:rPr>
        <w:t>Part VI — Caveats</w:t>
      </w:r>
    </w:p>
    <w:p>
      <w:pPr>
        <w:pStyle w:val="TOC4"/>
        <w:tabs>
          <w:tab w:val="left" w:pos="1701"/>
        </w:tabs>
        <w:rPr>
          <w:noProof/>
          <w:sz w:val="24"/>
          <w:szCs w:val="24"/>
        </w:rPr>
      </w:pPr>
      <w:r>
        <w:rPr>
          <w:noProof/>
          <w:szCs w:val="24"/>
        </w:rPr>
        <w:t>120A</w:t>
      </w:r>
      <w:r>
        <w:rPr>
          <w:noProof/>
          <w:snapToGrid w:val="0"/>
          <w:szCs w:val="24"/>
        </w:rPr>
        <w:t>.</w:t>
      </w:r>
      <w:r>
        <w:rPr>
          <w:noProof/>
          <w:sz w:val="24"/>
          <w:szCs w:val="24"/>
        </w:rPr>
        <w:tab/>
      </w:r>
      <w:r>
        <w:rPr>
          <w:noProof/>
          <w:snapToGrid w:val="0"/>
          <w:szCs w:val="24"/>
        </w:rPr>
        <w:t>Certain surrenders not affected by this Part</w:t>
      </w:r>
      <w:r>
        <w:rPr>
          <w:noProof/>
        </w:rPr>
        <w:tab/>
      </w:r>
      <w:r>
        <w:rPr>
          <w:noProof/>
        </w:rPr>
        <w:fldChar w:fldCharType="begin"/>
      </w:r>
      <w:r>
        <w:rPr>
          <w:noProof/>
        </w:rPr>
        <w:instrText xml:space="preserve"> PAGEREF _Toc122328580 \h </w:instrText>
      </w:r>
      <w:r>
        <w:rPr>
          <w:noProof/>
        </w:rPr>
      </w:r>
      <w:r>
        <w:rPr>
          <w:noProof/>
        </w:rPr>
        <w:fldChar w:fldCharType="separate"/>
      </w:r>
      <w:r>
        <w:rPr>
          <w:noProof/>
        </w:rPr>
        <w:t>173</w:t>
      </w:r>
      <w:r>
        <w:rPr>
          <w:noProof/>
        </w:rPr>
        <w:fldChar w:fldCharType="end"/>
      </w:r>
    </w:p>
    <w:p>
      <w:pPr>
        <w:pStyle w:val="TOC4"/>
        <w:tabs>
          <w:tab w:val="left" w:pos="1701"/>
        </w:tabs>
        <w:rPr>
          <w:noProof/>
          <w:sz w:val="24"/>
          <w:szCs w:val="24"/>
        </w:rPr>
      </w:pPr>
      <w:r>
        <w:rPr>
          <w:noProof/>
          <w:szCs w:val="24"/>
        </w:rPr>
        <w:t>121</w:t>
      </w:r>
      <w:r>
        <w:rPr>
          <w:noProof/>
          <w:snapToGrid w:val="0"/>
          <w:szCs w:val="24"/>
        </w:rPr>
        <w:t>.</w:t>
      </w:r>
      <w:r>
        <w:rPr>
          <w:noProof/>
          <w:sz w:val="24"/>
          <w:szCs w:val="24"/>
        </w:rPr>
        <w:tab/>
      </w:r>
      <w:r>
        <w:rPr>
          <w:noProof/>
          <w:snapToGrid w:val="0"/>
          <w:szCs w:val="24"/>
        </w:rPr>
        <w:t>Lodging of caveats</w:t>
      </w:r>
      <w:r>
        <w:rPr>
          <w:noProof/>
        </w:rPr>
        <w:tab/>
      </w:r>
      <w:r>
        <w:rPr>
          <w:noProof/>
        </w:rPr>
        <w:fldChar w:fldCharType="begin"/>
      </w:r>
      <w:r>
        <w:rPr>
          <w:noProof/>
        </w:rPr>
        <w:instrText xml:space="preserve"> PAGEREF _Toc122328581 \h </w:instrText>
      </w:r>
      <w:r>
        <w:rPr>
          <w:noProof/>
        </w:rPr>
      </w:r>
      <w:r>
        <w:rPr>
          <w:noProof/>
        </w:rPr>
        <w:fldChar w:fldCharType="separate"/>
      </w:r>
      <w:r>
        <w:rPr>
          <w:noProof/>
        </w:rPr>
        <w:t>173</w:t>
      </w:r>
      <w:r>
        <w:rPr>
          <w:noProof/>
        </w:rPr>
        <w:fldChar w:fldCharType="end"/>
      </w:r>
    </w:p>
    <w:p>
      <w:pPr>
        <w:pStyle w:val="TOC4"/>
        <w:tabs>
          <w:tab w:val="left" w:pos="1701"/>
        </w:tabs>
        <w:rPr>
          <w:noProof/>
          <w:sz w:val="24"/>
          <w:szCs w:val="24"/>
        </w:rPr>
      </w:pPr>
      <w:r>
        <w:rPr>
          <w:noProof/>
          <w:szCs w:val="24"/>
        </w:rPr>
        <w:t>122</w:t>
      </w:r>
      <w:r>
        <w:rPr>
          <w:noProof/>
          <w:snapToGrid w:val="0"/>
          <w:szCs w:val="24"/>
        </w:rPr>
        <w:t>.</w:t>
      </w:r>
      <w:r>
        <w:rPr>
          <w:noProof/>
          <w:sz w:val="24"/>
          <w:szCs w:val="24"/>
        </w:rPr>
        <w:tab/>
      </w:r>
      <w:r>
        <w:rPr>
          <w:noProof/>
          <w:snapToGrid w:val="0"/>
          <w:szCs w:val="24"/>
        </w:rPr>
        <w:t>Duration and effect of caveat</w:t>
      </w:r>
      <w:r>
        <w:rPr>
          <w:noProof/>
        </w:rPr>
        <w:tab/>
      </w:r>
      <w:r>
        <w:rPr>
          <w:noProof/>
        </w:rPr>
        <w:fldChar w:fldCharType="begin"/>
      </w:r>
      <w:r>
        <w:rPr>
          <w:noProof/>
        </w:rPr>
        <w:instrText xml:space="preserve"> PAGEREF _Toc122328582 \h </w:instrText>
      </w:r>
      <w:r>
        <w:rPr>
          <w:noProof/>
        </w:rPr>
      </w:r>
      <w:r>
        <w:rPr>
          <w:noProof/>
        </w:rPr>
        <w:fldChar w:fldCharType="separate"/>
      </w:r>
      <w:r>
        <w:rPr>
          <w:noProof/>
        </w:rPr>
        <w:t>174</w:t>
      </w:r>
      <w:r>
        <w:rPr>
          <w:noProof/>
        </w:rPr>
        <w:fldChar w:fldCharType="end"/>
      </w:r>
    </w:p>
    <w:p>
      <w:pPr>
        <w:pStyle w:val="TOC2"/>
        <w:tabs>
          <w:tab w:val="right" w:leader="dot" w:pos="7086"/>
        </w:tabs>
        <w:rPr>
          <w:b w:val="0"/>
          <w:noProof/>
          <w:sz w:val="24"/>
          <w:szCs w:val="24"/>
        </w:rPr>
      </w:pPr>
      <w:r>
        <w:rPr>
          <w:noProof/>
          <w:szCs w:val="30"/>
        </w:rPr>
        <w:t>Part VII — Compensation</w:t>
      </w:r>
    </w:p>
    <w:p>
      <w:pPr>
        <w:pStyle w:val="TOC4"/>
        <w:tabs>
          <w:tab w:val="left" w:pos="1701"/>
        </w:tabs>
        <w:rPr>
          <w:noProof/>
          <w:sz w:val="24"/>
          <w:szCs w:val="24"/>
        </w:rPr>
      </w:pPr>
      <w:r>
        <w:rPr>
          <w:noProof/>
          <w:szCs w:val="24"/>
        </w:rPr>
        <w:t>123</w:t>
      </w:r>
      <w:r>
        <w:rPr>
          <w:noProof/>
          <w:snapToGrid w:val="0"/>
          <w:szCs w:val="24"/>
        </w:rPr>
        <w:t>.</w:t>
      </w:r>
      <w:r>
        <w:rPr>
          <w:noProof/>
          <w:sz w:val="24"/>
          <w:szCs w:val="24"/>
        </w:rPr>
        <w:tab/>
      </w:r>
      <w:r>
        <w:rPr>
          <w:noProof/>
          <w:snapToGrid w:val="0"/>
          <w:szCs w:val="24"/>
        </w:rPr>
        <w:t>Compensation in respect of mining</w:t>
      </w:r>
      <w:r>
        <w:rPr>
          <w:noProof/>
        </w:rPr>
        <w:tab/>
      </w:r>
      <w:r>
        <w:rPr>
          <w:noProof/>
        </w:rPr>
        <w:fldChar w:fldCharType="begin"/>
      </w:r>
      <w:r>
        <w:rPr>
          <w:noProof/>
        </w:rPr>
        <w:instrText xml:space="preserve"> PAGEREF _Toc122328584 \h </w:instrText>
      </w:r>
      <w:r>
        <w:rPr>
          <w:noProof/>
        </w:rPr>
      </w:r>
      <w:r>
        <w:rPr>
          <w:noProof/>
        </w:rPr>
        <w:fldChar w:fldCharType="separate"/>
      </w:r>
      <w:r>
        <w:rPr>
          <w:noProof/>
        </w:rPr>
        <w:t>176</w:t>
      </w:r>
      <w:r>
        <w:rPr>
          <w:noProof/>
        </w:rPr>
        <w:fldChar w:fldCharType="end"/>
      </w:r>
    </w:p>
    <w:p>
      <w:pPr>
        <w:pStyle w:val="TOC4"/>
        <w:tabs>
          <w:tab w:val="left" w:pos="1701"/>
        </w:tabs>
        <w:rPr>
          <w:noProof/>
          <w:sz w:val="24"/>
          <w:szCs w:val="24"/>
        </w:rPr>
      </w:pPr>
      <w:r>
        <w:rPr>
          <w:noProof/>
          <w:szCs w:val="24"/>
        </w:rPr>
        <w:t>124</w:t>
      </w:r>
      <w:r>
        <w:rPr>
          <w:noProof/>
          <w:snapToGrid w:val="0"/>
          <w:szCs w:val="24"/>
        </w:rPr>
        <w:t>.</w:t>
      </w:r>
      <w:r>
        <w:rPr>
          <w:noProof/>
          <w:sz w:val="24"/>
          <w:szCs w:val="24"/>
        </w:rPr>
        <w:tab/>
      </w:r>
      <w:r>
        <w:rPr>
          <w:noProof/>
          <w:snapToGrid w:val="0"/>
          <w:szCs w:val="24"/>
        </w:rPr>
        <w:t>Powers of and matters to be considered and expected by warden’s court in determining compensation</w:t>
      </w:r>
      <w:r>
        <w:rPr>
          <w:noProof/>
        </w:rPr>
        <w:tab/>
      </w:r>
      <w:r>
        <w:rPr>
          <w:noProof/>
        </w:rPr>
        <w:fldChar w:fldCharType="begin"/>
      </w:r>
      <w:r>
        <w:rPr>
          <w:noProof/>
        </w:rPr>
        <w:instrText xml:space="preserve"> PAGEREF _Toc122328585 \h </w:instrText>
      </w:r>
      <w:r>
        <w:rPr>
          <w:noProof/>
        </w:rPr>
      </w:r>
      <w:r>
        <w:rPr>
          <w:noProof/>
        </w:rPr>
        <w:fldChar w:fldCharType="separate"/>
      </w:r>
      <w:r>
        <w:rPr>
          <w:noProof/>
        </w:rPr>
        <w:t>179</w:t>
      </w:r>
      <w:r>
        <w:rPr>
          <w:noProof/>
        </w:rPr>
        <w:fldChar w:fldCharType="end"/>
      </w:r>
    </w:p>
    <w:p>
      <w:pPr>
        <w:pStyle w:val="TOC4"/>
        <w:tabs>
          <w:tab w:val="left" w:pos="1701"/>
        </w:tabs>
        <w:rPr>
          <w:noProof/>
          <w:sz w:val="24"/>
          <w:szCs w:val="24"/>
        </w:rPr>
      </w:pPr>
      <w:r>
        <w:rPr>
          <w:noProof/>
          <w:szCs w:val="24"/>
        </w:rPr>
        <w:t>125</w:t>
      </w:r>
      <w:r>
        <w:rPr>
          <w:noProof/>
          <w:snapToGrid w:val="0"/>
          <w:szCs w:val="24"/>
        </w:rPr>
        <w:t>.</w:t>
      </w:r>
      <w:r>
        <w:rPr>
          <w:noProof/>
          <w:sz w:val="24"/>
          <w:szCs w:val="24"/>
        </w:rPr>
        <w:tab/>
      </w:r>
      <w:r>
        <w:rPr>
          <w:noProof/>
          <w:snapToGrid w:val="0"/>
          <w:szCs w:val="24"/>
        </w:rPr>
        <w:t>Limitation on compensation</w:t>
      </w:r>
      <w:r>
        <w:rPr>
          <w:noProof/>
        </w:rPr>
        <w:tab/>
      </w:r>
      <w:r>
        <w:rPr>
          <w:noProof/>
        </w:rPr>
        <w:fldChar w:fldCharType="begin"/>
      </w:r>
      <w:r>
        <w:rPr>
          <w:noProof/>
        </w:rPr>
        <w:instrText xml:space="preserve"> PAGEREF _Toc122328586 \h </w:instrText>
      </w:r>
      <w:r>
        <w:rPr>
          <w:noProof/>
        </w:rPr>
      </w:r>
      <w:r>
        <w:rPr>
          <w:noProof/>
        </w:rPr>
        <w:fldChar w:fldCharType="separate"/>
      </w:r>
      <w:r>
        <w:rPr>
          <w:noProof/>
        </w:rPr>
        <w:t>181</w:t>
      </w:r>
      <w:r>
        <w:rPr>
          <w:noProof/>
        </w:rPr>
        <w:fldChar w:fldCharType="end"/>
      </w:r>
    </w:p>
    <w:p>
      <w:pPr>
        <w:pStyle w:val="TOC4"/>
        <w:tabs>
          <w:tab w:val="left" w:pos="1701"/>
        </w:tabs>
        <w:rPr>
          <w:noProof/>
          <w:sz w:val="24"/>
          <w:szCs w:val="24"/>
        </w:rPr>
      </w:pPr>
      <w:r>
        <w:rPr>
          <w:noProof/>
          <w:szCs w:val="24"/>
        </w:rPr>
        <w:t>125A</w:t>
      </w:r>
      <w:r>
        <w:rPr>
          <w:noProof/>
          <w:snapToGrid w:val="0"/>
          <w:szCs w:val="24"/>
        </w:rPr>
        <w:t>.</w:t>
      </w:r>
      <w:r>
        <w:rPr>
          <w:noProof/>
          <w:sz w:val="24"/>
          <w:szCs w:val="24"/>
        </w:rPr>
        <w:tab/>
      </w:r>
      <w:r>
        <w:rPr>
          <w:noProof/>
          <w:snapToGrid w:val="0"/>
          <w:szCs w:val="24"/>
        </w:rPr>
        <w:t>Liability for payment of compensation to native title holders</w:t>
      </w:r>
      <w:r>
        <w:rPr>
          <w:noProof/>
        </w:rPr>
        <w:tab/>
      </w:r>
      <w:r>
        <w:rPr>
          <w:noProof/>
        </w:rPr>
        <w:fldChar w:fldCharType="begin"/>
      </w:r>
      <w:r>
        <w:rPr>
          <w:noProof/>
        </w:rPr>
        <w:instrText xml:space="preserve"> PAGEREF _Toc122328587 \h </w:instrText>
      </w:r>
      <w:r>
        <w:rPr>
          <w:noProof/>
        </w:rPr>
      </w:r>
      <w:r>
        <w:rPr>
          <w:noProof/>
        </w:rPr>
        <w:fldChar w:fldCharType="separate"/>
      </w:r>
      <w:r>
        <w:rPr>
          <w:noProof/>
        </w:rPr>
        <w:t>181</w:t>
      </w:r>
      <w:r>
        <w:rPr>
          <w:noProof/>
        </w:rPr>
        <w:fldChar w:fldCharType="end"/>
      </w:r>
    </w:p>
    <w:p>
      <w:pPr>
        <w:pStyle w:val="TOC4"/>
        <w:tabs>
          <w:tab w:val="left" w:pos="1701"/>
        </w:tabs>
        <w:rPr>
          <w:noProof/>
          <w:sz w:val="24"/>
          <w:szCs w:val="24"/>
        </w:rPr>
      </w:pPr>
      <w:r>
        <w:rPr>
          <w:noProof/>
          <w:szCs w:val="24"/>
        </w:rPr>
        <w:t>126</w:t>
      </w:r>
      <w:r>
        <w:rPr>
          <w:noProof/>
          <w:snapToGrid w:val="0"/>
          <w:szCs w:val="24"/>
        </w:rPr>
        <w:t>.</w:t>
      </w:r>
      <w:r>
        <w:rPr>
          <w:noProof/>
          <w:sz w:val="24"/>
          <w:szCs w:val="24"/>
        </w:rPr>
        <w:tab/>
      </w:r>
      <w:r>
        <w:rPr>
          <w:noProof/>
          <w:snapToGrid w:val="0"/>
          <w:szCs w:val="24"/>
        </w:rPr>
        <w:t>Securities</w:t>
      </w:r>
      <w:r>
        <w:rPr>
          <w:noProof/>
        </w:rPr>
        <w:tab/>
      </w:r>
      <w:r>
        <w:rPr>
          <w:noProof/>
        </w:rPr>
        <w:fldChar w:fldCharType="begin"/>
      </w:r>
      <w:r>
        <w:rPr>
          <w:noProof/>
        </w:rPr>
        <w:instrText xml:space="preserve"> PAGEREF _Toc122328588 \h </w:instrText>
      </w:r>
      <w:r>
        <w:rPr>
          <w:noProof/>
        </w:rPr>
      </w:r>
      <w:r>
        <w:rPr>
          <w:noProof/>
        </w:rPr>
        <w:fldChar w:fldCharType="separate"/>
      </w:r>
      <w:r>
        <w:rPr>
          <w:noProof/>
        </w:rPr>
        <w:t>182</w:t>
      </w:r>
      <w:r>
        <w:rPr>
          <w:noProof/>
        </w:rPr>
        <w:fldChar w:fldCharType="end"/>
      </w:r>
    </w:p>
    <w:p>
      <w:pPr>
        <w:pStyle w:val="TOC2"/>
        <w:tabs>
          <w:tab w:val="right" w:leader="dot" w:pos="7086"/>
        </w:tabs>
        <w:rPr>
          <w:b w:val="0"/>
          <w:noProof/>
          <w:sz w:val="24"/>
          <w:szCs w:val="24"/>
        </w:rPr>
      </w:pPr>
      <w:r>
        <w:rPr>
          <w:noProof/>
          <w:szCs w:val="30"/>
        </w:rPr>
        <w:t>Part VIII — Administration of justice</w:t>
      </w:r>
    </w:p>
    <w:p>
      <w:pPr>
        <w:pStyle w:val="TOC4"/>
        <w:tabs>
          <w:tab w:val="left" w:pos="1701"/>
        </w:tabs>
        <w:rPr>
          <w:noProof/>
          <w:sz w:val="24"/>
          <w:szCs w:val="24"/>
        </w:rPr>
      </w:pPr>
      <w:r>
        <w:rPr>
          <w:noProof/>
          <w:szCs w:val="24"/>
        </w:rPr>
        <w:t>127</w:t>
      </w:r>
      <w:r>
        <w:rPr>
          <w:noProof/>
          <w:snapToGrid w:val="0"/>
          <w:szCs w:val="24"/>
        </w:rPr>
        <w:t>.</w:t>
      </w:r>
      <w:r>
        <w:rPr>
          <w:noProof/>
          <w:sz w:val="24"/>
          <w:szCs w:val="24"/>
        </w:rPr>
        <w:tab/>
      </w:r>
      <w:r>
        <w:rPr>
          <w:noProof/>
          <w:snapToGrid w:val="0"/>
          <w:szCs w:val="24"/>
        </w:rPr>
        <w:t>Establishment of wardens’ courts</w:t>
      </w:r>
      <w:r>
        <w:rPr>
          <w:noProof/>
        </w:rPr>
        <w:tab/>
      </w:r>
      <w:r>
        <w:rPr>
          <w:noProof/>
        </w:rPr>
        <w:fldChar w:fldCharType="begin"/>
      </w:r>
      <w:r>
        <w:rPr>
          <w:noProof/>
        </w:rPr>
        <w:instrText xml:space="preserve"> PAGEREF _Toc122328590 \h </w:instrText>
      </w:r>
      <w:r>
        <w:rPr>
          <w:noProof/>
        </w:rPr>
      </w:r>
      <w:r>
        <w:rPr>
          <w:noProof/>
        </w:rPr>
        <w:fldChar w:fldCharType="separate"/>
      </w:r>
      <w:r>
        <w:rPr>
          <w:noProof/>
        </w:rPr>
        <w:t>184</w:t>
      </w:r>
      <w:r>
        <w:rPr>
          <w:noProof/>
        </w:rPr>
        <w:fldChar w:fldCharType="end"/>
      </w:r>
    </w:p>
    <w:p>
      <w:pPr>
        <w:pStyle w:val="TOC4"/>
        <w:tabs>
          <w:tab w:val="left" w:pos="1701"/>
        </w:tabs>
        <w:rPr>
          <w:noProof/>
          <w:sz w:val="24"/>
          <w:szCs w:val="24"/>
        </w:rPr>
      </w:pPr>
      <w:r>
        <w:rPr>
          <w:noProof/>
          <w:szCs w:val="24"/>
        </w:rPr>
        <w:t>128</w:t>
      </w:r>
      <w:r>
        <w:rPr>
          <w:noProof/>
          <w:snapToGrid w:val="0"/>
          <w:szCs w:val="24"/>
        </w:rPr>
        <w:t>.</w:t>
      </w:r>
      <w:r>
        <w:rPr>
          <w:noProof/>
          <w:sz w:val="24"/>
          <w:szCs w:val="24"/>
        </w:rPr>
        <w:tab/>
      </w:r>
      <w:r>
        <w:rPr>
          <w:noProof/>
          <w:snapToGrid w:val="0"/>
          <w:szCs w:val="24"/>
        </w:rPr>
        <w:t>Warden’s court to be court of record</w:t>
      </w:r>
      <w:r>
        <w:rPr>
          <w:noProof/>
        </w:rPr>
        <w:tab/>
      </w:r>
      <w:r>
        <w:rPr>
          <w:noProof/>
        </w:rPr>
        <w:fldChar w:fldCharType="begin"/>
      </w:r>
      <w:r>
        <w:rPr>
          <w:noProof/>
        </w:rPr>
        <w:instrText xml:space="preserve"> PAGEREF _Toc122328591 \h </w:instrText>
      </w:r>
      <w:r>
        <w:rPr>
          <w:noProof/>
        </w:rPr>
      </w:r>
      <w:r>
        <w:rPr>
          <w:noProof/>
        </w:rPr>
        <w:fldChar w:fldCharType="separate"/>
      </w:r>
      <w:r>
        <w:rPr>
          <w:noProof/>
        </w:rPr>
        <w:t>184</w:t>
      </w:r>
      <w:r>
        <w:rPr>
          <w:noProof/>
        </w:rPr>
        <w:fldChar w:fldCharType="end"/>
      </w:r>
    </w:p>
    <w:p>
      <w:pPr>
        <w:pStyle w:val="TOC4"/>
        <w:tabs>
          <w:tab w:val="left" w:pos="1701"/>
        </w:tabs>
        <w:rPr>
          <w:noProof/>
          <w:sz w:val="24"/>
          <w:szCs w:val="24"/>
        </w:rPr>
      </w:pPr>
      <w:r>
        <w:rPr>
          <w:noProof/>
          <w:szCs w:val="24"/>
        </w:rPr>
        <w:t>129</w:t>
      </w:r>
      <w:r>
        <w:rPr>
          <w:noProof/>
          <w:snapToGrid w:val="0"/>
          <w:szCs w:val="24"/>
        </w:rPr>
        <w:t>.</w:t>
      </w:r>
      <w:r>
        <w:rPr>
          <w:noProof/>
          <w:sz w:val="24"/>
          <w:szCs w:val="24"/>
        </w:rPr>
        <w:tab/>
      </w:r>
      <w:r>
        <w:rPr>
          <w:noProof/>
          <w:snapToGrid w:val="0"/>
          <w:szCs w:val="24"/>
        </w:rPr>
        <w:t>Signing of process</w:t>
      </w:r>
      <w:r>
        <w:rPr>
          <w:noProof/>
        </w:rPr>
        <w:tab/>
      </w:r>
      <w:r>
        <w:rPr>
          <w:noProof/>
        </w:rPr>
        <w:fldChar w:fldCharType="begin"/>
      </w:r>
      <w:r>
        <w:rPr>
          <w:noProof/>
        </w:rPr>
        <w:instrText xml:space="preserve"> PAGEREF _Toc122328592 \h </w:instrText>
      </w:r>
      <w:r>
        <w:rPr>
          <w:noProof/>
        </w:rPr>
      </w:r>
      <w:r>
        <w:rPr>
          <w:noProof/>
        </w:rPr>
        <w:fldChar w:fldCharType="separate"/>
      </w:r>
      <w:r>
        <w:rPr>
          <w:noProof/>
        </w:rPr>
        <w:t>184</w:t>
      </w:r>
      <w:r>
        <w:rPr>
          <w:noProof/>
        </w:rPr>
        <w:fldChar w:fldCharType="end"/>
      </w:r>
    </w:p>
    <w:p>
      <w:pPr>
        <w:pStyle w:val="TOC4"/>
        <w:tabs>
          <w:tab w:val="left" w:pos="1701"/>
        </w:tabs>
        <w:rPr>
          <w:noProof/>
          <w:sz w:val="24"/>
          <w:szCs w:val="24"/>
        </w:rPr>
      </w:pPr>
      <w:r>
        <w:rPr>
          <w:noProof/>
          <w:szCs w:val="24"/>
        </w:rPr>
        <w:t>130</w:t>
      </w:r>
      <w:r>
        <w:rPr>
          <w:noProof/>
          <w:snapToGrid w:val="0"/>
          <w:szCs w:val="24"/>
        </w:rPr>
        <w:t>.</w:t>
      </w:r>
      <w:r>
        <w:rPr>
          <w:noProof/>
          <w:sz w:val="24"/>
          <w:szCs w:val="24"/>
        </w:rPr>
        <w:tab/>
      </w:r>
      <w:r>
        <w:rPr>
          <w:noProof/>
          <w:snapToGrid w:val="0"/>
          <w:szCs w:val="24"/>
        </w:rPr>
        <w:t>Times for holding warden’s court</w:t>
      </w:r>
      <w:r>
        <w:rPr>
          <w:noProof/>
        </w:rPr>
        <w:tab/>
      </w:r>
      <w:r>
        <w:rPr>
          <w:noProof/>
        </w:rPr>
        <w:fldChar w:fldCharType="begin"/>
      </w:r>
      <w:r>
        <w:rPr>
          <w:noProof/>
        </w:rPr>
        <w:instrText xml:space="preserve"> PAGEREF _Toc122328593 \h </w:instrText>
      </w:r>
      <w:r>
        <w:rPr>
          <w:noProof/>
        </w:rPr>
      </w:r>
      <w:r>
        <w:rPr>
          <w:noProof/>
        </w:rPr>
        <w:fldChar w:fldCharType="separate"/>
      </w:r>
      <w:r>
        <w:rPr>
          <w:noProof/>
        </w:rPr>
        <w:t>185</w:t>
      </w:r>
      <w:r>
        <w:rPr>
          <w:noProof/>
        </w:rPr>
        <w:fldChar w:fldCharType="end"/>
      </w:r>
    </w:p>
    <w:p>
      <w:pPr>
        <w:pStyle w:val="TOC4"/>
        <w:tabs>
          <w:tab w:val="left" w:pos="1701"/>
        </w:tabs>
        <w:rPr>
          <w:noProof/>
          <w:sz w:val="24"/>
          <w:szCs w:val="24"/>
        </w:rPr>
      </w:pPr>
      <w:r>
        <w:rPr>
          <w:noProof/>
          <w:szCs w:val="24"/>
        </w:rPr>
        <w:t>131</w:t>
      </w:r>
      <w:r>
        <w:rPr>
          <w:noProof/>
          <w:snapToGrid w:val="0"/>
          <w:szCs w:val="24"/>
        </w:rPr>
        <w:t>.</w:t>
      </w:r>
      <w:r>
        <w:rPr>
          <w:noProof/>
          <w:sz w:val="24"/>
          <w:szCs w:val="24"/>
        </w:rPr>
        <w:tab/>
      </w:r>
      <w:r>
        <w:rPr>
          <w:noProof/>
          <w:snapToGrid w:val="0"/>
          <w:szCs w:val="24"/>
        </w:rPr>
        <w:t>Power of a warden to act in absence of warden usually presiding</w:t>
      </w:r>
      <w:r>
        <w:rPr>
          <w:noProof/>
        </w:rPr>
        <w:tab/>
      </w:r>
      <w:r>
        <w:rPr>
          <w:noProof/>
        </w:rPr>
        <w:fldChar w:fldCharType="begin"/>
      </w:r>
      <w:r>
        <w:rPr>
          <w:noProof/>
        </w:rPr>
        <w:instrText xml:space="preserve"> PAGEREF _Toc122328594 \h </w:instrText>
      </w:r>
      <w:r>
        <w:rPr>
          <w:noProof/>
        </w:rPr>
      </w:r>
      <w:r>
        <w:rPr>
          <w:noProof/>
        </w:rPr>
        <w:fldChar w:fldCharType="separate"/>
      </w:r>
      <w:r>
        <w:rPr>
          <w:noProof/>
        </w:rPr>
        <w:t>185</w:t>
      </w:r>
      <w:r>
        <w:rPr>
          <w:noProof/>
        </w:rPr>
        <w:fldChar w:fldCharType="end"/>
      </w:r>
    </w:p>
    <w:p>
      <w:pPr>
        <w:pStyle w:val="TOC4"/>
        <w:tabs>
          <w:tab w:val="left" w:pos="1701"/>
        </w:tabs>
        <w:rPr>
          <w:noProof/>
          <w:sz w:val="24"/>
          <w:szCs w:val="24"/>
        </w:rPr>
      </w:pPr>
      <w:r>
        <w:rPr>
          <w:noProof/>
          <w:szCs w:val="24"/>
        </w:rPr>
        <w:t>132</w:t>
      </w:r>
      <w:r>
        <w:rPr>
          <w:noProof/>
          <w:snapToGrid w:val="0"/>
          <w:szCs w:val="24"/>
        </w:rPr>
        <w:t>.</w:t>
      </w:r>
      <w:r>
        <w:rPr>
          <w:noProof/>
          <w:sz w:val="24"/>
          <w:szCs w:val="24"/>
        </w:rPr>
        <w:tab/>
      </w:r>
      <w:r>
        <w:rPr>
          <w:noProof/>
          <w:snapToGrid w:val="0"/>
          <w:szCs w:val="24"/>
        </w:rPr>
        <w:t>Jurisdiction of warden’s court</w:t>
      </w:r>
      <w:r>
        <w:rPr>
          <w:noProof/>
        </w:rPr>
        <w:tab/>
      </w:r>
      <w:r>
        <w:rPr>
          <w:noProof/>
        </w:rPr>
        <w:fldChar w:fldCharType="begin"/>
      </w:r>
      <w:r>
        <w:rPr>
          <w:noProof/>
        </w:rPr>
        <w:instrText xml:space="preserve"> PAGEREF _Toc122328595 \h </w:instrText>
      </w:r>
      <w:r>
        <w:rPr>
          <w:noProof/>
        </w:rPr>
      </w:r>
      <w:r>
        <w:rPr>
          <w:noProof/>
        </w:rPr>
        <w:fldChar w:fldCharType="separate"/>
      </w:r>
      <w:r>
        <w:rPr>
          <w:noProof/>
        </w:rPr>
        <w:t>185</w:t>
      </w:r>
      <w:r>
        <w:rPr>
          <w:noProof/>
        </w:rPr>
        <w:fldChar w:fldCharType="end"/>
      </w:r>
    </w:p>
    <w:p>
      <w:pPr>
        <w:pStyle w:val="TOC4"/>
        <w:tabs>
          <w:tab w:val="left" w:pos="1701"/>
        </w:tabs>
        <w:rPr>
          <w:noProof/>
          <w:sz w:val="24"/>
          <w:szCs w:val="24"/>
        </w:rPr>
      </w:pPr>
      <w:r>
        <w:rPr>
          <w:noProof/>
          <w:szCs w:val="24"/>
        </w:rPr>
        <w:t>133.</w:t>
      </w:r>
      <w:r>
        <w:rPr>
          <w:noProof/>
          <w:sz w:val="24"/>
          <w:szCs w:val="24"/>
        </w:rPr>
        <w:tab/>
      </w:r>
      <w:r>
        <w:rPr>
          <w:noProof/>
          <w:szCs w:val="24"/>
        </w:rPr>
        <w:t>Offences to be dealt with by magistrate</w:t>
      </w:r>
      <w:r>
        <w:rPr>
          <w:noProof/>
        </w:rPr>
        <w:tab/>
      </w:r>
      <w:r>
        <w:rPr>
          <w:noProof/>
        </w:rPr>
        <w:fldChar w:fldCharType="begin"/>
      </w:r>
      <w:r>
        <w:rPr>
          <w:noProof/>
        </w:rPr>
        <w:instrText xml:space="preserve"> PAGEREF _Toc122328596 \h </w:instrText>
      </w:r>
      <w:r>
        <w:rPr>
          <w:noProof/>
        </w:rPr>
      </w:r>
      <w:r>
        <w:rPr>
          <w:noProof/>
        </w:rPr>
        <w:fldChar w:fldCharType="separate"/>
      </w:r>
      <w:r>
        <w:rPr>
          <w:noProof/>
        </w:rPr>
        <w:t>187</w:t>
      </w:r>
      <w:r>
        <w:rPr>
          <w:noProof/>
        </w:rPr>
        <w:fldChar w:fldCharType="end"/>
      </w:r>
    </w:p>
    <w:p>
      <w:pPr>
        <w:pStyle w:val="TOC4"/>
        <w:tabs>
          <w:tab w:val="left" w:pos="1701"/>
        </w:tabs>
        <w:rPr>
          <w:noProof/>
          <w:sz w:val="24"/>
          <w:szCs w:val="24"/>
        </w:rPr>
      </w:pPr>
      <w:r>
        <w:rPr>
          <w:noProof/>
          <w:szCs w:val="24"/>
        </w:rPr>
        <w:t>134</w:t>
      </w:r>
      <w:r>
        <w:rPr>
          <w:noProof/>
          <w:snapToGrid w:val="0"/>
          <w:szCs w:val="24"/>
        </w:rPr>
        <w:t>.</w:t>
      </w:r>
      <w:r>
        <w:rPr>
          <w:noProof/>
          <w:sz w:val="24"/>
          <w:szCs w:val="24"/>
        </w:rPr>
        <w:tab/>
      </w:r>
      <w:r>
        <w:rPr>
          <w:noProof/>
          <w:snapToGrid w:val="0"/>
          <w:szCs w:val="24"/>
        </w:rPr>
        <w:t>Powers of warden’s court</w:t>
      </w:r>
      <w:r>
        <w:rPr>
          <w:noProof/>
        </w:rPr>
        <w:tab/>
      </w:r>
      <w:r>
        <w:rPr>
          <w:noProof/>
        </w:rPr>
        <w:fldChar w:fldCharType="begin"/>
      </w:r>
      <w:r>
        <w:rPr>
          <w:noProof/>
        </w:rPr>
        <w:instrText xml:space="preserve"> PAGEREF _Toc122328597 \h </w:instrText>
      </w:r>
      <w:r>
        <w:rPr>
          <w:noProof/>
        </w:rPr>
      </w:r>
      <w:r>
        <w:rPr>
          <w:noProof/>
        </w:rPr>
        <w:fldChar w:fldCharType="separate"/>
      </w:r>
      <w:r>
        <w:rPr>
          <w:noProof/>
        </w:rPr>
        <w:t>187</w:t>
      </w:r>
      <w:r>
        <w:rPr>
          <w:noProof/>
        </w:rPr>
        <w:fldChar w:fldCharType="end"/>
      </w:r>
    </w:p>
    <w:p>
      <w:pPr>
        <w:pStyle w:val="TOC4"/>
        <w:tabs>
          <w:tab w:val="left" w:pos="1701"/>
        </w:tabs>
        <w:rPr>
          <w:noProof/>
          <w:sz w:val="24"/>
          <w:szCs w:val="24"/>
        </w:rPr>
      </w:pPr>
      <w:r>
        <w:rPr>
          <w:noProof/>
          <w:szCs w:val="24"/>
        </w:rPr>
        <w:t>135</w:t>
      </w:r>
      <w:r>
        <w:rPr>
          <w:noProof/>
          <w:snapToGrid w:val="0"/>
          <w:szCs w:val="24"/>
        </w:rPr>
        <w:t>.</w:t>
      </w:r>
      <w:r>
        <w:rPr>
          <w:noProof/>
          <w:sz w:val="24"/>
          <w:szCs w:val="24"/>
        </w:rPr>
        <w:tab/>
      </w:r>
      <w:r>
        <w:rPr>
          <w:noProof/>
          <w:snapToGrid w:val="0"/>
          <w:szCs w:val="24"/>
        </w:rPr>
        <w:t>Summary determination by warden by consent</w:t>
      </w:r>
      <w:r>
        <w:rPr>
          <w:noProof/>
        </w:rPr>
        <w:tab/>
      </w:r>
      <w:r>
        <w:rPr>
          <w:noProof/>
        </w:rPr>
        <w:fldChar w:fldCharType="begin"/>
      </w:r>
      <w:r>
        <w:rPr>
          <w:noProof/>
        </w:rPr>
        <w:instrText xml:space="preserve"> PAGEREF _Toc122328598 \h </w:instrText>
      </w:r>
      <w:r>
        <w:rPr>
          <w:noProof/>
        </w:rPr>
      </w:r>
      <w:r>
        <w:rPr>
          <w:noProof/>
        </w:rPr>
        <w:fldChar w:fldCharType="separate"/>
      </w:r>
      <w:r>
        <w:rPr>
          <w:noProof/>
        </w:rPr>
        <w:t>190</w:t>
      </w:r>
      <w:r>
        <w:rPr>
          <w:noProof/>
        </w:rPr>
        <w:fldChar w:fldCharType="end"/>
      </w:r>
    </w:p>
    <w:p>
      <w:pPr>
        <w:pStyle w:val="TOC4"/>
        <w:tabs>
          <w:tab w:val="left" w:pos="1701"/>
        </w:tabs>
        <w:rPr>
          <w:noProof/>
          <w:sz w:val="24"/>
          <w:szCs w:val="24"/>
        </w:rPr>
      </w:pPr>
      <w:r>
        <w:rPr>
          <w:noProof/>
          <w:szCs w:val="24"/>
        </w:rPr>
        <w:t>136</w:t>
      </w:r>
      <w:r>
        <w:rPr>
          <w:noProof/>
          <w:snapToGrid w:val="0"/>
          <w:szCs w:val="24"/>
        </w:rPr>
        <w:t>.</w:t>
      </w:r>
      <w:r>
        <w:rPr>
          <w:noProof/>
          <w:sz w:val="24"/>
          <w:szCs w:val="24"/>
        </w:rPr>
        <w:tab/>
      </w:r>
      <w:r>
        <w:rPr>
          <w:noProof/>
          <w:snapToGrid w:val="0"/>
          <w:szCs w:val="24"/>
        </w:rPr>
        <w:t>Practice and procedure in warden’s court</w:t>
      </w:r>
      <w:r>
        <w:rPr>
          <w:noProof/>
        </w:rPr>
        <w:tab/>
      </w:r>
      <w:r>
        <w:rPr>
          <w:noProof/>
        </w:rPr>
        <w:fldChar w:fldCharType="begin"/>
      </w:r>
      <w:r>
        <w:rPr>
          <w:noProof/>
        </w:rPr>
        <w:instrText xml:space="preserve"> PAGEREF _Toc122328599 \h </w:instrText>
      </w:r>
      <w:r>
        <w:rPr>
          <w:noProof/>
        </w:rPr>
      </w:r>
      <w:r>
        <w:rPr>
          <w:noProof/>
        </w:rPr>
        <w:fldChar w:fldCharType="separate"/>
      </w:r>
      <w:r>
        <w:rPr>
          <w:noProof/>
        </w:rPr>
        <w:t>191</w:t>
      </w:r>
      <w:r>
        <w:rPr>
          <w:noProof/>
        </w:rPr>
        <w:fldChar w:fldCharType="end"/>
      </w:r>
    </w:p>
    <w:p>
      <w:pPr>
        <w:pStyle w:val="TOC4"/>
        <w:tabs>
          <w:tab w:val="left" w:pos="1701"/>
        </w:tabs>
        <w:rPr>
          <w:noProof/>
          <w:sz w:val="24"/>
          <w:szCs w:val="24"/>
        </w:rPr>
      </w:pPr>
      <w:r>
        <w:rPr>
          <w:noProof/>
          <w:szCs w:val="24"/>
        </w:rPr>
        <w:t>137</w:t>
      </w:r>
      <w:r>
        <w:rPr>
          <w:noProof/>
          <w:snapToGrid w:val="0"/>
          <w:szCs w:val="24"/>
        </w:rPr>
        <w:t>.</w:t>
      </w:r>
      <w:r>
        <w:rPr>
          <w:noProof/>
          <w:sz w:val="24"/>
          <w:szCs w:val="24"/>
        </w:rPr>
        <w:tab/>
      </w:r>
      <w:r>
        <w:rPr>
          <w:noProof/>
          <w:snapToGrid w:val="0"/>
          <w:szCs w:val="24"/>
        </w:rPr>
        <w:t>Records of evidence</w:t>
      </w:r>
      <w:r>
        <w:rPr>
          <w:noProof/>
        </w:rPr>
        <w:tab/>
      </w:r>
      <w:r>
        <w:rPr>
          <w:noProof/>
        </w:rPr>
        <w:fldChar w:fldCharType="begin"/>
      </w:r>
      <w:r>
        <w:rPr>
          <w:noProof/>
        </w:rPr>
        <w:instrText xml:space="preserve"> PAGEREF _Toc122328600 \h </w:instrText>
      </w:r>
      <w:r>
        <w:rPr>
          <w:noProof/>
        </w:rPr>
      </w:r>
      <w:r>
        <w:rPr>
          <w:noProof/>
        </w:rPr>
        <w:fldChar w:fldCharType="separate"/>
      </w:r>
      <w:r>
        <w:rPr>
          <w:noProof/>
        </w:rPr>
        <w:t>191</w:t>
      </w:r>
      <w:r>
        <w:rPr>
          <w:noProof/>
        </w:rPr>
        <w:fldChar w:fldCharType="end"/>
      </w:r>
    </w:p>
    <w:p>
      <w:pPr>
        <w:pStyle w:val="TOC4"/>
        <w:tabs>
          <w:tab w:val="left" w:pos="1701"/>
        </w:tabs>
        <w:rPr>
          <w:noProof/>
          <w:sz w:val="24"/>
          <w:szCs w:val="24"/>
        </w:rPr>
      </w:pPr>
      <w:r>
        <w:rPr>
          <w:noProof/>
          <w:szCs w:val="24"/>
        </w:rPr>
        <w:t>138</w:t>
      </w:r>
      <w:r>
        <w:rPr>
          <w:noProof/>
          <w:snapToGrid w:val="0"/>
          <w:szCs w:val="24"/>
        </w:rPr>
        <w:t>.</w:t>
      </w:r>
      <w:r>
        <w:rPr>
          <w:noProof/>
          <w:sz w:val="24"/>
          <w:szCs w:val="24"/>
        </w:rPr>
        <w:tab/>
      </w:r>
      <w:r>
        <w:rPr>
          <w:noProof/>
          <w:snapToGrid w:val="0"/>
          <w:szCs w:val="24"/>
        </w:rPr>
        <w:t>Mode of trial</w:t>
      </w:r>
      <w:r>
        <w:rPr>
          <w:noProof/>
        </w:rPr>
        <w:tab/>
      </w:r>
      <w:r>
        <w:rPr>
          <w:noProof/>
        </w:rPr>
        <w:fldChar w:fldCharType="begin"/>
      </w:r>
      <w:r>
        <w:rPr>
          <w:noProof/>
        </w:rPr>
        <w:instrText xml:space="preserve"> PAGEREF _Toc122328601 \h </w:instrText>
      </w:r>
      <w:r>
        <w:rPr>
          <w:noProof/>
        </w:rPr>
      </w:r>
      <w:r>
        <w:rPr>
          <w:noProof/>
        </w:rPr>
        <w:fldChar w:fldCharType="separate"/>
      </w:r>
      <w:r>
        <w:rPr>
          <w:noProof/>
        </w:rPr>
        <w:t>192</w:t>
      </w:r>
      <w:r>
        <w:rPr>
          <w:noProof/>
        </w:rPr>
        <w:fldChar w:fldCharType="end"/>
      </w:r>
    </w:p>
    <w:p>
      <w:pPr>
        <w:pStyle w:val="TOC4"/>
        <w:tabs>
          <w:tab w:val="left" w:pos="1701"/>
        </w:tabs>
        <w:rPr>
          <w:noProof/>
          <w:sz w:val="24"/>
          <w:szCs w:val="24"/>
        </w:rPr>
      </w:pPr>
      <w:r>
        <w:rPr>
          <w:noProof/>
          <w:szCs w:val="24"/>
        </w:rPr>
        <w:t>139</w:t>
      </w:r>
      <w:r>
        <w:rPr>
          <w:noProof/>
          <w:snapToGrid w:val="0"/>
          <w:szCs w:val="24"/>
        </w:rPr>
        <w:t>.</w:t>
      </w:r>
      <w:r>
        <w:rPr>
          <w:noProof/>
          <w:sz w:val="24"/>
          <w:szCs w:val="24"/>
        </w:rPr>
        <w:tab/>
      </w:r>
      <w:r>
        <w:rPr>
          <w:noProof/>
          <w:snapToGrid w:val="0"/>
          <w:szCs w:val="24"/>
        </w:rPr>
        <w:t>Contempt of court</w:t>
      </w:r>
      <w:r>
        <w:rPr>
          <w:noProof/>
        </w:rPr>
        <w:tab/>
      </w:r>
      <w:r>
        <w:rPr>
          <w:noProof/>
        </w:rPr>
        <w:fldChar w:fldCharType="begin"/>
      </w:r>
      <w:r>
        <w:rPr>
          <w:noProof/>
        </w:rPr>
        <w:instrText xml:space="preserve"> PAGEREF _Toc122328602 \h </w:instrText>
      </w:r>
      <w:r>
        <w:rPr>
          <w:noProof/>
        </w:rPr>
      </w:r>
      <w:r>
        <w:rPr>
          <w:noProof/>
        </w:rPr>
        <w:fldChar w:fldCharType="separate"/>
      </w:r>
      <w:r>
        <w:rPr>
          <w:noProof/>
        </w:rPr>
        <w:t>193</w:t>
      </w:r>
      <w:r>
        <w:rPr>
          <w:noProof/>
        </w:rPr>
        <w:fldChar w:fldCharType="end"/>
      </w:r>
    </w:p>
    <w:p>
      <w:pPr>
        <w:pStyle w:val="TOC4"/>
        <w:tabs>
          <w:tab w:val="left" w:pos="1701"/>
        </w:tabs>
        <w:rPr>
          <w:noProof/>
          <w:sz w:val="24"/>
          <w:szCs w:val="24"/>
        </w:rPr>
      </w:pPr>
      <w:r>
        <w:rPr>
          <w:noProof/>
          <w:szCs w:val="24"/>
        </w:rPr>
        <w:t>140.</w:t>
      </w:r>
      <w:r>
        <w:rPr>
          <w:noProof/>
          <w:sz w:val="24"/>
          <w:szCs w:val="24"/>
        </w:rPr>
        <w:tab/>
      </w:r>
      <w:r>
        <w:rPr>
          <w:noProof/>
          <w:szCs w:val="24"/>
        </w:rPr>
        <w:t>Judgments, enforcement of</w:t>
      </w:r>
      <w:r>
        <w:rPr>
          <w:noProof/>
        </w:rPr>
        <w:tab/>
      </w:r>
      <w:r>
        <w:rPr>
          <w:noProof/>
        </w:rPr>
        <w:fldChar w:fldCharType="begin"/>
      </w:r>
      <w:r>
        <w:rPr>
          <w:noProof/>
        </w:rPr>
        <w:instrText xml:space="preserve"> PAGEREF _Toc122328603 \h </w:instrText>
      </w:r>
      <w:r>
        <w:rPr>
          <w:noProof/>
        </w:rPr>
      </w:r>
      <w:r>
        <w:rPr>
          <w:noProof/>
        </w:rPr>
        <w:fldChar w:fldCharType="separate"/>
      </w:r>
      <w:r>
        <w:rPr>
          <w:noProof/>
        </w:rPr>
        <w:t>193</w:t>
      </w:r>
      <w:r>
        <w:rPr>
          <w:noProof/>
        </w:rPr>
        <w:fldChar w:fldCharType="end"/>
      </w:r>
    </w:p>
    <w:p>
      <w:pPr>
        <w:pStyle w:val="TOC4"/>
        <w:tabs>
          <w:tab w:val="left" w:pos="1701"/>
        </w:tabs>
        <w:rPr>
          <w:noProof/>
          <w:sz w:val="24"/>
          <w:szCs w:val="24"/>
        </w:rPr>
      </w:pPr>
      <w:r>
        <w:rPr>
          <w:noProof/>
          <w:szCs w:val="24"/>
        </w:rPr>
        <w:t>142</w:t>
      </w:r>
      <w:r>
        <w:rPr>
          <w:noProof/>
          <w:snapToGrid w:val="0"/>
          <w:szCs w:val="24"/>
        </w:rPr>
        <w:t>.</w:t>
      </w:r>
      <w:r>
        <w:rPr>
          <w:noProof/>
          <w:sz w:val="24"/>
          <w:szCs w:val="24"/>
        </w:rPr>
        <w:tab/>
      </w:r>
      <w:r>
        <w:rPr>
          <w:noProof/>
          <w:snapToGrid w:val="0"/>
          <w:szCs w:val="24"/>
        </w:rPr>
        <w:t>Informality and amendment</w:t>
      </w:r>
      <w:r>
        <w:rPr>
          <w:noProof/>
        </w:rPr>
        <w:tab/>
      </w:r>
      <w:r>
        <w:rPr>
          <w:noProof/>
        </w:rPr>
        <w:fldChar w:fldCharType="begin"/>
      </w:r>
      <w:r>
        <w:rPr>
          <w:noProof/>
        </w:rPr>
        <w:instrText xml:space="preserve"> PAGEREF _Toc122328604 \h </w:instrText>
      </w:r>
      <w:r>
        <w:rPr>
          <w:noProof/>
        </w:rPr>
      </w:r>
      <w:r>
        <w:rPr>
          <w:noProof/>
        </w:rPr>
        <w:fldChar w:fldCharType="separate"/>
      </w:r>
      <w:r>
        <w:rPr>
          <w:noProof/>
        </w:rPr>
        <w:t>194</w:t>
      </w:r>
      <w:r>
        <w:rPr>
          <w:noProof/>
        </w:rPr>
        <w:fldChar w:fldCharType="end"/>
      </w:r>
    </w:p>
    <w:p>
      <w:pPr>
        <w:pStyle w:val="TOC4"/>
        <w:tabs>
          <w:tab w:val="left" w:pos="1701"/>
        </w:tabs>
        <w:rPr>
          <w:noProof/>
          <w:sz w:val="24"/>
          <w:szCs w:val="24"/>
        </w:rPr>
      </w:pPr>
      <w:r>
        <w:rPr>
          <w:noProof/>
          <w:szCs w:val="24"/>
        </w:rPr>
        <w:t>143</w:t>
      </w:r>
      <w:r>
        <w:rPr>
          <w:noProof/>
          <w:snapToGrid w:val="0"/>
          <w:szCs w:val="24"/>
        </w:rPr>
        <w:t>.</w:t>
      </w:r>
      <w:r>
        <w:rPr>
          <w:noProof/>
          <w:sz w:val="24"/>
          <w:szCs w:val="24"/>
        </w:rPr>
        <w:tab/>
      </w:r>
      <w:r>
        <w:rPr>
          <w:noProof/>
          <w:snapToGrid w:val="0"/>
          <w:szCs w:val="24"/>
        </w:rPr>
        <w:t>Notice of injunction affecting mining tenement to be notified</w:t>
      </w:r>
      <w:r>
        <w:rPr>
          <w:noProof/>
        </w:rPr>
        <w:tab/>
      </w:r>
      <w:r>
        <w:rPr>
          <w:noProof/>
        </w:rPr>
        <w:fldChar w:fldCharType="begin"/>
      </w:r>
      <w:r>
        <w:rPr>
          <w:noProof/>
        </w:rPr>
        <w:instrText xml:space="preserve"> PAGEREF _Toc122328605 \h </w:instrText>
      </w:r>
      <w:r>
        <w:rPr>
          <w:noProof/>
        </w:rPr>
      </w:r>
      <w:r>
        <w:rPr>
          <w:noProof/>
        </w:rPr>
        <w:fldChar w:fldCharType="separate"/>
      </w:r>
      <w:r>
        <w:rPr>
          <w:noProof/>
        </w:rPr>
        <w:t>195</w:t>
      </w:r>
      <w:r>
        <w:rPr>
          <w:noProof/>
        </w:rPr>
        <w:fldChar w:fldCharType="end"/>
      </w:r>
    </w:p>
    <w:p>
      <w:pPr>
        <w:pStyle w:val="TOC4"/>
        <w:tabs>
          <w:tab w:val="left" w:pos="1701"/>
        </w:tabs>
        <w:rPr>
          <w:noProof/>
          <w:sz w:val="24"/>
          <w:szCs w:val="24"/>
        </w:rPr>
      </w:pPr>
      <w:r>
        <w:rPr>
          <w:noProof/>
          <w:szCs w:val="24"/>
        </w:rPr>
        <w:t>144</w:t>
      </w:r>
      <w:r>
        <w:rPr>
          <w:noProof/>
          <w:snapToGrid w:val="0"/>
          <w:szCs w:val="24"/>
        </w:rPr>
        <w:t>.</w:t>
      </w:r>
      <w:r>
        <w:rPr>
          <w:noProof/>
          <w:sz w:val="24"/>
          <w:szCs w:val="24"/>
        </w:rPr>
        <w:tab/>
      </w:r>
      <w:r>
        <w:rPr>
          <w:noProof/>
          <w:snapToGrid w:val="0"/>
          <w:szCs w:val="24"/>
        </w:rPr>
        <w:t>Persons before whom affidavits may be sworn</w:t>
      </w:r>
      <w:r>
        <w:rPr>
          <w:noProof/>
        </w:rPr>
        <w:tab/>
      </w:r>
      <w:r>
        <w:rPr>
          <w:noProof/>
        </w:rPr>
        <w:fldChar w:fldCharType="begin"/>
      </w:r>
      <w:r>
        <w:rPr>
          <w:noProof/>
        </w:rPr>
        <w:instrText xml:space="preserve"> PAGEREF _Toc122328606 \h </w:instrText>
      </w:r>
      <w:r>
        <w:rPr>
          <w:noProof/>
        </w:rPr>
      </w:r>
      <w:r>
        <w:rPr>
          <w:noProof/>
        </w:rPr>
        <w:fldChar w:fldCharType="separate"/>
      </w:r>
      <w:r>
        <w:rPr>
          <w:noProof/>
        </w:rPr>
        <w:t>195</w:t>
      </w:r>
      <w:r>
        <w:rPr>
          <w:noProof/>
        </w:rPr>
        <w:fldChar w:fldCharType="end"/>
      </w:r>
    </w:p>
    <w:p>
      <w:pPr>
        <w:pStyle w:val="TOC4"/>
        <w:tabs>
          <w:tab w:val="left" w:pos="1701"/>
        </w:tabs>
        <w:rPr>
          <w:noProof/>
          <w:sz w:val="24"/>
          <w:szCs w:val="24"/>
        </w:rPr>
      </w:pPr>
      <w:r>
        <w:rPr>
          <w:noProof/>
          <w:szCs w:val="24"/>
        </w:rPr>
        <w:t>145</w:t>
      </w:r>
      <w:r>
        <w:rPr>
          <w:noProof/>
          <w:snapToGrid w:val="0"/>
          <w:szCs w:val="24"/>
        </w:rPr>
        <w:t>.</w:t>
      </w:r>
      <w:r>
        <w:rPr>
          <w:noProof/>
          <w:sz w:val="24"/>
          <w:szCs w:val="24"/>
        </w:rPr>
        <w:tab/>
      </w:r>
      <w:r>
        <w:rPr>
          <w:noProof/>
          <w:snapToGrid w:val="0"/>
          <w:szCs w:val="24"/>
        </w:rPr>
        <w:t>Proof of judgment, order or decision of warden</w:t>
      </w:r>
      <w:r>
        <w:rPr>
          <w:noProof/>
        </w:rPr>
        <w:tab/>
      </w:r>
      <w:r>
        <w:rPr>
          <w:noProof/>
        </w:rPr>
        <w:fldChar w:fldCharType="begin"/>
      </w:r>
      <w:r>
        <w:rPr>
          <w:noProof/>
        </w:rPr>
        <w:instrText xml:space="preserve"> PAGEREF _Toc122328607 \h </w:instrText>
      </w:r>
      <w:r>
        <w:rPr>
          <w:noProof/>
        </w:rPr>
      </w:r>
      <w:r>
        <w:rPr>
          <w:noProof/>
        </w:rPr>
        <w:fldChar w:fldCharType="separate"/>
      </w:r>
      <w:r>
        <w:rPr>
          <w:noProof/>
        </w:rPr>
        <w:t>196</w:t>
      </w:r>
      <w:r>
        <w:rPr>
          <w:noProof/>
        </w:rPr>
        <w:fldChar w:fldCharType="end"/>
      </w:r>
    </w:p>
    <w:p>
      <w:pPr>
        <w:pStyle w:val="TOC4"/>
        <w:tabs>
          <w:tab w:val="left" w:pos="1701"/>
        </w:tabs>
        <w:rPr>
          <w:noProof/>
          <w:sz w:val="24"/>
          <w:szCs w:val="24"/>
        </w:rPr>
      </w:pPr>
      <w:r>
        <w:rPr>
          <w:noProof/>
          <w:szCs w:val="24"/>
        </w:rPr>
        <w:t>146</w:t>
      </w:r>
      <w:r>
        <w:rPr>
          <w:noProof/>
          <w:snapToGrid w:val="0"/>
          <w:szCs w:val="24"/>
        </w:rPr>
        <w:t>.</w:t>
      </w:r>
      <w:r>
        <w:rPr>
          <w:noProof/>
          <w:sz w:val="24"/>
          <w:szCs w:val="24"/>
        </w:rPr>
        <w:tab/>
      </w:r>
      <w:r>
        <w:rPr>
          <w:noProof/>
          <w:snapToGrid w:val="0"/>
          <w:szCs w:val="24"/>
        </w:rPr>
        <w:t>Reservation of questions of law: hearing and determination thereof</w:t>
      </w:r>
      <w:r>
        <w:rPr>
          <w:noProof/>
        </w:rPr>
        <w:tab/>
      </w:r>
      <w:r>
        <w:rPr>
          <w:noProof/>
        </w:rPr>
        <w:fldChar w:fldCharType="begin"/>
      </w:r>
      <w:r>
        <w:rPr>
          <w:noProof/>
        </w:rPr>
        <w:instrText xml:space="preserve"> PAGEREF _Toc122328608 \h </w:instrText>
      </w:r>
      <w:r>
        <w:rPr>
          <w:noProof/>
        </w:rPr>
      </w:r>
      <w:r>
        <w:rPr>
          <w:noProof/>
        </w:rPr>
        <w:fldChar w:fldCharType="separate"/>
      </w:r>
      <w:r>
        <w:rPr>
          <w:noProof/>
        </w:rPr>
        <w:t>196</w:t>
      </w:r>
      <w:r>
        <w:rPr>
          <w:noProof/>
        </w:rPr>
        <w:fldChar w:fldCharType="end"/>
      </w:r>
    </w:p>
    <w:p>
      <w:pPr>
        <w:pStyle w:val="TOC4"/>
        <w:tabs>
          <w:tab w:val="left" w:pos="1701"/>
        </w:tabs>
        <w:rPr>
          <w:noProof/>
          <w:sz w:val="24"/>
          <w:szCs w:val="24"/>
        </w:rPr>
      </w:pPr>
      <w:r>
        <w:rPr>
          <w:noProof/>
          <w:szCs w:val="24"/>
        </w:rPr>
        <w:t>147</w:t>
      </w:r>
      <w:r>
        <w:rPr>
          <w:noProof/>
          <w:snapToGrid w:val="0"/>
          <w:szCs w:val="24"/>
        </w:rPr>
        <w:t>.</w:t>
      </w:r>
      <w:r>
        <w:rPr>
          <w:noProof/>
          <w:sz w:val="24"/>
          <w:szCs w:val="24"/>
        </w:rPr>
        <w:tab/>
      </w:r>
      <w:r>
        <w:rPr>
          <w:noProof/>
          <w:snapToGrid w:val="0"/>
          <w:szCs w:val="24"/>
        </w:rPr>
        <w:t>Appeal to the Supreme Court</w:t>
      </w:r>
      <w:r>
        <w:rPr>
          <w:noProof/>
        </w:rPr>
        <w:tab/>
      </w:r>
      <w:r>
        <w:rPr>
          <w:noProof/>
        </w:rPr>
        <w:fldChar w:fldCharType="begin"/>
      </w:r>
      <w:r>
        <w:rPr>
          <w:noProof/>
        </w:rPr>
        <w:instrText xml:space="preserve"> PAGEREF _Toc122328609 \h </w:instrText>
      </w:r>
      <w:r>
        <w:rPr>
          <w:noProof/>
        </w:rPr>
      </w:r>
      <w:r>
        <w:rPr>
          <w:noProof/>
        </w:rPr>
        <w:fldChar w:fldCharType="separate"/>
      </w:r>
      <w:r>
        <w:rPr>
          <w:noProof/>
        </w:rPr>
        <w:t>197</w:t>
      </w:r>
      <w:r>
        <w:rPr>
          <w:noProof/>
        </w:rPr>
        <w:fldChar w:fldCharType="end"/>
      </w:r>
    </w:p>
    <w:p>
      <w:pPr>
        <w:pStyle w:val="TOC4"/>
        <w:tabs>
          <w:tab w:val="left" w:pos="1701"/>
        </w:tabs>
        <w:rPr>
          <w:noProof/>
          <w:sz w:val="24"/>
          <w:szCs w:val="24"/>
        </w:rPr>
      </w:pPr>
      <w:r>
        <w:rPr>
          <w:noProof/>
          <w:szCs w:val="24"/>
        </w:rPr>
        <w:t>148</w:t>
      </w:r>
      <w:r>
        <w:rPr>
          <w:noProof/>
          <w:snapToGrid w:val="0"/>
          <w:szCs w:val="24"/>
        </w:rPr>
        <w:t>.</w:t>
      </w:r>
      <w:r>
        <w:rPr>
          <w:noProof/>
          <w:sz w:val="24"/>
          <w:szCs w:val="24"/>
        </w:rPr>
        <w:tab/>
      </w:r>
      <w:r>
        <w:rPr>
          <w:noProof/>
          <w:snapToGrid w:val="0"/>
          <w:szCs w:val="24"/>
        </w:rPr>
        <w:t>Procedure on appeal</w:t>
      </w:r>
      <w:r>
        <w:rPr>
          <w:noProof/>
        </w:rPr>
        <w:tab/>
      </w:r>
      <w:r>
        <w:rPr>
          <w:noProof/>
        </w:rPr>
        <w:fldChar w:fldCharType="begin"/>
      </w:r>
      <w:r>
        <w:rPr>
          <w:noProof/>
        </w:rPr>
        <w:instrText xml:space="preserve"> PAGEREF _Toc122328610 \h </w:instrText>
      </w:r>
      <w:r>
        <w:rPr>
          <w:noProof/>
        </w:rPr>
      </w:r>
      <w:r>
        <w:rPr>
          <w:noProof/>
        </w:rPr>
        <w:fldChar w:fldCharType="separate"/>
      </w:r>
      <w:r>
        <w:rPr>
          <w:noProof/>
        </w:rPr>
        <w:t>198</w:t>
      </w:r>
      <w:r>
        <w:rPr>
          <w:noProof/>
        </w:rPr>
        <w:fldChar w:fldCharType="end"/>
      </w:r>
    </w:p>
    <w:p>
      <w:pPr>
        <w:pStyle w:val="TOC4"/>
        <w:tabs>
          <w:tab w:val="left" w:pos="1701"/>
        </w:tabs>
        <w:rPr>
          <w:noProof/>
          <w:sz w:val="24"/>
          <w:szCs w:val="24"/>
        </w:rPr>
      </w:pPr>
      <w:r>
        <w:rPr>
          <w:noProof/>
          <w:szCs w:val="24"/>
        </w:rPr>
        <w:t>149</w:t>
      </w:r>
      <w:r>
        <w:rPr>
          <w:noProof/>
          <w:snapToGrid w:val="0"/>
          <w:szCs w:val="24"/>
        </w:rPr>
        <w:t>.</w:t>
      </w:r>
      <w:r>
        <w:rPr>
          <w:noProof/>
          <w:sz w:val="24"/>
          <w:szCs w:val="24"/>
        </w:rPr>
        <w:tab/>
      </w:r>
      <w:r>
        <w:rPr>
          <w:noProof/>
          <w:snapToGrid w:val="0"/>
          <w:szCs w:val="24"/>
        </w:rPr>
        <w:t>Power of Supreme Court on appeal</w:t>
      </w:r>
      <w:r>
        <w:rPr>
          <w:noProof/>
        </w:rPr>
        <w:tab/>
      </w:r>
      <w:r>
        <w:rPr>
          <w:noProof/>
        </w:rPr>
        <w:fldChar w:fldCharType="begin"/>
      </w:r>
      <w:r>
        <w:rPr>
          <w:noProof/>
        </w:rPr>
        <w:instrText xml:space="preserve"> PAGEREF _Toc122328611 \h </w:instrText>
      </w:r>
      <w:r>
        <w:rPr>
          <w:noProof/>
        </w:rPr>
      </w:r>
      <w:r>
        <w:rPr>
          <w:noProof/>
        </w:rPr>
        <w:fldChar w:fldCharType="separate"/>
      </w:r>
      <w:r>
        <w:rPr>
          <w:noProof/>
        </w:rPr>
        <w:t>200</w:t>
      </w:r>
      <w:r>
        <w:rPr>
          <w:noProof/>
        </w:rPr>
        <w:fldChar w:fldCharType="end"/>
      </w:r>
    </w:p>
    <w:p>
      <w:pPr>
        <w:pStyle w:val="TOC4"/>
        <w:tabs>
          <w:tab w:val="left" w:pos="1701"/>
        </w:tabs>
        <w:rPr>
          <w:noProof/>
          <w:sz w:val="24"/>
          <w:szCs w:val="24"/>
        </w:rPr>
      </w:pPr>
      <w:r>
        <w:rPr>
          <w:noProof/>
          <w:szCs w:val="24"/>
        </w:rPr>
        <w:t>150</w:t>
      </w:r>
      <w:r>
        <w:rPr>
          <w:noProof/>
          <w:snapToGrid w:val="0"/>
          <w:szCs w:val="24"/>
        </w:rPr>
        <w:t>.</w:t>
      </w:r>
      <w:r>
        <w:rPr>
          <w:noProof/>
          <w:sz w:val="24"/>
          <w:szCs w:val="24"/>
        </w:rPr>
        <w:tab/>
      </w:r>
      <w:r>
        <w:rPr>
          <w:noProof/>
          <w:snapToGrid w:val="0"/>
          <w:szCs w:val="24"/>
        </w:rPr>
        <w:t>Withdrawal or failure to prosecute appeal</w:t>
      </w:r>
      <w:r>
        <w:rPr>
          <w:noProof/>
        </w:rPr>
        <w:tab/>
      </w:r>
      <w:r>
        <w:rPr>
          <w:noProof/>
        </w:rPr>
        <w:fldChar w:fldCharType="begin"/>
      </w:r>
      <w:r>
        <w:rPr>
          <w:noProof/>
        </w:rPr>
        <w:instrText xml:space="preserve"> PAGEREF _Toc122328612 \h </w:instrText>
      </w:r>
      <w:r>
        <w:rPr>
          <w:noProof/>
        </w:rPr>
      </w:r>
      <w:r>
        <w:rPr>
          <w:noProof/>
        </w:rPr>
        <w:fldChar w:fldCharType="separate"/>
      </w:r>
      <w:r>
        <w:rPr>
          <w:noProof/>
        </w:rPr>
        <w:t>201</w:t>
      </w:r>
      <w:r>
        <w:rPr>
          <w:noProof/>
        </w:rPr>
        <w:fldChar w:fldCharType="end"/>
      </w:r>
    </w:p>
    <w:p>
      <w:pPr>
        <w:pStyle w:val="TOC4"/>
        <w:tabs>
          <w:tab w:val="left" w:pos="1701"/>
        </w:tabs>
        <w:rPr>
          <w:noProof/>
          <w:sz w:val="24"/>
          <w:szCs w:val="24"/>
        </w:rPr>
      </w:pPr>
      <w:r>
        <w:rPr>
          <w:noProof/>
          <w:szCs w:val="24"/>
        </w:rPr>
        <w:t>151</w:t>
      </w:r>
      <w:r>
        <w:rPr>
          <w:noProof/>
          <w:snapToGrid w:val="0"/>
          <w:szCs w:val="24"/>
        </w:rPr>
        <w:t>.</w:t>
      </w:r>
      <w:r>
        <w:rPr>
          <w:noProof/>
          <w:sz w:val="24"/>
          <w:szCs w:val="24"/>
        </w:rPr>
        <w:tab/>
      </w:r>
      <w:r>
        <w:rPr>
          <w:noProof/>
          <w:snapToGrid w:val="0"/>
          <w:szCs w:val="24"/>
        </w:rPr>
        <w:t>Limitation of right of appeal</w:t>
      </w:r>
      <w:r>
        <w:rPr>
          <w:noProof/>
        </w:rPr>
        <w:tab/>
      </w:r>
      <w:r>
        <w:rPr>
          <w:noProof/>
        </w:rPr>
        <w:fldChar w:fldCharType="begin"/>
      </w:r>
      <w:r>
        <w:rPr>
          <w:noProof/>
        </w:rPr>
        <w:instrText xml:space="preserve"> PAGEREF _Toc122328613 \h </w:instrText>
      </w:r>
      <w:r>
        <w:rPr>
          <w:noProof/>
        </w:rPr>
      </w:r>
      <w:r>
        <w:rPr>
          <w:noProof/>
        </w:rPr>
        <w:fldChar w:fldCharType="separate"/>
      </w:r>
      <w:r>
        <w:rPr>
          <w:noProof/>
        </w:rPr>
        <w:t>201</w:t>
      </w:r>
      <w:r>
        <w:rPr>
          <w:noProof/>
        </w:rPr>
        <w:fldChar w:fldCharType="end"/>
      </w:r>
    </w:p>
    <w:p>
      <w:pPr>
        <w:pStyle w:val="TOC2"/>
        <w:tabs>
          <w:tab w:val="right" w:leader="dot" w:pos="7086"/>
        </w:tabs>
        <w:rPr>
          <w:b w:val="0"/>
          <w:noProof/>
          <w:sz w:val="24"/>
          <w:szCs w:val="24"/>
        </w:rPr>
      </w:pPr>
      <w:r>
        <w:rPr>
          <w:noProof/>
          <w:szCs w:val="30"/>
        </w:rPr>
        <w:t>Part IX — Miscellaneous and regulations</w:t>
      </w:r>
    </w:p>
    <w:p>
      <w:pPr>
        <w:pStyle w:val="TOC4"/>
        <w:tabs>
          <w:tab w:val="left" w:pos="1701"/>
        </w:tabs>
        <w:rPr>
          <w:noProof/>
          <w:sz w:val="24"/>
          <w:szCs w:val="24"/>
        </w:rPr>
      </w:pPr>
      <w:r>
        <w:rPr>
          <w:noProof/>
          <w:szCs w:val="24"/>
        </w:rPr>
        <w:t>152</w:t>
      </w:r>
      <w:r>
        <w:rPr>
          <w:noProof/>
          <w:snapToGrid w:val="0"/>
          <w:szCs w:val="24"/>
        </w:rPr>
        <w:t>.</w:t>
      </w:r>
      <w:r>
        <w:rPr>
          <w:noProof/>
          <w:sz w:val="24"/>
          <w:szCs w:val="24"/>
        </w:rPr>
        <w:tab/>
      </w:r>
      <w:r>
        <w:rPr>
          <w:noProof/>
          <w:snapToGrid w:val="0"/>
          <w:szCs w:val="24"/>
        </w:rPr>
        <w:t>Police to assist warden</w:t>
      </w:r>
      <w:r>
        <w:rPr>
          <w:noProof/>
        </w:rPr>
        <w:tab/>
      </w:r>
      <w:r>
        <w:rPr>
          <w:noProof/>
        </w:rPr>
        <w:fldChar w:fldCharType="begin"/>
      </w:r>
      <w:r>
        <w:rPr>
          <w:noProof/>
        </w:rPr>
        <w:instrText xml:space="preserve"> PAGEREF _Toc122328615 \h </w:instrText>
      </w:r>
      <w:r>
        <w:rPr>
          <w:noProof/>
        </w:rPr>
      </w:r>
      <w:r>
        <w:rPr>
          <w:noProof/>
        </w:rPr>
        <w:fldChar w:fldCharType="separate"/>
      </w:r>
      <w:r>
        <w:rPr>
          <w:noProof/>
        </w:rPr>
        <w:t>202</w:t>
      </w:r>
      <w:r>
        <w:rPr>
          <w:noProof/>
        </w:rPr>
        <w:fldChar w:fldCharType="end"/>
      </w:r>
    </w:p>
    <w:p>
      <w:pPr>
        <w:pStyle w:val="TOC4"/>
        <w:tabs>
          <w:tab w:val="left" w:pos="1701"/>
        </w:tabs>
        <w:rPr>
          <w:noProof/>
          <w:sz w:val="24"/>
          <w:szCs w:val="24"/>
        </w:rPr>
      </w:pPr>
      <w:r>
        <w:rPr>
          <w:noProof/>
          <w:szCs w:val="24"/>
        </w:rPr>
        <w:t>153</w:t>
      </w:r>
      <w:r>
        <w:rPr>
          <w:noProof/>
          <w:snapToGrid w:val="0"/>
          <w:szCs w:val="24"/>
        </w:rPr>
        <w:t>.</w:t>
      </w:r>
      <w:r>
        <w:rPr>
          <w:noProof/>
          <w:sz w:val="24"/>
          <w:szCs w:val="24"/>
        </w:rPr>
        <w:tab/>
      </w:r>
      <w:r>
        <w:rPr>
          <w:noProof/>
          <w:snapToGrid w:val="0"/>
          <w:szCs w:val="24"/>
        </w:rPr>
        <w:t>Minor capable of being sued and of suing</w:t>
      </w:r>
      <w:r>
        <w:rPr>
          <w:noProof/>
        </w:rPr>
        <w:tab/>
      </w:r>
      <w:r>
        <w:rPr>
          <w:noProof/>
        </w:rPr>
        <w:fldChar w:fldCharType="begin"/>
      </w:r>
      <w:r>
        <w:rPr>
          <w:noProof/>
        </w:rPr>
        <w:instrText xml:space="preserve"> PAGEREF _Toc122328616 \h </w:instrText>
      </w:r>
      <w:r>
        <w:rPr>
          <w:noProof/>
        </w:rPr>
      </w:r>
      <w:r>
        <w:rPr>
          <w:noProof/>
        </w:rPr>
        <w:fldChar w:fldCharType="separate"/>
      </w:r>
      <w:r>
        <w:rPr>
          <w:noProof/>
        </w:rPr>
        <w:t>202</w:t>
      </w:r>
      <w:r>
        <w:rPr>
          <w:noProof/>
        </w:rPr>
        <w:fldChar w:fldCharType="end"/>
      </w:r>
    </w:p>
    <w:p>
      <w:pPr>
        <w:pStyle w:val="TOC4"/>
        <w:tabs>
          <w:tab w:val="left" w:pos="1701"/>
        </w:tabs>
        <w:rPr>
          <w:noProof/>
          <w:sz w:val="24"/>
          <w:szCs w:val="24"/>
        </w:rPr>
      </w:pPr>
      <w:r>
        <w:rPr>
          <w:noProof/>
          <w:szCs w:val="24"/>
        </w:rPr>
        <w:t>154</w:t>
      </w:r>
      <w:r>
        <w:rPr>
          <w:noProof/>
          <w:snapToGrid w:val="0"/>
          <w:szCs w:val="24"/>
        </w:rPr>
        <w:t>.</w:t>
      </w:r>
      <w:r>
        <w:rPr>
          <w:noProof/>
          <w:sz w:val="24"/>
          <w:szCs w:val="24"/>
        </w:rPr>
        <w:tab/>
      </w:r>
      <w:r>
        <w:rPr>
          <w:noProof/>
          <w:snapToGrid w:val="0"/>
          <w:szCs w:val="24"/>
        </w:rPr>
        <w:t>General penalty</w:t>
      </w:r>
      <w:r>
        <w:rPr>
          <w:noProof/>
        </w:rPr>
        <w:tab/>
      </w:r>
      <w:r>
        <w:rPr>
          <w:noProof/>
        </w:rPr>
        <w:fldChar w:fldCharType="begin"/>
      </w:r>
      <w:r>
        <w:rPr>
          <w:noProof/>
        </w:rPr>
        <w:instrText xml:space="preserve"> PAGEREF _Toc122328617 \h </w:instrText>
      </w:r>
      <w:r>
        <w:rPr>
          <w:noProof/>
        </w:rPr>
      </w:r>
      <w:r>
        <w:rPr>
          <w:noProof/>
        </w:rPr>
        <w:fldChar w:fldCharType="separate"/>
      </w:r>
      <w:r>
        <w:rPr>
          <w:noProof/>
        </w:rPr>
        <w:t>202</w:t>
      </w:r>
      <w:r>
        <w:rPr>
          <w:noProof/>
        </w:rPr>
        <w:fldChar w:fldCharType="end"/>
      </w:r>
    </w:p>
    <w:p>
      <w:pPr>
        <w:pStyle w:val="TOC4"/>
        <w:tabs>
          <w:tab w:val="left" w:pos="1701"/>
        </w:tabs>
        <w:rPr>
          <w:noProof/>
          <w:sz w:val="24"/>
          <w:szCs w:val="24"/>
        </w:rPr>
      </w:pPr>
      <w:r>
        <w:rPr>
          <w:noProof/>
          <w:szCs w:val="24"/>
        </w:rPr>
        <w:t>155</w:t>
      </w:r>
      <w:r>
        <w:rPr>
          <w:noProof/>
          <w:snapToGrid w:val="0"/>
          <w:szCs w:val="24"/>
        </w:rPr>
        <w:t>.</w:t>
      </w:r>
      <w:r>
        <w:rPr>
          <w:noProof/>
          <w:sz w:val="24"/>
          <w:szCs w:val="24"/>
        </w:rPr>
        <w:tab/>
      </w:r>
      <w:r>
        <w:rPr>
          <w:noProof/>
          <w:snapToGrid w:val="0"/>
          <w:szCs w:val="24"/>
        </w:rPr>
        <w:t>Offence of mining without authority</w:t>
      </w:r>
      <w:r>
        <w:rPr>
          <w:noProof/>
        </w:rPr>
        <w:tab/>
      </w:r>
      <w:r>
        <w:rPr>
          <w:noProof/>
        </w:rPr>
        <w:fldChar w:fldCharType="begin"/>
      </w:r>
      <w:r>
        <w:rPr>
          <w:noProof/>
        </w:rPr>
        <w:instrText xml:space="preserve"> PAGEREF _Toc122328618 \h </w:instrText>
      </w:r>
      <w:r>
        <w:rPr>
          <w:noProof/>
        </w:rPr>
      </w:r>
      <w:r>
        <w:rPr>
          <w:noProof/>
        </w:rPr>
        <w:fldChar w:fldCharType="separate"/>
      </w:r>
      <w:r>
        <w:rPr>
          <w:noProof/>
        </w:rPr>
        <w:t>203</w:t>
      </w:r>
      <w:r>
        <w:rPr>
          <w:noProof/>
        </w:rPr>
        <w:fldChar w:fldCharType="end"/>
      </w:r>
    </w:p>
    <w:p>
      <w:pPr>
        <w:pStyle w:val="TOC4"/>
        <w:tabs>
          <w:tab w:val="left" w:pos="1701"/>
        </w:tabs>
        <w:rPr>
          <w:noProof/>
          <w:sz w:val="24"/>
          <w:szCs w:val="24"/>
        </w:rPr>
      </w:pPr>
      <w:r>
        <w:rPr>
          <w:noProof/>
          <w:szCs w:val="24"/>
        </w:rPr>
        <w:t>155A</w:t>
      </w:r>
      <w:r>
        <w:rPr>
          <w:noProof/>
          <w:snapToGrid w:val="0"/>
          <w:szCs w:val="24"/>
        </w:rPr>
        <w:t>.</w:t>
      </w:r>
      <w:r>
        <w:rPr>
          <w:noProof/>
          <w:sz w:val="24"/>
          <w:szCs w:val="24"/>
        </w:rPr>
        <w:tab/>
      </w:r>
      <w:r>
        <w:rPr>
          <w:noProof/>
          <w:snapToGrid w:val="0"/>
          <w:szCs w:val="24"/>
        </w:rPr>
        <w:t>Aerial survey work</w:t>
      </w:r>
      <w:r>
        <w:rPr>
          <w:noProof/>
        </w:rPr>
        <w:tab/>
      </w:r>
      <w:r>
        <w:rPr>
          <w:noProof/>
        </w:rPr>
        <w:fldChar w:fldCharType="begin"/>
      </w:r>
      <w:r>
        <w:rPr>
          <w:noProof/>
        </w:rPr>
        <w:instrText xml:space="preserve"> PAGEREF _Toc122328619 \h </w:instrText>
      </w:r>
      <w:r>
        <w:rPr>
          <w:noProof/>
        </w:rPr>
      </w:r>
      <w:r>
        <w:rPr>
          <w:noProof/>
        </w:rPr>
        <w:fldChar w:fldCharType="separate"/>
      </w:r>
      <w:r>
        <w:rPr>
          <w:noProof/>
        </w:rPr>
        <w:t>204</w:t>
      </w:r>
      <w:r>
        <w:rPr>
          <w:noProof/>
        </w:rPr>
        <w:fldChar w:fldCharType="end"/>
      </w:r>
    </w:p>
    <w:p>
      <w:pPr>
        <w:pStyle w:val="TOC4"/>
        <w:tabs>
          <w:tab w:val="left" w:pos="1701"/>
        </w:tabs>
        <w:rPr>
          <w:noProof/>
          <w:sz w:val="24"/>
          <w:szCs w:val="24"/>
        </w:rPr>
      </w:pPr>
      <w:r>
        <w:rPr>
          <w:noProof/>
          <w:szCs w:val="24"/>
        </w:rPr>
        <w:t>156</w:t>
      </w:r>
      <w:r>
        <w:rPr>
          <w:noProof/>
          <w:snapToGrid w:val="0"/>
          <w:szCs w:val="24"/>
        </w:rPr>
        <w:t>.</w:t>
      </w:r>
      <w:r>
        <w:rPr>
          <w:noProof/>
          <w:sz w:val="24"/>
          <w:szCs w:val="24"/>
        </w:rPr>
        <w:tab/>
      </w:r>
      <w:r>
        <w:rPr>
          <w:noProof/>
          <w:snapToGrid w:val="0"/>
          <w:szCs w:val="24"/>
        </w:rPr>
        <w:t>Offences</w:t>
      </w:r>
      <w:r>
        <w:rPr>
          <w:noProof/>
        </w:rPr>
        <w:tab/>
      </w:r>
      <w:r>
        <w:rPr>
          <w:noProof/>
        </w:rPr>
        <w:fldChar w:fldCharType="begin"/>
      </w:r>
      <w:r>
        <w:rPr>
          <w:noProof/>
        </w:rPr>
        <w:instrText xml:space="preserve"> PAGEREF _Toc122328620 \h </w:instrText>
      </w:r>
      <w:r>
        <w:rPr>
          <w:noProof/>
        </w:rPr>
      </w:r>
      <w:r>
        <w:rPr>
          <w:noProof/>
        </w:rPr>
        <w:fldChar w:fldCharType="separate"/>
      </w:r>
      <w:r>
        <w:rPr>
          <w:noProof/>
        </w:rPr>
        <w:t>204</w:t>
      </w:r>
      <w:r>
        <w:rPr>
          <w:noProof/>
        </w:rPr>
        <w:fldChar w:fldCharType="end"/>
      </w:r>
    </w:p>
    <w:p>
      <w:pPr>
        <w:pStyle w:val="TOC4"/>
        <w:tabs>
          <w:tab w:val="left" w:pos="1701"/>
        </w:tabs>
        <w:rPr>
          <w:noProof/>
          <w:sz w:val="24"/>
          <w:szCs w:val="24"/>
        </w:rPr>
      </w:pPr>
      <w:r>
        <w:rPr>
          <w:noProof/>
          <w:szCs w:val="24"/>
        </w:rPr>
        <w:t>157</w:t>
      </w:r>
      <w:r>
        <w:rPr>
          <w:noProof/>
          <w:snapToGrid w:val="0"/>
          <w:szCs w:val="24"/>
        </w:rPr>
        <w:t>.</w:t>
      </w:r>
      <w:r>
        <w:rPr>
          <w:noProof/>
          <w:sz w:val="24"/>
          <w:szCs w:val="24"/>
        </w:rPr>
        <w:tab/>
      </w:r>
      <w:r>
        <w:rPr>
          <w:noProof/>
          <w:snapToGrid w:val="0"/>
          <w:szCs w:val="24"/>
        </w:rPr>
        <w:t>Obstruction of persons authorised to mine under this Act</w:t>
      </w:r>
      <w:r>
        <w:rPr>
          <w:noProof/>
        </w:rPr>
        <w:tab/>
      </w:r>
      <w:r>
        <w:rPr>
          <w:noProof/>
        </w:rPr>
        <w:fldChar w:fldCharType="begin"/>
      </w:r>
      <w:r>
        <w:rPr>
          <w:noProof/>
        </w:rPr>
        <w:instrText xml:space="preserve"> PAGEREF _Toc122328621 \h </w:instrText>
      </w:r>
      <w:r>
        <w:rPr>
          <w:noProof/>
        </w:rPr>
      </w:r>
      <w:r>
        <w:rPr>
          <w:noProof/>
        </w:rPr>
        <w:fldChar w:fldCharType="separate"/>
      </w:r>
      <w:r>
        <w:rPr>
          <w:noProof/>
        </w:rPr>
        <w:t>205</w:t>
      </w:r>
      <w:r>
        <w:rPr>
          <w:noProof/>
        </w:rPr>
        <w:fldChar w:fldCharType="end"/>
      </w:r>
    </w:p>
    <w:p>
      <w:pPr>
        <w:pStyle w:val="TOC4"/>
        <w:tabs>
          <w:tab w:val="left" w:pos="1701"/>
        </w:tabs>
        <w:rPr>
          <w:noProof/>
          <w:sz w:val="24"/>
          <w:szCs w:val="24"/>
        </w:rPr>
      </w:pPr>
      <w:r>
        <w:rPr>
          <w:noProof/>
          <w:szCs w:val="24"/>
        </w:rPr>
        <w:t>158</w:t>
      </w:r>
      <w:r>
        <w:rPr>
          <w:noProof/>
          <w:snapToGrid w:val="0"/>
          <w:szCs w:val="24"/>
        </w:rPr>
        <w:t>.</w:t>
      </w:r>
      <w:r>
        <w:rPr>
          <w:noProof/>
          <w:sz w:val="24"/>
          <w:szCs w:val="24"/>
        </w:rPr>
        <w:tab/>
      </w:r>
      <w:r>
        <w:rPr>
          <w:noProof/>
          <w:snapToGrid w:val="0"/>
          <w:szCs w:val="24"/>
        </w:rPr>
        <w:t>Power to require information as to right to mine</w:t>
      </w:r>
      <w:r>
        <w:rPr>
          <w:noProof/>
        </w:rPr>
        <w:tab/>
      </w:r>
      <w:r>
        <w:rPr>
          <w:noProof/>
        </w:rPr>
        <w:fldChar w:fldCharType="begin"/>
      </w:r>
      <w:r>
        <w:rPr>
          <w:noProof/>
        </w:rPr>
        <w:instrText xml:space="preserve"> PAGEREF _Toc122328622 \h </w:instrText>
      </w:r>
      <w:r>
        <w:rPr>
          <w:noProof/>
        </w:rPr>
      </w:r>
      <w:r>
        <w:rPr>
          <w:noProof/>
        </w:rPr>
        <w:fldChar w:fldCharType="separate"/>
      </w:r>
      <w:r>
        <w:rPr>
          <w:noProof/>
        </w:rPr>
        <w:t>205</w:t>
      </w:r>
      <w:r>
        <w:rPr>
          <w:noProof/>
        </w:rPr>
        <w:fldChar w:fldCharType="end"/>
      </w:r>
    </w:p>
    <w:p>
      <w:pPr>
        <w:pStyle w:val="TOC4"/>
        <w:tabs>
          <w:tab w:val="left" w:pos="1701"/>
        </w:tabs>
        <w:rPr>
          <w:noProof/>
          <w:sz w:val="24"/>
          <w:szCs w:val="24"/>
        </w:rPr>
      </w:pPr>
      <w:r>
        <w:rPr>
          <w:noProof/>
          <w:szCs w:val="24"/>
        </w:rPr>
        <w:t>159</w:t>
      </w:r>
      <w:r>
        <w:rPr>
          <w:noProof/>
          <w:snapToGrid w:val="0"/>
          <w:szCs w:val="24"/>
        </w:rPr>
        <w:t>.</w:t>
      </w:r>
      <w:r>
        <w:rPr>
          <w:noProof/>
          <w:sz w:val="24"/>
          <w:szCs w:val="24"/>
        </w:rPr>
        <w:tab/>
      </w:r>
      <w:r>
        <w:rPr>
          <w:noProof/>
          <w:snapToGrid w:val="0"/>
          <w:szCs w:val="24"/>
        </w:rPr>
        <w:t>Disputes between licensees and other persons</w:t>
      </w:r>
      <w:r>
        <w:rPr>
          <w:noProof/>
        </w:rPr>
        <w:tab/>
      </w:r>
      <w:r>
        <w:rPr>
          <w:noProof/>
        </w:rPr>
        <w:fldChar w:fldCharType="begin"/>
      </w:r>
      <w:r>
        <w:rPr>
          <w:noProof/>
        </w:rPr>
        <w:instrText xml:space="preserve"> PAGEREF _Toc122328623 \h </w:instrText>
      </w:r>
      <w:r>
        <w:rPr>
          <w:noProof/>
        </w:rPr>
      </w:r>
      <w:r>
        <w:rPr>
          <w:noProof/>
        </w:rPr>
        <w:fldChar w:fldCharType="separate"/>
      </w:r>
      <w:r>
        <w:rPr>
          <w:noProof/>
        </w:rPr>
        <w:t>206</w:t>
      </w:r>
      <w:r>
        <w:rPr>
          <w:noProof/>
        </w:rPr>
        <w:fldChar w:fldCharType="end"/>
      </w:r>
    </w:p>
    <w:p>
      <w:pPr>
        <w:pStyle w:val="TOC4"/>
        <w:tabs>
          <w:tab w:val="left" w:pos="1701"/>
        </w:tabs>
        <w:rPr>
          <w:noProof/>
          <w:sz w:val="24"/>
          <w:szCs w:val="24"/>
        </w:rPr>
      </w:pPr>
      <w:r>
        <w:rPr>
          <w:noProof/>
          <w:szCs w:val="24"/>
        </w:rPr>
        <w:t>160</w:t>
      </w:r>
      <w:r>
        <w:rPr>
          <w:noProof/>
          <w:snapToGrid w:val="0"/>
          <w:szCs w:val="24"/>
        </w:rPr>
        <w:t>.</w:t>
      </w:r>
      <w:r>
        <w:rPr>
          <w:noProof/>
          <w:sz w:val="24"/>
          <w:szCs w:val="24"/>
        </w:rPr>
        <w:tab/>
      </w:r>
      <w:r>
        <w:rPr>
          <w:noProof/>
          <w:snapToGrid w:val="0"/>
          <w:szCs w:val="24"/>
        </w:rPr>
        <w:t>Saving of civil remedies</w:t>
      </w:r>
      <w:r>
        <w:rPr>
          <w:noProof/>
        </w:rPr>
        <w:tab/>
      </w:r>
      <w:r>
        <w:rPr>
          <w:noProof/>
        </w:rPr>
        <w:fldChar w:fldCharType="begin"/>
      </w:r>
      <w:r>
        <w:rPr>
          <w:noProof/>
        </w:rPr>
        <w:instrText xml:space="preserve"> PAGEREF _Toc122328624 \h </w:instrText>
      </w:r>
      <w:r>
        <w:rPr>
          <w:noProof/>
        </w:rPr>
      </w:r>
      <w:r>
        <w:rPr>
          <w:noProof/>
        </w:rPr>
        <w:fldChar w:fldCharType="separate"/>
      </w:r>
      <w:r>
        <w:rPr>
          <w:noProof/>
        </w:rPr>
        <w:t>207</w:t>
      </w:r>
      <w:r>
        <w:rPr>
          <w:noProof/>
        </w:rPr>
        <w:fldChar w:fldCharType="end"/>
      </w:r>
    </w:p>
    <w:p>
      <w:pPr>
        <w:pStyle w:val="TOC4"/>
        <w:tabs>
          <w:tab w:val="left" w:pos="1701"/>
        </w:tabs>
        <w:rPr>
          <w:noProof/>
          <w:sz w:val="24"/>
          <w:szCs w:val="24"/>
        </w:rPr>
      </w:pPr>
      <w:r>
        <w:rPr>
          <w:noProof/>
          <w:szCs w:val="24"/>
        </w:rPr>
        <w:t>160A</w:t>
      </w:r>
      <w:r>
        <w:rPr>
          <w:noProof/>
          <w:snapToGrid w:val="0"/>
          <w:szCs w:val="24"/>
        </w:rPr>
        <w:t>.</w:t>
      </w:r>
      <w:r>
        <w:rPr>
          <w:noProof/>
          <w:sz w:val="24"/>
          <w:szCs w:val="24"/>
        </w:rPr>
        <w:tab/>
      </w:r>
      <w:r>
        <w:rPr>
          <w:noProof/>
          <w:snapToGrid w:val="0"/>
          <w:szCs w:val="24"/>
        </w:rPr>
        <w:t>Immunity of Minister and officials</w:t>
      </w:r>
      <w:r>
        <w:rPr>
          <w:noProof/>
        </w:rPr>
        <w:tab/>
      </w:r>
      <w:r>
        <w:rPr>
          <w:noProof/>
        </w:rPr>
        <w:fldChar w:fldCharType="begin"/>
      </w:r>
      <w:r>
        <w:rPr>
          <w:noProof/>
        </w:rPr>
        <w:instrText xml:space="preserve"> PAGEREF _Toc122328625 \h </w:instrText>
      </w:r>
      <w:r>
        <w:rPr>
          <w:noProof/>
        </w:rPr>
      </w:r>
      <w:r>
        <w:rPr>
          <w:noProof/>
        </w:rPr>
        <w:fldChar w:fldCharType="separate"/>
      </w:r>
      <w:r>
        <w:rPr>
          <w:noProof/>
        </w:rPr>
        <w:t>207</w:t>
      </w:r>
      <w:r>
        <w:rPr>
          <w:noProof/>
        </w:rPr>
        <w:fldChar w:fldCharType="end"/>
      </w:r>
    </w:p>
    <w:p>
      <w:pPr>
        <w:pStyle w:val="TOC4"/>
        <w:tabs>
          <w:tab w:val="left" w:pos="1701"/>
        </w:tabs>
        <w:rPr>
          <w:noProof/>
          <w:sz w:val="24"/>
          <w:szCs w:val="24"/>
        </w:rPr>
      </w:pPr>
      <w:r>
        <w:rPr>
          <w:noProof/>
          <w:szCs w:val="24"/>
        </w:rPr>
        <w:t>160B</w:t>
      </w:r>
      <w:r>
        <w:rPr>
          <w:noProof/>
          <w:snapToGrid w:val="0"/>
          <w:szCs w:val="24"/>
        </w:rPr>
        <w:t>.</w:t>
      </w:r>
      <w:r>
        <w:rPr>
          <w:noProof/>
          <w:sz w:val="24"/>
          <w:szCs w:val="24"/>
        </w:rPr>
        <w:tab/>
      </w:r>
      <w:r>
        <w:rPr>
          <w:noProof/>
          <w:snapToGrid w:val="0"/>
          <w:szCs w:val="24"/>
        </w:rPr>
        <w:t>Time limit for prosecution action</w:t>
      </w:r>
      <w:r>
        <w:rPr>
          <w:noProof/>
        </w:rPr>
        <w:tab/>
      </w:r>
      <w:r>
        <w:rPr>
          <w:noProof/>
        </w:rPr>
        <w:fldChar w:fldCharType="begin"/>
      </w:r>
      <w:r>
        <w:rPr>
          <w:noProof/>
        </w:rPr>
        <w:instrText xml:space="preserve"> PAGEREF _Toc122328626 \h </w:instrText>
      </w:r>
      <w:r>
        <w:rPr>
          <w:noProof/>
        </w:rPr>
      </w:r>
      <w:r>
        <w:rPr>
          <w:noProof/>
        </w:rPr>
        <w:fldChar w:fldCharType="separate"/>
      </w:r>
      <w:r>
        <w:rPr>
          <w:noProof/>
        </w:rPr>
        <w:t>208</w:t>
      </w:r>
      <w:r>
        <w:rPr>
          <w:noProof/>
        </w:rPr>
        <w:fldChar w:fldCharType="end"/>
      </w:r>
    </w:p>
    <w:p>
      <w:pPr>
        <w:pStyle w:val="TOC4"/>
        <w:tabs>
          <w:tab w:val="left" w:pos="1701"/>
        </w:tabs>
        <w:rPr>
          <w:noProof/>
          <w:sz w:val="24"/>
          <w:szCs w:val="24"/>
        </w:rPr>
      </w:pPr>
      <w:r>
        <w:rPr>
          <w:noProof/>
          <w:szCs w:val="24"/>
        </w:rPr>
        <w:t>161</w:t>
      </w:r>
      <w:r>
        <w:rPr>
          <w:noProof/>
          <w:snapToGrid w:val="0"/>
          <w:szCs w:val="24"/>
        </w:rPr>
        <w:t>.</w:t>
      </w:r>
      <w:r>
        <w:rPr>
          <w:noProof/>
          <w:sz w:val="24"/>
          <w:szCs w:val="24"/>
        </w:rPr>
        <w:tab/>
      </w:r>
      <w:r>
        <w:rPr>
          <w:noProof/>
          <w:snapToGrid w:val="0"/>
          <w:szCs w:val="24"/>
        </w:rPr>
        <w:t>Evidentiary provisions</w:t>
      </w:r>
      <w:r>
        <w:rPr>
          <w:noProof/>
        </w:rPr>
        <w:tab/>
      </w:r>
      <w:r>
        <w:rPr>
          <w:noProof/>
        </w:rPr>
        <w:fldChar w:fldCharType="begin"/>
      </w:r>
      <w:r>
        <w:rPr>
          <w:noProof/>
        </w:rPr>
        <w:instrText xml:space="preserve"> PAGEREF _Toc122328627 \h </w:instrText>
      </w:r>
      <w:r>
        <w:rPr>
          <w:noProof/>
        </w:rPr>
      </w:r>
      <w:r>
        <w:rPr>
          <w:noProof/>
        </w:rPr>
        <w:fldChar w:fldCharType="separate"/>
      </w:r>
      <w:r>
        <w:rPr>
          <w:noProof/>
        </w:rPr>
        <w:t>208</w:t>
      </w:r>
      <w:r>
        <w:rPr>
          <w:noProof/>
        </w:rPr>
        <w:fldChar w:fldCharType="end"/>
      </w:r>
    </w:p>
    <w:p>
      <w:pPr>
        <w:pStyle w:val="TOC4"/>
        <w:tabs>
          <w:tab w:val="left" w:pos="1701"/>
        </w:tabs>
        <w:rPr>
          <w:noProof/>
          <w:sz w:val="24"/>
          <w:szCs w:val="24"/>
        </w:rPr>
      </w:pPr>
      <w:r>
        <w:rPr>
          <w:noProof/>
          <w:szCs w:val="24"/>
        </w:rPr>
        <w:t>162</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_Toc122328628 \h </w:instrText>
      </w:r>
      <w:r>
        <w:rPr>
          <w:noProof/>
        </w:rPr>
      </w:r>
      <w:r>
        <w:rPr>
          <w:noProof/>
        </w:rPr>
        <w:fldChar w:fldCharType="separate"/>
      </w:r>
      <w:r>
        <w:rPr>
          <w:noProof/>
        </w:rPr>
        <w:t>208</w:t>
      </w:r>
      <w:r>
        <w:rPr>
          <w:noProof/>
        </w:rPr>
        <w:fldChar w:fldCharType="end"/>
      </w:r>
    </w:p>
    <w:p>
      <w:pPr>
        <w:pStyle w:val="TOC5"/>
        <w:rPr>
          <w:b w:val="0"/>
          <w:noProof/>
          <w:sz w:val="24"/>
          <w:szCs w:val="24"/>
        </w:rPr>
      </w:pPr>
      <w:r>
        <w:rPr>
          <w:noProof/>
          <w:szCs w:val="28"/>
        </w:rPr>
        <w:t>Second Schedule</w:t>
      </w:r>
      <w:r>
        <w:rPr>
          <w:noProof/>
        </w:rPr>
        <w:tab/>
      </w:r>
      <w:r>
        <w:rPr>
          <w:noProof/>
        </w:rPr>
        <w:fldChar w:fldCharType="begin"/>
      </w:r>
      <w:r>
        <w:rPr>
          <w:noProof/>
        </w:rPr>
        <w:instrText xml:space="preserve"> PAGEREF _Toc122328629 \h </w:instrText>
      </w:r>
      <w:r>
        <w:rPr>
          <w:noProof/>
        </w:rPr>
      </w:r>
      <w:r>
        <w:rPr>
          <w:noProof/>
        </w:rPr>
        <w:fldChar w:fldCharType="separate"/>
      </w:r>
      <w:r>
        <w:rPr>
          <w:noProof/>
        </w:rPr>
        <w:t>215</w:t>
      </w:r>
      <w:r>
        <w:rPr>
          <w:noProof/>
        </w:rPr>
        <w:fldChar w:fldCharType="end"/>
      </w:r>
    </w:p>
    <w:p>
      <w:pPr>
        <w:pStyle w:val="TOC4"/>
        <w:tabs>
          <w:tab w:val="left" w:pos="1701"/>
        </w:tabs>
        <w:rPr>
          <w:noProof/>
          <w:sz w:val="24"/>
          <w:szCs w:val="24"/>
        </w:rPr>
      </w:pPr>
      <w:r>
        <w:rPr>
          <w:noProof/>
          <w:snapToGrid w:val="0"/>
          <w:szCs w:val="22"/>
        </w:rPr>
        <w:t>1.</w:t>
      </w:r>
      <w:r>
        <w:rPr>
          <w:noProof/>
          <w:sz w:val="24"/>
          <w:szCs w:val="24"/>
        </w:rPr>
        <w:tab/>
      </w:r>
      <w:r>
        <w:rPr>
          <w:noProof/>
          <w:snapToGrid w:val="0"/>
          <w:szCs w:val="22"/>
        </w:rPr>
        <w:t>Continuation of certain temporary reserves and rights of occupancy</w:t>
      </w:r>
      <w:r>
        <w:rPr>
          <w:noProof/>
        </w:rPr>
        <w:tab/>
      </w:r>
      <w:r>
        <w:rPr>
          <w:noProof/>
        </w:rPr>
        <w:fldChar w:fldCharType="begin"/>
      </w:r>
      <w:r>
        <w:rPr>
          <w:noProof/>
        </w:rPr>
        <w:instrText xml:space="preserve"> PAGEREF _Toc122328630 \h </w:instrText>
      </w:r>
      <w:r>
        <w:rPr>
          <w:noProof/>
        </w:rPr>
      </w:r>
      <w:r>
        <w:rPr>
          <w:noProof/>
        </w:rPr>
        <w:fldChar w:fldCharType="separate"/>
      </w:r>
      <w:r>
        <w:rPr>
          <w:noProof/>
        </w:rPr>
        <w:t>215</w:t>
      </w:r>
      <w:r>
        <w:rPr>
          <w:noProof/>
        </w:rPr>
        <w:fldChar w:fldCharType="end"/>
      </w:r>
    </w:p>
    <w:p>
      <w:pPr>
        <w:pStyle w:val="TOC4"/>
        <w:tabs>
          <w:tab w:val="left" w:pos="1701"/>
        </w:tabs>
        <w:rPr>
          <w:noProof/>
          <w:sz w:val="24"/>
          <w:szCs w:val="24"/>
        </w:rPr>
      </w:pPr>
      <w:r>
        <w:rPr>
          <w:noProof/>
          <w:snapToGrid w:val="0"/>
          <w:szCs w:val="22"/>
        </w:rPr>
        <w:t>2.</w:t>
      </w:r>
      <w:r>
        <w:rPr>
          <w:noProof/>
          <w:sz w:val="24"/>
          <w:szCs w:val="24"/>
        </w:rPr>
        <w:tab/>
      </w:r>
      <w:r>
        <w:rPr>
          <w:noProof/>
          <w:snapToGrid w:val="0"/>
          <w:szCs w:val="22"/>
        </w:rPr>
        <w:t>Certain gold mining leases, coal mining leases and mineral leases to become mining leases</w:t>
      </w:r>
      <w:r>
        <w:rPr>
          <w:noProof/>
        </w:rPr>
        <w:tab/>
      </w:r>
      <w:r>
        <w:rPr>
          <w:noProof/>
        </w:rPr>
        <w:fldChar w:fldCharType="begin"/>
      </w:r>
      <w:r>
        <w:rPr>
          <w:noProof/>
        </w:rPr>
        <w:instrText xml:space="preserve"> PAGEREF _Toc122328631 \h </w:instrText>
      </w:r>
      <w:r>
        <w:rPr>
          <w:noProof/>
        </w:rPr>
      </w:r>
      <w:r>
        <w:rPr>
          <w:noProof/>
        </w:rPr>
        <w:fldChar w:fldCharType="separate"/>
      </w:r>
      <w:r>
        <w:rPr>
          <w:noProof/>
        </w:rPr>
        <w:t>216</w:t>
      </w:r>
      <w:r>
        <w:rPr>
          <w:noProof/>
        </w:rPr>
        <w:fldChar w:fldCharType="end"/>
      </w:r>
    </w:p>
    <w:p>
      <w:pPr>
        <w:pStyle w:val="TOC4"/>
        <w:tabs>
          <w:tab w:val="left" w:pos="1701"/>
        </w:tabs>
        <w:rPr>
          <w:noProof/>
          <w:sz w:val="24"/>
          <w:szCs w:val="24"/>
        </w:rPr>
      </w:pPr>
      <w:r>
        <w:rPr>
          <w:noProof/>
          <w:snapToGrid w:val="0"/>
          <w:szCs w:val="22"/>
        </w:rPr>
        <w:t>3.</w:t>
      </w:r>
      <w:r>
        <w:rPr>
          <w:noProof/>
          <w:sz w:val="24"/>
          <w:szCs w:val="24"/>
        </w:rPr>
        <w:tab/>
      </w:r>
      <w:r>
        <w:rPr>
          <w:noProof/>
          <w:snapToGrid w:val="0"/>
          <w:szCs w:val="22"/>
        </w:rPr>
        <w:t>Rights conferred on holders of certain mineral claims and dredging claims</w:t>
      </w:r>
      <w:r>
        <w:rPr>
          <w:noProof/>
        </w:rPr>
        <w:tab/>
      </w:r>
      <w:r>
        <w:rPr>
          <w:noProof/>
        </w:rPr>
        <w:fldChar w:fldCharType="begin"/>
      </w:r>
      <w:r>
        <w:rPr>
          <w:noProof/>
        </w:rPr>
        <w:instrText xml:space="preserve"> PAGEREF _Toc122328632 \h </w:instrText>
      </w:r>
      <w:r>
        <w:rPr>
          <w:noProof/>
        </w:rPr>
      </w:r>
      <w:r>
        <w:rPr>
          <w:noProof/>
        </w:rPr>
        <w:fldChar w:fldCharType="separate"/>
      </w:r>
      <w:r>
        <w:rPr>
          <w:noProof/>
        </w:rPr>
        <w:t>218</w:t>
      </w:r>
      <w:r>
        <w:rPr>
          <w:noProof/>
        </w:rPr>
        <w:fldChar w:fldCharType="end"/>
      </w:r>
    </w:p>
    <w:p>
      <w:pPr>
        <w:pStyle w:val="TOC4"/>
        <w:tabs>
          <w:tab w:val="left" w:pos="1701"/>
        </w:tabs>
        <w:rPr>
          <w:noProof/>
          <w:sz w:val="24"/>
          <w:szCs w:val="24"/>
        </w:rPr>
      </w:pPr>
      <w:r>
        <w:rPr>
          <w:noProof/>
          <w:snapToGrid w:val="0"/>
          <w:szCs w:val="22"/>
        </w:rPr>
        <w:t>4.</w:t>
      </w:r>
      <w:r>
        <w:rPr>
          <w:noProof/>
          <w:sz w:val="24"/>
          <w:szCs w:val="24"/>
        </w:rPr>
        <w:tab/>
      </w:r>
      <w:r>
        <w:rPr>
          <w:noProof/>
          <w:snapToGrid w:val="0"/>
          <w:szCs w:val="22"/>
        </w:rPr>
        <w:t>Rights conferred on holders of certain miners’ homestead leases, residential leases, residence areas, business areas and garden areas</w:t>
      </w:r>
      <w:r>
        <w:rPr>
          <w:noProof/>
        </w:rPr>
        <w:tab/>
      </w:r>
      <w:r>
        <w:rPr>
          <w:noProof/>
        </w:rPr>
        <w:fldChar w:fldCharType="begin"/>
      </w:r>
      <w:r>
        <w:rPr>
          <w:noProof/>
        </w:rPr>
        <w:instrText xml:space="preserve"> PAGEREF _Toc122328633 \h </w:instrText>
      </w:r>
      <w:r>
        <w:rPr>
          <w:noProof/>
        </w:rPr>
      </w:r>
      <w:r>
        <w:rPr>
          <w:noProof/>
        </w:rPr>
        <w:fldChar w:fldCharType="separate"/>
      </w:r>
      <w:r>
        <w:rPr>
          <w:noProof/>
        </w:rPr>
        <w:t>218</w:t>
      </w:r>
      <w:r>
        <w:rPr>
          <w:noProof/>
        </w:rPr>
        <w:fldChar w:fldCharType="end"/>
      </w:r>
    </w:p>
    <w:p>
      <w:pPr>
        <w:pStyle w:val="TOC4"/>
        <w:tabs>
          <w:tab w:val="left" w:pos="1701"/>
        </w:tabs>
        <w:rPr>
          <w:noProof/>
          <w:sz w:val="24"/>
          <w:szCs w:val="24"/>
        </w:rPr>
      </w:pPr>
      <w:r>
        <w:rPr>
          <w:noProof/>
          <w:snapToGrid w:val="0"/>
          <w:szCs w:val="22"/>
        </w:rPr>
        <w:t>5.</w:t>
      </w:r>
      <w:r>
        <w:rPr>
          <w:noProof/>
          <w:sz w:val="24"/>
          <w:szCs w:val="24"/>
        </w:rPr>
        <w:tab/>
      </w:r>
      <w:r>
        <w:rPr>
          <w:noProof/>
          <w:snapToGrid w:val="0"/>
          <w:szCs w:val="22"/>
        </w:rPr>
        <w:t>Continuation of mining tenements held by virtue of miners’ rights</w:t>
      </w:r>
      <w:r>
        <w:rPr>
          <w:noProof/>
        </w:rPr>
        <w:tab/>
      </w:r>
      <w:r>
        <w:rPr>
          <w:noProof/>
        </w:rPr>
        <w:fldChar w:fldCharType="begin"/>
      </w:r>
      <w:r>
        <w:rPr>
          <w:noProof/>
        </w:rPr>
        <w:instrText xml:space="preserve"> PAGEREF _Toc122328634 \h </w:instrText>
      </w:r>
      <w:r>
        <w:rPr>
          <w:noProof/>
        </w:rPr>
      </w:r>
      <w:r>
        <w:rPr>
          <w:noProof/>
        </w:rPr>
        <w:fldChar w:fldCharType="separate"/>
      </w:r>
      <w:r>
        <w:rPr>
          <w:noProof/>
        </w:rPr>
        <w:t>219</w:t>
      </w:r>
      <w:r>
        <w:rPr>
          <w:noProof/>
        </w:rPr>
        <w:fldChar w:fldCharType="end"/>
      </w:r>
    </w:p>
    <w:p>
      <w:pPr>
        <w:pStyle w:val="TOC4"/>
        <w:tabs>
          <w:tab w:val="left" w:pos="1701"/>
        </w:tabs>
        <w:rPr>
          <w:noProof/>
          <w:sz w:val="24"/>
          <w:szCs w:val="24"/>
        </w:rPr>
      </w:pPr>
      <w:r>
        <w:rPr>
          <w:noProof/>
          <w:snapToGrid w:val="0"/>
          <w:szCs w:val="22"/>
        </w:rPr>
        <w:t>6.</w:t>
      </w:r>
      <w:r>
        <w:rPr>
          <w:noProof/>
          <w:sz w:val="24"/>
          <w:szCs w:val="24"/>
        </w:rPr>
        <w:tab/>
      </w:r>
      <w:r>
        <w:rPr>
          <w:noProof/>
          <w:snapToGrid w:val="0"/>
          <w:szCs w:val="22"/>
        </w:rPr>
        <w:t>Temporary continuation of certain machinery areas, tailings areas, quarrying areas and water rights</w:t>
      </w:r>
      <w:r>
        <w:rPr>
          <w:noProof/>
        </w:rPr>
        <w:tab/>
      </w:r>
      <w:r>
        <w:rPr>
          <w:noProof/>
        </w:rPr>
        <w:fldChar w:fldCharType="begin"/>
      </w:r>
      <w:r>
        <w:rPr>
          <w:noProof/>
        </w:rPr>
        <w:instrText xml:space="preserve"> PAGEREF _Toc122328635 \h </w:instrText>
      </w:r>
      <w:r>
        <w:rPr>
          <w:noProof/>
        </w:rPr>
      </w:r>
      <w:r>
        <w:rPr>
          <w:noProof/>
        </w:rPr>
        <w:fldChar w:fldCharType="separate"/>
      </w:r>
      <w:r>
        <w:rPr>
          <w:noProof/>
        </w:rPr>
        <w:t>220</w:t>
      </w:r>
      <w:r>
        <w:rPr>
          <w:noProof/>
        </w:rPr>
        <w:fldChar w:fldCharType="end"/>
      </w:r>
    </w:p>
    <w:p>
      <w:pPr>
        <w:pStyle w:val="TOC4"/>
        <w:tabs>
          <w:tab w:val="left" w:pos="1701"/>
        </w:tabs>
        <w:rPr>
          <w:noProof/>
          <w:sz w:val="24"/>
          <w:szCs w:val="24"/>
        </w:rPr>
      </w:pPr>
      <w:r>
        <w:rPr>
          <w:noProof/>
          <w:snapToGrid w:val="0"/>
          <w:szCs w:val="22"/>
        </w:rPr>
        <w:t>7.</w:t>
      </w:r>
      <w:r>
        <w:rPr>
          <w:noProof/>
          <w:sz w:val="24"/>
          <w:szCs w:val="24"/>
        </w:rPr>
        <w:tab/>
      </w:r>
      <w:r>
        <w:rPr>
          <w:noProof/>
          <w:snapToGrid w:val="0"/>
          <w:szCs w:val="22"/>
        </w:rPr>
        <w:t>Continuation of certain licences</w:t>
      </w:r>
      <w:r>
        <w:rPr>
          <w:noProof/>
        </w:rPr>
        <w:tab/>
      </w:r>
      <w:r>
        <w:rPr>
          <w:noProof/>
        </w:rPr>
        <w:fldChar w:fldCharType="begin"/>
      </w:r>
      <w:r>
        <w:rPr>
          <w:noProof/>
        </w:rPr>
        <w:instrText xml:space="preserve"> PAGEREF _Toc122328636 \h </w:instrText>
      </w:r>
      <w:r>
        <w:rPr>
          <w:noProof/>
        </w:rPr>
      </w:r>
      <w:r>
        <w:rPr>
          <w:noProof/>
        </w:rPr>
        <w:fldChar w:fldCharType="separate"/>
      </w:r>
      <w:r>
        <w:rPr>
          <w:noProof/>
        </w:rPr>
        <w:t>221</w:t>
      </w:r>
      <w:r>
        <w:rPr>
          <w:noProof/>
        </w:rPr>
        <w:fldChar w:fldCharType="end"/>
      </w:r>
    </w:p>
    <w:p>
      <w:pPr>
        <w:pStyle w:val="TOC4"/>
        <w:tabs>
          <w:tab w:val="left" w:pos="1701"/>
        </w:tabs>
        <w:rPr>
          <w:noProof/>
          <w:sz w:val="24"/>
          <w:szCs w:val="24"/>
        </w:rPr>
      </w:pPr>
      <w:r>
        <w:rPr>
          <w:noProof/>
          <w:snapToGrid w:val="0"/>
          <w:szCs w:val="22"/>
        </w:rPr>
        <w:t>8.</w:t>
      </w:r>
      <w:r>
        <w:rPr>
          <w:noProof/>
          <w:sz w:val="24"/>
          <w:szCs w:val="24"/>
        </w:rPr>
        <w:tab/>
      </w:r>
      <w:r>
        <w:rPr>
          <w:noProof/>
          <w:snapToGrid w:val="0"/>
          <w:szCs w:val="22"/>
        </w:rPr>
        <w:t>Disposal of pending applications for mining tenements</w:t>
      </w:r>
      <w:r>
        <w:rPr>
          <w:noProof/>
        </w:rPr>
        <w:tab/>
      </w:r>
      <w:r>
        <w:rPr>
          <w:noProof/>
        </w:rPr>
        <w:fldChar w:fldCharType="begin"/>
      </w:r>
      <w:r>
        <w:rPr>
          <w:noProof/>
        </w:rPr>
        <w:instrText xml:space="preserve"> PAGEREF _Toc122328637 \h </w:instrText>
      </w:r>
      <w:r>
        <w:rPr>
          <w:noProof/>
        </w:rPr>
      </w:r>
      <w:r>
        <w:rPr>
          <w:noProof/>
        </w:rPr>
        <w:fldChar w:fldCharType="separate"/>
      </w:r>
      <w:r>
        <w:rPr>
          <w:noProof/>
        </w:rPr>
        <w:t>222</w:t>
      </w:r>
      <w:r>
        <w:rPr>
          <w:noProof/>
        </w:rPr>
        <w:fldChar w:fldCharType="end"/>
      </w:r>
    </w:p>
    <w:p>
      <w:pPr>
        <w:pStyle w:val="TOC4"/>
        <w:tabs>
          <w:tab w:val="left" w:pos="1701"/>
        </w:tabs>
        <w:rPr>
          <w:noProof/>
          <w:sz w:val="24"/>
          <w:szCs w:val="24"/>
        </w:rPr>
      </w:pPr>
      <w:r>
        <w:rPr>
          <w:noProof/>
          <w:snapToGrid w:val="0"/>
          <w:szCs w:val="22"/>
        </w:rPr>
        <w:t>9.</w:t>
      </w:r>
      <w:r>
        <w:rPr>
          <w:noProof/>
          <w:sz w:val="24"/>
          <w:szCs w:val="24"/>
        </w:rPr>
        <w:tab/>
      </w:r>
      <w:r>
        <w:rPr>
          <w:noProof/>
          <w:snapToGrid w:val="0"/>
          <w:szCs w:val="22"/>
        </w:rPr>
        <w:t>Rights of holders of certain prospecting areas</w:t>
      </w:r>
      <w:r>
        <w:rPr>
          <w:noProof/>
        </w:rPr>
        <w:tab/>
      </w:r>
      <w:r>
        <w:rPr>
          <w:noProof/>
        </w:rPr>
        <w:fldChar w:fldCharType="begin"/>
      </w:r>
      <w:r>
        <w:rPr>
          <w:noProof/>
        </w:rPr>
        <w:instrText xml:space="preserve"> PAGEREF _Toc122328638 \h </w:instrText>
      </w:r>
      <w:r>
        <w:rPr>
          <w:noProof/>
        </w:rPr>
      </w:r>
      <w:r>
        <w:rPr>
          <w:noProof/>
        </w:rPr>
        <w:fldChar w:fldCharType="separate"/>
      </w:r>
      <w:r>
        <w:rPr>
          <w:noProof/>
        </w:rPr>
        <w:t>224</w:t>
      </w:r>
      <w:r>
        <w:rPr>
          <w:noProof/>
        </w:rPr>
        <w:fldChar w:fldCharType="end"/>
      </w:r>
    </w:p>
    <w:p>
      <w:pPr>
        <w:pStyle w:val="TOC4"/>
        <w:tabs>
          <w:tab w:val="left" w:pos="1701"/>
        </w:tabs>
        <w:rPr>
          <w:noProof/>
          <w:sz w:val="24"/>
          <w:szCs w:val="24"/>
        </w:rPr>
      </w:pPr>
      <w:r>
        <w:rPr>
          <w:noProof/>
          <w:snapToGrid w:val="0"/>
          <w:szCs w:val="22"/>
        </w:rPr>
        <w:t>10.</w:t>
      </w:r>
      <w:r>
        <w:rPr>
          <w:noProof/>
          <w:sz w:val="24"/>
          <w:szCs w:val="24"/>
        </w:rPr>
        <w:tab/>
      </w:r>
      <w:r>
        <w:rPr>
          <w:noProof/>
          <w:snapToGrid w:val="0"/>
          <w:szCs w:val="22"/>
        </w:rPr>
        <w:t>Transitional provisions relating to mortgages</w:t>
      </w:r>
      <w:r>
        <w:rPr>
          <w:noProof/>
        </w:rPr>
        <w:tab/>
      </w:r>
      <w:r>
        <w:rPr>
          <w:noProof/>
        </w:rPr>
        <w:fldChar w:fldCharType="begin"/>
      </w:r>
      <w:r>
        <w:rPr>
          <w:noProof/>
        </w:rPr>
        <w:instrText xml:space="preserve"> PAGEREF _Toc122328639 \h </w:instrText>
      </w:r>
      <w:r>
        <w:rPr>
          <w:noProof/>
        </w:rPr>
      </w:r>
      <w:r>
        <w:rPr>
          <w:noProof/>
        </w:rPr>
        <w:fldChar w:fldCharType="separate"/>
      </w:r>
      <w:r>
        <w:rPr>
          <w:noProof/>
        </w:rPr>
        <w:t>224</w:t>
      </w:r>
      <w:r>
        <w:rPr>
          <w:noProof/>
        </w:rPr>
        <w:fldChar w:fldCharType="end"/>
      </w:r>
    </w:p>
    <w:p>
      <w:pPr>
        <w:pStyle w:val="TOC4"/>
        <w:tabs>
          <w:tab w:val="left" w:pos="1701"/>
        </w:tabs>
        <w:rPr>
          <w:noProof/>
          <w:sz w:val="24"/>
          <w:szCs w:val="24"/>
        </w:rPr>
      </w:pPr>
      <w:r>
        <w:rPr>
          <w:noProof/>
          <w:snapToGrid w:val="0"/>
          <w:szCs w:val="22"/>
        </w:rPr>
        <w:t>11.</w:t>
      </w:r>
      <w:r>
        <w:rPr>
          <w:noProof/>
          <w:sz w:val="24"/>
          <w:szCs w:val="24"/>
        </w:rPr>
        <w:tab/>
      </w:r>
      <w:r>
        <w:rPr>
          <w:noProof/>
          <w:snapToGrid w:val="0"/>
          <w:szCs w:val="22"/>
        </w:rPr>
        <w:t>Officers</w:t>
      </w:r>
      <w:r>
        <w:rPr>
          <w:noProof/>
        </w:rPr>
        <w:tab/>
      </w:r>
      <w:r>
        <w:rPr>
          <w:noProof/>
        </w:rPr>
        <w:fldChar w:fldCharType="begin"/>
      </w:r>
      <w:r>
        <w:rPr>
          <w:noProof/>
        </w:rPr>
        <w:instrText xml:space="preserve"> PAGEREF _Toc122328640 \h </w:instrText>
      </w:r>
      <w:r>
        <w:rPr>
          <w:noProof/>
        </w:rPr>
      </w:r>
      <w:r>
        <w:rPr>
          <w:noProof/>
        </w:rPr>
        <w:fldChar w:fldCharType="separate"/>
      </w:r>
      <w:r>
        <w:rPr>
          <w:noProof/>
        </w:rPr>
        <w:t>226</w:t>
      </w:r>
      <w:r>
        <w:rPr>
          <w:noProof/>
        </w:rPr>
        <w:fldChar w:fldCharType="end"/>
      </w:r>
    </w:p>
    <w:p>
      <w:pPr>
        <w:pStyle w:val="TOC4"/>
        <w:tabs>
          <w:tab w:val="left" w:pos="1701"/>
        </w:tabs>
        <w:rPr>
          <w:noProof/>
          <w:sz w:val="24"/>
          <w:szCs w:val="24"/>
        </w:rPr>
      </w:pPr>
      <w:r>
        <w:rPr>
          <w:noProof/>
          <w:snapToGrid w:val="0"/>
          <w:szCs w:val="22"/>
        </w:rPr>
        <w:t>12.</w:t>
      </w:r>
      <w:r>
        <w:rPr>
          <w:noProof/>
          <w:sz w:val="24"/>
          <w:szCs w:val="24"/>
        </w:rPr>
        <w:tab/>
      </w:r>
      <w:r>
        <w:rPr>
          <w:noProof/>
          <w:snapToGrid w:val="0"/>
          <w:szCs w:val="22"/>
        </w:rPr>
        <w:t>Warden’s courts and warden’s offices</w:t>
      </w:r>
      <w:r>
        <w:rPr>
          <w:noProof/>
        </w:rPr>
        <w:tab/>
      </w:r>
      <w:r>
        <w:rPr>
          <w:noProof/>
        </w:rPr>
        <w:fldChar w:fldCharType="begin"/>
      </w:r>
      <w:r>
        <w:rPr>
          <w:noProof/>
        </w:rPr>
        <w:instrText xml:space="preserve"> PAGEREF _Toc122328641 \h </w:instrText>
      </w:r>
      <w:r>
        <w:rPr>
          <w:noProof/>
        </w:rPr>
      </w:r>
      <w:r>
        <w:rPr>
          <w:noProof/>
        </w:rPr>
        <w:fldChar w:fldCharType="separate"/>
      </w:r>
      <w:r>
        <w:rPr>
          <w:noProof/>
        </w:rPr>
        <w:t>226</w:t>
      </w:r>
      <w:r>
        <w:rPr>
          <w:noProof/>
        </w:rPr>
        <w:fldChar w:fldCharType="end"/>
      </w:r>
    </w:p>
    <w:p>
      <w:pPr>
        <w:pStyle w:val="TOC4"/>
        <w:tabs>
          <w:tab w:val="left" w:pos="1701"/>
        </w:tabs>
        <w:rPr>
          <w:noProof/>
          <w:sz w:val="24"/>
          <w:szCs w:val="24"/>
        </w:rPr>
      </w:pPr>
      <w:r>
        <w:rPr>
          <w:noProof/>
          <w:snapToGrid w:val="0"/>
          <w:szCs w:val="22"/>
        </w:rPr>
        <w:t>13.</w:t>
      </w:r>
      <w:r>
        <w:rPr>
          <w:noProof/>
          <w:sz w:val="24"/>
          <w:szCs w:val="24"/>
        </w:rPr>
        <w:tab/>
      </w:r>
      <w:r>
        <w:rPr>
          <w:noProof/>
          <w:snapToGrid w:val="0"/>
          <w:szCs w:val="22"/>
        </w:rPr>
        <w:t>Lodging of certain applications</w:t>
      </w:r>
      <w:r>
        <w:rPr>
          <w:noProof/>
        </w:rPr>
        <w:tab/>
      </w:r>
      <w:r>
        <w:rPr>
          <w:noProof/>
        </w:rPr>
        <w:fldChar w:fldCharType="begin"/>
      </w:r>
      <w:r>
        <w:rPr>
          <w:noProof/>
        </w:rPr>
        <w:instrText xml:space="preserve"> PAGEREF _Toc122328642 \h </w:instrText>
      </w:r>
      <w:r>
        <w:rPr>
          <w:noProof/>
        </w:rPr>
      </w:r>
      <w:r>
        <w:rPr>
          <w:noProof/>
        </w:rPr>
        <w:fldChar w:fldCharType="separate"/>
      </w:r>
      <w:r>
        <w:rPr>
          <w:noProof/>
        </w:rPr>
        <w:t>227</w:t>
      </w:r>
      <w:r>
        <w:rPr>
          <w:noProof/>
        </w:rPr>
        <w:fldChar w:fldCharType="end"/>
      </w:r>
    </w:p>
    <w:p>
      <w:pPr>
        <w:pStyle w:val="TOC4"/>
        <w:tabs>
          <w:tab w:val="left" w:pos="1701"/>
        </w:tabs>
        <w:rPr>
          <w:noProof/>
          <w:sz w:val="24"/>
          <w:szCs w:val="24"/>
        </w:rPr>
      </w:pPr>
      <w:r>
        <w:rPr>
          <w:noProof/>
          <w:snapToGrid w:val="0"/>
          <w:szCs w:val="22"/>
        </w:rPr>
        <w:t>13A.</w:t>
      </w:r>
      <w:r>
        <w:rPr>
          <w:noProof/>
          <w:sz w:val="24"/>
          <w:szCs w:val="24"/>
        </w:rPr>
        <w:tab/>
      </w:r>
      <w:r>
        <w:rPr>
          <w:noProof/>
          <w:snapToGrid w:val="0"/>
          <w:szCs w:val="22"/>
        </w:rPr>
        <w:t>Consents to follow the land</w:t>
      </w:r>
      <w:r>
        <w:rPr>
          <w:noProof/>
        </w:rPr>
        <w:tab/>
      </w:r>
      <w:r>
        <w:rPr>
          <w:noProof/>
        </w:rPr>
        <w:fldChar w:fldCharType="begin"/>
      </w:r>
      <w:r>
        <w:rPr>
          <w:noProof/>
        </w:rPr>
        <w:instrText xml:space="preserve"> PAGEREF _Toc122328643 \h </w:instrText>
      </w:r>
      <w:r>
        <w:rPr>
          <w:noProof/>
        </w:rPr>
      </w:r>
      <w:r>
        <w:rPr>
          <w:noProof/>
        </w:rPr>
        <w:fldChar w:fldCharType="separate"/>
      </w:r>
      <w:r>
        <w:rPr>
          <w:noProof/>
        </w:rPr>
        <w:t>227</w:t>
      </w:r>
      <w:r>
        <w:rPr>
          <w:noProof/>
        </w:rPr>
        <w:fldChar w:fldCharType="end"/>
      </w:r>
    </w:p>
    <w:p>
      <w:pPr>
        <w:pStyle w:val="TOC4"/>
        <w:tabs>
          <w:tab w:val="left" w:pos="1701"/>
        </w:tabs>
        <w:rPr>
          <w:noProof/>
          <w:sz w:val="24"/>
          <w:szCs w:val="24"/>
        </w:rPr>
      </w:pPr>
      <w:r>
        <w:rPr>
          <w:noProof/>
          <w:snapToGrid w:val="0"/>
          <w:szCs w:val="22"/>
        </w:rPr>
        <w:t>14.</w:t>
      </w:r>
      <w:r>
        <w:rPr>
          <w:noProof/>
          <w:sz w:val="24"/>
          <w:szCs w:val="24"/>
        </w:rPr>
        <w:tab/>
      </w:r>
      <w:r>
        <w:rPr>
          <w:noProof/>
          <w:snapToGrid w:val="0"/>
          <w:szCs w:val="22"/>
        </w:rPr>
        <w:t>References to repealed Act</w:t>
      </w:r>
      <w:r>
        <w:rPr>
          <w:noProof/>
        </w:rPr>
        <w:tab/>
      </w:r>
      <w:r>
        <w:rPr>
          <w:noProof/>
        </w:rPr>
        <w:fldChar w:fldCharType="begin"/>
      </w:r>
      <w:r>
        <w:rPr>
          <w:noProof/>
        </w:rPr>
        <w:instrText xml:space="preserve"> PAGEREF _Toc122328644 \h </w:instrText>
      </w:r>
      <w:r>
        <w:rPr>
          <w:noProof/>
        </w:rPr>
      </w:r>
      <w:r>
        <w:rPr>
          <w:noProof/>
        </w:rPr>
        <w:fldChar w:fldCharType="separate"/>
      </w:r>
      <w:r>
        <w:rPr>
          <w:noProof/>
        </w:rPr>
        <w:t>227</w:t>
      </w:r>
      <w:r>
        <w:rPr>
          <w:noProof/>
        </w:rPr>
        <w:fldChar w:fldCharType="end"/>
      </w:r>
    </w:p>
    <w:p>
      <w:pPr>
        <w:pStyle w:val="TOC4"/>
        <w:tabs>
          <w:tab w:val="left" w:pos="1701"/>
        </w:tabs>
        <w:rPr>
          <w:noProof/>
          <w:sz w:val="24"/>
          <w:szCs w:val="24"/>
        </w:rPr>
      </w:pPr>
      <w:r>
        <w:rPr>
          <w:noProof/>
          <w:snapToGrid w:val="0"/>
          <w:szCs w:val="22"/>
        </w:rPr>
        <w:t>15.</w:t>
      </w:r>
      <w:r>
        <w:rPr>
          <w:noProof/>
          <w:sz w:val="24"/>
          <w:szCs w:val="24"/>
        </w:rPr>
        <w:tab/>
      </w:r>
      <w:r>
        <w:rPr>
          <w:noProof/>
          <w:snapToGrid w:val="0"/>
          <w:szCs w:val="22"/>
        </w:rPr>
        <w:t>Prevention of anomalies during transitional period</w:t>
      </w:r>
      <w:r>
        <w:rPr>
          <w:noProof/>
        </w:rPr>
        <w:tab/>
      </w:r>
      <w:r>
        <w:rPr>
          <w:noProof/>
        </w:rPr>
        <w:fldChar w:fldCharType="begin"/>
      </w:r>
      <w:r>
        <w:rPr>
          <w:noProof/>
        </w:rPr>
        <w:instrText xml:space="preserve"> PAGEREF _Toc122328645 \h </w:instrText>
      </w:r>
      <w:r>
        <w:rPr>
          <w:noProof/>
        </w:rPr>
      </w:r>
      <w:r>
        <w:rPr>
          <w:noProof/>
        </w:rPr>
        <w:fldChar w:fldCharType="separate"/>
      </w:r>
      <w:r>
        <w:rPr>
          <w:noProof/>
        </w:rPr>
        <w:t>227</w:t>
      </w:r>
      <w:r>
        <w:rPr>
          <w:noProof/>
        </w:rPr>
        <w:fldChar w:fldCharType="end"/>
      </w:r>
    </w:p>
    <w:p>
      <w:pPr>
        <w:pStyle w:val="TOC5"/>
        <w:rPr>
          <w:b w:val="0"/>
          <w:noProof/>
          <w:sz w:val="24"/>
          <w:szCs w:val="24"/>
        </w:rPr>
      </w:pPr>
      <w:r>
        <w:rPr>
          <w:noProof/>
          <w:szCs w:val="28"/>
        </w:rPr>
        <w:t>Third Schedule</w:t>
      </w:r>
      <w:r>
        <w:rPr>
          <w:noProof/>
        </w:rPr>
        <w:tab/>
      </w:r>
      <w:r>
        <w:rPr>
          <w:noProof/>
        </w:rPr>
        <w:fldChar w:fldCharType="begin"/>
      </w:r>
      <w:r>
        <w:rPr>
          <w:noProof/>
        </w:rPr>
        <w:instrText xml:space="preserve"> PAGEREF _Toc122328646 \h </w:instrText>
      </w:r>
      <w:r>
        <w:rPr>
          <w:noProof/>
        </w:rPr>
      </w:r>
      <w:r>
        <w:rPr>
          <w:noProof/>
        </w:rPr>
        <w:fldChar w:fldCharType="separate"/>
      </w:r>
      <w:r>
        <w:rPr>
          <w:noProof/>
        </w:rPr>
        <w:t>229</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_Toc122328648 \h </w:instrText>
      </w:r>
      <w:r>
        <w:rPr>
          <w:noProof/>
        </w:rPr>
      </w:r>
      <w:r>
        <w:rPr>
          <w:noProof/>
        </w:rPr>
        <w:fldChar w:fldCharType="separate"/>
      </w:r>
      <w:r>
        <w:rPr>
          <w:noProof/>
        </w:rPr>
        <w:t>230</w:t>
      </w:r>
      <w:r>
        <w:rPr>
          <w:noProof/>
        </w:rPr>
        <w:fldChar w:fldCharType="end"/>
      </w:r>
    </w:p>
    <w:p>
      <w:pPr>
        <w:pStyle w:val="TOC4"/>
        <w:rPr>
          <w:noProof/>
          <w:sz w:val="24"/>
          <w:szCs w:val="24"/>
        </w:rPr>
      </w:pPr>
      <w:r>
        <w:rPr>
          <w:noProof/>
          <w:szCs w:val="24"/>
        </w:rPr>
        <w:t>Provisions that have not come into operation</w:t>
      </w:r>
      <w:r>
        <w:rPr>
          <w:noProof/>
        </w:rPr>
        <w:tab/>
      </w:r>
      <w:r>
        <w:rPr>
          <w:noProof/>
        </w:rPr>
        <w:fldChar w:fldCharType="begin"/>
      </w:r>
      <w:r>
        <w:rPr>
          <w:noProof/>
        </w:rPr>
        <w:instrText xml:space="preserve"> PAGEREF _Toc122328649 \h </w:instrText>
      </w:r>
      <w:r>
        <w:rPr>
          <w:noProof/>
        </w:rPr>
      </w:r>
      <w:r>
        <w:rPr>
          <w:noProof/>
        </w:rPr>
        <w:fldChar w:fldCharType="separate"/>
      </w:r>
      <w:r>
        <w:rPr>
          <w:noProof/>
        </w:rPr>
        <w:t>235</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720"/>
      </w:pPr>
      <w:r>
        <w:t xml:space="preserve">Mining Act 1978 </w:t>
      </w:r>
    </w:p>
    <w:p>
      <w:pPr>
        <w:pStyle w:val="LongTitle"/>
        <w:spacing w:before="480"/>
        <w:rPr>
          <w:snapToGrid w:val="0"/>
        </w:rPr>
      </w:pPr>
      <w:r>
        <w:rPr>
          <w:snapToGrid w:val="0"/>
        </w:rPr>
        <w:t xml:space="preserve">An Act to consolidate and amend the law relating to mining and for incidental and other purposes. </w:t>
      </w:r>
    </w:p>
    <w:p>
      <w:pPr>
        <w:pStyle w:val="Heading2"/>
      </w:pPr>
      <w:bookmarkStart w:id="1" w:name="_Toc87427533"/>
      <w:bookmarkStart w:id="2" w:name="_Toc87851108"/>
      <w:bookmarkStart w:id="3" w:name="_Toc88295331"/>
      <w:bookmarkStart w:id="4" w:name="_Toc89518990"/>
      <w:bookmarkStart w:id="5" w:name="_Toc90869115"/>
      <w:bookmarkStart w:id="6" w:name="_Toc91407887"/>
      <w:bookmarkStart w:id="7" w:name="_Toc92863631"/>
      <w:bookmarkStart w:id="8" w:name="_Toc95014999"/>
      <w:bookmarkStart w:id="9" w:name="_Toc95106706"/>
      <w:bookmarkStart w:id="10" w:name="_Toc97018506"/>
      <w:bookmarkStart w:id="11" w:name="_Toc101693459"/>
      <w:bookmarkStart w:id="12" w:name="_Toc103130329"/>
      <w:bookmarkStart w:id="13" w:name="_Toc104710979"/>
      <w:bookmarkStart w:id="14" w:name="_Toc121559964"/>
      <w:bookmarkStart w:id="15" w:name="_Toc12232840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pPr>
        <w:pStyle w:val="Heading5"/>
        <w:spacing w:before="120"/>
        <w:rPr>
          <w:snapToGrid w:val="0"/>
        </w:rPr>
      </w:pPr>
      <w:bookmarkStart w:id="16" w:name="_Toc520087879"/>
      <w:bookmarkStart w:id="17" w:name="_Toc523620515"/>
      <w:bookmarkStart w:id="18" w:name="_Toc38853666"/>
      <w:bookmarkStart w:id="19" w:name="_Toc122328406"/>
      <w:r>
        <w:rPr>
          <w:rStyle w:val="CharSectno"/>
        </w:rPr>
        <w:t>1</w:t>
      </w:r>
      <w:r>
        <w:rPr>
          <w:snapToGrid w:val="0"/>
        </w:rPr>
        <w:t>.</w:t>
      </w:r>
      <w:r>
        <w:rPr>
          <w:snapToGrid w:val="0"/>
        </w:rPr>
        <w:tab/>
        <w:t>Short title</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spacing w:before="120"/>
        <w:rPr>
          <w:snapToGrid w:val="0"/>
        </w:rPr>
      </w:pPr>
      <w:bookmarkStart w:id="20" w:name="_Toc520087880"/>
      <w:bookmarkStart w:id="21" w:name="_Toc523620516"/>
      <w:bookmarkStart w:id="22" w:name="_Toc38853667"/>
      <w:bookmarkStart w:id="23" w:name="_Toc122328407"/>
      <w:r>
        <w:rPr>
          <w:rStyle w:val="CharSectno"/>
        </w:rPr>
        <w:t>2</w:t>
      </w:r>
      <w:r>
        <w:rPr>
          <w:snapToGrid w:val="0"/>
        </w:rPr>
        <w:t>.</w:t>
      </w:r>
      <w:r>
        <w:rPr>
          <w:snapToGrid w:val="0"/>
        </w:rPr>
        <w:tab/>
        <w:t>Commencement</w:t>
      </w:r>
      <w:bookmarkEnd w:id="20"/>
      <w:bookmarkEnd w:id="21"/>
      <w:bookmarkEnd w:id="22"/>
      <w:bookmarkEnd w:id="23"/>
      <w:r>
        <w:rPr>
          <w:snapToGrid w:val="0"/>
        </w:rPr>
        <w:t xml:space="preserve"> </w:t>
      </w:r>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pPr>
      <w:bookmarkStart w:id="24" w:name="_Toc520087882"/>
      <w:r>
        <w:t>[</w:t>
      </w:r>
      <w:r>
        <w:rPr>
          <w:b/>
        </w:rPr>
        <w:t>3.</w:t>
      </w:r>
      <w:r>
        <w:tab/>
      </w:r>
      <w:r>
        <w:tab/>
        <w:t>Omitted under Reprints Act 1984 s. 7(4)(f).]</w:t>
      </w:r>
    </w:p>
    <w:p>
      <w:pPr>
        <w:pStyle w:val="Heading5"/>
        <w:spacing w:before="120"/>
        <w:rPr>
          <w:snapToGrid w:val="0"/>
        </w:rPr>
      </w:pPr>
      <w:bookmarkStart w:id="25" w:name="_Toc523620517"/>
      <w:bookmarkStart w:id="26" w:name="_Toc38853668"/>
      <w:bookmarkStart w:id="27" w:name="_Toc122328408"/>
      <w:r>
        <w:rPr>
          <w:snapToGrid w:val="0"/>
        </w:rPr>
        <w:t>4.</w:t>
      </w:r>
      <w:r>
        <w:rPr>
          <w:snapToGrid w:val="0"/>
        </w:rPr>
        <w:tab/>
        <w:t>Transitional provisions</w:t>
      </w:r>
      <w:bookmarkEnd w:id="24"/>
      <w:bookmarkEnd w:id="25"/>
      <w:bookmarkEnd w:id="26"/>
      <w:bookmarkEnd w:id="27"/>
      <w:r>
        <w:rPr>
          <w:snapToGrid w:val="0"/>
        </w:rPr>
        <w:t xml:space="preserve"> </w:t>
      </w:r>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 </w:t>
      </w:r>
    </w:p>
    <w:p>
      <w:pPr>
        <w:pStyle w:val="Indenta"/>
        <w:rPr>
          <w:snapToGrid w:val="0"/>
          <w:spacing w:val="-4"/>
        </w:rPr>
      </w:pPr>
      <w:r>
        <w:rPr>
          <w:snapToGrid w:val="0"/>
          <w:spacing w:val="-4"/>
        </w:rPr>
        <w:tab/>
        <w:t>(a)</w:t>
      </w:r>
      <w:r>
        <w:rPr>
          <w:snapToGrid w:val="0"/>
          <w:spacing w:val="-4"/>
        </w:rPr>
        <w:tab/>
        <w:t xml:space="preserve">in so far as that Act applies, the </w:t>
      </w:r>
      <w:r>
        <w:rPr>
          <w:i/>
          <w:snapToGrid w:val="0"/>
          <w:spacing w:val="-4"/>
        </w:rPr>
        <w:t>Interpretation Act 1918 </w:t>
      </w:r>
      <w:r>
        <w:rPr>
          <w:snapToGrid w:val="0"/>
          <w:spacing w:val="-4"/>
          <w:vertAlign w:val="superscript"/>
        </w:rPr>
        <w:t>2</w:t>
      </w:r>
      <w:r>
        <w:rPr>
          <w:snapToGrid w:val="0"/>
          <w:spacing w:val="-4"/>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pPr>
      <w:r>
        <w:tab/>
        <w:t xml:space="preserve">[Section 4 inserted by No. 100 of 1985 s. 3.] </w:t>
      </w:r>
    </w:p>
    <w:p>
      <w:pPr>
        <w:pStyle w:val="Heading5"/>
        <w:spacing w:before="120"/>
        <w:rPr>
          <w:snapToGrid w:val="0"/>
        </w:rPr>
      </w:pPr>
      <w:bookmarkStart w:id="28" w:name="_Toc520087883"/>
      <w:bookmarkStart w:id="29" w:name="_Toc523620518"/>
      <w:bookmarkStart w:id="30" w:name="_Toc38853669"/>
      <w:bookmarkStart w:id="31" w:name="_Toc122328409"/>
      <w:r>
        <w:rPr>
          <w:snapToGrid w:val="0"/>
        </w:rPr>
        <w:t>5.</w:t>
      </w:r>
      <w:r>
        <w:rPr>
          <w:snapToGrid w:val="0"/>
        </w:rPr>
        <w:tab/>
        <w:t>Saving</w:t>
      </w:r>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Nothing in this Act shall affect the provisions of any Act in force on the commencing date that approves or ratifies any agreement to which the State is a party and under which a party to the agreement is authorised or required to carry out any mining operations pursuant to the agreement.</w:t>
      </w:r>
    </w:p>
    <w:p>
      <w:pPr>
        <w:pStyle w:val="Subsection"/>
        <w:rPr>
          <w:snapToGrid w:val="0"/>
        </w:rPr>
      </w:pPr>
      <w:r>
        <w:rPr>
          <w:snapToGrid w:val="0"/>
        </w:rPr>
        <w:tab/>
        <w:t>(2)</w:t>
      </w:r>
      <w:r>
        <w:rPr>
          <w:snapToGrid w:val="0"/>
        </w:rPr>
        <w:tab/>
        <w:t>Notwithstanding anything in the Second Schedule, a party to an agreement referred to in subsection (1) —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pPr>
      <w:r>
        <w:tab/>
        <w:t xml:space="preserve">[Section 5 amended by No. 69 of 1981 s. 5.] </w:t>
      </w:r>
    </w:p>
    <w:p>
      <w:pPr>
        <w:pStyle w:val="Heading5"/>
        <w:rPr>
          <w:snapToGrid w:val="0"/>
        </w:rPr>
      </w:pPr>
      <w:bookmarkStart w:id="32" w:name="_Toc520087884"/>
      <w:bookmarkStart w:id="33" w:name="_Toc523620519"/>
      <w:bookmarkStart w:id="34" w:name="_Toc38853670"/>
      <w:bookmarkStart w:id="35" w:name="_Toc122328410"/>
      <w:r>
        <w:rPr>
          <w:rStyle w:val="CharSectno"/>
        </w:rPr>
        <w:t>6</w:t>
      </w:r>
      <w:r>
        <w:rPr>
          <w:snapToGrid w:val="0"/>
        </w:rPr>
        <w:t>.</w:t>
      </w:r>
      <w:r>
        <w:rPr>
          <w:snapToGrid w:val="0"/>
        </w:rPr>
        <w:tab/>
        <w:t>Operation of this Act</w:t>
      </w:r>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keepNext/>
        <w:keepLines/>
        <w:rPr>
          <w:snapToGrid w:val="0"/>
        </w:rPr>
      </w:pPr>
      <w:r>
        <w:rPr>
          <w:snapToGrid w:val="0"/>
        </w:rPr>
        <w:tab/>
        <w:t>(2)</w:t>
      </w:r>
      <w:r>
        <w:rPr>
          <w:snapToGrid w:val="0"/>
        </w:rPr>
        <w:tab/>
        <w:t>Notwithstanding anything in this Act — </w:t>
      </w:r>
    </w:p>
    <w:p>
      <w:pPr>
        <w:pStyle w:val="Indenta"/>
        <w:keepNext/>
        <w:rPr>
          <w:snapToGrid w:val="0"/>
        </w:rPr>
      </w:pPr>
      <w:r>
        <w:rPr>
          <w:snapToGrid w:val="0"/>
        </w:rPr>
        <w:tab/>
        <w:t>(a)</w:t>
      </w:r>
      <w:r>
        <w:rPr>
          <w:snapToGrid w:val="0"/>
        </w:rPr>
        <w:tab/>
        <w:t>a local government is not required to hold a mining tenement to —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Footnotesection"/>
      </w:pPr>
      <w:r>
        <w:tab/>
        <w:t xml:space="preserve">[Section 6 amended by No. 100 of 1985 s. 4; No. 77 of 1986 s. 8; No. 14 of 1996 s. 4.] </w:t>
      </w:r>
    </w:p>
    <w:p>
      <w:pPr>
        <w:pStyle w:val="Ednotesection"/>
        <w:spacing w:before="120"/>
        <w:ind w:left="890" w:hanging="890"/>
      </w:pPr>
      <w:r>
        <w:t>[</w:t>
      </w:r>
      <w:r>
        <w:rPr>
          <w:b/>
        </w:rPr>
        <w:t>7.</w:t>
      </w:r>
      <w:r>
        <w:t xml:space="preserve"> </w:t>
      </w:r>
      <w:r>
        <w:tab/>
      </w:r>
      <w:r>
        <w:tab/>
        <w:t xml:space="preserve">Repealed by No. 122 of 1982 s. 4.] </w:t>
      </w:r>
    </w:p>
    <w:p>
      <w:pPr>
        <w:pStyle w:val="Heading5"/>
        <w:spacing w:before="120"/>
        <w:rPr>
          <w:snapToGrid w:val="0"/>
        </w:rPr>
      </w:pPr>
      <w:bookmarkStart w:id="36" w:name="_Toc520087885"/>
      <w:bookmarkStart w:id="37" w:name="_Toc523620520"/>
      <w:bookmarkStart w:id="38" w:name="_Toc38853671"/>
      <w:bookmarkStart w:id="39" w:name="_Toc122328411"/>
      <w:r>
        <w:rPr>
          <w:rStyle w:val="CharSectno"/>
        </w:rPr>
        <w:t>8</w:t>
      </w:r>
      <w:r>
        <w:rPr>
          <w:snapToGrid w:val="0"/>
        </w:rPr>
        <w:t>.</w:t>
      </w:r>
      <w:r>
        <w:rPr>
          <w:snapToGrid w:val="0"/>
        </w:rPr>
        <w:tab/>
        <w:t>Interpretation</w:t>
      </w:r>
      <w:bookmarkEnd w:id="36"/>
      <w:bookmarkEnd w:id="37"/>
      <w:bookmarkEnd w:id="38"/>
      <w:bookmarkEnd w:id="39"/>
      <w:r>
        <w:rPr>
          <w:snapToGrid w:val="0"/>
        </w:rPr>
        <w:t xml:space="preserve"> </w:t>
      </w:r>
    </w:p>
    <w:p>
      <w:pPr>
        <w:pStyle w:val="Subsection"/>
        <w:spacing w:before="120"/>
        <w:rPr>
          <w:snapToGrid w:val="0"/>
        </w:rPr>
      </w:pPr>
      <w:r>
        <w:rPr>
          <w:snapToGrid w:val="0"/>
        </w:rPr>
        <w:tab/>
        <w:t>(1)</w:t>
      </w:r>
      <w:r>
        <w:rPr>
          <w:snapToGrid w:val="0"/>
        </w:rPr>
        <w:tab/>
        <w:t>In this Act, unless the contrary intention appears — </w:t>
      </w:r>
    </w:p>
    <w:p>
      <w:pPr>
        <w:pStyle w:val="Defstart"/>
        <w:spacing w:before="60"/>
      </w:pPr>
      <w:r>
        <w:rPr>
          <w:b/>
        </w:rPr>
        <w:tab/>
        <w:t>“</w:t>
      </w:r>
      <w:r>
        <w:rPr>
          <w:rStyle w:val="CharDefText"/>
        </w:rPr>
        <w:t>agricultural</w:t>
      </w:r>
      <w:r>
        <w:rPr>
          <w:b/>
        </w:rPr>
        <w:t>”</w:t>
      </w:r>
      <w:r>
        <w:t xml:space="preserve"> used in relation to the purposes for which land is occupied, includes cropping or pasturing purposes;</w:t>
      </w:r>
    </w:p>
    <w:p>
      <w:pPr>
        <w:pStyle w:val="Defstart"/>
        <w:spacing w:before="60"/>
      </w:pPr>
      <w:r>
        <w:rPr>
          <w:b/>
        </w:rPr>
        <w:tab/>
        <w:t>“</w:t>
      </w:r>
      <w:r>
        <w:rPr>
          <w:rStyle w:val="CharDefText"/>
        </w:rPr>
        <w:t>burial ground</w:t>
      </w:r>
      <w:r>
        <w:rPr>
          <w:b/>
        </w:rPr>
        <w:t>”</w:t>
      </w:r>
      <w:r>
        <w:t xml:space="preserve"> means an area of land reserved or demarcated exclusively for the purpose of burials;</w:t>
      </w:r>
    </w:p>
    <w:p>
      <w:pPr>
        <w:pStyle w:val="Defstart"/>
        <w:spacing w:before="60"/>
      </w:pPr>
      <w:r>
        <w:rPr>
          <w:b/>
        </w:rPr>
        <w:tab/>
        <w:t>“</w:t>
      </w:r>
      <w:r>
        <w:rPr>
          <w:rStyle w:val="CharDefText"/>
        </w:rPr>
        <w:t>commencing date</w:t>
      </w:r>
      <w:r>
        <w:rPr>
          <w:b/>
        </w:rPr>
        <w:t>”</w:t>
      </w:r>
      <w:r>
        <w:t xml:space="preserve"> means the date of the coming into operation of the provisions of this Act referred to in section 2(2)</w:t>
      </w:r>
      <w:r>
        <w:rPr>
          <w:vertAlign w:val="superscript"/>
        </w:rPr>
        <w:t xml:space="preserve"> 1</w:t>
      </w:r>
      <w:r>
        <w:t>;</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spacing w:before="60"/>
      </w:pPr>
      <w:r>
        <w:rPr>
          <w:b/>
        </w:rPr>
        <w:tab/>
        <w:t>“</w:t>
      </w:r>
      <w:r>
        <w:rPr>
          <w:rStyle w:val="CharDefText"/>
        </w:rPr>
        <w:t>Crown land</w:t>
      </w:r>
      <w:r>
        <w:rPr>
          <w:b/>
        </w:rPr>
        <w:t>”</w:t>
      </w:r>
      <w:r>
        <w:t xml:space="preserve"> means all land in the State, except — </w:t>
      </w:r>
    </w:p>
    <w:p>
      <w:pPr>
        <w:pStyle w:val="Defpara"/>
        <w:keepNext/>
        <w:spacing w:before="60"/>
      </w:pPr>
      <w:r>
        <w:tab/>
        <w:t>(a)</w:t>
      </w:r>
      <w:r>
        <w:tab/>
        <w:t>land that has been reserved for or dedicated to any public purpose other than — </w:t>
      </w:r>
    </w:p>
    <w:p>
      <w:pPr>
        <w:pStyle w:val="Defsubpara"/>
        <w:rPr>
          <w:snapToGrid w:val="0"/>
        </w:rPr>
      </w:pPr>
      <w:r>
        <w:rPr>
          <w:snapToGrid w:val="0"/>
        </w:rPr>
        <w:tab/>
        <w:t>(i)</w:t>
      </w:r>
      <w:r>
        <w:rPr>
          <w:snapToGrid w:val="0"/>
        </w:rPr>
        <w:tab/>
        <w:t>land reserved for mining or commons;</w:t>
      </w:r>
    </w:p>
    <w:p>
      <w:pPr>
        <w:pStyle w:val="Defsubpara"/>
        <w:rPr>
          <w:snapToGrid w:val="0"/>
        </w:rPr>
      </w:pPr>
      <w:r>
        <w:rPr>
          <w:snapToGrid w:val="0"/>
        </w:rPr>
        <w:tab/>
        <w:t>(ii)</w:t>
      </w:r>
      <w:r>
        <w:rPr>
          <w:snapToGrid w:val="0"/>
        </w:rPr>
        <w:tab/>
        <w:t xml:space="preserve">land reserved and designated for public utility for any purpose under the </w:t>
      </w:r>
      <w:r>
        <w:rPr>
          <w:i/>
          <w:snapToGrid w:val="0"/>
        </w:rPr>
        <w:t>Land Administration Act 1997</w:t>
      </w:r>
      <w:r>
        <w:rPr>
          <w:snapToGrid w:val="0"/>
        </w:rPr>
        <w:t>;</w:t>
      </w:r>
    </w:p>
    <w:p>
      <w:pPr>
        <w:pStyle w:val="Defpara"/>
        <w:rPr>
          <w:spacing w:val="-4"/>
        </w:rPr>
      </w:pPr>
      <w:r>
        <w:rPr>
          <w:spacing w:val="-4"/>
        </w:rPr>
        <w:tab/>
        <w:t>(b)</w:t>
      </w:r>
      <w:r>
        <w:rPr>
          <w:spacing w:val="-4"/>
        </w:rPr>
        <w:tab/>
        <w:t>land that has been lawfully granted or contracted to be granted in fee simple by or on behalf of the Crown;</w:t>
      </w:r>
    </w:p>
    <w:p>
      <w:pPr>
        <w:pStyle w:val="Defpara"/>
      </w:pPr>
      <w:r>
        <w:tab/>
        <w:t>(c)</w:t>
      </w:r>
      <w:r>
        <w:tab/>
        <w:t>land that is subject to any lease granted by or on behalf of the Crown other than —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Defsubpara"/>
        <w:rPr>
          <w:snapToGrid w:val="0"/>
        </w:rPr>
      </w:pPr>
      <w:r>
        <w:rPr>
          <w:snapToGrid w:val="0"/>
        </w:rPr>
        <w:tab/>
        <w:t>(ii)</w:t>
      </w:r>
      <w:r>
        <w:rPr>
          <w:snapToGrid w:val="0"/>
        </w:rPr>
        <w:tab/>
        <w:t>a lease for timber purposes; or</w:t>
      </w:r>
    </w:p>
    <w:p>
      <w:pPr>
        <w:pStyle w:val="Defsubpara"/>
      </w:pPr>
      <w:r>
        <w:rPr>
          <w:snapToGrid w:val="0"/>
        </w:rPr>
        <w:tab/>
        <w:t>(iii)</w:t>
      </w:r>
      <w:r>
        <w:rPr>
          <w:snapToGrid w:val="0"/>
        </w:rP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spacing w:before="60"/>
      </w:pPr>
      <w:r>
        <w:rPr>
          <w:b/>
        </w:rPr>
        <w:tab/>
        <w:t>“</w:t>
      </w:r>
      <w:r>
        <w:rPr>
          <w:rStyle w:val="CharDefText"/>
        </w:rPr>
        <w:t>dam</w:t>
      </w:r>
      <w:r>
        <w:rPr>
          <w:b/>
        </w:rPr>
        <w:t>”</w:t>
      </w:r>
      <w:r>
        <w:t xml:space="preserve"> means any accumulation or storage of water, whether natural or artificial;</w:t>
      </w:r>
    </w:p>
    <w:p>
      <w:pPr>
        <w:pStyle w:val="Defstart"/>
        <w:spacing w:before="60"/>
      </w:pPr>
      <w:r>
        <w:rPr>
          <w:b/>
        </w:rPr>
        <w:tab/>
        <w:t>“</w:t>
      </w:r>
      <w:r>
        <w:rPr>
          <w:rStyle w:val="CharDefText"/>
        </w:rPr>
        <w:t>damage</w:t>
      </w:r>
      <w:r>
        <w:rPr>
          <w:b/>
        </w:rPr>
        <w:t>”</w:t>
      </w:r>
      <w:r>
        <w:t>, in relation to agricultural land, includes the disturbance of stock and any proper cost reasonably incurred for the purpose of rectifying that disturbance;</w:t>
      </w:r>
    </w:p>
    <w:p>
      <w:pPr>
        <w:pStyle w:val="Defstart"/>
        <w:spacing w:before="60"/>
      </w:pPr>
      <w:r>
        <w:rPr>
          <w:b/>
        </w:rPr>
        <w:tab/>
        <w:t>“</w:t>
      </w:r>
      <w:r>
        <w:rPr>
          <w:rStyle w:val="CharDefText"/>
        </w:rPr>
        <w:t>Director General of Mines</w:t>
      </w:r>
      <w:r>
        <w:rPr>
          <w:b/>
        </w:rPr>
        <w:t>”</w:t>
      </w:r>
      <w:r>
        <w:t xml:space="preserve"> means the person for the time being holding or acting in the office of chief executive officer of the Department;</w:t>
      </w:r>
    </w:p>
    <w:p>
      <w:pPr>
        <w:pStyle w:val="Defstart"/>
        <w:spacing w:before="60"/>
      </w:pPr>
      <w:r>
        <w:rPr>
          <w:b/>
        </w:rPr>
        <w:tab/>
        <w:t>“</w:t>
      </w:r>
      <w:r>
        <w:rPr>
          <w:rStyle w:val="CharDefText"/>
        </w:rPr>
        <w:t>expenditure conditions</w:t>
      </w:r>
      <w:r>
        <w:rPr>
          <w:b/>
        </w:rPr>
        <w:t>”</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spacing w:before="60"/>
      </w:pPr>
      <w:r>
        <w:rPr>
          <w:b/>
        </w:rPr>
        <w:tab/>
        <w:t>“</w:t>
      </w:r>
      <w:r>
        <w:rPr>
          <w:rStyle w:val="CharDefText"/>
        </w:rPr>
        <w:t>fossick</w:t>
      </w:r>
      <w:r>
        <w:rPr>
          <w:b/>
        </w:rPr>
        <w:t>”</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spacing w:before="60"/>
      </w:pPr>
      <w:r>
        <w:rPr>
          <w:b/>
        </w:rPr>
        <w:tab/>
        <w:t>“</w:t>
      </w:r>
      <w:r>
        <w:rPr>
          <w:rStyle w:val="CharDefText"/>
        </w:rPr>
        <w:t>land</w:t>
      </w:r>
      <w:r>
        <w:rPr>
          <w:b/>
        </w:rPr>
        <w:t>”</w:t>
      </w:r>
      <w:r>
        <w:t xml:space="preserve"> includes water; and also includes the foreshore and the sea bed within the meaning of section 25;</w:t>
      </w:r>
    </w:p>
    <w:p>
      <w:pPr>
        <w:pStyle w:val="Defstart"/>
      </w:pPr>
      <w:r>
        <w:rPr>
          <w:b/>
        </w:rPr>
        <w:tab/>
        <w:t>“</w:t>
      </w:r>
      <w:r>
        <w:rPr>
          <w:rStyle w:val="CharDefText"/>
        </w:rPr>
        <w:t>land under cultivation</w:t>
      </w:r>
      <w:r>
        <w:rPr>
          <w:b/>
        </w:rPr>
        <w:t>”</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t>“</w:t>
      </w:r>
      <w:r>
        <w:rPr>
          <w:rStyle w:val="CharDefText"/>
        </w:rPr>
        <w:t>lapidary work</w:t>
      </w:r>
      <w:r>
        <w:rPr>
          <w:b/>
        </w:rPr>
        <w:t>”</w:t>
      </w:r>
      <w:r>
        <w:t xml:space="preserve"> includes the selection, cutting, polishing, engraving and setting of rock or other minerals;</w:t>
      </w:r>
    </w:p>
    <w:p>
      <w:pPr>
        <w:pStyle w:val="Defstart"/>
      </w:pPr>
      <w:r>
        <w:rPr>
          <w:b/>
        </w:rPr>
        <w:tab/>
        <w:t>“</w:t>
      </w:r>
      <w:r>
        <w:rPr>
          <w:rStyle w:val="CharDefText"/>
        </w:rPr>
        <w:t>listed public company</w:t>
      </w:r>
      <w:r>
        <w:rPr>
          <w:b/>
        </w:rPr>
        <w:t>”</w:t>
      </w:r>
      <w:r>
        <w:t xml:space="preserve"> means a corporation that is a listed corporation within the meaning of that expression in the Corporations Act;</w:t>
      </w:r>
    </w:p>
    <w:p>
      <w:pPr>
        <w:pStyle w:val="Defstart"/>
      </w:pPr>
      <w:r>
        <w:rPr>
          <w:b/>
        </w:rPr>
        <w:tab/>
        <w:t>“</w:t>
      </w:r>
      <w:r>
        <w:rPr>
          <w:rStyle w:val="CharDefText"/>
        </w:rPr>
        <w:t>local government</w:t>
      </w:r>
      <w:r>
        <w:rPr>
          <w:b/>
        </w:rPr>
        <w:t>”</w:t>
      </w:r>
      <w:r>
        <w:t xml:space="preserve"> means the local government of the district in which the matter in relation to which the term is used, arose or is situated;</w:t>
      </w:r>
    </w:p>
    <w:p>
      <w:pPr>
        <w:pStyle w:val="Defstart"/>
      </w:pPr>
      <w:r>
        <w:rPr>
          <w:b/>
        </w:rPr>
        <w:tab/>
        <w:t>“</w:t>
      </w:r>
      <w:r>
        <w:rPr>
          <w:rStyle w:val="CharDefText"/>
        </w:rPr>
        <w:t>machinery</w:t>
      </w:r>
      <w:r>
        <w:rPr>
          <w:b/>
        </w:rPr>
        <w:t>”</w:t>
      </w:r>
      <w:r>
        <w:t xml:space="preserve"> includes all mechanical appliances of whatever kind used or intended to be used for any mining purpose;</w:t>
      </w:r>
    </w:p>
    <w:p>
      <w:pPr>
        <w:pStyle w:val="Defstart"/>
      </w:pPr>
      <w:r>
        <w:rPr>
          <w:b/>
        </w:rPr>
        <w:tab/>
        <w:t>“</w:t>
      </w:r>
      <w:r>
        <w:rPr>
          <w:rStyle w:val="CharDefText"/>
        </w:rPr>
        <w:t>marine management area</w:t>
      </w:r>
      <w:r>
        <w:rPr>
          <w:b/>
        </w:rPr>
        <w:t>”</w:t>
      </w:r>
      <w:r>
        <w:t xml:space="preserve">, </w:t>
      </w:r>
      <w:r>
        <w:rPr>
          <w:b/>
        </w:rPr>
        <w:t>“</w:t>
      </w:r>
      <w:r>
        <w:rPr>
          <w:rStyle w:val="CharDefText"/>
        </w:rPr>
        <w:t>marine nature reserve</w:t>
      </w:r>
      <w:r>
        <w:rPr>
          <w:b/>
        </w:rPr>
        <w:t>”</w:t>
      </w:r>
      <w:r>
        <w:t xml:space="preserve"> and </w:t>
      </w:r>
      <w:r>
        <w:rPr>
          <w:b/>
        </w:rPr>
        <w:t>“</w:t>
      </w:r>
      <w:r>
        <w:rPr>
          <w:rStyle w:val="CharDefText"/>
        </w:rPr>
        <w:t>marine park</w:t>
      </w:r>
      <w:r>
        <w:rPr>
          <w:b/>
        </w:rPr>
        <w:t>”</w:t>
      </w:r>
      <w:r>
        <w:t xml:space="preserve"> have the meanings given to them by the </w:t>
      </w:r>
      <w:r>
        <w:rPr>
          <w:i/>
        </w:rPr>
        <w:t>Conservation and Land Management Act 1984</w:t>
      </w:r>
      <w:r>
        <w:t>;</w:t>
      </w:r>
    </w:p>
    <w:p>
      <w:pPr>
        <w:pStyle w:val="Defstart"/>
      </w:pPr>
      <w:r>
        <w:rPr>
          <w:b/>
        </w:rPr>
        <w:tab/>
        <w:t>“</w:t>
      </w:r>
      <w:r>
        <w:rPr>
          <w:rStyle w:val="CharDefText"/>
        </w:rPr>
        <w:t>mine</w:t>
      </w:r>
      <w:r>
        <w:rPr>
          <w:b/>
        </w:rPr>
        <w:t>”</w:t>
      </w:r>
      <w:r>
        <w:t>, as a noun, means any place in, on or under which mining operations are carried on;</w:t>
      </w:r>
    </w:p>
    <w:p>
      <w:pPr>
        <w:pStyle w:val="Defstart"/>
      </w:pPr>
      <w:r>
        <w:rPr>
          <w:b/>
        </w:rPr>
        <w:tab/>
        <w:t>“</w:t>
      </w:r>
      <w:r>
        <w:rPr>
          <w:rStyle w:val="CharDefText"/>
        </w:rPr>
        <w:t>mine</w:t>
      </w:r>
      <w:r>
        <w:rPr>
          <w:b/>
        </w:rPr>
        <w:t>”</w:t>
      </w:r>
      <w:r>
        <w:t>, as a verb, includes any manner or method of mining operations;</w:t>
      </w:r>
    </w:p>
    <w:p>
      <w:pPr>
        <w:pStyle w:val="Defstart"/>
      </w:pPr>
      <w:r>
        <w:tab/>
      </w:r>
      <w:r>
        <w:rPr>
          <w:b/>
        </w:rPr>
        <w:t>“</w:t>
      </w:r>
      <w:r>
        <w:rPr>
          <w:rStyle w:val="CharDefText"/>
        </w:rPr>
        <w:t>minerals</w:t>
      </w:r>
      <w:r>
        <w:rPr>
          <w:b/>
        </w:rPr>
        <w:t>”</w:t>
      </w:r>
      <w:r>
        <w:t xml:space="preserve"> means naturally occurring substances obtained or obtainable from any land by mining operations carried out on or under the surface of the land, but does not include —</w:t>
      </w:r>
    </w:p>
    <w:p>
      <w:pPr>
        <w:pStyle w:val="Defpara"/>
      </w:pPr>
      <w:r>
        <w:tab/>
        <w:t>(a)</w:t>
      </w:r>
      <w:r>
        <w:tab/>
        <w:t>soil;</w:t>
      </w:r>
    </w:p>
    <w:p>
      <w:pPr>
        <w:pStyle w:val="Defpara"/>
      </w:pPr>
      <w:r>
        <w:tab/>
        <w:t>(b)</w:t>
      </w:r>
      <w:r>
        <w:tab/>
        <w:t xml:space="preserve">a substance the recovery of which is governed by the </w:t>
      </w:r>
      <w:r>
        <w:rPr>
          <w:i/>
        </w:rPr>
        <w:t>Petroleum Act 1967</w:t>
      </w:r>
      <w:r>
        <w:t xml:space="preserve"> or the </w:t>
      </w:r>
      <w:r>
        <w:rPr>
          <w:i/>
        </w:rPr>
        <w:t>Petroleum (Submerged Lands) Act 1982</w:t>
      </w:r>
      <w:r>
        <w:t>;</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w:t>
      </w:r>
    </w:p>
    <w:p>
      <w:pPr>
        <w:pStyle w:val="Defsubpara"/>
      </w:pPr>
      <w:r>
        <w:tab/>
        <w:t>(ii)</w:t>
      </w:r>
      <w:r>
        <w:tab/>
        <w:t>shale, other than oil shale;</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rPr>
          <w:b/>
        </w:rPr>
        <w:tab/>
        <w:t>“</w:t>
      </w:r>
      <w:r>
        <w:rPr>
          <w:rStyle w:val="CharDefText"/>
        </w:rPr>
        <w:t>mineral field</w:t>
      </w:r>
      <w:r>
        <w:rPr>
          <w:b/>
        </w:rPr>
        <w:t>”</w:t>
      </w:r>
      <w:r>
        <w:t xml:space="preserve"> means a mineral field constituted under this Act or deemed so to be;</w:t>
      </w:r>
    </w:p>
    <w:p>
      <w:pPr>
        <w:pStyle w:val="Defstart"/>
      </w:pPr>
      <w:r>
        <w:rPr>
          <w:b/>
        </w:rPr>
        <w:tab/>
        <w:t>“</w:t>
      </w:r>
      <w:r>
        <w:rPr>
          <w:rStyle w:val="CharDefText"/>
        </w:rPr>
        <w:t>mining</w:t>
      </w:r>
      <w:r>
        <w:rPr>
          <w:b/>
        </w:rPr>
        <w:t>”</w:t>
      </w:r>
      <w:r>
        <w:t xml:space="preserve"> includes fossicking, prospecting and exploring for minerals, and mining operations;</w:t>
      </w:r>
    </w:p>
    <w:p>
      <w:pPr>
        <w:pStyle w:val="Defstart"/>
      </w:pPr>
      <w:r>
        <w:rPr>
          <w:b/>
        </w:rPr>
        <w:tab/>
        <w:t>“</w:t>
      </w:r>
      <w:r>
        <w:rPr>
          <w:rStyle w:val="CharDefText"/>
        </w:rPr>
        <w:t>mining operations</w:t>
      </w:r>
      <w:r>
        <w:rPr>
          <w:b/>
        </w:rPr>
        <w:t>”</w:t>
      </w:r>
      <w:r>
        <w:t xml:space="preserve"> means any mode or method of working whereby the earth or any rock structure stone fluid or mineral bearing substance may be disturbed removed washed sifted crushed leached roasted distilled evaporated smelted or refined or dealt with for the purpose of obtaining any mineral therefrom whether it has been previously disturbed or not and includes — </w:t>
      </w:r>
    </w:p>
    <w:p>
      <w:pPr>
        <w:pStyle w:val="Defpara"/>
      </w:pPr>
      <w:r>
        <w:tab/>
        <w:t>(a)</w:t>
      </w:r>
      <w:r>
        <w:tab/>
        <w:t>the removal of overburden by mechanical or other means and the stacking, deposit, storage and treatment of any substance considered to contain any mineral;</w:t>
      </w:r>
    </w:p>
    <w:p>
      <w:pPr>
        <w:pStyle w:val="Defpara"/>
      </w:pPr>
      <w:r>
        <w:tab/>
        <w:t>(b)</w:t>
      </w:r>
      <w:r>
        <w:tab/>
        <w:t>operations by means of which salt or other evaporites may be harvested;</w:t>
      </w:r>
    </w:p>
    <w:p>
      <w:pPr>
        <w:pStyle w:val="Defpara"/>
      </w:pPr>
      <w:r>
        <w:tab/>
        <w:t>(c)</w:t>
      </w:r>
      <w:r>
        <w:tab/>
        <w:t>operations by means of which mineral is recovered from the sea or a natural water supply; and</w:t>
      </w:r>
    </w:p>
    <w:p>
      <w:pPr>
        <w:pStyle w:val="Defpara"/>
      </w:pPr>
      <w:r>
        <w:tab/>
        <w:t>(d)</w:t>
      </w:r>
      <w:r>
        <w:tab/>
        <w:t>the doing of all lawful acts incident or conducive to any such operation or purposes;</w:t>
      </w:r>
    </w:p>
    <w:p>
      <w:pPr>
        <w:pStyle w:val="Defstart"/>
      </w:pPr>
      <w:r>
        <w:rPr>
          <w:b/>
        </w:rPr>
        <w:tab/>
        <w:t>“</w:t>
      </w:r>
      <w:r>
        <w:rPr>
          <w:rStyle w:val="CharDefText"/>
        </w:rPr>
        <w:t>mining product</w:t>
      </w:r>
      <w:r>
        <w:rPr>
          <w:b/>
        </w:rPr>
        <w:t>”</w:t>
      </w:r>
      <w:r>
        <w:t xml:space="preserve"> means any material won from land by mining;</w:t>
      </w:r>
    </w:p>
    <w:p>
      <w:pPr>
        <w:pStyle w:val="Defstart"/>
      </w:pPr>
      <w:r>
        <w:rPr>
          <w:b/>
        </w:rPr>
        <w:tab/>
        <w:t>“</w:t>
      </w:r>
      <w:r>
        <w:rPr>
          <w:rStyle w:val="CharDefText"/>
        </w:rPr>
        <w:t>mining registrar</w:t>
      </w:r>
      <w:r>
        <w:rPr>
          <w:b/>
        </w:rPr>
        <w:t>”</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t>“</w:t>
      </w:r>
      <w:r>
        <w:rPr>
          <w:rStyle w:val="CharDefText"/>
        </w:rPr>
        <w:t>mining tenement</w:t>
      </w:r>
      <w:r>
        <w:rPr>
          <w:b/>
        </w:rPr>
        <w: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t>“</w:t>
      </w:r>
      <w:r>
        <w:rPr>
          <w:rStyle w:val="CharDefText"/>
        </w:rPr>
        <w:t>occupier</w:t>
      </w:r>
      <w:r>
        <w:rPr>
          <w:b/>
        </w:rPr>
        <w:t>”</w:t>
      </w:r>
      <w:r>
        <w:t xml:space="preserve"> in relation to any land includes any person in actual occupation of the land under any lawful title granted by or derived from the owner of the land;</w:t>
      </w:r>
    </w:p>
    <w:p>
      <w:pPr>
        <w:pStyle w:val="Defstart"/>
      </w:pPr>
      <w:r>
        <w:rPr>
          <w:b/>
        </w:rPr>
        <w:tab/>
        <w:t>“</w:t>
      </w:r>
      <w:r>
        <w:rPr>
          <w:rStyle w:val="CharDefText"/>
        </w:rPr>
        <w:t>oil shale</w:t>
      </w:r>
      <w:r>
        <w:rPr>
          <w:b/>
        </w:rPr>
        <w:t>”</w:t>
      </w:r>
      <w:r>
        <w:t xml:space="preserve"> includes naturally occurring hydrocarbons that are or may be contained in rocks from which they cannot be recovered otherwise than by mining those rocks as oil shale;</w:t>
      </w:r>
    </w:p>
    <w:p>
      <w:pPr>
        <w:pStyle w:val="Defstart"/>
        <w:keepNext/>
      </w:pPr>
      <w:r>
        <w:rPr>
          <w:b/>
        </w:rPr>
        <w:tab/>
        <w:t>“</w:t>
      </w:r>
      <w:r>
        <w:rPr>
          <w:rStyle w:val="CharDefText"/>
        </w:rPr>
        <w:t>owner</w:t>
      </w:r>
      <w:r>
        <w:rPr>
          <w:b/>
        </w:rPr>
        <w:t>”</w:t>
      </w:r>
      <w:r>
        <w:t xml:space="preserve"> in relation to any land means —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w:t>
      </w:r>
    </w:p>
    <w:p>
      <w:pPr>
        <w:pStyle w:val="Defpara"/>
      </w:pPr>
      <w:r>
        <w:tab/>
        <w:t>(b)</w:t>
      </w:r>
      <w:r>
        <w:tab/>
        <w:t>the lessee or licensee from the Crown in respect thereof;</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t>“</w:t>
      </w:r>
      <w:r>
        <w:rPr>
          <w:rStyle w:val="CharDefText"/>
        </w:rPr>
        <w:t>private land</w:t>
      </w:r>
      <w:r>
        <w:rPr>
          <w:b/>
        </w:rPr>
        <w:t>”</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rPr>
          <w:b/>
        </w:rPr>
        <w:tab/>
        <w:t>“</w:t>
      </w:r>
      <w:r>
        <w:rPr>
          <w:rStyle w:val="CharDefText"/>
        </w:rPr>
        <w:t>public purpose</w:t>
      </w:r>
      <w:r>
        <w:rPr>
          <w:b/>
        </w:rPr>
        <w:t>”</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b/>
        </w:rPr>
        <w:t>“</w:t>
      </w:r>
      <w:r>
        <w:rPr>
          <w:rStyle w:val="CharDefText"/>
        </w:rPr>
        <w:t>related</w:t>
      </w:r>
      <w:r>
        <w:rPr>
          <w:b/>
        </w:rPr>
        <w:t>”</w:t>
      </w:r>
      <w:r>
        <w:t xml:space="preserve"> has a meaning affected by subsection (4);</w:t>
      </w:r>
    </w:p>
    <w:p>
      <w:pPr>
        <w:pStyle w:val="Defstart"/>
      </w:pPr>
      <w:r>
        <w:rPr>
          <w:b/>
        </w:rPr>
        <w:tab/>
        <w:t>“</w:t>
      </w:r>
      <w:r>
        <w:rPr>
          <w:rStyle w:val="CharDefText"/>
        </w:rPr>
        <w:t>the Department</w:t>
      </w:r>
      <w:r>
        <w:rPr>
          <w:b/>
        </w:rPr>
        <w:t>”</w:t>
      </w:r>
      <w:r>
        <w:t xml:space="preserve"> means the department of the Public Service of the State principally assisting the Minister in the administration of this Act;</w:t>
      </w:r>
    </w:p>
    <w:p>
      <w:pPr>
        <w:pStyle w:val="Defstart"/>
      </w:pPr>
      <w:r>
        <w:rPr>
          <w:b/>
        </w:rPr>
        <w:tab/>
        <w:t>“</w:t>
      </w:r>
      <w:r>
        <w:rPr>
          <w:rStyle w:val="CharDefText"/>
        </w:rPr>
        <w:t>the office of the mining registrar</w:t>
      </w:r>
      <w:r>
        <w:rPr>
          <w:b/>
        </w:rPr>
        <w:t>”</w:t>
      </w:r>
      <w:r>
        <w:t xml:space="preserve"> means — </w:t>
      </w:r>
    </w:p>
    <w:p>
      <w:pPr>
        <w:pStyle w:val="Defpara"/>
      </w:pPr>
      <w:r>
        <w:tab/>
        <w:t>(a)</w:t>
      </w:r>
      <w:r>
        <w:tab/>
        <w:t>in relation to the lodging of an application for a mining tenement, the office of the mining registrar of the mineral field or district in which the largest portion of the land to which the application relates is situated;</w:t>
      </w:r>
    </w:p>
    <w:p>
      <w:pPr>
        <w:pStyle w:val="Defpara"/>
      </w:pPr>
      <w:r>
        <w:tab/>
        <w:t>(b)</w:t>
      </w:r>
      <w:r>
        <w:tab/>
        <w:t>in relation to the lodging of an agreement, claim, notice of objection, security or any other thing in respect of a mining tenement, the office of the mining registrar of the mineral field or district to which the application for that mining tenement has been assigned;</w:t>
      </w:r>
    </w:p>
    <w:p>
      <w:pPr>
        <w:pStyle w:val="Defstart"/>
        <w:spacing w:before="60"/>
      </w:pPr>
      <w:r>
        <w:rPr>
          <w:b/>
        </w:rPr>
        <w:tab/>
        <w:t>“</w:t>
      </w:r>
      <w:r>
        <w:rPr>
          <w:rStyle w:val="CharDefText"/>
        </w:rPr>
        <w:t>the repealed Act</w:t>
      </w:r>
      <w:r>
        <w:rPr>
          <w:b/>
        </w:rPr>
        <w:t>”</w:t>
      </w:r>
      <w:r>
        <w:t xml:space="preserve"> means the </w:t>
      </w:r>
      <w:r>
        <w:rPr>
          <w:i/>
        </w:rPr>
        <w:t>Mining Act 1904</w:t>
      </w:r>
      <w:r>
        <w:t xml:space="preserve"> </w:t>
      </w:r>
      <w:r>
        <w:rPr>
          <w:vertAlign w:val="superscript"/>
        </w:rPr>
        <w:t>3</w:t>
      </w:r>
      <w:r>
        <w:t>;</w:t>
      </w:r>
    </w:p>
    <w:p>
      <w:pPr>
        <w:pStyle w:val="Defstart"/>
        <w:spacing w:before="60"/>
      </w:pPr>
      <w:r>
        <w:rPr>
          <w:b/>
        </w:rPr>
        <w:tab/>
        <w:t>“</w:t>
      </w:r>
      <w:r>
        <w:rPr>
          <w:rStyle w:val="CharDefText"/>
        </w:rPr>
        <w:t>the warden</w:t>
      </w:r>
      <w:r>
        <w:rPr>
          <w:b/>
        </w:rPr>
        <w:t>”</w:t>
      </w:r>
      <w:r>
        <w:t xml:space="preserve"> or </w:t>
      </w:r>
      <w:r>
        <w:rPr>
          <w:b/>
        </w:rPr>
        <w:t>“</w:t>
      </w:r>
      <w:r>
        <w:rPr>
          <w:rStyle w:val="CharDefText"/>
        </w:rPr>
        <w:t>the mining registrar</w:t>
      </w:r>
      <w:r>
        <w:rPr>
          <w:b/>
        </w:rPr>
        <w:t>”</w:t>
      </w:r>
      <w:r>
        <w:t xml:space="preserve"> means the warden or the mining registrar of the mineral field or district thereof in which the subject matter in relation to which the term is used arose or is;</w:t>
      </w:r>
    </w:p>
    <w:p>
      <w:pPr>
        <w:pStyle w:val="Defstart"/>
        <w:spacing w:before="60"/>
      </w:pPr>
      <w:r>
        <w:rPr>
          <w:b/>
        </w:rPr>
        <w:tab/>
        <w:t>“</w:t>
      </w:r>
      <w:r>
        <w:rPr>
          <w:rStyle w:val="CharDefText"/>
        </w:rPr>
        <w:t>vehicle</w:t>
      </w:r>
      <w:r>
        <w:rPr>
          <w:b/>
        </w:rPr>
        <w:t>”</w:t>
      </w:r>
      <w:r>
        <w:t xml:space="preserve"> includes an aircraft, helicopter or air cushion vehicle;</w:t>
      </w:r>
    </w:p>
    <w:p>
      <w:pPr>
        <w:pStyle w:val="Defstart"/>
        <w:spacing w:before="60"/>
      </w:pPr>
      <w:r>
        <w:rPr>
          <w:b/>
        </w:rPr>
        <w:tab/>
        <w:t>“</w:t>
      </w:r>
      <w:r>
        <w:rPr>
          <w:rStyle w:val="CharDefText"/>
        </w:rPr>
        <w:t>warden</w:t>
      </w:r>
      <w:r>
        <w:rPr>
          <w:b/>
        </w:rPr>
        <w:t>”</w:t>
      </w:r>
      <w:r>
        <w:t xml:space="preserve"> means a warden of mines appointed in accordance with this Act or deemed so to be and includes a person appointed to be an acting warden;</w:t>
      </w:r>
    </w:p>
    <w:p>
      <w:pPr>
        <w:pStyle w:val="Defstart"/>
        <w:spacing w:before="60"/>
      </w:pPr>
      <w:r>
        <w:rPr>
          <w:b/>
        </w:rPr>
        <w:tab/>
        <w:t>“</w:t>
      </w:r>
      <w:r>
        <w:rPr>
          <w:rStyle w:val="CharDefText"/>
        </w:rPr>
        <w:t>warden’s court</w:t>
      </w:r>
      <w:r>
        <w:rPr>
          <w:b/>
        </w:rPr>
        <w:t>”</w:t>
      </w:r>
      <w:r>
        <w:t xml:space="preserve"> means the warden’s court constituted under this Act or deemed so to be for the mineral field or district thereof in which the subject matter in relation to which the term is used arose or is.</w:t>
      </w:r>
    </w:p>
    <w:p>
      <w:pPr>
        <w:pStyle w:val="Subsection"/>
        <w:spacing w:before="120"/>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snapToGrid w:val="0"/>
        </w:rPr>
        <w:t>Petroleum Act 1967</w:t>
      </w:r>
      <w:r>
        <w:rPr>
          <w:snapToGrid w:val="0"/>
        </w:rPr>
        <w:t xml:space="preserve"> and his decision in the matter shall be final.</w:t>
      </w:r>
    </w:p>
    <w:p>
      <w:pPr>
        <w:pStyle w:val="Subsection"/>
        <w:spacing w:before="120"/>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pPr>
      <w:r>
        <w:tab/>
        <w:t>(4)</w:t>
      </w:r>
      <w:r>
        <w:tab/>
        <w:t>For the purposes of this Act a person is related to —</w:t>
      </w:r>
    </w:p>
    <w:p>
      <w:pPr>
        <w:pStyle w:val="Indenta"/>
      </w:pPr>
      <w:r>
        <w:tab/>
        <w:t>(a)</w:t>
      </w:r>
      <w:r>
        <w:tab/>
        <w:t xml:space="preserve">an individual, if the person is — </w:t>
      </w:r>
    </w:p>
    <w:p>
      <w:pPr>
        <w:pStyle w:val="Indenti"/>
      </w:pPr>
      <w:r>
        <w:tab/>
        <w:t>(i)</w:t>
      </w:r>
      <w:r>
        <w:tab/>
        <w:t>a spouse or de facto partner;</w:t>
      </w:r>
    </w:p>
    <w:p>
      <w:pPr>
        <w:pStyle w:val="Indenti"/>
      </w:pPr>
      <w:r>
        <w:tab/>
        <w:t>(ii)</w:t>
      </w:r>
      <w:r>
        <w:tab/>
        <w:t>a parent, grandparent or great-grandparent;</w:t>
      </w:r>
    </w:p>
    <w:p>
      <w:pPr>
        <w:pStyle w:val="Indenti"/>
      </w:pPr>
      <w:r>
        <w:tab/>
        <w:t>(iii)</w:t>
      </w:r>
      <w:r>
        <w:tab/>
        <w:t>a child, grandchild or great-grandchild;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w:t>
      </w:r>
    </w:p>
    <w:p>
      <w:pPr>
        <w:pStyle w:val="Indenta"/>
      </w:pPr>
      <w:r>
        <w:tab/>
        <w:t>(b)</w:t>
      </w:r>
      <w:r>
        <w:tab/>
        <w:t>a body corporate, if the person is a related entity (as defined in section 9 of the Corporations Act) in relation to the body corporate.</w:t>
      </w:r>
    </w:p>
    <w:p>
      <w:pPr>
        <w:pStyle w:val="Footnotesection"/>
      </w:pPr>
      <w:r>
        <w:tab/>
        <w:t xml:space="preserve">[Section 8 amended by No. 69 of 1981 s. 6; No. 122 of 1982 s. 5; No. 100 of 1985 s. 5; No. 105 of 1986 s. 7; No. 22 of 1990 s. 4; No. 37 of 1993 s. 10(2), 12(2), 26 and 27; No. 14 of 1996 s. 4; No. 5 of 1997 s. 40; No. 31 of 1997 s. 71(1) and 141; No. 10 of 2001 s. 130; No. 15 of 2002 s. 4; No. 28 of 2003 s. 152.] </w:t>
      </w:r>
    </w:p>
    <w:p>
      <w:pPr>
        <w:pStyle w:val="Heading5"/>
        <w:spacing w:before="120"/>
        <w:rPr>
          <w:snapToGrid w:val="0"/>
        </w:rPr>
      </w:pPr>
      <w:bookmarkStart w:id="40" w:name="_Toc520087886"/>
      <w:bookmarkStart w:id="41" w:name="_Toc523620521"/>
      <w:bookmarkStart w:id="42" w:name="_Toc38853672"/>
      <w:bookmarkStart w:id="43" w:name="_Toc122328412"/>
      <w:r>
        <w:rPr>
          <w:rStyle w:val="CharSectno"/>
        </w:rPr>
        <w:t>8A</w:t>
      </w:r>
      <w:r>
        <w:rPr>
          <w:snapToGrid w:val="0"/>
        </w:rPr>
        <w:t>.</w:t>
      </w:r>
      <w:r>
        <w:rPr>
          <w:snapToGrid w:val="0"/>
        </w:rPr>
        <w:tab/>
        <w:t>Rights in respect of oil shale or coal</w:t>
      </w:r>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snapToGrid w:val="0"/>
        </w:rPr>
        <w:t>Petroleum Act 1967</w:t>
      </w:r>
      <w:r>
        <w:rPr>
          <w:snapToGrid w:val="0"/>
        </w:rPr>
        <w:t xml:space="preserve"> does not confer on the holder of that mining tenement any rights in respect of oil shale or coal.</w:t>
      </w:r>
    </w:p>
    <w:p>
      <w:pPr>
        <w:pStyle w:val="Subsection"/>
        <w:spacing w:before="100"/>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spacing w:before="100"/>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pPr>
      <w:r>
        <w:tab/>
        <w:t xml:space="preserve">[Section 8A inserted by No. 69 of 1981 s. 7.] </w:t>
      </w:r>
    </w:p>
    <w:p>
      <w:pPr>
        <w:pStyle w:val="Heading5"/>
        <w:spacing w:before="120"/>
        <w:rPr>
          <w:snapToGrid w:val="0"/>
        </w:rPr>
      </w:pPr>
      <w:bookmarkStart w:id="44" w:name="_Toc520087887"/>
      <w:bookmarkStart w:id="45" w:name="_Toc523620522"/>
      <w:bookmarkStart w:id="46" w:name="_Toc38853673"/>
      <w:bookmarkStart w:id="47" w:name="_Toc122328413"/>
      <w:r>
        <w:rPr>
          <w:rStyle w:val="CharSectno"/>
        </w:rPr>
        <w:t>9</w:t>
      </w:r>
      <w:r>
        <w:rPr>
          <w:snapToGrid w:val="0"/>
        </w:rPr>
        <w:t>.</w:t>
      </w:r>
      <w:r>
        <w:rPr>
          <w:snapToGrid w:val="0"/>
        </w:rPr>
        <w:tab/>
        <w:t>Gold and silver and other precious metals property of the Crown</w:t>
      </w:r>
      <w:bookmarkEnd w:id="44"/>
      <w:bookmarkEnd w:id="45"/>
      <w:bookmarkEnd w:id="46"/>
      <w:bookmarkEnd w:id="47"/>
      <w:r>
        <w:rPr>
          <w:snapToGrid w:val="0"/>
        </w:rPr>
        <w:t xml:space="preserve"> </w:t>
      </w:r>
    </w:p>
    <w:p>
      <w:pPr>
        <w:pStyle w:val="Subsection"/>
        <w:spacing w:before="120"/>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all gold, silver, and any other precious metal existing in its natural condition on or below the surface of any land in the State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in the State that was not alienated in fee simple from the Crown before 1 January 1899 are the property of the Crown.</w:t>
      </w:r>
    </w:p>
    <w:p>
      <w:pPr>
        <w:pStyle w:val="Subsection"/>
        <w:spacing w:before="100"/>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Heading5"/>
      </w:pPr>
      <w:bookmarkStart w:id="48" w:name="_Toc520087888"/>
      <w:bookmarkStart w:id="49" w:name="_Toc523620523"/>
      <w:bookmarkStart w:id="50" w:name="_Toc38853674"/>
      <w:bookmarkStart w:id="51" w:name="_Toc122328414"/>
      <w:r>
        <w:rPr>
          <w:rStyle w:val="CharSectno"/>
        </w:rPr>
        <w:t>9B</w:t>
      </w:r>
      <w:r>
        <w:t>.</w:t>
      </w:r>
      <w:r>
        <w:tab/>
        <w:t>Position on the Earth’s surface</w:t>
      </w:r>
      <w:bookmarkEnd w:id="48"/>
      <w:bookmarkEnd w:id="49"/>
      <w:bookmarkEnd w:id="50"/>
      <w:bookmarkEnd w:id="51"/>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 xml:space="preserve">Regulations that prescribe a datum for the purposes referred to in subsection (1), or amend that datum or prescribe another datum to replace that datum, may make any transitional or savings provisions that are necessary or convenient to be made — </w:t>
      </w:r>
    </w:p>
    <w:p>
      <w:pPr>
        <w:pStyle w:val="Indenta"/>
      </w:pPr>
      <w:r>
        <w:tab/>
        <w:t>(a)</w:t>
      </w:r>
      <w:r>
        <w:tab/>
        <w:t>in relation to mining tenements granted or acquired before the regulations take effect;</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52" w:name="_Toc87427543"/>
      <w:bookmarkStart w:id="53" w:name="_Toc87851118"/>
      <w:bookmarkStart w:id="54" w:name="_Toc88295341"/>
      <w:bookmarkStart w:id="55" w:name="_Toc89519000"/>
      <w:bookmarkStart w:id="56" w:name="_Toc90869125"/>
      <w:bookmarkStart w:id="57" w:name="_Toc91407897"/>
      <w:bookmarkStart w:id="58" w:name="_Toc92863641"/>
      <w:bookmarkStart w:id="59" w:name="_Toc95015009"/>
      <w:bookmarkStart w:id="60" w:name="_Toc95106716"/>
      <w:bookmarkStart w:id="61" w:name="_Toc97018516"/>
      <w:bookmarkStart w:id="62" w:name="_Toc101693469"/>
      <w:bookmarkStart w:id="63" w:name="_Toc103130339"/>
      <w:bookmarkStart w:id="64" w:name="_Toc104710989"/>
      <w:bookmarkStart w:id="65" w:name="_Toc121559974"/>
      <w:bookmarkStart w:id="66" w:name="_Toc122328415"/>
      <w:r>
        <w:rPr>
          <w:rStyle w:val="CharPartNo"/>
        </w:rPr>
        <w:t>Part II</w:t>
      </w:r>
      <w:r>
        <w:rPr>
          <w:rStyle w:val="CharDivNo"/>
        </w:rPr>
        <w:t> </w:t>
      </w:r>
      <w:r>
        <w:t>—</w:t>
      </w:r>
      <w:r>
        <w:rPr>
          <w:rStyle w:val="CharDivText"/>
        </w:rPr>
        <w:t> </w:t>
      </w:r>
      <w:r>
        <w:rPr>
          <w:rStyle w:val="CharPartText"/>
        </w:rPr>
        <w:t>Administration, mineral fields and courts</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Pr>
          <w:rStyle w:val="CharPartText"/>
        </w:rPr>
        <w:t xml:space="preserve"> </w:t>
      </w:r>
    </w:p>
    <w:p>
      <w:pPr>
        <w:pStyle w:val="Heading5"/>
        <w:spacing w:before="120"/>
        <w:rPr>
          <w:snapToGrid w:val="0"/>
        </w:rPr>
      </w:pPr>
      <w:bookmarkStart w:id="67" w:name="_Toc520087889"/>
      <w:bookmarkStart w:id="68" w:name="_Toc523620524"/>
      <w:bookmarkStart w:id="69" w:name="_Toc38853675"/>
      <w:bookmarkStart w:id="70" w:name="_Toc122328416"/>
      <w:r>
        <w:rPr>
          <w:rStyle w:val="CharSectno"/>
        </w:rPr>
        <w:t>10</w:t>
      </w:r>
      <w:r>
        <w:rPr>
          <w:snapToGrid w:val="0"/>
        </w:rPr>
        <w:t>.</w:t>
      </w:r>
      <w:r>
        <w:rPr>
          <w:snapToGrid w:val="0"/>
        </w:rPr>
        <w:tab/>
        <w:t>Administration of Act</w:t>
      </w:r>
      <w:bookmarkEnd w:id="67"/>
      <w:bookmarkEnd w:id="68"/>
      <w:bookmarkEnd w:id="69"/>
      <w:bookmarkEnd w:id="70"/>
      <w:r>
        <w:rPr>
          <w:snapToGrid w:val="0"/>
        </w:rPr>
        <w:t xml:space="preserve"> </w:t>
      </w:r>
    </w:p>
    <w:p>
      <w:pPr>
        <w:pStyle w:val="Subsection"/>
        <w:spacing w:before="120"/>
        <w:rPr>
          <w:snapToGrid w:val="0"/>
        </w:rPr>
      </w:pPr>
      <w:r>
        <w:rPr>
          <w:snapToGrid w:val="0"/>
        </w:rPr>
        <w:tab/>
        <w:t>(1)</w:t>
      </w:r>
      <w:r>
        <w:rPr>
          <w:snapToGrid w:val="0"/>
        </w:rPr>
        <w:tab/>
        <w:t>This Act shall be administered by the Minister.</w:t>
      </w:r>
    </w:p>
    <w:p>
      <w:pPr>
        <w:pStyle w:val="Subsection"/>
        <w:spacing w:before="120"/>
        <w:rPr>
          <w:snapToGrid w:val="0"/>
        </w:rPr>
      </w:pPr>
      <w:r>
        <w:rPr>
          <w:snapToGrid w:val="0"/>
        </w:rPr>
        <w:tab/>
        <w:t>(2)</w:t>
      </w:r>
      <w:r>
        <w:rPr>
          <w:snapToGrid w:val="0"/>
        </w:rPr>
        <w:tab/>
        <w:t>The Minister —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1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120"/>
        <w:rPr>
          <w:snapToGrid w:val="0"/>
        </w:rPr>
      </w:pPr>
      <w:bookmarkStart w:id="71" w:name="_Toc520087890"/>
      <w:bookmarkStart w:id="72" w:name="_Toc523620525"/>
      <w:bookmarkStart w:id="73" w:name="_Toc38853676"/>
      <w:bookmarkStart w:id="74" w:name="_Toc122328417"/>
      <w:r>
        <w:rPr>
          <w:rStyle w:val="CharSectno"/>
        </w:rPr>
        <w:t>11</w:t>
      </w:r>
      <w:r>
        <w:rPr>
          <w:snapToGrid w:val="0"/>
        </w:rPr>
        <w:t>.</w:t>
      </w:r>
      <w:r>
        <w:rPr>
          <w:snapToGrid w:val="0"/>
        </w:rPr>
        <w:tab/>
        <w:t>Chief executive officer and other officers</w:t>
      </w:r>
      <w:bookmarkEnd w:id="71"/>
      <w:bookmarkEnd w:id="72"/>
      <w:bookmarkEnd w:id="73"/>
      <w:bookmarkEnd w:id="74"/>
      <w:r>
        <w:rPr>
          <w:snapToGrid w:val="0"/>
        </w:rPr>
        <w:t xml:space="preserve"> </w:t>
      </w:r>
    </w:p>
    <w:p>
      <w:pPr>
        <w:pStyle w:val="Subsection"/>
        <w:spacing w:before="1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pPr>
      <w:r>
        <w:tab/>
        <w:t xml:space="preserve">[Section 11 amended by No. 113 of 1987 s. 32; No. 32 of 1994 s. 19.] </w:t>
      </w:r>
    </w:p>
    <w:p>
      <w:pPr>
        <w:pStyle w:val="Heading5"/>
        <w:spacing w:before="120"/>
        <w:rPr>
          <w:snapToGrid w:val="0"/>
        </w:rPr>
      </w:pPr>
      <w:bookmarkStart w:id="75" w:name="_Toc520087891"/>
      <w:bookmarkStart w:id="76" w:name="_Toc523620526"/>
      <w:bookmarkStart w:id="77" w:name="_Toc38853677"/>
      <w:bookmarkStart w:id="78" w:name="_Toc122328418"/>
      <w:r>
        <w:rPr>
          <w:rStyle w:val="CharSectno"/>
        </w:rPr>
        <w:t>12</w:t>
      </w:r>
      <w:r>
        <w:rPr>
          <w:snapToGrid w:val="0"/>
        </w:rPr>
        <w:t>.</w:t>
      </w:r>
      <w:r>
        <w:rPr>
          <w:snapToGrid w:val="0"/>
        </w:rPr>
        <w:tab/>
        <w:t>Delegation</w:t>
      </w:r>
      <w:bookmarkEnd w:id="75"/>
      <w:bookmarkEnd w:id="76"/>
      <w:bookmarkEnd w:id="77"/>
      <w:bookmarkEnd w:id="78"/>
      <w:r>
        <w:rPr>
          <w:snapToGrid w:val="0"/>
        </w:rPr>
        <w:t xml:space="preserve"> </w:t>
      </w:r>
    </w:p>
    <w:p>
      <w:pPr>
        <w:pStyle w:val="Subsection"/>
        <w:spacing w:before="120"/>
        <w:rPr>
          <w:snapToGrid w:val="0"/>
        </w:rPr>
      </w:pPr>
      <w:r>
        <w:rPr>
          <w:snapToGrid w:val="0"/>
        </w:rPr>
        <w:tab/>
        <w:t>(1)</w:t>
      </w:r>
      <w:r>
        <w:rPr>
          <w:snapToGrid w:val="0"/>
        </w:rPr>
        <w:tab/>
        <w:t>The Minister may — </w:t>
      </w:r>
    </w:p>
    <w:p>
      <w:pPr>
        <w:pStyle w:val="Indenta"/>
        <w:rPr>
          <w:snapToGrid w:val="0"/>
        </w:rPr>
      </w:pPr>
      <w:r>
        <w:rPr>
          <w:snapToGrid w:val="0"/>
        </w:rPr>
        <w:tab/>
        <w:t>(a)</w:t>
      </w:r>
      <w:r>
        <w:rPr>
          <w:snapToGrid w:val="0"/>
        </w:rPr>
        <w:tab/>
        <w:t>by instrument in writing delegate any of his powers and functions (except this power of delegation) to —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 xml:space="preserve">[Section 12 amended by No. 100 of 1985 s. 6.] </w:t>
      </w:r>
    </w:p>
    <w:p>
      <w:pPr>
        <w:pStyle w:val="Heading5"/>
        <w:rPr>
          <w:snapToGrid w:val="0"/>
        </w:rPr>
      </w:pPr>
      <w:bookmarkStart w:id="79" w:name="_Toc520087892"/>
      <w:bookmarkStart w:id="80" w:name="_Toc523620527"/>
      <w:bookmarkStart w:id="81" w:name="_Toc38853678"/>
      <w:bookmarkStart w:id="82" w:name="_Toc122328419"/>
      <w:r>
        <w:rPr>
          <w:rStyle w:val="CharSectno"/>
        </w:rPr>
        <w:t>13</w:t>
      </w:r>
      <w:r>
        <w:rPr>
          <w:snapToGrid w:val="0"/>
        </w:rPr>
        <w:t>.</w:t>
      </w:r>
      <w:r>
        <w:rPr>
          <w:snapToGrid w:val="0"/>
        </w:rPr>
        <w:tab/>
        <w:t>Wardens of mines</w:t>
      </w:r>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Courts Act 2004</w:t>
      </w:r>
      <w:r>
        <w:t xml:space="preserve">, </w:t>
      </w:r>
      <w:r>
        <w:rPr>
          <w:snapToGrid w:val="0"/>
        </w:rPr>
        <w:t>may be appointed by the Governor to be a warden of mines and is thereby authorised and empowered to preside in a warden’s court.</w:t>
      </w:r>
    </w:p>
    <w:p>
      <w:pPr>
        <w:pStyle w:val="Subsection"/>
        <w:rPr>
          <w:snapToGrid w:val="0"/>
        </w:rPr>
      </w:pPr>
      <w:r>
        <w:rPr>
          <w:snapToGrid w:val="0"/>
        </w:rPr>
        <w:tab/>
        <w:t>(2)</w:t>
      </w:r>
      <w:r>
        <w:rPr>
          <w:snapToGrid w:val="0"/>
        </w:rPr>
        <w:tab/>
        <w:t>Without prejudice to subsection (1) the Governor may appoint other fit and proper persons to be wardens of mines, and the persons so appointed shall be paid such remuneration as the Governor determines, but a person so appointed is not thereby authorised or empowered to preside in a warden’s court.</w:t>
      </w:r>
    </w:p>
    <w:p>
      <w:pPr>
        <w:pStyle w:val="Subsection"/>
        <w:rPr>
          <w:snapToGrid w:val="0"/>
        </w:rPr>
      </w:pPr>
      <w:r>
        <w:rPr>
          <w:snapToGrid w:val="0"/>
        </w:rPr>
        <w:tab/>
        <w:t>(3)</w:t>
      </w:r>
      <w:r>
        <w:rPr>
          <w:snapToGrid w:val="0"/>
        </w:rPr>
        <w:tab/>
        <w:t xml:space="preserve">Part 3 of the </w:t>
      </w:r>
      <w:r>
        <w:rPr>
          <w:i/>
          <w:snapToGrid w:val="0"/>
        </w:rPr>
        <w:t>Public Sector Management Act 1994</w:t>
      </w:r>
      <w:r>
        <w:rPr>
          <w:snapToGrid w:val="0"/>
        </w:rPr>
        <w:t>, does not apply to any appointment made under subsection (2) but an officer of the Public Service — </w:t>
      </w:r>
    </w:p>
    <w:p>
      <w:pPr>
        <w:pStyle w:val="Indenta"/>
        <w:rPr>
          <w:snapToGrid w:val="0"/>
        </w:rPr>
      </w:pPr>
      <w:r>
        <w:rPr>
          <w:snapToGrid w:val="0"/>
        </w:rPr>
        <w:tab/>
        <w:t>(a)</w:t>
      </w:r>
      <w:r>
        <w:rPr>
          <w:snapToGrid w:val="0"/>
        </w:rPr>
        <w:tab/>
        <w:t>may, with the consent of the Minister for Public Sector Management</w:t>
      </w:r>
      <w:r>
        <w:rPr>
          <w:snapToGrid w:val="0"/>
          <w:vertAlign w:val="superscript"/>
        </w:rPr>
        <w:t> 4</w:t>
      </w:r>
      <w:r>
        <w:rPr>
          <w:snapToGrid w:val="0"/>
        </w:rPr>
        <w:t>, be appointed to the office of a warden of mines under that subsection for such period as the Governor determines; and</w:t>
      </w:r>
    </w:p>
    <w:p>
      <w:pPr>
        <w:pStyle w:val="Indenta"/>
        <w:rPr>
          <w:snapToGrid w:val="0"/>
        </w:rPr>
      </w:pPr>
      <w:r>
        <w:rPr>
          <w:snapToGrid w:val="0"/>
        </w:rPr>
        <w:tab/>
        <w:t>(b)</w:t>
      </w:r>
      <w:r>
        <w:rPr>
          <w:snapToGrid w:val="0"/>
        </w:rPr>
        <w:tab/>
        <w:t>may hold that office in conjunction with his office as a public service officer under that Part.</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 Minister for Public Sector Management</w:t>
      </w:r>
      <w:r>
        <w:rPr>
          <w:snapToGrid w:val="0"/>
          <w:vertAlign w:val="superscript"/>
        </w:rPr>
        <w:t> 4</w:t>
      </w:r>
      <w:r>
        <w:rPr>
          <w:snapToGrid w:val="0"/>
        </w:rPr>
        <w: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 xml:space="preserve">[Section 13 amended by No. 100 of 1985 s. 7; No. 32 of 1994 s. 19; No. 59 of 2004 s. 116.] </w:t>
      </w:r>
    </w:p>
    <w:p>
      <w:pPr>
        <w:pStyle w:val="Heading5"/>
        <w:rPr>
          <w:snapToGrid w:val="0"/>
        </w:rPr>
      </w:pPr>
      <w:bookmarkStart w:id="83" w:name="_Toc520087893"/>
      <w:bookmarkStart w:id="84" w:name="_Toc523620528"/>
      <w:bookmarkStart w:id="85" w:name="_Toc38853679"/>
      <w:bookmarkStart w:id="86" w:name="_Toc122328420"/>
      <w:r>
        <w:rPr>
          <w:rStyle w:val="CharSectno"/>
        </w:rPr>
        <w:t>14</w:t>
      </w:r>
      <w:r>
        <w:rPr>
          <w:snapToGrid w:val="0"/>
        </w:rPr>
        <w:t>.</w:t>
      </w:r>
      <w:r>
        <w:rPr>
          <w:snapToGrid w:val="0"/>
        </w:rPr>
        <w:tab/>
        <w:t>Power to appoint acting warden</w:t>
      </w:r>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When and as often as a warden, whether appointed under section 13(1) or (2), is absent on leave, or in consequence of sickness or for any other reason is temporarily unable to perform the duties of his office, the Governor may appoint a fit and proper person to act in the office of such warden for the period during which such warden is temporarily absent or unable to perform the duties of his office.</w:t>
      </w:r>
    </w:p>
    <w:p>
      <w:pPr>
        <w:pStyle w:val="Subsection"/>
        <w:rPr>
          <w:snapToGrid w:val="0"/>
        </w:rPr>
      </w:pPr>
      <w:r>
        <w:rPr>
          <w:snapToGrid w:val="0"/>
        </w:rPr>
        <w:tab/>
        <w:t>(2)</w:t>
      </w:r>
      <w:r>
        <w:rPr>
          <w:snapToGrid w:val="0"/>
        </w:rPr>
        <w:tab/>
        <w:t>While a person appointed under subsection (1) acts in the office of a warden — </w:t>
      </w:r>
    </w:p>
    <w:p>
      <w:pPr>
        <w:pStyle w:val="Indenta"/>
        <w:rPr>
          <w:snapToGrid w:val="0"/>
        </w:rPr>
      </w:pPr>
      <w:r>
        <w:rPr>
          <w:snapToGrid w:val="0"/>
        </w:rPr>
        <w:tab/>
        <w:t>(a)</w:t>
      </w:r>
      <w:r>
        <w:rPr>
          <w:snapToGrid w:val="0"/>
        </w:rPr>
        <w:tab/>
        <w:t>he may exercise the same jurisdiction and has all the powers and authorities conferred upon a warden by this Act; and</w:t>
      </w:r>
    </w:p>
    <w:p>
      <w:pPr>
        <w:pStyle w:val="Indenta"/>
        <w:rPr>
          <w:snapToGrid w:val="0"/>
        </w:rPr>
      </w:pPr>
      <w:r>
        <w:rPr>
          <w:snapToGrid w:val="0"/>
        </w:rPr>
        <w:tab/>
        <w:t>(b)</w:t>
      </w:r>
      <w:r>
        <w:rPr>
          <w:snapToGrid w:val="0"/>
        </w:rPr>
        <w:tab/>
        <w:t>he shall be a Justice of the Peace, by virtue of his office.</w:t>
      </w:r>
    </w:p>
    <w:p>
      <w:pPr>
        <w:pStyle w:val="Footnotesection"/>
      </w:pPr>
      <w:r>
        <w:tab/>
        <w:t xml:space="preserve">[Section 14 amended by No. 100 of 1985 s. 8.] </w:t>
      </w:r>
    </w:p>
    <w:p>
      <w:pPr>
        <w:pStyle w:val="Heading5"/>
        <w:rPr>
          <w:snapToGrid w:val="0"/>
        </w:rPr>
      </w:pPr>
      <w:bookmarkStart w:id="87" w:name="_Toc520087894"/>
      <w:bookmarkStart w:id="88" w:name="_Toc523620529"/>
      <w:bookmarkStart w:id="89" w:name="_Toc38853680"/>
      <w:bookmarkStart w:id="90" w:name="_Toc122328421"/>
      <w:r>
        <w:rPr>
          <w:rStyle w:val="CharSectno"/>
        </w:rPr>
        <w:t>15</w:t>
      </w:r>
      <w:r>
        <w:rPr>
          <w:snapToGrid w:val="0"/>
        </w:rPr>
        <w:t>.</w:t>
      </w:r>
      <w:r>
        <w:rPr>
          <w:snapToGrid w:val="0"/>
        </w:rPr>
        <w:tab/>
        <w:t>Warden prohibited from adjudicating in certain matters and officer prohibited from using information</w:t>
      </w:r>
      <w:bookmarkEnd w:id="87"/>
      <w:bookmarkEnd w:id="88"/>
      <w:bookmarkEnd w:id="89"/>
      <w:bookmarkEnd w:id="90"/>
      <w:r>
        <w:rPr>
          <w:snapToGrid w:val="0"/>
        </w:rPr>
        <w:t xml:space="preserve"> </w:t>
      </w:r>
    </w:p>
    <w:p>
      <w:pPr>
        <w:pStyle w:val="Subsection"/>
        <w:spacing w:before="120"/>
        <w:rPr>
          <w:snapToGrid w:val="0"/>
        </w:rPr>
      </w:pPr>
      <w:r>
        <w:rPr>
          <w:snapToGrid w:val="0"/>
        </w:rPr>
        <w:tab/>
        <w:t>(1)</w:t>
      </w:r>
      <w:r>
        <w:rPr>
          <w:snapToGrid w:val="0"/>
        </w:rPr>
        <w:tab/>
        <w:t>A warden who acts or adjudicates in any matter in which he has directly or indirectly any pecuniary interest, is guilty of a crime.</w:t>
      </w:r>
    </w:p>
    <w:p>
      <w:pPr>
        <w:pStyle w:val="Penstart"/>
        <w:rPr>
          <w:snapToGrid w:val="0"/>
        </w:rPr>
      </w:pPr>
      <w:r>
        <w:rPr>
          <w:snapToGrid w:val="0"/>
        </w:rPr>
        <w:tab/>
        <w:t>Penalty: Imprisonment for 2 years or a fine of $1 000.</w:t>
      </w:r>
    </w:p>
    <w:p>
      <w:pPr>
        <w:pStyle w:val="Subsection"/>
        <w:spacing w:before="120"/>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pPr>
      <w:r>
        <w:tab/>
        <w:t xml:space="preserve">[Section 15 amended by No. 100 of 1985 s. 9; No. 70 of 2004 s. 82.] </w:t>
      </w:r>
    </w:p>
    <w:p>
      <w:pPr>
        <w:pStyle w:val="Heading5"/>
        <w:spacing w:before="120"/>
        <w:rPr>
          <w:snapToGrid w:val="0"/>
        </w:rPr>
      </w:pPr>
      <w:bookmarkStart w:id="91" w:name="_Toc520087895"/>
      <w:bookmarkStart w:id="92" w:name="_Toc523620530"/>
      <w:bookmarkStart w:id="93" w:name="_Toc38853681"/>
      <w:bookmarkStart w:id="94" w:name="_Toc122328422"/>
      <w:r>
        <w:rPr>
          <w:rStyle w:val="CharSectno"/>
        </w:rPr>
        <w:t>16</w:t>
      </w:r>
      <w:r>
        <w:rPr>
          <w:snapToGrid w:val="0"/>
        </w:rPr>
        <w:t>.</w:t>
      </w:r>
      <w:r>
        <w:rPr>
          <w:snapToGrid w:val="0"/>
        </w:rPr>
        <w:tab/>
        <w:t>Power to proclaim mineral fields</w:t>
      </w:r>
      <w:bookmarkEnd w:id="91"/>
      <w:bookmarkEnd w:id="92"/>
      <w:bookmarkEnd w:id="93"/>
      <w:bookmarkEnd w:id="94"/>
      <w:r>
        <w:rPr>
          <w:snapToGrid w:val="0"/>
        </w:rPr>
        <w:t xml:space="preserve"> </w:t>
      </w:r>
    </w:p>
    <w:p>
      <w:pPr>
        <w:pStyle w:val="Subsection"/>
        <w:spacing w:before="120"/>
        <w:rPr>
          <w:snapToGrid w:val="0"/>
        </w:rPr>
      </w:pPr>
      <w:r>
        <w:rPr>
          <w:snapToGrid w:val="0"/>
        </w:rPr>
        <w:tab/>
        <w:t>(1)</w:t>
      </w:r>
      <w:r>
        <w:rPr>
          <w:snapToGrid w:val="0"/>
        </w:rPr>
        <w:tab/>
        <w:t>The Governor may, by proclamation — </w:t>
      </w:r>
    </w:p>
    <w:p>
      <w:pPr>
        <w:pStyle w:val="Indenta"/>
        <w:rPr>
          <w:snapToGrid w:val="0"/>
        </w:rPr>
      </w:pPr>
      <w:r>
        <w:rPr>
          <w:snapToGrid w:val="0"/>
        </w:rPr>
        <w:tab/>
        <w:t>(a)</w:t>
      </w:r>
      <w:r>
        <w:rPr>
          <w:snapToGrid w:val="0"/>
        </w:rPr>
        <w:tab/>
        <w:t>constitute any part of the State to be a mineral field;</w:t>
      </w:r>
    </w:p>
    <w:p>
      <w:pPr>
        <w:pStyle w:val="Indenta"/>
        <w:rPr>
          <w:snapToGrid w:val="0"/>
        </w:rPr>
      </w:pPr>
      <w:r>
        <w:rPr>
          <w:snapToGrid w:val="0"/>
        </w:rPr>
        <w:tab/>
        <w:t>(b)</w:t>
      </w:r>
      <w:r>
        <w:rPr>
          <w:snapToGrid w:val="0"/>
        </w:rPr>
        <w:tab/>
        <w:t>divide any mineral field into districts;</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12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spacing w:before="120"/>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w:t>
      </w:r>
    </w:p>
    <w:p>
      <w:pPr>
        <w:pStyle w:val="Ednotesection"/>
        <w:spacing w:before="120"/>
        <w:ind w:left="890" w:hanging="890"/>
      </w:pPr>
      <w:r>
        <w:t>[</w:t>
      </w:r>
      <w:r>
        <w:rPr>
          <w:b/>
        </w:rPr>
        <w:t>17.</w:t>
      </w:r>
      <w:r>
        <w:t xml:space="preserve"> </w:t>
      </w:r>
      <w:r>
        <w:tab/>
      </w:r>
      <w:r>
        <w:tab/>
        <w:t xml:space="preserve">Repealed by No. 100 of 1985 s. 10.] </w:t>
      </w:r>
    </w:p>
    <w:p>
      <w:pPr>
        <w:pStyle w:val="Heading2"/>
      </w:pPr>
      <w:bookmarkStart w:id="95" w:name="_Toc87427551"/>
      <w:bookmarkStart w:id="96" w:name="_Toc87851126"/>
      <w:bookmarkStart w:id="97" w:name="_Toc88295349"/>
      <w:bookmarkStart w:id="98" w:name="_Toc89519008"/>
      <w:bookmarkStart w:id="99" w:name="_Toc90869133"/>
      <w:bookmarkStart w:id="100" w:name="_Toc91407905"/>
      <w:bookmarkStart w:id="101" w:name="_Toc92863649"/>
      <w:bookmarkStart w:id="102" w:name="_Toc95015017"/>
      <w:bookmarkStart w:id="103" w:name="_Toc95106724"/>
      <w:bookmarkStart w:id="104" w:name="_Toc97018524"/>
      <w:bookmarkStart w:id="105" w:name="_Toc101693477"/>
      <w:bookmarkStart w:id="106" w:name="_Toc103130347"/>
      <w:bookmarkStart w:id="107" w:name="_Toc104710997"/>
      <w:bookmarkStart w:id="108" w:name="_Toc121559982"/>
      <w:bookmarkStart w:id="109" w:name="_Toc122328423"/>
      <w:r>
        <w:rPr>
          <w:rStyle w:val="CharPartNo"/>
        </w:rPr>
        <w:t>Part III</w:t>
      </w:r>
      <w:r>
        <w:t> — </w:t>
      </w:r>
      <w:r>
        <w:rPr>
          <w:rStyle w:val="CharPartText"/>
        </w:rPr>
        <w:t>Land open for mining</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Pr>
          <w:rStyle w:val="CharPartText"/>
        </w:rPr>
        <w:t xml:space="preserve"> </w:t>
      </w:r>
    </w:p>
    <w:p>
      <w:pPr>
        <w:pStyle w:val="Heading3"/>
        <w:spacing w:before="120"/>
        <w:rPr>
          <w:snapToGrid w:val="0"/>
        </w:rPr>
      </w:pPr>
      <w:bookmarkStart w:id="110" w:name="_Toc87427552"/>
      <w:bookmarkStart w:id="111" w:name="_Toc87851127"/>
      <w:bookmarkStart w:id="112" w:name="_Toc88295350"/>
      <w:bookmarkStart w:id="113" w:name="_Toc89519009"/>
      <w:bookmarkStart w:id="114" w:name="_Toc90869134"/>
      <w:bookmarkStart w:id="115" w:name="_Toc91407906"/>
      <w:bookmarkStart w:id="116" w:name="_Toc92863650"/>
      <w:bookmarkStart w:id="117" w:name="_Toc95015018"/>
      <w:bookmarkStart w:id="118" w:name="_Toc95106725"/>
      <w:bookmarkStart w:id="119" w:name="_Toc97018525"/>
      <w:bookmarkStart w:id="120" w:name="_Toc101693478"/>
      <w:bookmarkStart w:id="121" w:name="_Toc103130348"/>
      <w:bookmarkStart w:id="122" w:name="_Toc104710998"/>
      <w:bookmarkStart w:id="123" w:name="_Toc121559983"/>
      <w:bookmarkStart w:id="124" w:name="_Toc122328424"/>
      <w:r>
        <w:rPr>
          <w:rStyle w:val="CharDivNo"/>
        </w:rPr>
        <w:t>Division 1</w:t>
      </w:r>
      <w:r>
        <w:rPr>
          <w:snapToGrid w:val="0"/>
        </w:rPr>
        <w:t> — </w:t>
      </w:r>
      <w:r>
        <w:rPr>
          <w:rStyle w:val="CharDivText"/>
        </w:rPr>
        <w:t>Crown land</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r>
        <w:rPr>
          <w:rStyle w:val="CharDivText"/>
        </w:rPr>
        <w:t xml:space="preserve"> </w:t>
      </w:r>
    </w:p>
    <w:p>
      <w:pPr>
        <w:pStyle w:val="Heading5"/>
        <w:spacing w:before="120"/>
        <w:rPr>
          <w:snapToGrid w:val="0"/>
        </w:rPr>
      </w:pPr>
      <w:bookmarkStart w:id="125" w:name="_Toc520087896"/>
      <w:bookmarkStart w:id="126" w:name="_Toc523620531"/>
      <w:bookmarkStart w:id="127" w:name="_Toc38853682"/>
      <w:bookmarkStart w:id="128" w:name="_Toc122328425"/>
      <w:r>
        <w:rPr>
          <w:rStyle w:val="CharSectno"/>
        </w:rPr>
        <w:t>18</w:t>
      </w:r>
      <w:r>
        <w:rPr>
          <w:snapToGrid w:val="0"/>
        </w:rPr>
        <w:t>.</w:t>
      </w:r>
      <w:r>
        <w:rPr>
          <w:snapToGrid w:val="0"/>
        </w:rPr>
        <w:tab/>
        <w:t>Crown land open for mining</w:t>
      </w:r>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All Crown land, not being Crown land that is the subject of a mining tenement, is open for mining and as such is land —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w:t>
      </w:r>
    </w:p>
    <w:p>
      <w:pPr>
        <w:pStyle w:val="Indenta"/>
        <w:rPr>
          <w:snapToGrid w:val="0"/>
        </w:rPr>
      </w:pPr>
      <w:r>
        <w:rPr>
          <w:snapToGrid w:val="0"/>
        </w:rPr>
        <w:tab/>
        <w:t>(b)</w:t>
      </w:r>
      <w:r>
        <w:rPr>
          <w:snapToGrid w:val="0"/>
        </w:rPr>
        <w:tab/>
        <w:t>where the holder of a Miner’s Right may do the things authorised by section 20;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pPr>
      <w:r>
        <w:tab/>
        <w:t xml:space="preserve">[Section 18 amended by No. 100 of 1985 s. 11.] </w:t>
      </w:r>
    </w:p>
    <w:p>
      <w:pPr>
        <w:pStyle w:val="Heading5"/>
        <w:spacing w:before="120"/>
        <w:rPr>
          <w:snapToGrid w:val="0"/>
        </w:rPr>
      </w:pPr>
      <w:bookmarkStart w:id="129" w:name="_Toc520087897"/>
      <w:bookmarkStart w:id="130" w:name="_Toc523620532"/>
      <w:bookmarkStart w:id="131" w:name="_Toc38853683"/>
      <w:bookmarkStart w:id="132" w:name="_Toc122328426"/>
      <w:r>
        <w:rPr>
          <w:rStyle w:val="CharSectno"/>
        </w:rPr>
        <w:t>19</w:t>
      </w:r>
      <w:r>
        <w:rPr>
          <w:snapToGrid w:val="0"/>
        </w:rPr>
        <w:t>.</w:t>
      </w:r>
      <w:r>
        <w:rPr>
          <w:snapToGrid w:val="0"/>
        </w:rPr>
        <w:tab/>
        <w:t>Power to set aside land for mining or exempt it therefrom</w:t>
      </w:r>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The Minister may from time to time by instrument in writing under his hand — </w:t>
      </w:r>
    </w:p>
    <w:p>
      <w:pPr>
        <w:pStyle w:val="Indenta"/>
        <w:rPr>
          <w:snapToGrid w:val="0"/>
        </w:rPr>
      </w:pPr>
      <w:r>
        <w:rPr>
          <w:snapToGrid w:val="0"/>
        </w:rPr>
        <w:tab/>
        <w:t>(a)</w:t>
      </w:r>
      <w:r>
        <w:rPr>
          <w:snapToGrid w:val="0"/>
        </w:rPr>
        <w:tab/>
        <w:t>exempt any land, not being private land or land that is the subject of a mining tenement or of an application therefor, from — </w:t>
      </w:r>
    </w:p>
    <w:p>
      <w:pPr>
        <w:pStyle w:val="Indenti"/>
        <w:rPr>
          <w:snapToGrid w:val="0"/>
        </w:rPr>
      </w:pPr>
      <w:r>
        <w:rPr>
          <w:snapToGrid w:val="0"/>
        </w:rPr>
        <w:tab/>
        <w:t>(i)</w:t>
      </w:r>
      <w:r>
        <w:rPr>
          <w:snapToGrid w:val="0"/>
        </w:rPr>
        <w:tab/>
        <w:t>mining;</w:t>
      </w:r>
    </w:p>
    <w:p>
      <w:pPr>
        <w:pStyle w:val="Indenti"/>
        <w:rPr>
          <w:snapToGrid w:val="0"/>
        </w:rPr>
      </w:pPr>
      <w:r>
        <w:rPr>
          <w:snapToGrid w:val="0"/>
        </w:rPr>
        <w:tab/>
        <w:t>(ii)</w:t>
      </w:r>
      <w:r>
        <w:rPr>
          <w:snapToGrid w:val="0"/>
        </w:rPr>
        <w:tab/>
        <w:t>a specified mining purpose;</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r>
        <w:rPr>
          <w:snapToGrid w:val="0"/>
        </w:rPr>
        <w:t xml:space="preserve"> </w:t>
      </w:r>
    </w:p>
    <w:p>
      <w:pPr>
        <w:pStyle w:val="Subsection"/>
        <w:rPr>
          <w:snapToGrid w:val="0"/>
        </w:rPr>
      </w:pPr>
      <w:r>
        <w:rPr>
          <w:snapToGrid w:val="0"/>
        </w:rPr>
        <w:tab/>
        <w:t>(2d)</w:t>
      </w:r>
      <w:r>
        <w:rPr>
          <w:snapToGrid w:val="0"/>
        </w:rPr>
        <w:tab/>
        <w:t xml:space="preserve">In subsections (2a) and (2b) </w:t>
      </w:r>
      <w:r>
        <w:rPr>
          <w:b/>
          <w:snapToGrid w:val="0"/>
        </w:rPr>
        <w:t>“</w:t>
      </w:r>
      <w:r>
        <w:rPr>
          <w:rStyle w:val="CharDefText"/>
        </w:rPr>
        <w:t>the prescribed day</w:t>
      </w:r>
      <w:r>
        <w:rPr>
          <w:b/>
          <w:snapToGrid w:val="0"/>
        </w:rPr>
        <w:t>”</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rPr>
          <w:snapToGrid w:val="0"/>
        </w:rPr>
      </w:pPr>
      <w:r>
        <w:rPr>
          <w:snapToGrid w:val="0"/>
        </w:rPr>
        <w:tab/>
        <w:t>(6)</w:t>
      </w:r>
      <w:r>
        <w:rPr>
          <w:snapToGrid w:val="0"/>
        </w:rPr>
        <w:tab/>
        <w:t>On receiving an application made under subsection (5), the Minister may — </w:t>
      </w:r>
    </w:p>
    <w:p>
      <w:pPr>
        <w:pStyle w:val="Indenta"/>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pPr>
      <w:r>
        <w:tab/>
        <w:t xml:space="preserve">[Section 19 amended by No. 69 of 1981 s. 8; No. 100 of 1985 s. 12; No. 21 of 1993 s. 45; No. 58 of 1994 s. 4; No. 52 of 1995 s. 20; No. 5 of 1997 s. 41(2).] </w:t>
      </w:r>
    </w:p>
    <w:p>
      <w:pPr>
        <w:pStyle w:val="Heading5"/>
        <w:rPr>
          <w:snapToGrid w:val="0"/>
        </w:rPr>
      </w:pPr>
      <w:bookmarkStart w:id="133" w:name="_Toc520087898"/>
      <w:bookmarkStart w:id="134" w:name="_Toc523620533"/>
      <w:bookmarkStart w:id="135" w:name="_Toc38853684"/>
      <w:bookmarkStart w:id="136" w:name="_Toc122328427"/>
      <w:r>
        <w:rPr>
          <w:rStyle w:val="CharSectno"/>
        </w:rPr>
        <w:t>20</w:t>
      </w:r>
      <w:r>
        <w:rPr>
          <w:snapToGrid w:val="0"/>
        </w:rPr>
        <w:t>.</w:t>
      </w:r>
      <w:r>
        <w:rPr>
          <w:snapToGrid w:val="0"/>
        </w:rPr>
        <w:tab/>
        <w:t>General rights to prospect and protection of certain Crown land</w:t>
      </w:r>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The Minister, the Director General of Mines, a warden or a mining registrar may issue or cause to be issued to a person upon being satisfied as to the identity of the applicant and payment of the prescribed fee a Miner’s Right which is not transferable and not limited in term and such a Miner’s Right shall be in the prescribed form.</w:t>
      </w:r>
    </w:p>
    <w:p>
      <w:pPr>
        <w:pStyle w:val="Subsection"/>
        <w:rPr>
          <w:snapToGrid w:val="0"/>
        </w:rPr>
      </w:pPr>
      <w:r>
        <w:rPr>
          <w:snapToGrid w:val="0"/>
        </w:rPr>
        <w:tab/>
        <w:t>(2)</w:t>
      </w:r>
      <w:r>
        <w:rPr>
          <w:snapToGrid w:val="0"/>
        </w:rPr>
        <w:tab/>
        <w:t>Subject to this Act the holder of a Miner’s Right is authorised to do all or any of the following things — </w:t>
      </w:r>
    </w:p>
    <w:p>
      <w:pPr>
        <w:pStyle w:val="Indenta"/>
        <w:rPr>
          <w:snapToGrid w:val="0"/>
        </w:rPr>
      </w:pPr>
      <w:r>
        <w:rPr>
          <w:snapToGrid w:val="0"/>
        </w:rPr>
        <w:tab/>
        <w:t>(a)</w:t>
      </w:r>
      <w:r>
        <w:rPr>
          <w:snapToGrid w:val="0"/>
        </w:rPr>
        <w:tab/>
        <w:t>to pass and repass over Crown land with such employees and agents, vehicles machinery and equipment as may be necessary or expedient for the purpose of prospecting for minerals and marking out of any land which may be made the subject of an application for a mining tenement;</w:t>
      </w:r>
    </w:p>
    <w:p>
      <w:pPr>
        <w:pStyle w:val="Indenta"/>
      </w:pPr>
      <w:r>
        <w:rPr>
          <w:snapToGrid w:val="0"/>
        </w:rPr>
        <w:tab/>
        <w:t>(b)</w:t>
      </w:r>
      <w:r>
        <w:rPr>
          <w:snapToGrid w:val="0"/>
        </w:rPr>
        <w:tab/>
        <w:t xml:space="preserve">to prospect </w:t>
      </w:r>
      <w:r>
        <w:t>on —</w:t>
      </w:r>
    </w:p>
    <w:p>
      <w:pPr>
        <w:pStyle w:val="Indenti"/>
      </w:pPr>
      <w:r>
        <w:tab/>
        <w:t>(i)</w:t>
      </w:r>
      <w:r>
        <w:tab/>
        <w:t>Crown land that is not the subject of a mining tenement; or</w:t>
      </w:r>
    </w:p>
    <w:p>
      <w:pPr>
        <w:pStyle w:val="Indenti"/>
      </w:pPr>
      <w:r>
        <w:tab/>
        <w:t>(ii)</w:t>
      </w:r>
      <w:r>
        <w:tab/>
        <w:t>Crown land that is the subject of an exploration licence if the holder of the Miner’s Right holds a permit to do so under section 20A,</w:t>
      </w:r>
    </w:p>
    <w:p>
      <w:pPr>
        <w:pStyle w:val="Indenta"/>
        <w:rPr>
          <w:snapToGrid w:val="0"/>
        </w:rPr>
      </w:pPr>
      <w:r>
        <w:tab/>
      </w:r>
      <w:r>
        <w:tab/>
        <w:t xml:space="preserve">for </w:t>
      </w:r>
      <w:r>
        <w:rPr>
          <w:snapToGrid w:val="0"/>
        </w:rPr>
        <w:t>minerals and conduct tests for any mineral thereon for the purpose of ascertaining whether any part of the land, and if appropriate determining which area, is to be marked out or applied for, or both, for the purpose of making an application for a mining tenement in respect thereof;</w:t>
      </w:r>
    </w:p>
    <w:p>
      <w:pPr>
        <w:pStyle w:val="Indenta"/>
        <w:rPr>
          <w:snapToGrid w:val="0"/>
        </w:rPr>
      </w:pPr>
      <w:r>
        <w:rPr>
          <w:snapToGrid w:val="0"/>
        </w:rPr>
        <w:tab/>
        <w:t>(c)</w:t>
      </w:r>
      <w:r>
        <w:rPr>
          <w:snapToGrid w:val="0"/>
        </w:rPr>
        <w:tab/>
        <w:t>to extract or remove samples or specimens of rock, ore or minerals with as little damage to the surface of such land as possible, in quantities, in total or on occasions, not exceeding the prescribed limits, and to keep as his property or to utilize for testing or evaluation purposes any samples and specimens of any mineral found by him on such land;</w:t>
      </w:r>
    </w:p>
    <w:p>
      <w:pPr>
        <w:pStyle w:val="Indenta"/>
        <w:rPr>
          <w:snapToGrid w:val="0"/>
        </w:rPr>
      </w:pPr>
      <w:r>
        <w:rPr>
          <w:snapToGrid w:val="0"/>
        </w:rPr>
        <w:tab/>
        <w:t>(d)</w:t>
      </w:r>
      <w:r>
        <w:rPr>
          <w:snapToGrid w:val="0"/>
        </w:rPr>
        <w:tab/>
        <w:t xml:space="preserve">to take, subject to the </w:t>
      </w:r>
      <w:r>
        <w:rPr>
          <w:i/>
          <w:snapToGrid w:val="0"/>
        </w:rPr>
        <w:t>Rights in Water and Irrigation Act 1914</w:t>
      </w:r>
      <w:r>
        <w:rPr>
          <w:snapToGrid w:val="0"/>
        </w:rPr>
        <w:t>, or any Act amending or replacing the relevant provisions of that Act, water from any natural spring, lake, pool or water</w:t>
      </w:r>
      <w:r>
        <w:rPr>
          <w:snapToGrid w:val="0"/>
        </w:rPr>
        <w:noBreakHyphen/>
        <w:t>course situated in or flowing through such land and subject to that Act to sink a well or bore on such land and take water therefrom and to use the water so taken for the purposes of prospecting and for domestic purposes only; and</w:t>
      </w:r>
    </w:p>
    <w:p>
      <w:pPr>
        <w:pStyle w:val="Indenta"/>
        <w:rPr>
          <w:snapToGrid w:val="0"/>
        </w:rPr>
      </w:pPr>
      <w:r>
        <w:rPr>
          <w:snapToGrid w:val="0"/>
        </w:rPr>
        <w:tab/>
        <w:t>(e)</w:t>
      </w:r>
      <w:r>
        <w:rPr>
          <w:snapToGrid w:val="0"/>
        </w:rPr>
        <w:tab/>
        <w:t>subject to any Act relating to Crown lands and the regulations thereunder for the time being in force for the preservation of timber — </w:t>
      </w:r>
    </w:p>
    <w:p>
      <w:pPr>
        <w:pStyle w:val="Indenti"/>
        <w:rPr>
          <w:snapToGrid w:val="0"/>
        </w:rPr>
      </w:pPr>
      <w:r>
        <w:rPr>
          <w:snapToGrid w:val="0"/>
        </w:rPr>
        <w:tab/>
        <w:t>(i)</w:t>
      </w:r>
      <w:r>
        <w:rPr>
          <w:snapToGrid w:val="0"/>
        </w:rPr>
        <w:tab/>
        <w:t>to cut and remove timber from such land for the purpose of prospecting; and</w:t>
      </w:r>
    </w:p>
    <w:p>
      <w:pPr>
        <w:pStyle w:val="Indenti"/>
        <w:keepNext/>
        <w:rPr>
          <w:snapToGrid w:val="0"/>
        </w:rPr>
      </w:pPr>
      <w:r>
        <w:rPr>
          <w:snapToGrid w:val="0"/>
        </w:rPr>
        <w:tab/>
        <w:t>(ii)</w:t>
      </w:r>
      <w:r>
        <w:rPr>
          <w:snapToGrid w:val="0"/>
        </w:rPr>
        <w:tab/>
        <w:t>to erect, use and remove any building or structure on any such land lawfully occupied by him for the purpose of prospecting,</w:t>
      </w:r>
    </w:p>
    <w:p>
      <w:pPr>
        <w:pStyle w:val="Indenta"/>
        <w:spacing w:before="60"/>
        <w:rPr>
          <w:snapToGrid w:val="0"/>
        </w:rPr>
      </w:pPr>
      <w:r>
        <w:rPr>
          <w:snapToGrid w:val="0"/>
        </w:rPr>
        <w:tab/>
      </w:r>
      <w:r>
        <w:rPr>
          <w:snapToGrid w:val="0"/>
        </w:rPr>
        <w:tab/>
        <w:t>in such manner and subject to such conditions as may be prescribed; and</w:t>
      </w:r>
    </w:p>
    <w:p>
      <w:pPr>
        <w:pStyle w:val="Indenta"/>
        <w:spacing w:before="60"/>
        <w:rPr>
          <w:snapToGrid w:val="0"/>
        </w:rPr>
      </w:pPr>
      <w:r>
        <w:rPr>
          <w:snapToGrid w:val="0"/>
        </w:rPr>
        <w:tab/>
        <w:t>(f)</w:t>
      </w:r>
      <w:r>
        <w:rPr>
          <w:snapToGrid w:val="0"/>
        </w:rPr>
        <w:tab/>
        <w:t>subject to the prior written consent of — </w:t>
      </w:r>
    </w:p>
    <w:p>
      <w:pPr>
        <w:pStyle w:val="Indenti"/>
        <w:rPr>
          <w:snapToGrid w:val="0"/>
        </w:rPr>
      </w:pPr>
      <w:r>
        <w:rPr>
          <w:snapToGrid w:val="0"/>
        </w:rPr>
        <w:tab/>
        <w:t>(i)</w:t>
      </w:r>
      <w:r>
        <w:rPr>
          <w:snapToGrid w:val="0"/>
        </w:rPr>
        <w:tab/>
        <w:t>any occupier of that Crown land; and</w:t>
      </w:r>
    </w:p>
    <w:p>
      <w:pPr>
        <w:pStyle w:val="Indenti"/>
        <w:rPr>
          <w:snapToGrid w:val="0"/>
        </w:rPr>
      </w:pPr>
      <w:r>
        <w:rPr>
          <w:snapToGrid w:val="0"/>
        </w:rPr>
        <w:tab/>
        <w:t>(ii)</w:t>
      </w:r>
      <w:r>
        <w:rPr>
          <w:snapToGrid w:val="0"/>
        </w:rPr>
        <w:tab/>
        <w:t>the holder of the mining tenement concerned,</w:t>
      </w:r>
    </w:p>
    <w:p>
      <w:pPr>
        <w:pStyle w:val="Indenta"/>
        <w:spacing w:before="60"/>
        <w:rPr>
          <w:snapToGrid w:val="0"/>
        </w:rPr>
      </w:pPr>
      <w:r>
        <w:rPr>
          <w:snapToGrid w:val="0"/>
        </w:rPr>
        <w:tab/>
      </w:r>
      <w:r>
        <w:rPr>
          <w:snapToGrid w:val="0"/>
        </w:rPr>
        <w:tab/>
        <w:t>to fossick by prescribed means on Crown land, whether or not land which is held as a mining tenement.</w:t>
      </w:r>
    </w:p>
    <w:p>
      <w:pPr>
        <w:pStyle w:val="Subsection"/>
        <w:spacing w:before="100"/>
        <w:rPr>
          <w:snapToGrid w:val="0"/>
        </w:rPr>
      </w:pPr>
      <w:r>
        <w:rPr>
          <w:snapToGrid w:val="0"/>
        </w:rPr>
        <w:tab/>
        <w:t>(3)</w:t>
      </w:r>
      <w:r>
        <w:rPr>
          <w:snapToGrid w:val="0"/>
        </w:rPr>
        <w:tab/>
        <w:t>Any person acting in the exercise or purported exercise of an authorisation conferred or alleged to be conferred by subsection (2) shall — </w:t>
      </w:r>
    </w:p>
    <w:p>
      <w:pPr>
        <w:pStyle w:val="Indenta"/>
        <w:spacing w:before="60"/>
        <w:rPr>
          <w:snapToGrid w:val="0"/>
        </w:rPr>
      </w:pPr>
      <w:r>
        <w:rPr>
          <w:snapToGrid w:val="0"/>
        </w:rPr>
        <w:tab/>
        <w:t>(a)</w:t>
      </w:r>
      <w:r>
        <w:rPr>
          <w:snapToGrid w:val="0"/>
        </w:rPr>
        <w:tab/>
        <w:t>cause all holes, pits, trenches and other disturbances on the surface of the land which were made while he was so acting and which are likely to endanger the safety of any person or animal, to be filled in or otherwise made safe, together with such other holes, pits, trenches and other disturbances made, wholly or in part, by him as the Minister may from time to time direct;</w:t>
      </w:r>
    </w:p>
    <w:p>
      <w:pPr>
        <w:pStyle w:val="Indenta"/>
        <w:spacing w:before="60"/>
        <w:rPr>
          <w:snapToGrid w:val="0"/>
          <w:spacing w:val="-4"/>
        </w:rPr>
      </w:pPr>
      <w:r>
        <w:rPr>
          <w:snapToGrid w:val="0"/>
          <w:spacing w:val="-4"/>
        </w:rPr>
        <w:tab/>
        <w:t>(b)</w:t>
      </w:r>
      <w:r>
        <w:rPr>
          <w:snapToGrid w:val="0"/>
          <w:spacing w:val="-4"/>
        </w:rPr>
        <w:tab/>
        <w:t>take all necessary steps to prevent fire, damage to trees or other property and to prevent damage to any property or damage to livestock by the presence of dogs, the discharge of firearms, the use of vehicles or otherwise; and</w:t>
      </w:r>
    </w:p>
    <w:p>
      <w:pPr>
        <w:pStyle w:val="Indenta"/>
        <w:spacing w:before="60"/>
        <w:rPr>
          <w:snapToGrid w:val="0"/>
        </w:rPr>
      </w:pPr>
      <w:r>
        <w:rPr>
          <w:snapToGrid w:val="0"/>
        </w:rPr>
        <w:tab/>
        <w:t>(c)</w:t>
      </w:r>
      <w:r>
        <w:rPr>
          <w:snapToGrid w:val="0"/>
        </w:rPr>
        <w:tab/>
        <w:t>be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that person in relation to any land or mining tenement while he was so acting,</w:t>
      </w:r>
    </w:p>
    <w:p>
      <w:pPr>
        <w:pStyle w:val="Subsection"/>
        <w:rPr>
          <w:snapToGrid w:val="0"/>
        </w:rPr>
      </w:pPr>
      <w:r>
        <w:rPr>
          <w:snapToGrid w:val="0"/>
        </w:rPr>
        <w:tab/>
      </w:r>
      <w:r>
        <w:rPr>
          <w:snapToGrid w:val="0"/>
        </w:rPr>
        <w:tab/>
        <w:t>and a determination made by the warden’s court under this subsection is for the purposes of section 147(1), a final determination of the warden’s court.</w:t>
      </w:r>
    </w:p>
    <w:p>
      <w:pPr>
        <w:pStyle w:val="Ednotesubsection"/>
      </w:pPr>
      <w:r>
        <w:tab/>
        <w:t>[(4)</w:t>
      </w:r>
      <w:r>
        <w:tab/>
        <w:t xml:space="preserve">repealed] </w:t>
      </w:r>
    </w:p>
    <w:p>
      <w:pPr>
        <w:pStyle w:val="Subsection"/>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 </w:t>
      </w:r>
    </w:p>
    <w:p>
      <w:pPr>
        <w:pStyle w:val="Indenta"/>
        <w:rPr>
          <w:snapToGrid w:val="0"/>
        </w:rPr>
      </w:pPr>
      <w:r>
        <w:rPr>
          <w:snapToGrid w:val="0"/>
        </w:rPr>
        <w:tab/>
        <w:t>(a)</w:t>
      </w:r>
      <w:r>
        <w:rPr>
          <w:snapToGrid w:val="0"/>
        </w:rPr>
        <w:tab/>
        <w:t>for the time being under crop, or which is situated within 100 metres thereof;</w:t>
      </w:r>
    </w:p>
    <w:p>
      <w:pPr>
        <w:pStyle w:val="Indenta"/>
        <w:rPr>
          <w:snapToGrid w:val="0"/>
        </w:rPr>
      </w:pPr>
      <w:r>
        <w:rPr>
          <w:snapToGrid w:val="0"/>
        </w:rPr>
        <w:tab/>
        <w:t>(b)</w:t>
      </w:r>
      <w:r>
        <w:rPr>
          <w:snapToGrid w:val="0"/>
        </w:rPr>
        <w:tab/>
        <w:t>used as or situated within 100 metres of a yard, stockyard, garden, cultivated field, orchard, vineyard, plantation, airstrip or airfield;</w:t>
      </w:r>
    </w:p>
    <w:p>
      <w:pPr>
        <w:pStyle w:val="Indenta"/>
        <w:rPr>
          <w:snapToGrid w:val="0"/>
        </w:rPr>
      </w:pPr>
      <w:r>
        <w:rPr>
          <w:snapToGrid w:val="0"/>
        </w:rPr>
        <w:tab/>
        <w:t>(c)</w:t>
      </w:r>
      <w:r>
        <w:rPr>
          <w:snapToGrid w:val="0"/>
        </w:rPr>
        <w:tab/>
        <w:t>situated within 100 metres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metres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metres of the outer edge of, any water works, race, dam, well or bore, not being an excavation previously made and used for mining purposes by a person other than a lessee of that pastoral lease,</w:t>
      </w:r>
    </w:p>
    <w:p>
      <w:pPr>
        <w:pStyle w:val="Subsection"/>
      </w:pPr>
      <w:r>
        <w:rPr>
          <w:snapToGrid w:val="0"/>
        </w:rPr>
        <w:tab/>
      </w:r>
      <w:r>
        <w:rPr>
          <w:snapToGrid w:val="0"/>
        </w:rPr>
        <w:tab/>
        <w:t xml:space="preserve">without the written consent of the occupier, </w:t>
      </w:r>
      <w:r>
        <w:t xml:space="preserve">unless — </w:t>
      </w:r>
    </w:p>
    <w:p>
      <w:pPr>
        <w:pStyle w:val="Indenta"/>
      </w:pPr>
      <w:r>
        <w:tab/>
        <w:t>(ea)</w:t>
      </w:r>
      <w:r>
        <w:tab/>
        <w:t>the warden in relation to any land other than land referred to in paragraph (c) by order otherwise directs; or</w:t>
      </w:r>
    </w:p>
    <w:p>
      <w:pPr>
        <w:pStyle w:val="Indenta"/>
      </w:pPr>
      <w:r>
        <w:tab/>
        <w:t>(eb)</w:t>
      </w:r>
      <w:r>
        <w:tab/>
        <w:t>in the case of mining, it is carried out not less than 30 metres below the lowest part of the natural surface of the land,</w:t>
      </w:r>
    </w:p>
    <w:p>
      <w:pPr>
        <w:pStyle w:val="Subsection"/>
        <w:rPr>
          <w:snapToGrid w:val="0"/>
        </w:rPr>
      </w:pPr>
      <w:r>
        <w:tab/>
      </w:r>
      <w:r>
        <w:tab/>
        <w:t xml:space="preserve">but </w:t>
      </w:r>
      <w:r>
        <w:rPr>
          <w:snapToGrid w:val="0"/>
        </w:rPr>
        <w:t>nothing in this subsection prevents such a holder from passing and repassing over any Crown land that is situated within — </w:t>
      </w:r>
    </w:p>
    <w:p>
      <w:pPr>
        <w:pStyle w:val="Indenta"/>
        <w:keepNext/>
        <w:rPr>
          <w:snapToGrid w:val="0"/>
        </w:rPr>
      </w:pPr>
      <w:r>
        <w:rPr>
          <w:snapToGrid w:val="0"/>
        </w:rPr>
        <w:tab/>
        <w:t>(f)</w:t>
      </w:r>
      <w:r>
        <w:rPr>
          <w:snapToGrid w:val="0"/>
        </w:rPr>
        <w:tab/>
        <w:t>100 metres of any Crown land that is — </w:t>
      </w:r>
    </w:p>
    <w:p>
      <w:pPr>
        <w:pStyle w:val="Indenti"/>
        <w:rPr>
          <w:snapToGrid w:val="0"/>
        </w:rPr>
      </w:pPr>
      <w:r>
        <w:rPr>
          <w:snapToGrid w:val="0"/>
        </w:rPr>
        <w:tab/>
        <w:t>(i)</w:t>
      </w:r>
      <w:r>
        <w:rPr>
          <w:snapToGrid w:val="0"/>
        </w:rPr>
        <w:tab/>
        <w:t>for the time being under crop;</w:t>
      </w:r>
    </w:p>
    <w:p>
      <w:pPr>
        <w:pStyle w:val="Indenti"/>
        <w:rPr>
          <w:snapToGrid w:val="0"/>
        </w:rPr>
      </w:pPr>
      <w:r>
        <w:rPr>
          <w:snapToGrid w:val="0"/>
        </w:rPr>
        <w:tab/>
        <w:t>(ii)</w:t>
      </w:r>
      <w:r>
        <w:rPr>
          <w:snapToGrid w:val="0"/>
        </w:rPr>
        <w:tab/>
        <w:t>used as a yard, stockyard, garden, cultivated field, orchard, vineyard, plantation, airstrip or airfield;</w:t>
      </w:r>
    </w:p>
    <w:p>
      <w:pPr>
        <w:pStyle w:val="Indenti"/>
        <w:rPr>
          <w:snapToGrid w:val="0"/>
        </w:rPr>
      </w:pPr>
      <w:r>
        <w:rPr>
          <w:snapToGrid w:val="0"/>
        </w:rPr>
        <w:tab/>
        <w:t>(iii)</w:t>
      </w:r>
      <w:r>
        <w:rPr>
          <w:snapToGrid w:val="0"/>
        </w:rPr>
        <w:tab/>
        <w:t>in actual occupation and on which a house or other substantial building is erected; or</w:t>
      </w:r>
    </w:p>
    <w:p>
      <w:pPr>
        <w:pStyle w:val="Indenti"/>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400 metres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make an order under this subsection 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 by the warden.</w:t>
      </w:r>
    </w:p>
    <w:p>
      <w:pPr>
        <w:pStyle w:val="Subsection"/>
        <w:rPr>
          <w:snapToGrid w:val="0"/>
        </w:rPr>
      </w:pPr>
      <w:r>
        <w:rPr>
          <w:snapToGrid w:val="0"/>
        </w:rPr>
        <w:tab/>
        <w:t>(5a)</w:t>
      </w:r>
      <w:r>
        <w:rPr>
          <w:snapToGrid w:val="0"/>
        </w:rPr>
        <w:tab/>
        <w:t>The holder of a mining tenement or Miner’s Right who passes or repasses over any Crown land that is situated within — </w:t>
      </w:r>
    </w:p>
    <w:p>
      <w:pPr>
        <w:pStyle w:val="Indenta"/>
        <w:rPr>
          <w:snapToGrid w:val="0"/>
        </w:rPr>
      </w:pPr>
      <w:r>
        <w:rPr>
          <w:snapToGrid w:val="0"/>
        </w:rPr>
        <w:tab/>
        <w:t>(a)</w:t>
      </w:r>
      <w:r>
        <w:rPr>
          <w:snapToGrid w:val="0"/>
        </w:rPr>
        <w:tab/>
        <w:t>100 metres of any Crown land referred to in subsection (5)(f); or</w:t>
      </w:r>
    </w:p>
    <w:p>
      <w:pPr>
        <w:pStyle w:val="Indenta"/>
        <w:rPr>
          <w:snapToGrid w:val="0"/>
        </w:rPr>
      </w:pPr>
      <w:r>
        <w:rPr>
          <w:snapToGrid w:val="0"/>
        </w:rPr>
        <w:tab/>
        <w:t>(b)</w:t>
      </w:r>
      <w:r>
        <w:rPr>
          <w:snapToGrid w:val="0"/>
        </w:rPr>
        <w:tab/>
        <w:t>400 metres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w:t>
      </w:r>
    </w:p>
    <w:p>
      <w:pPr>
        <w:pStyle w:val="Indenta"/>
        <w:keepNext/>
        <w:keepLines/>
        <w:rPr>
          <w:snapToGrid w:val="0"/>
        </w:rPr>
      </w:pPr>
      <w:r>
        <w:rPr>
          <w:snapToGrid w:val="0"/>
        </w:rPr>
        <w:tab/>
        <w:t>(d)</w:t>
      </w:r>
      <w:r>
        <w:rPr>
          <w:snapToGrid w:val="0"/>
        </w:rPr>
        <w:tab/>
        <w:t>when so passing or repassing —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spacing w:val="-4"/>
        </w:rPr>
      </w:pPr>
      <w:r>
        <w:rPr>
          <w:snapToGrid w:val="0"/>
          <w:spacing w:val="-4"/>
        </w:rPr>
        <w:tab/>
        <w:t>(e)</w:t>
      </w:r>
      <w:r>
        <w:rPr>
          <w:snapToGrid w:val="0"/>
          <w:spacing w:val="-4"/>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2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2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20"/>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pPr>
      <w:r>
        <w:tab/>
        <w:t xml:space="preserve">[Section 20 amended by No. 122 of 1982 s. 6; No. 100 of 1985 s. 13; No. 22 of 1990 s. 5; No. 31 of 1997 s. 141; No. 63 of 2000 s. 4; No. 15 of 2002 s. 5.] </w:t>
      </w:r>
    </w:p>
    <w:p>
      <w:pPr>
        <w:pStyle w:val="Heading5"/>
      </w:pPr>
      <w:bookmarkStart w:id="137" w:name="_Toc520087899"/>
      <w:bookmarkStart w:id="138" w:name="_Toc523620534"/>
      <w:bookmarkStart w:id="139" w:name="_Toc38853685"/>
      <w:bookmarkStart w:id="140" w:name="_Toc122328428"/>
      <w:r>
        <w:rPr>
          <w:rStyle w:val="CharSectno"/>
        </w:rPr>
        <w:t>20A</w:t>
      </w:r>
      <w:r>
        <w:t>.</w:t>
      </w:r>
      <w:r>
        <w:tab/>
        <w:t xml:space="preserve">Permit to prospect on Crown land the subject of an exploration </w:t>
      </w:r>
      <w:bookmarkEnd w:id="137"/>
      <w:r>
        <w:t>licence</w:t>
      </w:r>
      <w:bookmarkEnd w:id="138"/>
      <w:bookmarkEnd w:id="139"/>
      <w:bookmarkEnd w:id="140"/>
    </w:p>
    <w:p>
      <w:pPr>
        <w:pStyle w:val="Subsection"/>
      </w:pPr>
      <w:r>
        <w:tab/>
        <w:t>(1)</w:t>
      </w:r>
      <w:r>
        <w:tab/>
        <w:t>The mining registrar or the holder of a prescribed office in the Department may issue a permit to prospect for minerals on Crown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shall be made in the prescribed form;</w:t>
      </w:r>
    </w:p>
    <w:p>
      <w:pPr>
        <w:pStyle w:val="Indenta"/>
      </w:pPr>
      <w:r>
        <w:tab/>
        <w:t>(b)</w:t>
      </w:r>
      <w:r>
        <w:tab/>
        <w:t>shall be lodged at the office of the mining registrar or the principal office of the Department at Perth; and</w:t>
      </w:r>
    </w:p>
    <w:p>
      <w:pPr>
        <w:pStyle w:val="Indenta"/>
      </w:pPr>
      <w:r>
        <w:tab/>
        <w:t>(c)</w:t>
      </w:r>
      <w:r>
        <w:tab/>
        <w:t>shall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shall not use explosives or tools, other than hand tools, on the land the subject of the permit;</w:t>
      </w:r>
    </w:p>
    <w:p>
      <w:pPr>
        <w:pStyle w:val="Indenta"/>
      </w:pPr>
      <w:r>
        <w:tab/>
        <w:t>(b)</w:t>
      </w:r>
      <w:r>
        <w:tab/>
        <w:t>shall not prospect below the prescribed depth;</w:t>
      </w:r>
    </w:p>
    <w:p>
      <w:pPr>
        <w:pStyle w:val="Indenta"/>
      </w:pPr>
      <w:r>
        <w:tab/>
        <w:t>(c)</w:t>
      </w:r>
      <w:r>
        <w:tab/>
        <w:t>shall comply with the prescribed limits referred to in section 20(2)(c);</w:t>
      </w:r>
    </w:p>
    <w:p>
      <w:pPr>
        <w:pStyle w:val="Indenta"/>
      </w:pPr>
      <w:r>
        <w:tab/>
        <w:t>(d)</w:t>
      </w:r>
      <w:r>
        <w:tab/>
        <w:t>shall not prospect within 100 metres of any activities that are being carried out under the authority of an exploration licence; and</w:t>
      </w:r>
    </w:p>
    <w:p>
      <w:pPr>
        <w:pStyle w:val="Indenta"/>
      </w:pPr>
      <w:r>
        <w:tab/>
        <w:t>(e)</w:t>
      </w:r>
      <w:r>
        <w:tab/>
        <w:t>shall not prospect on land that is the subject of a special prospecting licence under section 70.</w:t>
      </w:r>
    </w:p>
    <w:p>
      <w:pPr>
        <w:pStyle w:val="Subsection"/>
      </w:pPr>
      <w:r>
        <w:tab/>
        <w:t>(7)</w:t>
      </w:r>
      <w:r>
        <w:tab/>
        <w:t>A permit is not transferable.</w:t>
      </w:r>
    </w:p>
    <w:p>
      <w:pPr>
        <w:pStyle w:val="Footnotesection"/>
      </w:pPr>
      <w:r>
        <w:tab/>
        <w:t>[Section 20A inserted by No. 63 of 2000 s. 5.]</w:t>
      </w:r>
    </w:p>
    <w:p>
      <w:pPr>
        <w:pStyle w:val="Heading5"/>
      </w:pPr>
      <w:bookmarkStart w:id="141" w:name="_Toc520087900"/>
      <w:bookmarkStart w:id="142" w:name="_Toc523620535"/>
      <w:bookmarkStart w:id="143" w:name="_Toc38853686"/>
      <w:bookmarkStart w:id="144" w:name="_Toc122328429"/>
      <w:r>
        <w:rPr>
          <w:rStyle w:val="CharSectno"/>
        </w:rPr>
        <w:t>20B</w:t>
      </w:r>
      <w:r>
        <w:t>.</w:t>
      </w:r>
      <w:r>
        <w:tab/>
        <w:t>Power to remove Crown land from the operation of section 20A</w:t>
      </w:r>
      <w:bookmarkEnd w:id="141"/>
      <w:bookmarkEnd w:id="142"/>
      <w:bookmarkEnd w:id="143"/>
      <w:bookmarkEnd w:id="144"/>
    </w:p>
    <w:p>
      <w:pPr>
        <w:pStyle w:val="Subsection"/>
      </w:pPr>
      <w:r>
        <w:tab/>
        <w:t>(1)</w:t>
      </w:r>
      <w:r>
        <w:tab/>
        <w:t xml:space="preserve">The Minister may, by notice published in the </w:t>
      </w:r>
      <w:r>
        <w:rPr>
          <w:i/>
        </w:rPr>
        <w:t>Gazette</w:t>
      </w:r>
      <w:r>
        <w:t>, declare that section 20A does not apply to Crown land that is —</w:t>
      </w:r>
    </w:p>
    <w:p>
      <w:pPr>
        <w:pStyle w:val="Indenta"/>
      </w:pPr>
      <w:r>
        <w:tab/>
        <w:t>(a)</w:t>
      </w:r>
      <w:r>
        <w:tab/>
        <w:t>the subject of a specified exploration licence;</w:t>
      </w:r>
    </w:p>
    <w:p>
      <w:pPr>
        <w:pStyle w:val="Indenta"/>
      </w:pPr>
      <w:r>
        <w:tab/>
        <w:t>(b)</w:t>
      </w:r>
      <w:r>
        <w:tab/>
        <w:t>in a specified block (within the meaning of Division 2 of Part IV);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keepNext/>
      </w:pPr>
      <w:r>
        <w:tab/>
        <w:t>(4)</w:t>
      </w:r>
      <w:r>
        <w:tab/>
        <w:t>A notice under this section does not affect the operation of a permit issued under section 20A before the day on which the notice takes effect.</w:t>
      </w:r>
    </w:p>
    <w:p>
      <w:pPr>
        <w:pStyle w:val="Footnotesection"/>
      </w:pPr>
      <w:r>
        <w:tab/>
        <w:t>[Section 20B inserted by No. 63 of 2000 s. 5.]</w:t>
      </w:r>
    </w:p>
    <w:p>
      <w:pPr>
        <w:pStyle w:val="Heading5"/>
      </w:pPr>
      <w:bookmarkStart w:id="145" w:name="_Toc520087901"/>
      <w:bookmarkStart w:id="146" w:name="_Toc523620536"/>
      <w:bookmarkStart w:id="147" w:name="_Toc38853687"/>
      <w:bookmarkStart w:id="148" w:name="_Toc122328430"/>
      <w:r>
        <w:rPr>
          <w:rStyle w:val="CharSectno"/>
        </w:rPr>
        <w:t>20C</w:t>
      </w:r>
      <w:r>
        <w:t>.</w:t>
      </w:r>
      <w:r>
        <w:tab/>
        <w:t>Limitation on actions in tort</w:t>
      </w:r>
      <w:bookmarkEnd w:id="145"/>
      <w:bookmarkEnd w:id="146"/>
      <w:bookmarkEnd w:id="147"/>
      <w:bookmarkEnd w:id="148"/>
    </w:p>
    <w:p>
      <w:pPr>
        <w:pStyle w:val="Subsection"/>
      </w:pPr>
      <w:r>
        <w:tab/>
        <w:t>(1)</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pPr>
      <w:r>
        <w:tab/>
        <w:t>(2)</w:t>
      </w:r>
      <w:r>
        <w:tab/>
        <w:t>Nothing in subsection (1)(b) prevents the bringing of an action in tort if the thing was done —</w:t>
      </w:r>
    </w:p>
    <w:p>
      <w:pPr>
        <w:pStyle w:val="Indenta"/>
      </w:pPr>
      <w:r>
        <w:tab/>
        <w:t>(a)</w:t>
      </w:r>
      <w:r>
        <w:tab/>
        <w:t>with the deliberate intent of causing injury, loss or damage to the holder of the permit; or</w:t>
      </w:r>
    </w:p>
    <w:p>
      <w:pPr>
        <w:pStyle w:val="Indenta"/>
      </w:pPr>
      <w:r>
        <w:tab/>
        <w:t>(b)</w:t>
      </w:r>
      <w:r>
        <w:tab/>
        <w:t>with reckless disregard for the presence of the holder of the permit on the permit land.</w:t>
      </w:r>
    </w:p>
    <w:p>
      <w:pPr>
        <w:pStyle w:val="Subsection"/>
      </w:pPr>
      <w:r>
        <w:tab/>
        <w:t>(3)</w:t>
      </w:r>
      <w:r>
        <w:tab/>
        <w:t>In this section a reference to the doing of a thing includes a reference to an omission to do a thing.</w:t>
      </w:r>
    </w:p>
    <w:p>
      <w:pPr>
        <w:pStyle w:val="Subsection"/>
      </w:pPr>
      <w:r>
        <w:tab/>
        <w:t>(4)</w:t>
      </w:r>
      <w:r>
        <w:tab/>
        <w:t>In this section —</w:t>
      </w:r>
    </w:p>
    <w:p>
      <w:pPr>
        <w:pStyle w:val="Defstart"/>
      </w:pPr>
      <w:r>
        <w:tab/>
      </w:r>
      <w:r>
        <w:rPr>
          <w:b/>
        </w:rPr>
        <w:t>“</w:t>
      </w:r>
      <w:r>
        <w:rPr>
          <w:rStyle w:val="CharDefText"/>
        </w:rPr>
        <w:t>permit</w:t>
      </w:r>
      <w:r>
        <w:rPr>
          <w:b/>
        </w:rPr>
        <w:t>”</w:t>
      </w:r>
      <w:r>
        <w:t xml:space="preserve"> means a permit under section 20A;</w:t>
      </w:r>
    </w:p>
    <w:p>
      <w:pPr>
        <w:pStyle w:val="Defstart"/>
      </w:pPr>
      <w:r>
        <w:tab/>
      </w:r>
      <w:r>
        <w:rPr>
          <w:b/>
        </w:rPr>
        <w:t>“</w:t>
      </w:r>
      <w:r>
        <w:rPr>
          <w:rStyle w:val="CharDefText"/>
        </w:rPr>
        <w:t>permit land</w:t>
      </w:r>
      <w:r>
        <w:rPr>
          <w:b/>
        </w:rPr>
        <w:t>”</w:t>
      </w:r>
      <w:r>
        <w:t xml:space="preserve"> means land that is the subject of both the permit and the exploration licence concerned.</w:t>
      </w:r>
    </w:p>
    <w:p>
      <w:pPr>
        <w:pStyle w:val="Footnotesection"/>
      </w:pPr>
      <w:r>
        <w:tab/>
        <w:t>[Section 20C inserted by No. 63 of 2000 s. 5.]</w:t>
      </w:r>
    </w:p>
    <w:p>
      <w:pPr>
        <w:pStyle w:val="Heading5"/>
        <w:spacing w:before="120"/>
        <w:rPr>
          <w:snapToGrid w:val="0"/>
        </w:rPr>
      </w:pPr>
      <w:bookmarkStart w:id="149" w:name="_Toc520087902"/>
      <w:bookmarkStart w:id="150" w:name="_Toc523620537"/>
      <w:bookmarkStart w:id="151" w:name="_Toc38853688"/>
      <w:bookmarkStart w:id="152" w:name="_Toc122328431"/>
      <w:r>
        <w:rPr>
          <w:rStyle w:val="CharSectno"/>
        </w:rPr>
        <w:t>21</w:t>
      </w:r>
      <w:r>
        <w:rPr>
          <w:snapToGrid w:val="0"/>
        </w:rPr>
        <w:t>.</w:t>
      </w:r>
      <w:r>
        <w:rPr>
          <w:snapToGrid w:val="0"/>
        </w:rPr>
        <w:tab/>
        <w:t>Power to resume land</w:t>
      </w:r>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pPr>
      <w:r>
        <w:tab/>
        <w:t>[Section 21 amended by No. 100 of 1985 s. 14; No. 31 of 1997 s. 71(3)</w:t>
      </w:r>
      <w:r>
        <w:noBreakHyphen/>
        <w:t xml:space="preserve">(6); No. 55 of 2004 s. 570.] </w:t>
      </w:r>
    </w:p>
    <w:p>
      <w:pPr>
        <w:pStyle w:val="Heading5"/>
        <w:rPr>
          <w:snapToGrid w:val="0"/>
        </w:rPr>
      </w:pPr>
      <w:bookmarkStart w:id="153" w:name="_Toc520087903"/>
      <w:bookmarkStart w:id="154" w:name="_Toc523620538"/>
      <w:bookmarkStart w:id="155" w:name="_Toc38853689"/>
      <w:bookmarkStart w:id="156" w:name="_Toc122328432"/>
      <w:r>
        <w:rPr>
          <w:rStyle w:val="CharSectno"/>
        </w:rPr>
        <w:t>22</w:t>
      </w:r>
      <w:r>
        <w:rPr>
          <w:snapToGrid w:val="0"/>
        </w:rPr>
        <w:t>.</w:t>
      </w:r>
      <w:r>
        <w:rPr>
          <w:snapToGrid w:val="0"/>
        </w:rPr>
        <w:tab/>
        <w:t>Effect of resumption</w:t>
      </w:r>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pPr>
      <w:r>
        <w:tab/>
        <w:t xml:space="preserve">[Section 22 amended by No. 100 of 1985 s. 15; No. 31 of 1997 s. 71(7).] </w:t>
      </w:r>
    </w:p>
    <w:p>
      <w:pPr>
        <w:pStyle w:val="Heading3"/>
        <w:rPr>
          <w:snapToGrid w:val="0"/>
        </w:rPr>
      </w:pPr>
      <w:bookmarkStart w:id="157" w:name="_Toc87427561"/>
      <w:bookmarkStart w:id="158" w:name="_Toc87851136"/>
      <w:bookmarkStart w:id="159" w:name="_Toc88295359"/>
      <w:bookmarkStart w:id="160" w:name="_Toc89519018"/>
      <w:bookmarkStart w:id="161" w:name="_Toc90869143"/>
      <w:bookmarkStart w:id="162" w:name="_Toc91407915"/>
      <w:bookmarkStart w:id="163" w:name="_Toc92863659"/>
      <w:bookmarkStart w:id="164" w:name="_Toc95015027"/>
      <w:bookmarkStart w:id="165" w:name="_Toc95106734"/>
      <w:bookmarkStart w:id="166" w:name="_Toc97018534"/>
      <w:bookmarkStart w:id="167" w:name="_Toc101693487"/>
      <w:bookmarkStart w:id="168" w:name="_Toc103130357"/>
      <w:bookmarkStart w:id="169" w:name="_Toc104711007"/>
      <w:bookmarkStart w:id="170" w:name="_Toc121559992"/>
      <w:bookmarkStart w:id="171" w:name="_Toc122328433"/>
      <w:r>
        <w:rPr>
          <w:rStyle w:val="CharDivNo"/>
        </w:rPr>
        <w:t>Division 2</w:t>
      </w:r>
      <w:r>
        <w:rPr>
          <w:snapToGrid w:val="0"/>
        </w:rPr>
        <w:t> — </w:t>
      </w:r>
      <w:r>
        <w:rPr>
          <w:rStyle w:val="CharDivText"/>
        </w:rPr>
        <w:t>Public reserves, etc.</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r>
        <w:rPr>
          <w:rStyle w:val="CharDivText"/>
        </w:rPr>
        <w:t xml:space="preserve"> </w:t>
      </w:r>
    </w:p>
    <w:p>
      <w:pPr>
        <w:pStyle w:val="Heading5"/>
        <w:rPr>
          <w:snapToGrid w:val="0"/>
        </w:rPr>
      </w:pPr>
      <w:bookmarkStart w:id="172" w:name="_Toc520087904"/>
      <w:bookmarkStart w:id="173" w:name="_Toc523620539"/>
      <w:bookmarkStart w:id="174" w:name="_Toc38853690"/>
      <w:bookmarkStart w:id="175" w:name="_Toc122328434"/>
      <w:r>
        <w:rPr>
          <w:rStyle w:val="CharSectno"/>
        </w:rPr>
        <w:t>23</w:t>
      </w:r>
      <w:r>
        <w:rPr>
          <w:snapToGrid w:val="0"/>
        </w:rPr>
        <w:t>.</w:t>
      </w:r>
      <w:r>
        <w:rPr>
          <w:snapToGrid w:val="0"/>
        </w:rPr>
        <w:tab/>
        <w:t>Mining on public reserves, etc.</w:t>
      </w:r>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Subject to this Act, a mining tenement may be applied for in respect of any land, or land of a class, to which section 24, 24A or 25 applies (not being land that is already the subject of a mining tenement) but — </w:t>
      </w:r>
    </w:p>
    <w:p>
      <w:pPr>
        <w:pStyle w:val="Indenta"/>
        <w:rPr>
          <w:snapToGrid w:val="0"/>
        </w:rPr>
      </w:pPr>
      <w:r>
        <w:rPr>
          <w:snapToGrid w:val="0"/>
        </w:rPr>
        <w:tab/>
        <w:t>(a)</w:t>
      </w:r>
      <w:r>
        <w:rPr>
          <w:snapToGrid w:val="0"/>
        </w:rPr>
        <w:tab/>
        <w:t>no mining shall be carried out on or under any such land otherwise than in accordance with a relevant consent obtained in relation to that land under section 24, 24A or 25; and</w:t>
      </w:r>
    </w:p>
    <w:p>
      <w:pPr>
        <w:pStyle w:val="Indenta"/>
        <w:rPr>
          <w:snapToGrid w:val="0"/>
        </w:rPr>
      </w:pPr>
      <w:r>
        <w:rPr>
          <w:snapToGrid w:val="0"/>
        </w:rPr>
        <w:tab/>
        <w:t>(b)</w:t>
      </w:r>
      <w:r>
        <w:rPr>
          <w:snapToGrid w:val="0"/>
        </w:rPr>
        <w:tab/>
        <w:t>a mining tenement held in relation to such land by a person who — </w:t>
      </w:r>
    </w:p>
    <w:p>
      <w:pPr>
        <w:pStyle w:val="Indenti"/>
        <w:rPr>
          <w:snapToGrid w:val="0"/>
        </w:rPr>
      </w:pPr>
      <w:r>
        <w:rPr>
          <w:snapToGrid w:val="0"/>
        </w:rPr>
        <w:tab/>
        <w:t>(i)</w:t>
      </w:r>
      <w:r>
        <w:rPr>
          <w:snapToGrid w:val="0"/>
        </w:rPr>
        <w:tab/>
        <w:t>contravenes this section; or</w:t>
      </w:r>
    </w:p>
    <w:p>
      <w:pPr>
        <w:pStyle w:val="Indenti"/>
        <w:keepNext/>
        <w:keepLines/>
        <w:rPr>
          <w:snapToGrid w:val="0"/>
        </w:rPr>
      </w:pPr>
      <w:r>
        <w:rPr>
          <w:snapToGrid w:val="0"/>
        </w:rPr>
        <w:tab/>
        <w:t>(ii)</w:t>
      </w:r>
      <w:r>
        <w:rPr>
          <w:snapToGrid w:val="0"/>
        </w:rPr>
        <w:tab/>
        <w:t>is in breach of any term or condition to which a consent given under section 24, 24A or 25 is made subject,</w:t>
      </w:r>
    </w:p>
    <w:p>
      <w:pPr>
        <w:pStyle w:val="Indenta"/>
        <w:keepNext/>
        <w:keepLines/>
        <w:rPr>
          <w:snapToGrid w:val="0"/>
        </w:rPr>
      </w:pPr>
      <w:r>
        <w:rPr>
          <w:snapToGrid w:val="0"/>
        </w:rPr>
        <w:tab/>
      </w:r>
      <w:r>
        <w:rPr>
          <w:snapToGrid w:val="0"/>
        </w:rPr>
        <w:tab/>
        <w:t>is liable to be forfeited,</w:t>
      </w:r>
    </w:p>
    <w:p>
      <w:pPr>
        <w:pStyle w:val="Subsection"/>
        <w:rPr>
          <w:snapToGrid w:val="0"/>
        </w:rPr>
      </w:pPr>
      <w:r>
        <w:rPr>
          <w:snapToGrid w:val="0"/>
        </w:rPr>
        <w:tab/>
      </w:r>
      <w:r>
        <w:rPr>
          <w:snapToGrid w:val="0"/>
        </w:rPr>
        <w:tab/>
        <w:t>and such land is only open for mining as provided in those sections and subject to such terms and conditions as are thereby imposed.</w:t>
      </w:r>
    </w:p>
    <w:p>
      <w:pPr>
        <w:pStyle w:val="Footnotesection"/>
      </w:pPr>
      <w:r>
        <w:tab/>
        <w:t xml:space="preserve">[Section 23 inserted by No. 100 of 1985 s. 16; amended by No. 5 of 1997 s. 41(2).] </w:t>
      </w:r>
    </w:p>
    <w:p>
      <w:pPr>
        <w:pStyle w:val="Heading5"/>
        <w:rPr>
          <w:snapToGrid w:val="0"/>
        </w:rPr>
      </w:pPr>
      <w:bookmarkStart w:id="176" w:name="_Toc520087905"/>
      <w:bookmarkStart w:id="177" w:name="_Toc523620540"/>
      <w:bookmarkStart w:id="178" w:name="_Toc38853691"/>
      <w:bookmarkStart w:id="179" w:name="_Toc122328435"/>
      <w:r>
        <w:rPr>
          <w:rStyle w:val="CharSectno"/>
        </w:rPr>
        <w:t>24</w:t>
      </w:r>
      <w:r>
        <w:rPr>
          <w:snapToGrid w:val="0"/>
        </w:rPr>
        <w:t>.</w:t>
      </w:r>
      <w:r>
        <w:rPr>
          <w:snapToGrid w:val="0"/>
        </w:rPr>
        <w:tab/>
        <w:t>Classification of reserves</w:t>
      </w:r>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The classes of land to which this section applies are —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w:t>
      </w:r>
    </w:p>
    <w:p>
      <w:pPr>
        <w:pStyle w:val="Indenta"/>
        <w:rPr>
          <w:snapToGrid w:val="0"/>
        </w:rPr>
      </w:pPr>
      <w:r>
        <w:rPr>
          <w:snapToGrid w:val="0"/>
        </w:rPr>
        <w:tab/>
        <w:t>(b)</w:t>
      </w:r>
      <w:r>
        <w:rPr>
          <w:snapToGrid w:val="0"/>
        </w:rPr>
        <w:tab/>
        <w:t>any land comprised within —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spacing w:before="60"/>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w:t>
      </w:r>
    </w:p>
    <w:p>
      <w:pPr>
        <w:pStyle w:val="Indenta"/>
        <w:spacing w:before="60"/>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w:t>
      </w:r>
    </w:p>
    <w:p>
      <w:pPr>
        <w:pStyle w:val="Indenta"/>
        <w:spacing w:before="60"/>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w:t>
      </w:r>
    </w:p>
    <w:p>
      <w:pPr>
        <w:pStyle w:val="Indenta"/>
        <w:spacing w:before="60"/>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w:t>
      </w:r>
    </w:p>
    <w:p>
      <w:pPr>
        <w:pStyle w:val="Indenta"/>
        <w:spacing w:before="60"/>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spacing w:before="60"/>
        <w:rPr>
          <w:snapToGrid w:val="0"/>
        </w:rPr>
      </w:pPr>
      <w:r>
        <w:rPr>
          <w:snapToGrid w:val="0"/>
        </w:rPr>
        <w:tab/>
        <w:t>(g)</w:t>
      </w:r>
      <w:r>
        <w:rPr>
          <w:snapToGrid w:val="0"/>
        </w:rPr>
        <w:tab/>
        <w:t>land that is reserved under any Act other than those Acts already referred to in this subsection.</w:t>
      </w:r>
    </w:p>
    <w:p>
      <w:pPr>
        <w:pStyle w:val="Indenta"/>
        <w:tabs>
          <w:tab w:val="left" w:pos="284"/>
        </w:tabs>
        <w:rPr>
          <w:snapToGrid w:val="0"/>
        </w:rPr>
      </w:pPr>
      <w:r>
        <w:rPr>
          <w:snapToGrid w:val="0"/>
        </w:rPr>
        <w:tab/>
        <w:t>(2)</w:t>
      </w:r>
      <w:r>
        <w:rPr>
          <w:snapToGrid w:val="0"/>
        </w:rPr>
        <w:tab/>
        <w:t>(a)</w:t>
      </w:r>
      <w:r>
        <w:rPr>
          <w:snapToGrid w:val="0"/>
        </w:rPr>
        <w:tab/>
        <w:t>The Governor may, from time to time, by order in council, apply this section to any other land or class of land specified in the order in council and as from the date so specified this section shall apply to the extent and in the manner specified in the order in council.</w:t>
      </w:r>
    </w:p>
    <w:p>
      <w:pPr>
        <w:pStyle w:val="Indenta"/>
        <w:tabs>
          <w:tab w:val="left" w:pos="567"/>
        </w:tabs>
        <w:rPr>
          <w:snapToGrid w:val="0"/>
        </w:rPr>
      </w:pPr>
      <w:r>
        <w:rPr>
          <w:snapToGrid w:val="0"/>
        </w:rPr>
        <w:tab/>
      </w:r>
      <w:r>
        <w:rPr>
          <w:snapToGrid w:val="0"/>
        </w:rPr>
        <w:tab/>
        <w:t>(b)</w:t>
      </w:r>
      <w:r>
        <w:rPr>
          <w:snapToGrid w:val="0"/>
        </w:rPr>
        <w:tab/>
        <w:t>The Minister shall cause an order in council made pursuant to paragraph (a)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Indenta"/>
        <w:tabs>
          <w:tab w:val="left" w:pos="284"/>
        </w:tabs>
        <w:rPr>
          <w:snapToGrid w:val="0"/>
        </w:rPr>
      </w:pPr>
      <w:r>
        <w:rPr>
          <w:snapToGrid w:val="0"/>
        </w:rPr>
        <w:tab/>
        <w:t>(3)</w:t>
      </w:r>
      <w:r>
        <w:rPr>
          <w:snapToGrid w:val="0"/>
        </w:rPr>
        <w:tab/>
        <w:t>(a)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Indenta"/>
        <w:rPr>
          <w:snapToGrid w:val="0"/>
        </w:rPr>
      </w:pPr>
      <w:r>
        <w:rPr>
          <w:snapToGrid w:val="0"/>
        </w:rPr>
        <w:tab/>
        <w:t>(b)</w:t>
      </w:r>
      <w:r>
        <w:rPr>
          <w:snapToGrid w:val="0"/>
        </w:rPr>
        <w:tab/>
        <w:t>Before giving his consent whether conditionally or unconditionally the Minister shall first consult with, and obtain the concurrence thereto, of the responsible Minister.</w:t>
      </w:r>
    </w:p>
    <w:p>
      <w:pPr>
        <w:pStyle w:val="Subsection"/>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Indenta"/>
        <w:tabs>
          <w:tab w:val="left" w:pos="284"/>
        </w:tabs>
        <w:rPr>
          <w:snapToGrid w:val="0"/>
        </w:rPr>
      </w:pPr>
      <w:r>
        <w:rPr>
          <w:snapToGrid w:val="0"/>
        </w:rPr>
        <w:tab/>
        <w:t>(5)</w:t>
      </w:r>
      <w:r>
        <w:rPr>
          <w:snapToGrid w:val="0"/>
        </w:rPr>
        <w:tab/>
        <w:t>(a)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Indenta"/>
        <w:rPr>
          <w:snapToGrid w:val="0"/>
        </w:rPr>
      </w:pPr>
      <w:r>
        <w:rPr>
          <w:snapToGrid w:val="0"/>
        </w:rPr>
        <w:tab/>
        <w:t>(b)</w:t>
      </w:r>
      <w:r>
        <w:rPr>
          <w:snapToGrid w:val="0"/>
        </w:rPr>
        <w:tab/>
        <w:t>Before giving his consent 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Indenta"/>
        <w:tabs>
          <w:tab w:val="left" w:pos="284"/>
        </w:tabs>
        <w:rPr>
          <w:snapToGrid w:val="0"/>
        </w:rPr>
      </w:pPr>
      <w:r>
        <w:rPr>
          <w:snapToGrid w:val="0"/>
        </w:rPr>
        <w:tab/>
        <w:t>(6)</w:t>
      </w:r>
      <w:r>
        <w:rPr>
          <w:snapToGrid w:val="0"/>
        </w:rPr>
        <w:tab/>
        <w:t>(a)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Indenta"/>
        <w:rPr>
          <w:snapToGrid w:val="0"/>
        </w:rPr>
      </w:pPr>
      <w:r>
        <w:rPr>
          <w:snapToGrid w:val="0"/>
        </w:rPr>
        <w:tab/>
        <w:t>(b)</w:t>
      </w:r>
      <w:r>
        <w:rPr>
          <w:snapToGrid w:val="0"/>
        </w:rPr>
        <w:tab/>
        <w:t>Before giving his consent, whether conditionally or unconditionally the Minister shall first consult with, and obtain the concurrence thereto, of the responsible Minister.</w:t>
      </w:r>
    </w:p>
    <w:p>
      <w:pPr>
        <w:pStyle w:val="Indenta"/>
        <w:tabs>
          <w:tab w:val="left" w:pos="284"/>
        </w:tabs>
        <w:rPr>
          <w:snapToGrid w:val="0"/>
        </w:rPr>
      </w:pPr>
      <w:r>
        <w:rPr>
          <w:snapToGrid w:val="0"/>
        </w:rPr>
        <w:tab/>
        <w:t>(7)</w:t>
      </w:r>
      <w:r>
        <w:rPr>
          <w:snapToGrid w:val="0"/>
        </w:rPr>
        <w:tab/>
        <w:t>(a)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Indenta"/>
        <w:rPr>
          <w:snapToGrid w:val="0"/>
        </w:rPr>
      </w:pPr>
      <w:r>
        <w:rPr>
          <w:snapToGrid w:val="0"/>
        </w:rPr>
        <w:tab/>
        <w:t>(b)</w:t>
      </w:r>
      <w:r>
        <w:rPr>
          <w:snapToGrid w:val="0"/>
        </w:rPr>
        <w:tab/>
        <w:t>Before giving his consent, whether conditionally or unconditionally, the Minister shall first consult the responsible Minister with respect thereto and obtain his recommendation thereon.</w:t>
      </w:r>
    </w:p>
    <w:p>
      <w:pPr>
        <w:pStyle w:val="Indenta"/>
        <w:rPr>
          <w:snapToGrid w:val="0"/>
        </w:rPr>
      </w:pPr>
      <w:r>
        <w:rPr>
          <w:snapToGrid w:val="0"/>
        </w:rPr>
        <w:tab/>
        <w:t>(c)</w:t>
      </w:r>
      <w:r>
        <w:rPr>
          <w:snapToGrid w:val="0"/>
        </w:rPr>
        <w:tab/>
        <w:t xml:space="preserve">The giving by the Minister of his consent under this subsection 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 xml:space="preserve">(11).] </w:t>
      </w:r>
    </w:p>
    <w:p>
      <w:pPr>
        <w:pStyle w:val="Heading5"/>
        <w:spacing w:before="240"/>
        <w:rPr>
          <w:snapToGrid w:val="0"/>
        </w:rPr>
      </w:pPr>
      <w:bookmarkStart w:id="180" w:name="_Toc520087906"/>
      <w:bookmarkStart w:id="181" w:name="_Toc523620541"/>
      <w:bookmarkStart w:id="182" w:name="_Toc38853692"/>
      <w:bookmarkStart w:id="183" w:name="_Toc122328436"/>
      <w:r>
        <w:rPr>
          <w:rStyle w:val="CharSectno"/>
        </w:rPr>
        <w:t>24A</w:t>
      </w:r>
      <w:r>
        <w:rPr>
          <w:snapToGrid w:val="0"/>
        </w:rPr>
        <w:t>.</w:t>
      </w:r>
      <w:r>
        <w:rPr>
          <w:snapToGrid w:val="0"/>
        </w:rPr>
        <w:tab/>
        <w:t>Mining in marine reserves</w:t>
      </w:r>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 </w:t>
      </w:r>
    </w:p>
    <w:p>
      <w:pPr>
        <w:pStyle w:val="Indenta"/>
        <w:rPr>
          <w:snapToGrid w:val="0"/>
        </w:rPr>
      </w:pPr>
      <w:r>
        <w:rPr>
          <w:snapToGrid w:val="0"/>
        </w:rPr>
        <w:tab/>
        <w:t>(a)</w:t>
      </w:r>
      <w:r>
        <w:rPr>
          <w:snapToGrid w:val="0"/>
        </w:rPr>
        <w:tab/>
        <w:t>prevents a mining tenement from being —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spacing w:before="100"/>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rPr>
          <w:snapToGrid w:val="0"/>
        </w:rPr>
      </w:pPr>
      <w:r>
        <w:rPr>
          <w:snapToGrid w:val="0"/>
        </w:rPr>
        <w:tab/>
        <w:t>(7)</w:t>
      </w:r>
      <w:r>
        <w:rPr>
          <w:snapToGrid w:val="0"/>
        </w:rPr>
        <w:tab/>
        <w:t>Despite any consent given under subsection (2) or (4), nothing in this Act authorises the disturbance of — </w:t>
      </w:r>
    </w:p>
    <w:p>
      <w:pPr>
        <w:pStyle w:val="Indenta"/>
        <w:rPr>
          <w:snapToGrid w:val="0"/>
        </w:rPr>
      </w:pPr>
      <w:r>
        <w:rPr>
          <w:snapToGrid w:val="0"/>
        </w:rPr>
        <w:tab/>
        <w:t>(a)</w:t>
      </w:r>
      <w:r>
        <w:rPr>
          <w:snapToGrid w:val="0"/>
        </w:rPr>
        <w:tab/>
        <w:t>the sea bed or other land beneath waters in any restricted area in a mining tenement;</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metres.</w:t>
      </w:r>
    </w:p>
    <w:p>
      <w:pPr>
        <w:pStyle w:val="Subsection"/>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 </w:t>
      </w:r>
    </w:p>
    <w:p>
      <w:pPr>
        <w:pStyle w:val="Defstart"/>
      </w:pPr>
      <w:r>
        <w:rPr>
          <w:b/>
        </w:rPr>
        <w:tab/>
        <w:t>“</w:t>
      </w:r>
      <w:r>
        <w:rPr>
          <w:rStyle w:val="CharDefText"/>
        </w:rPr>
        <w:t>conservation Minister</w:t>
      </w:r>
      <w:r>
        <w:rPr>
          <w:b/>
        </w:rPr>
        <w:t>”</w:t>
      </w:r>
      <w:r>
        <w:t xml:space="preserve"> means the Minister for the time being charged with the administration of the </w:t>
      </w:r>
      <w:r>
        <w:rPr>
          <w:i/>
        </w:rPr>
        <w:t>Conservation and Land Management Act 1984</w:t>
      </w:r>
      <w:r>
        <w:t>;</w:t>
      </w:r>
    </w:p>
    <w:p>
      <w:pPr>
        <w:pStyle w:val="Defstart"/>
      </w:pPr>
      <w:r>
        <w:rPr>
          <w:b/>
        </w:rPr>
        <w:tab/>
        <w:t>“</w:t>
      </w:r>
      <w:r>
        <w:rPr>
          <w:rStyle w:val="CharDefText"/>
        </w:rPr>
        <w:t>fisheries Minister</w:t>
      </w:r>
      <w:r>
        <w:rPr>
          <w:b/>
        </w:rPr>
        <w:t>”</w:t>
      </w:r>
      <w:r>
        <w:t xml:space="preserve"> means the Minister for the time being charged with the administration of the </w:t>
      </w:r>
      <w:r>
        <w:rPr>
          <w:i/>
        </w:rPr>
        <w:t>Fish Resources Management Act 1994</w:t>
      </w:r>
      <w:r>
        <w:t>;</w:t>
      </w:r>
    </w:p>
    <w:p>
      <w:pPr>
        <w:pStyle w:val="Defstart"/>
      </w:pPr>
      <w:r>
        <w:rPr>
          <w:b/>
        </w:rPr>
        <w:tab/>
        <w:t>“</w:t>
      </w:r>
      <w:r>
        <w:rPr>
          <w:rStyle w:val="CharDefText"/>
        </w:rPr>
        <w:t>marine Minister</w:t>
      </w:r>
      <w:r>
        <w:rPr>
          <w:b/>
        </w:rPr>
        <w:t>”</w:t>
      </w:r>
      <w:r>
        <w:t xml:space="preserve"> means the Minister for the time being charged with the administration of the </w:t>
      </w:r>
      <w:r>
        <w:rPr>
          <w:i/>
        </w:rPr>
        <w:t>Marine and Harbours Act 1981</w:t>
      </w:r>
      <w:r>
        <w:t>;</w:t>
      </w:r>
    </w:p>
    <w:p>
      <w:pPr>
        <w:pStyle w:val="Defstart"/>
      </w:pPr>
      <w:r>
        <w:rPr>
          <w:b/>
        </w:rPr>
        <w:tab/>
        <w:t>“</w:t>
      </w:r>
      <w:r>
        <w:rPr>
          <w:rStyle w:val="CharDefText"/>
        </w:rPr>
        <w:t>restricted area</w:t>
      </w:r>
      <w:r>
        <w:rPr>
          <w:b/>
        </w:rPr>
        <w:t>”</w:t>
      </w:r>
      <w:r>
        <w:t xml:space="preserve"> means —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 </w:t>
      </w:r>
    </w:p>
    <w:p>
      <w:pPr>
        <w:pStyle w:val="Defsubpara"/>
        <w:rPr>
          <w:snapToGrid w:val="0"/>
        </w:rPr>
      </w:pPr>
      <w:r>
        <w:rPr>
          <w:snapToGrid w:val="0"/>
        </w:rPr>
        <w:tab/>
        <w:t>(i)</w:t>
      </w:r>
      <w:r>
        <w:rPr>
          <w:snapToGrid w:val="0"/>
        </w:rPr>
        <w:tab/>
        <w:t>a sanctuary area;</w:t>
      </w:r>
    </w:p>
    <w:p>
      <w:pPr>
        <w:pStyle w:val="Defsubpara"/>
        <w:rPr>
          <w:snapToGrid w:val="0"/>
        </w:rPr>
      </w:pPr>
      <w:r>
        <w:rPr>
          <w:snapToGrid w:val="0"/>
        </w:rPr>
        <w:tab/>
        <w:t>(ii)</w:t>
      </w:r>
      <w:r>
        <w:rPr>
          <w:snapToGrid w:val="0"/>
        </w:rPr>
        <w:tab/>
        <w:t>a recreation area; or</w:t>
      </w:r>
    </w:p>
    <w:p>
      <w:pPr>
        <w:pStyle w:val="Defsubpara"/>
        <w:rPr>
          <w:snapToGrid w:val="0"/>
        </w:rPr>
      </w:pPr>
      <w:r>
        <w:rPr>
          <w:snapToGrid w:val="0"/>
        </w:rPr>
        <w:tab/>
        <w:t>(iii)</w:t>
      </w:r>
      <w:r>
        <w:rPr>
          <w:snapToGrid w:val="0"/>
        </w:rP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 xml:space="preserve">[Section 24A inserted by No. 5 of 1997 s. 41(1); amended by No. 10 of 1998 s. 52.] </w:t>
      </w:r>
    </w:p>
    <w:p>
      <w:pPr>
        <w:pStyle w:val="Heading5"/>
        <w:spacing w:before="120"/>
        <w:rPr>
          <w:snapToGrid w:val="0"/>
        </w:rPr>
      </w:pPr>
      <w:bookmarkStart w:id="184" w:name="_Toc520087907"/>
      <w:bookmarkStart w:id="185" w:name="_Toc523620542"/>
      <w:bookmarkStart w:id="186" w:name="_Toc38853693"/>
      <w:bookmarkStart w:id="187" w:name="_Toc122328437"/>
      <w:r>
        <w:rPr>
          <w:rStyle w:val="CharSectno"/>
        </w:rPr>
        <w:t>25</w:t>
      </w:r>
      <w:r>
        <w:rPr>
          <w:snapToGrid w:val="0"/>
        </w:rPr>
        <w:t>.</w:t>
      </w:r>
      <w:r>
        <w:rPr>
          <w:snapToGrid w:val="0"/>
        </w:rPr>
        <w:tab/>
        <w:t>Mining on foreshore, sea bed, navigable waters or townsite</w:t>
      </w:r>
      <w:bookmarkEnd w:id="184"/>
      <w:bookmarkEnd w:id="185"/>
      <w:bookmarkEnd w:id="186"/>
      <w:bookmarkEnd w:id="187"/>
      <w:r>
        <w:rPr>
          <w:snapToGrid w:val="0"/>
        </w:rPr>
        <w:t xml:space="preserve"> </w:t>
      </w:r>
    </w:p>
    <w:p>
      <w:pPr>
        <w:pStyle w:val="Subsection"/>
        <w:keepNext/>
        <w:spacing w:before="120"/>
        <w:rPr>
          <w:snapToGrid w:val="0"/>
        </w:rPr>
      </w:pPr>
      <w:r>
        <w:rPr>
          <w:snapToGrid w:val="0"/>
        </w:rPr>
        <w:tab/>
        <w:t>(1)</w:t>
      </w:r>
      <w:r>
        <w:rPr>
          <w:snapToGrid w:val="0"/>
        </w:rPr>
        <w:tab/>
        <w:t>The classes of land to which this section applies are — </w:t>
      </w:r>
    </w:p>
    <w:p>
      <w:pPr>
        <w:pStyle w:val="Indenta"/>
        <w:rPr>
          <w:snapToGrid w:val="0"/>
        </w:rPr>
      </w:pPr>
      <w:r>
        <w:rPr>
          <w:snapToGrid w:val="0"/>
        </w:rPr>
        <w:tab/>
        <w:t>(a)</w:t>
      </w:r>
      <w:r>
        <w:rPr>
          <w:snapToGrid w:val="0"/>
        </w:rPr>
        <w:tab/>
        <w:t>any part of the foreshore, being the area between the mean high water springs level of the sea and the mean low water springs level of the sea;</w:t>
      </w:r>
    </w:p>
    <w:p>
      <w:pPr>
        <w:pStyle w:val="Indenta"/>
        <w:rPr>
          <w:snapToGrid w:val="0"/>
        </w:rPr>
      </w:pPr>
      <w:r>
        <w:rPr>
          <w:snapToGrid w:val="0"/>
        </w:rPr>
        <w:tab/>
        <w:t>(b)</w:t>
      </w:r>
      <w:r>
        <w:rPr>
          <w:snapToGrid w:val="0"/>
        </w:rPr>
        <w:tab/>
        <w:t>any part of the sea bed between the mean low water springs level of the sea and the seaward limits of the territorial waters of the State;</w:t>
      </w:r>
    </w:p>
    <w:p>
      <w:pPr>
        <w:pStyle w:val="Indenta"/>
        <w:rPr>
          <w:snapToGrid w:val="0"/>
        </w:rPr>
      </w:pPr>
      <w:r>
        <w:rPr>
          <w:snapToGrid w:val="0"/>
        </w:rPr>
        <w:tab/>
        <w:t>(c)</w:t>
      </w:r>
      <w:r>
        <w:rPr>
          <w:snapToGrid w:val="0"/>
        </w:rPr>
        <w:tab/>
        <w:t>any land under navigable waters in the State; and</w:t>
      </w:r>
    </w:p>
    <w:p>
      <w:pPr>
        <w:pStyle w:val="Indenta"/>
        <w:keepNext/>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keepNext/>
        <w:spacing w:before="120"/>
        <w:rPr>
          <w:snapToGrid w:val="0"/>
        </w:rPr>
      </w:pPr>
      <w:r>
        <w:rPr>
          <w:snapToGrid w:val="0"/>
        </w:rPr>
        <w:tab/>
      </w:r>
      <w:r>
        <w:rPr>
          <w:snapToGrid w:val="0"/>
        </w:rPr>
        <w:tab/>
        <w:t>but this section does not apply to land that is part of a marine nature reserve, marine park or marine management area.</w:t>
      </w:r>
    </w:p>
    <w:p>
      <w:pPr>
        <w:pStyle w:val="Indenta"/>
        <w:tabs>
          <w:tab w:val="left" w:pos="284"/>
        </w:tabs>
        <w:rPr>
          <w:snapToGrid w:val="0"/>
        </w:rPr>
      </w:pPr>
      <w:r>
        <w:rPr>
          <w:snapToGrid w:val="0"/>
        </w:rPr>
        <w:tab/>
        <w:t>(2)</w:t>
      </w:r>
      <w:r>
        <w:rPr>
          <w:snapToGrid w:val="0"/>
        </w:rPr>
        <w:tab/>
        <w:t>(a)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Indenta"/>
        <w:rPr>
          <w:snapToGrid w:val="0"/>
        </w:rPr>
      </w:pPr>
      <w:r>
        <w:rPr>
          <w:snapToGrid w:val="0"/>
        </w:rPr>
        <w:tab/>
        <w:t>(b)</w:t>
      </w:r>
      <w:r>
        <w:rPr>
          <w:snapToGrid w:val="0"/>
        </w:rPr>
        <w:tab/>
        <w:t xml:space="preserve">Before giving his consent 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Minister to whom the administration of the </w:t>
      </w:r>
      <w:r>
        <w:rPr>
          <w:i/>
          <w:snapToGrid w:val="0"/>
        </w:rPr>
        <w:t>Land Administration Act 1997</w:t>
      </w:r>
      <w:r>
        <w:rPr>
          <w:snapToGrid w:val="0"/>
        </w:rPr>
        <w:t xml:space="preserve"> is for the time being committed by the Governor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Indenta"/>
        <w:tabs>
          <w:tab w:val="left" w:pos="426"/>
        </w:tabs>
        <w:rPr>
          <w:snapToGrid w:val="0"/>
        </w:rPr>
      </w:pPr>
      <w:r>
        <w:rPr>
          <w:snapToGrid w:val="0"/>
        </w:rPr>
        <w:tab/>
        <w:t>(3)</w:t>
      </w:r>
      <w:r>
        <w:rPr>
          <w:snapToGrid w:val="0"/>
        </w:rPr>
        <w:tab/>
        <w:t>(a)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Indenta"/>
        <w:rPr>
          <w:snapToGrid w:val="0"/>
        </w:rPr>
      </w:pPr>
      <w:r>
        <w:rPr>
          <w:snapToGrid w:val="0"/>
        </w:rPr>
        <w:tab/>
        <w:t>(b)</w:t>
      </w:r>
      <w:r>
        <w:rPr>
          <w:snapToGrid w:val="0"/>
        </w:rPr>
        <w:tab/>
        <w:t xml:space="preserve">Before giving his consent whether conditionally or unconditionally the Minister shall first consult the Minister to whom the administration of the </w:t>
      </w:r>
      <w:r>
        <w:rPr>
          <w:i/>
          <w:snapToGrid w:val="0"/>
        </w:rPr>
        <w:t>Land Administration Act 1997</w:t>
      </w:r>
      <w:r>
        <w:rPr>
          <w:snapToGrid w:val="0"/>
        </w:rPr>
        <w:t xml:space="preserve"> is for the time being committed by the Governor and the local government, in respect thereto and obtain their recommendations thereon.</w:t>
      </w:r>
    </w:p>
    <w:p>
      <w:pPr>
        <w:pStyle w:val="Footnotesection"/>
      </w:pPr>
      <w:r>
        <w:tab/>
        <w:t xml:space="preserve">[Section 25 amended by No. 77 of 1986 s. 9; No. 22 of 1990 s. 7; No. 37 of 1993 s. 4; No. 14 of 1996 s. 4; No. 5 of 1997 s. 42; No. 31 of 1997 s. 71(12) and 141; No. 24 of 2000 s. 26(1).] </w:t>
      </w:r>
    </w:p>
    <w:p>
      <w:pPr>
        <w:pStyle w:val="Heading5"/>
        <w:rPr>
          <w:snapToGrid w:val="0"/>
        </w:rPr>
      </w:pPr>
      <w:bookmarkStart w:id="188" w:name="_Toc520087908"/>
      <w:bookmarkStart w:id="189" w:name="_Toc523620543"/>
      <w:bookmarkStart w:id="190" w:name="_Toc38853694"/>
      <w:bookmarkStart w:id="191" w:name="_Toc122328438"/>
      <w:r>
        <w:rPr>
          <w:rStyle w:val="CharSectno"/>
        </w:rPr>
        <w:t>26</w:t>
      </w:r>
      <w:r>
        <w:rPr>
          <w:snapToGrid w:val="0"/>
        </w:rPr>
        <w:t>.</w:t>
      </w:r>
      <w:r>
        <w:rPr>
          <w:snapToGrid w:val="0"/>
        </w:rPr>
        <w:tab/>
        <w:t>Terms and conditions</w:t>
      </w:r>
      <w:bookmarkEnd w:id="188"/>
      <w:bookmarkEnd w:id="189"/>
      <w:bookmarkEnd w:id="190"/>
      <w:bookmarkEnd w:id="191"/>
      <w:r>
        <w:rPr>
          <w:snapToGrid w:val="0"/>
        </w:rPr>
        <w:t xml:space="preserve"> </w:t>
      </w:r>
    </w:p>
    <w:p>
      <w:pPr>
        <w:pStyle w:val="Subsection"/>
        <w:keepNext/>
        <w:rPr>
          <w:snapToGrid w:val="0"/>
        </w:rPr>
      </w:pPr>
      <w:r>
        <w:rPr>
          <w:snapToGrid w:val="0"/>
        </w:rPr>
        <w:tab/>
        <w:t>(1)</w:t>
      </w:r>
      <w:r>
        <w:rPr>
          <w:snapToGrid w:val="0"/>
        </w:rPr>
        <w:tab/>
        <w:t>The terms and conditions that may be imposed pursuant to sections 24, 24A and 25 may include among others a condition that —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spacing w:before="60"/>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spacing w:before="60"/>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spacing w:before="100"/>
        <w:rPr>
          <w:snapToGrid w:val="0"/>
        </w:rPr>
      </w:pPr>
      <w:r>
        <w:rPr>
          <w:snapToGrid w:val="0"/>
        </w:rPr>
        <w:tab/>
        <w:t>(1a)</w:t>
      </w:r>
      <w:r>
        <w:rPr>
          <w:snapToGrid w:val="0"/>
        </w:rPr>
        <w:tab/>
        <w:t>A security referred to in subsection (1)(d) shall be in accordance with and subject to section 126.</w:t>
      </w:r>
    </w:p>
    <w:p>
      <w:pPr>
        <w:pStyle w:val="Subsection"/>
        <w:spacing w:before="100"/>
        <w:rPr>
          <w:snapToGrid w:val="0"/>
        </w:rPr>
      </w:pPr>
      <w:r>
        <w:rPr>
          <w:snapToGrid w:val="0"/>
        </w:rPr>
        <w:tab/>
        <w:t>(2)</w:t>
      </w:r>
      <w:r>
        <w:rPr>
          <w:snapToGrid w:val="0"/>
        </w:rPr>
        <w:tab/>
        <w:t>In relation to any application for a mining tenement in respect of any land, or land of a class, to which section 24, 24A or 25 applies — </w:t>
      </w:r>
    </w:p>
    <w:p>
      <w:pPr>
        <w:pStyle w:val="Indenta"/>
        <w:spacing w:before="60"/>
        <w:rPr>
          <w:snapToGrid w:val="0"/>
        </w:rPr>
      </w:pPr>
      <w:r>
        <w:rPr>
          <w:snapToGrid w:val="0"/>
        </w:rPr>
        <w:tab/>
        <w:t>(a)</w:t>
      </w:r>
      <w:r>
        <w:rPr>
          <w:snapToGrid w:val="0"/>
        </w:rPr>
        <w:tab/>
        <w:t>land to which section 24(1)(a) or (b) refers may be marked out only with the consent of the Minister and the responsible Minister;</w:t>
      </w:r>
    </w:p>
    <w:p>
      <w:pPr>
        <w:pStyle w:val="Indenta"/>
        <w:spacing w:before="60"/>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spacing w:before="60"/>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spacing w:before="100"/>
        <w:rPr>
          <w:snapToGrid w:val="0"/>
        </w:rPr>
      </w:pPr>
      <w:r>
        <w:rPr>
          <w:snapToGrid w:val="0"/>
        </w:rPr>
        <w:tab/>
      </w:r>
      <w:r>
        <w:rPr>
          <w:snapToGrid w:val="0"/>
        </w:rPr>
        <w:tab/>
        <w:t>but otherwise the land shall be marked out as a mining tenement in accordance with this Act.</w:t>
      </w:r>
    </w:p>
    <w:p>
      <w:pPr>
        <w:pStyle w:val="Subsection"/>
        <w:spacing w:before="100"/>
        <w:rPr>
          <w:snapToGrid w:val="0"/>
        </w:rPr>
      </w:pPr>
      <w:r>
        <w:rPr>
          <w:snapToGrid w:val="0"/>
        </w:rPr>
        <w:tab/>
        <w:t>(3)</w:t>
      </w:r>
      <w:r>
        <w:rPr>
          <w:snapToGrid w:val="0"/>
        </w:rPr>
        <w:tab/>
        <w:t>The responsible Minister for the purposes of subsection (2) is the person who is the responsible Minister in relation to the land as determined pursuant to section 24(8).</w:t>
      </w:r>
    </w:p>
    <w:p>
      <w:pPr>
        <w:pStyle w:val="Footnotesection"/>
        <w:keepLines w:val="0"/>
      </w:pPr>
      <w:r>
        <w:tab/>
        <w:t xml:space="preserve">[Section 26 amended by No. 100 of 1985 s. 18; No. 5 of 1997 s. 41(2); No. 17 of 1999 s. 4.] </w:t>
      </w:r>
    </w:p>
    <w:p>
      <w:pPr>
        <w:pStyle w:val="Heading5"/>
        <w:rPr>
          <w:snapToGrid w:val="0"/>
        </w:rPr>
      </w:pPr>
      <w:bookmarkStart w:id="192" w:name="_Toc520087909"/>
      <w:bookmarkStart w:id="193" w:name="_Toc523620544"/>
      <w:bookmarkStart w:id="194" w:name="_Toc38853695"/>
      <w:bookmarkStart w:id="195" w:name="_Toc122328439"/>
      <w:r>
        <w:rPr>
          <w:rStyle w:val="CharSectno"/>
        </w:rPr>
        <w:t>26A</w:t>
      </w:r>
      <w:r>
        <w:rPr>
          <w:snapToGrid w:val="0"/>
        </w:rPr>
        <w:t>.</w:t>
      </w:r>
      <w:r>
        <w:rPr>
          <w:snapToGrid w:val="0"/>
        </w:rPr>
        <w:tab/>
        <w:t>Mining tenements within townsites</w:t>
      </w:r>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metres from the lowest part of the natural surface of that land, within a period of 30 days after the giving of the notice.</w:t>
      </w:r>
    </w:p>
    <w:p>
      <w:pPr>
        <w:pStyle w:val="Subsection"/>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 kept in accordance with the regulations.</w:t>
      </w:r>
    </w:p>
    <w:p>
      <w:pPr>
        <w:pStyle w:val="Subsection"/>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pPr>
      <w:r>
        <w:tab/>
        <w:t>[Section 26A inserted by No. 22 of 1990 s. 8; amended by No. 31 of 1997 s. 71(13)</w:t>
      </w:r>
      <w:r>
        <w:noBreakHyphen/>
        <w:t xml:space="preserve">(16).] </w:t>
      </w:r>
    </w:p>
    <w:p>
      <w:pPr>
        <w:pStyle w:val="Heading3"/>
        <w:rPr>
          <w:snapToGrid w:val="0"/>
        </w:rPr>
      </w:pPr>
      <w:bookmarkStart w:id="196" w:name="_Toc87427568"/>
      <w:bookmarkStart w:id="197" w:name="_Toc87851143"/>
      <w:bookmarkStart w:id="198" w:name="_Toc88295366"/>
      <w:bookmarkStart w:id="199" w:name="_Toc89519025"/>
      <w:bookmarkStart w:id="200" w:name="_Toc90869150"/>
      <w:bookmarkStart w:id="201" w:name="_Toc91407922"/>
      <w:bookmarkStart w:id="202" w:name="_Toc92863666"/>
      <w:bookmarkStart w:id="203" w:name="_Toc95015034"/>
      <w:bookmarkStart w:id="204" w:name="_Toc95106741"/>
      <w:bookmarkStart w:id="205" w:name="_Toc97018541"/>
      <w:bookmarkStart w:id="206" w:name="_Toc101693494"/>
      <w:bookmarkStart w:id="207" w:name="_Toc103130364"/>
      <w:bookmarkStart w:id="208" w:name="_Toc104711014"/>
      <w:bookmarkStart w:id="209" w:name="_Toc121559999"/>
      <w:bookmarkStart w:id="210" w:name="_Toc122328440"/>
      <w:r>
        <w:rPr>
          <w:rStyle w:val="CharDivNo"/>
        </w:rPr>
        <w:t>Division 3</w:t>
      </w:r>
      <w:r>
        <w:rPr>
          <w:snapToGrid w:val="0"/>
        </w:rPr>
        <w:t> — </w:t>
      </w:r>
      <w:r>
        <w:rPr>
          <w:rStyle w:val="CharDivText"/>
        </w:rPr>
        <w:t>Private land</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Pr>
          <w:rStyle w:val="CharDivText"/>
        </w:rPr>
        <w:t xml:space="preserve"> </w:t>
      </w:r>
    </w:p>
    <w:p>
      <w:pPr>
        <w:pStyle w:val="Heading5"/>
        <w:rPr>
          <w:snapToGrid w:val="0"/>
        </w:rPr>
      </w:pPr>
      <w:bookmarkStart w:id="211" w:name="_Toc520087910"/>
      <w:bookmarkStart w:id="212" w:name="_Toc523620545"/>
      <w:bookmarkStart w:id="213" w:name="_Toc38853696"/>
      <w:bookmarkStart w:id="214" w:name="_Toc122328441"/>
      <w:r>
        <w:rPr>
          <w:rStyle w:val="CharSectno"/>
        </w:rPr>
        <w:t>27</w:t>
      </w:r>
      <w:r>
        <w:rPr>
          <w:snapToGrid w:val="0"/>
        </w:rPr>
        <w:t>.</w:t>
      </w:r>
      <w:r>
        <w:rPr>
          <w:snapToGrid w:val="0"/>
        </w:rPr>
        <w:tab/>
        <w:t>Private land open for mining</w:t>
      </w:r>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 xml:space="preserve">[Section 27 amended by No. 100 of 1985 s. 19; No. 37 of 1993 s. 12(2).] </w:t>
      </w:r>
    </w:p>
    <w:p>
      <w:pPr>
        <w:pStyle w:val="Heading5"/>
        <w:rPr>
          <w:snapToGrid w:val="0"/>
        </w:rPr>
      </w:pPr>
      <w:bookmarkStart w:id="215" w:name="_Toc520087911"/>
      <w:bookmarkStart w:id="216" w:name="_Toc523620546"/>
      <w:bookmarkStart w:id="217" w:name="_Toc38853697"/>
      <w:bookmarkStart w:id="218" w:name="_Toc122328442"/>
      <w:r>
        <w:rPr>
          <w:rStyle w:val="CharSectno"/>
        </w:rPr>
        <w:t>28</w:t>
      </w:r>
      <w:r>
        <w:rPr>
          <w:snapToGrid w:val="0"/>
        </w:rPr>
        <w:t>.</w:t>
      </w:r>
      <w:r>
        <w:rPr>
          <w:snapToGrid w:val="0"/>
        </w:rPr>
        <w:tab/>
        <w:t>Unlawful entry on private land</w:t>
      </w:r>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by the warden under section 30, or by any other provision of this Act, or by virtue of a mining tenement.</w:t>
      </w:r>
    </w:p>
    <w:p>
      <w:pPr>
        <w:pStyle w:val="Heading5"/>
        <w:rPr>
          <w:snapToGrid w:val="0"/>
        </w:rPr>
      </w:pPr>
      <w:bookmarkStart w:id="219" w:name="_Toc520087912"/>
      <w:bookmarkStart w:id="220" w:name="_Toc523620547"/>
      <w:bookmarkStart w:id="221" w:name="_Toc38853698"/>
      <w:bookmarkStart w:id="222" w:name="_Toc122328443"/>
      <w:r>
        <w:rPr>
          <w:rStyle w:val="CharSectno"/>
        </w:rPr>
        <w:t>29</w:t>
      </w:r>
      <w:r>
        <w:rPr>
          <w:snapToGrid w:val="0"/>
        </w:rPr>
        <w:t>.</w:t>
      </w:r>
      <w:r>
        <w:rPr>
          <w:snapToGrid w:val="0"/>
        </w:rPr>
        <w:tab/>
        <w:t>Granting of mining tenements in respect of private land</w:t>
      </w:r>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keepNext/>
        <w:rPr>
          <w:snapToGrid w:val="0"/>
        </w:rPr>
      </w:pPr>
      <w:r>
        <w:rPr>
          <w:snapToGrid w:val="0"/>
        </w:rPr>
        <w:tab/>
        <w:t>(2)</w:t>
      </w:r>
      <w:r>
        <w:rPr>
          <w:snapToGrid w:val="0"/>
        </w:rPr>
        <w:tab/>
        <w:t>Except with the consent in writing of the owner and the occupier of the private land concerned, a mining tenement shall not be granted in respect of private land —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w:t>
      </w:r>
    </w:p>
    <w:p>
      <w:pPr>
        <w:pStyle w:val="Indenta"/>
        <w:rPr>
          <w:snapToGrid w:val="0"/>
        </w:rPr>
      </w:pPr>
      <w:r>
        <w:rPr>
          <w:snapToGrid w:val="0"/>
        </w:rPr>
        <w:tab/>
        <w:t>(b)</w:t>
      </w:r>
      <w:r>
        <w:rPr>
          <w:snapToGrid w:val="0"/>
        </w:rPr>
        <w:tab/>
        <w:t>which is the site of a cemetery or burial ground;</w:t>
      </w:r>
    </w:p>
    <w:p>
      <w:pPr>
        <w:pStyle w:val="Indenta"/>
        <w:rPr>
          <w:snapToGrid w:val="0"/>
        </w:rPr>
      </w:pPr>
      <w:r>
        <w:rPr>
          <w:snapToGrid w:val="0"/>
        </w:rPr>
        <w:tab/>
        <w:t>(c)</w:t>
      </w:r>
      <w:r>
        <w:rPr>
          <w:snapToGrid w:val="0"/>
        </w:rPr>
        <w:tab/>
        <w:t>which is the site of a dam, bore, well or spring;</w:t>
      </w:r>
    </w:p>
    <w:p>
      <w:pPr>
        <w:pStyle w:val="Indenta"/>
        <w:rPr>
          <w:snapToGrid w:val="0"/>
        </w:rPr>
      </w:pPr>
      <w:r>
        <w:rPr>
          <w:snapToGrid w:val="0"/>
        </w:rPr>
        <w:tab/>
        <w:t>(d)</w:t>
      </w:r>
      <w:r>
        <w:rPr>
          <w:snapToGrid w:val="0"/>
        </w:rPr>
        <w:tab/>
        <w:t>on which there is erected a substantial improvement;</w:t>
      </w:r>
    </w:p>
    <w:p>
      <w:pPr>
        <w:pStyle w:val="Indenta"/>
        <w:rPr>
          <w:snapToGrid w:val="0"/>
        </w:rPr>
      </w:pPr>
      <w:r>
        <w:rPr>
          <w:snapToGrid w:val="0"/>
        </w:rPr>
        <w:tab/>
        <w:t>(e)</w:t>
      </w:r>
      <w:r>
        <w:rPr>
          <w:snapToGrid w:val="0"/>
        </w:rPr>
        <w:tab/>
        <w:t>which is situated within 100 metres of any private land referred to in paragraph (a), (b), (c) or (d); or</w:t>
      </w:r>
    </w:p>
    <w:p>
      <w:pPr>
        <w:pStyle w:val="Indenta"/>
        <w:rPr>
          <w:snapToGrid w:val="0"/>
        </w:rPr>
      </w:pPr>
      <w:r>
        <w:rPr>
          <w:snapToGrid w:val="0"/>
        </w:rPr>
        <w:tab/>
        <w:t>(f)</w:t>
      </w:r>
      <w:r>
        <w:rPr>
          <w:snapToGrid w:val="0"/>
        </w:rPr>
        <w:tab/>
        <w:t>which is a separate parcel of land and has an area of 2 000 square metres or less,</w:t>
      </w:r>
    </w:p>
    <w:p>
      <w:pPr>
        <w:pStyle w:val="Subsection"/>
        <w:rPr>
          <w:snapToGrid w:val="0"/>
        </w:rPr>
      </w:pPr>
      <w:r>
        <w:rPr>
          <w:snapToGrid w:val="0"/>
        </w:rPr>
        <w:tab/>
      </w:r>
      <w:r>
        <w:rPr>
          <w:snapToGrid w:val="0"/>
        </w:rPr>
        <w:tab/>
        <w:t>unless the mining tenement is granted only in respect of that part of that private land which is not less than 30 metres below the lowest part of the natural surface of that private land.</w:t>
      </w:r>
    </w:p>
    <w:p>
      <w:pPr>
        <w:pStyle w:val="Ednotesubsection"/>
      </w:pPr>
      <w:r>
        <w:tab/>
        <w:t>[(3)</w:t>
      </w:r>
      <w:r>
        <w:tab/>
        <w:t xml:space="preserve">repealed] </w:t>
      </w:r>
    </w:p>
    <w:p>
      <w:pPr>
        <w:pStyle w:val="Subsection"/>
        <w:rPr>
          <w:snapToGrid w:val="0"/>
        </w:rPr>
      </w:pPr>
      <w:r>
        <w:rPr>
          <w:snapToGrid w:val="0"/>
        </w:rPr>
        <w:tab/>
        <w:t>(4)</w:t>
      </w:r>
      <w:r>
        <w:rPr>
          <w:snapToGrid w:val="0"/>
        </w:rPr>
        <w:tab/>
        <w:t>For the purposes of subsection (2)(d), the warden is the sole judge of whether or not any improvement is substantial.</w:t>
      </w:r>
    </w:p>
    <w:p>
      <w:pPr>
        <w:pStyle w:val="Subsection"/>
        <w:keepNext/>
        <w:rPr>
          <w:snapToGrid w:val="0"/>
        </w:rPr>
      </w:pPr>
      <w:r>
        <w:rPr>
          <w:snapToGrid w:val="0"/>
        </w:rPr>
        <w:tab/>
        <w:t>(5)</w:t>
      </w:r>
      <w:r>
        <w:rPr>
          <w:snapToGrid w:val="0"/>
        </w:rPr>
        <w:tab/>
        <w:t>The holder of a mining tenement which —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metres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rPr>
          <w:b/>
          <w:snapToGrid w:val="0"/>
        </w:rPr>
        <w:t>“</w:t>
      </w:r>
      <w:r>
        <w:rPr>
          <w:rStyle w:val="CharDefText"/>
        </w:rPr>
        <w:t>the relevant portion</w:t>
      </w:r>
      <w:r>
        <w:rPr>
          <w:b/>
          <w:snapToGrid w:val="0"/>
        </w:rPr>
        <w:t>”</w:t>
      </w:r>
      <w:r>
        <w:rPr>
          <w:snapToGrid w:val="0"/>
        </w:rPr>
        <w:t>) that is less than 30 metres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 </w:t>
      </w:r>
    </w:p>
    <w:p>
      <w:pPr>
        <w:pStyle w:val="Indenta"/>
        <w:keepNext/>
        <w:rPr>
          <w:snapToGrid w:val="0"/>
        </w:rPr>
      </w:pPr>
      <w:r>
        <w:rPr>
          <w:snapToGrid w:val="0"/>
        </w:rPr>
        <w:tab/>
        <w:t>(a)</w:t>
      </w:r>
      <w:r>
        <w:rPr>
          <w:snapToGrid w:val="0"/>
        </w:rPr>
        <w:tab/>
        <w:t>shall, subject to this Act, authorise the holder of that mining tenement — </w:t>
      </w:r>
    </w:p>
    <w:p>
      <w:pPr>
        <w:pStyle w:val="Indenti"/>
        <w:rPr>
          <w:snapToGrid w:val="0"/>
        </w:rPr>
      </w:pPr>
      <w:r>
        <w:rPr>
          <w:snapToGrid w:val="0"/>
        </w:rPr>
        <w:tab/>
        <w:t>(i)</w:t>
      </w:r>
      <w:r>
        <w:rPr>
          <w:snapToGrid w:val="0"/>
        </w:rPr>
        <w:tab/>
        <w:t>to carry out mining on the natural surface of the private land and at any depth thereunder; or</w:t>
      </w:r>
    </w:p>
    <w:p>
      <w:pPr>
        <w:pStyle w:val="Indenti"/>
        <w:rPr>
          <w:snapToGrid w:val="0"/>
        </w:rPr>
      </w:pPr>
      <w:r>
        <w:rPr>
          <w:snapToGrid w:val="0"/>
        </w:rPr>
        <w:tab/>
        <w:t>(ii)</w:t>
      </w:r>
      <w:r>
        <w:rPr>
          <w:snapToGrid w:val="0"/>
        </w:rPr>
        <w:tab/>
        <w:t>to carry out mining at a depth of not less than 30 metres from the lowest part of the natural surface of the private land;</w:t>
      </w:r>
    </w:p>
    <w:p>
      <w:pPr>
        <w:pStyle w:val="Indenta"/>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 xml:space="preserve">[Section 29 inserted by No. 69 of 1981 s. 9; amended by No. 100 of 1985 s. 20; No. 105 of 1986 s. 9; No. 58 of 1994 s. 6.] </w:t>
      </w:r>
    </w:p>
    <w:p>
      <w:pPr>
        <w:pStyle w:val="Heading5"/>
        <w:spacing w:before="120"/>
        <w:rPr>
          <w:snapToGrid w:val="0"/>
        </w:rPr>
      </w:pPr>
      <w:bookmarkStart w:id="223" w:name="_Toc520087913"/>
      <w:bookmarkStart w:id="224" w:name="_Toc523620548"/>
      <w:bookmarkStart w:id="225" w:name="_Toc38853699"/>
      <w:bookmarkStart w:id="226" w:name="_Toc122328444"/>
      <w:r>
        <w:rPr>
          <w:rStyle w:val="CharSectno"/>
        </w:rPr>
        <w:t>30</w:t>
      </w:r>
      <w:r>
        <w:rPr>
          <w:snapToGrid w:val="0"/>
        </w:rPr>
        <w:t>.</w:t>
      </w:r>
      <w:r>
        <w:rPr>
          <w:snapToGrid w:val="0"/>
        </w:rPr>
        <w:tab/>
        <w:t>Granting of permits in respect of private land</w:t>
      </w:r>
      <w:bookmarkEnd w:id="223"/>
      <w:bookmarkEnd w:id="224"/>
      <w:bookmarkEnd w:id="225"/>
      <w:bookmarkEnd w:id="226"/>
      <w:r>
        <w:rPr>
          <w:snapToGrid w:val="0"/>
        </w:rPr>
        <w:t xml:space="preserve"> </w:t>
      </w:r>
    </w:p>
    <w:p>
      <w:pPr>
        <w:pStyle w:val="Subsection"/>
        <w:spacing w:before="100"/>
        <w:rPr>
          <w:snapToGrid w:val="0"/>
        </w:rPr>
      </w:pPr>
      <w:r>
        <w:rPr>
          <w:snapToGrid w:val="0"/>
        </w:rPr>
        <w:tab/>
        <w:t>(1)</w:t>
      </w:r>
      <w:r>
        <w:rPr>
          <w:snapToGrid w:val="0"/>
        </w:rPr>
        <w:tab/>
        <w:t>A person who desires to enter on any private land to search for any mineral or to mark out a mining tenement may apply in writing to a warden for a permit to enter on the private land.</w:t>
      </w:r>
    </w:p>
    <w:p>
      <w:pPr>
        <w:pStyle w:val="Subsection"/>
        <w:spacing w:before="100"/>
        <w:rPr>
          <w:snapToGrid w:val="0"/>
        </w:rPr>
      </w:pPr>
      <w:r>
        <w:rPr>
          <w:snapToGrid w:val="0"/>
        </w:rPr>
        <w:tab/>
        <w:t>(2)</w:t>
      </w:r>
      <w:r>
        <w:rPr>
          <w:snapToGrid w:val="0"/>
        </w:rPr>
        <w:tab/>
        <w:t>An application under subsection (1) shall be made in the prescribed manner and be in the prescribed form and shall contain — </w:t>
      </w:r>
    </w:p>
    <w:p>
      <w:pPr>
        <w:pStyle w:val="Indenta"/>
        <w:rPr>
          <w:snapToGrid w:val="0"/>
        </w:rPr>
      </w:pPr>
      <w:r>
        <w:rPr>
          <w:snapToGrid w:val="0"/>
        </w:rPr>
        <w:tab/>
        <w:t>(a)</w:t>
      </w:r>
      <w:r>
        <w:rPr>
          <w:snapToGrid w:val="0"/>
        </w:rPr>
        <w:tab/>
        <w:t>such description of the private land concerned as in the opinion of a warden will enable it to be identified; and</w:t>
      </w:r>
    </w:p>
    <w:p>
      <w:pPr>
        <w:pStyle w:val="Indenta"/>
        <w:rPr>
          <w:snapToGrid w:val="0"/>
        </w:rPr>
      </w:pPr>
      <w:r>
        <w:rPr>
          <w:snapToGrid w:val="0"/>
        </w:rPr>
        <w:tab/>
        <w:t>(b)</w:t>
      </w:r>
      <w:r>
        <w:rPr>
          <w:snapToGrid w:val="0"/>
        </w:rPr>
        <w:tab/>
        <w:t>such particulars relating to the private land concerned as are sufficient to enable a warden to be satisfied that the land is private land.</w:t>
      </w:r>
    </w:p>
    <w:p>
      <w:pPr>
        <w:pStyle w:val="Subsection"/>
        <w:spacing w:before="100"/>
        <w:rPr>
          <w:snapToGrid w:val="0"/>
        </w:rPr>
      </w:pPr>
      <w:r>
        <w:rPr>
          <w:snapToGrid w:val="0"/>
        </w:rPr>
        <w:tab/>
        <w:t>(3)</w:t>
      </w:r>
      <w:r>
        <w:rPr>
          <w:snapToGrid w:val="0"/>
        </w:rPr>
        <w:tab/>
        <w:t>A warden, on being satisfied that an application made under subsection (1) is made in good faith, may grant a permit in writing to enter on the private land concerned —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spacing w:before="100"/>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 may, on granting a permit under subsection (3), fix a sum of money and require that sum to be paid to him by the applicant for the permit before the issue thereof to the applicant.</w:t>
      </w:r>
    </w:p>
    <w:p>
      <w:pPr>
        <w:pStyle w:val="Subsection"/>
        <w:rPr>
          <w:snapToGrid w:val="0"/>
        </w:rPr>
      </w:pPr>
      <w:r>
        <w:rPr>
          <w:snapToGrid w:val="0"/>
        </w:rPr>
        <w:tab/>
        <w:t>(5)</w:t>
      </w:r>
      <w:r>
        <w:rPr>
          <w:snapToGrid w:val="0"/>
        </w:rPr>
        <w:tab/>
        <w:t>A warden shall — </w:t>
      </w:r>
    </w:p>
    <w:p>
      <w:pPr>
        <w:pStyle w:val="Indenta"/>
        <w:rPr>
          <w:snapToGrid w:val="0"/>
        </w:rPr>
      </w:pPr>
      <w:r>
        <w:rPr>
          <w:snapToGrid w:val="0"/>
        </w:rPr>
        <w:tab/>
        <w:t>(a)</w:t>
      </w:r>
      <w:r>
        <w:rPr>
          <w:snapToGrid w:val="0"/>
        </w:rPr>
        <w:tab/>
        <w:t>hold the sum of money paid to him under subsection (4) to compensate the owner and the occupier of the private land to which the permit concerned relates for any damage likely to be caused by the holder of that permit during the currency thereof;</w:t>
      </w:r>
    </w:p>
    <w:p>
      <w:pPr>
        <w:pStyle w:val="Indenta"/>
        <w:rPr>
          <w:snapToGrid w:val="0"/>
        </w:rPr>
      </w:pPr>
      <w:r>
        <w:rPr>
          <w:snapToGrid w:val="0"/>
        </w:rPr>
        <w:tab/>
        <w:t>(b)</w:t>
      </w:r>
      <w:r>
        <w:rPr>
          <w:snapToGrid w:val="0"/>
        </w:rPr>
        <w:tab/>
        <w:t>pay the sum referred to in paragraph (a) either wholly or in part to the owner or the occupier of the private land to which the permit concerned relates or to both, if he or they suffer any damage caused by the holder of that permit during the currency thereof.</w:t>
      </w:r>
    </w:p>
    <w:p>
      <w:pPr>
        <w:pStyle w:val="Subsection"/>
        <w:rPr>
          <w:snapToGrid w:val="0"/>
        </w:rPr>
      </w:pPr>
      <w:r>
        <w:rPr>
          <w:snapToGrid w:val="0"/>
        </w:rPr>
        <w:tab/>
        <w:t>(6)</w:t>
      </w:r>
      <w:r>
        <w:rPr>
          <w:snapToGrid w:val="0"/>
        </w:rPr>
        <w:tab/>
        <w:t>If a warden does not pay any or all of the sum referred to in subsection (5)(a) in accordance with that subsection, he shall return that sum or the balance thereof, as the case requires, to the holder of the permit concerned as soon as is practicable after the expiry of that permit.</w:t>
      </w:r>
    </w:p>
    <w:p>
      <w:pPr>
        <w:pStyle w:val="Subsection"/>
        <w:keepNext/>
        <w:rPr>
          <w:snapToGrid w:val="0"/>
        </w:rPr>
      </w:pPr>
      <w:r>
        <w:rPr>
          <w:snapToGrid w:val="0"/>
        </w:rPr>
        <w:tab/>
        <w:t>(7)</w:t>
      </w:r>
      <w:r>
        <w:rPr>
          <w:snapToGrid w:val="0"/>
        </w:rPr>
        <w:tab/>
        <w:t>A permit under subsection (3) shall be deemed to be held subject to the condition that the holder is liable —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Footnotesection"/>
      </w:pPr>
      <w:r>
        <w:tab/>
        <w:t xml:space="preserve">[Section 30 inserted by No. 69 of 1981 s. 10; amended by No. 100 of 1985 s. 21; No. 22 of 1990 s. 9.] </w:t>
      </w:r>
    </w:p>
    <w:p>
      <w:pPr>
        <w:pStyle w:val="Heading5"/>
        <w:rPr>
          <w:snapToGrid w:val="0"/>
        </w:rPr>
      </w:pPr>
      <w:bookmarkStart w:id="227" w:name="_Toc520087914"/>
      <w:bookmarkStart w:id="228" w:name="_Toc523620549"/>
      <w:bookmarkStart w:id="229" w:name="_Toc38853700"/>
      <w:bookmarkStart w:id="230" w:name="_Toc122328445"/>
      <w:r>
        <w:rPr>
          <w:rStyle w:val="CharSectno"/>
        </w:rPr>
        <w:t>31</w:t>
      </w:r>
      <w:r>
        <w:rPr>
          <w:snapToGrid w:val="0"/>
        </w:rPr>
        <w:t>.</w:t>
      </w:r>
      <w:r>
        <w:rPr>
          <w:snapToGrid w:val="0"/>
        </w:rPr>
        <w:tab/>
        <w:t>Holder of permit to give notice to owner and occupier</w:t>
      </w:r>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 xml:space="preserve">[Section 31 amended by No. 100 of 1985 s. 22; No. 22 of 1990 s. 10.] </w:t>
      </w:r>
    </w:p>
    <w:p>
      <w:pPr>
        <w:pStyle w:val="Heading5"/>
        <w:rPr>
          <w:snapToGrid w:val="0"/>
        </w:rPr>
      </w:pPr>
      <w:bookmarkStart w:id="231" w:name="_Toc520087915"/>
      <w:bookmarkStart w:id="232" w:name="_Toc523620550"/>
      <w:bookmarkStart w:id="233" w:name="_Toc38853701"/>
      <w:bookmarkStart w:id="234" w:name="_Toc122328446"/>
      <w:r>
        <w:rPr>
          <w:rStyle w:val="CharSectno"/>
        </w:rPr>
        <w:t>32</w:t>
      </w:r>
      <w:r>
        <w:rPr>
          <w:snapToGrid w:val="0"/>
        </w:rPr>
        <w:t>.</w:t>
      </w:r>
      <w:r>
        <w:rPr>
          <w:snapToGrid w:val="0"/>
        </w:rPr>
        <w:tab/>
        <w:t>Rights conferred by a permit</w:t>
      </w:r>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The holder of a permit issued under section 30 or his duly authorised employee or agent is thereby authorised —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kilograms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Where the warden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 xml:space="preserve">[Section 32 amended by No. 69 of 1981 s. 11; No. 100 of 1985 s. 23.] </w:t>
      </w:r>
    </w:p>
    <w:p>
      <w:pPr>
        <w:pStyle w:val="Heading5"/>
        <w:rPr>
          <w:snapToGrid w:val="0"/>
        </w:rPr>
      </w:pPr>
      <w:bookmarkStart w:id="235" w:name="_Toc520087916"/>
      <w:bookmarkStart w:id="236" w:name="_Toc523620551"/>
      <w:bookmarkStart w:id="237" w:name="_Toc38853702"/>
      <w:bookmarkStart w:id="238" w:name="_Toc122328447"/>
      <w:r>
        <w:rPr>
          <w:rStyle w:val="CharSectno"/>
        </w:rPr>
        <w:t>33</w:t>
      </w:r>
      <w:r>
        <w:rPr>
          <w:snapToGrid w:val="0"/>
        </w:rPr>
        <w:t>.</w:t>
      </w:r>
      <w:r>
        <w:rPr>
          <w:snapToGrid w:val="0"/>
        </w:rPr>
        <w:tab/>
        <w:t>Application for mining tenement by permit holder</w:t>
      </w:r>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 </w:t>
      </w:r>
    </w:p>
    <w:p>
      <w:pPr>
        <w:pStyle w:val="Indenta"/>
        <w:rPr>
          <w:snapToGrid w:val="0"/>
        </w:rPr>
      </w:pPr>
      <w:r>
        <w:rPr>
          <w:snapToGrid w:val="0"/>
        </w:rPr>
        <w:tab/>
        <w:t>(a)</w:t>
      </w:r>
      <w:r>
        <w:rPr>
          <w:snapToGrid w:val="0"/>
        </w:rPr>
        <w:tab/>
        <w:t>the chief executive officer of the local government;</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metres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metres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pPr>
      <w:r>
        <w:tab/>
        <w:t xml:space="preserve">[Section 33 amended by No. 100 of 1985 s. 24; No. 14 of 1996 s. 4.] </w:t>
      </w:r>
    </w:p>
    <w:p>
      <w:pPr>
        <w:pStyle w:val="Ednotesection"/>
      </w:pPr>
      <w:r>
        <w:t>[</w:t>
      </w:r>
      <w:r>
        <w:rPr>
          <w:b/>
        </w:rPr>
        <w:t>34.</w:t>
      </w:r>
      <w:r>
        <w:t xml:space="preserve"> </w:t>
      </w:r>
      <w:r>
        <w:tab/>
      </w:r>
      <w:r>
        <w:tab/>
        <w:t xml:space="preserve">Repealed by No. 69 of 1981 s. 12.] </w:t>
      </w:r>
    </w:p>
    <w:p>
      <w:pPr>
        <w:pStyle w:val="Heading5"/>
        <w:rPr>
          <w:snapToGrid w:val="0"/>
        </w:rPr>
      </w:pPr>
      <w:bookmarkStart w:id="239" w:name="_Toc520087917"/>
      <w:bookmarkStart w:id="240" w:name="_Toc523620552"/>
      <w:bookmarkStart w:id="241" w:name="_Toc38853703"/>
      <w:bookmarkStart w:id="242" w:name="_Toc122328448"/>
      <w:r>
        <w:rPr>
          <w:rStyle w:val="CharSectno"/>
        </w:rPr>
        <w:t>35</w:t>
      </w:r>
      <w:r>
        <w:rPr>
          <w:snapToGrid w:val="0"/>
        </w:rPr>
        <w:t>.</w:t>
      </w:r>
      <w:r>
        <w:rPr>
          <w:snapToGrid w:val="0"/>
        </w:rPr>
        <w:tab/>
        <w:t>Compensation to be agreed upon or determined before mining operation commences</w:t>
      </w:r>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The holder of a mining tenement shall not commence any mining on the natural surface or within a depth of 30 metres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 xml:space="preserve">[Section 35 amended by No. 69 of 1981 s. 13; No. 100 of 1985 s. 25.] </w:t>
      </w:r>
    </w:p>
    <w:p>
      <w:pPr>
        <w:pStyle w:val="Ednotesection"/>
      </w:pPr>
      <w:r>
        <w:t>[</w:t>
      </w:r>
      <w:r>
        <w:rPr>
          <w:b/>
        </w:rPr>
        <w:t>36.</w:t>
      </w:r>
      <w:r>
        <w:t xml:space="preserve"> </w:t>
      </w:r>
      <w:r>
        <w:tab/>
      </w:r>
      <w:r>
        <w:tab/>
        <w:t xml:space="preserve">Repealed by No. 69 of 1981 s. 14.] </w:t>
      </w:r>
    </w:p>
    <w:p>
      <w:pPr>
        <w:pStyle w:val="Heading5"/>
        <w:rPr>
          <w:snapToGrid w:val="0"/>
        </w:rPr>
      </w:pPr>
      <w:bookmarkStart w:id="243" w:name="_Toc520087918"/>
      <w:bookmarkStart w:id="244" w:name="_Toc523620553"/>
      <w:bookmarkStart w:id="245" w:name="_Toc38853704"/>
      <w:bookmarkStart w:id="246" w:name="_Toc122328449"/>
      <w:r>
        <w:rPr>
          <w:rStyle w:val="CharSectno"/>
        </w:rPr>
        <w:t>37</w:t>
      </w:r>
      <w:r>
        <w:rPr>
          <w:snapToGrid w:val="0"/>
        </w:rPr>
        <w:t>.</w:t>
      </w:r>
      <w:r>
        <w:rPr>
          <w:snapToGrid w:val="0"/>
        </w:rPr>
        <w:tab/>
        <w:t>Application to bring certain private land under this Division</w:t>
      </w:r>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MiscellaneousBody"/>
        <w:tabs>
          <w:tab w:val="right" w:pos="607"/>
          <w:tab w:val="right" w:pos="1327"/>
          <w:tab w:val="left" w:pos="1610"/>
        </w:tabs>
        <w:spacing w:before="120"/>
        <w:ind w:left="1610" w:hanging="1610"/>
        <w:rPr>
          <w:snapToGrid w:val="0"/>
        </w:rPr>
      </w:pPr>
      <w:r>
        <w:rPr>
          <w:snapToGrid w:val="0"/>
        </w:rPr>
        <w:tab/>
        <w:t>(3)</w:t>
      </w:r>
      <w:r>
        <w:rPr>
          <w:snapToGrid w:val="0"/>
        </w:rPr>
        <w:tab/>
        <w:t>(a)</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Indenta"/>
        <w:rPr>
          <w:snapToGrid w:val="0"/>
        </w:rPr>
      </w:pPr>
      <w:r>
        <w:rPr>
          <w:snapToGrid w:val="0"/>
        </w:rPr>
        <w:tab/>
        <w:t>(b)</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Heading5"/>
        <w:spacing w:before="120"/>
        <w:rPr>
          <w:snapToGrid w:val="0"/>
        </w:rPr>
      </w:pPr>
      <w:bookmarkStart w:id="247" w:name="_Toc520087919"/>
      <w:bookmarkStart w:id="248" w:name="_Toc523620554"/>
      <w:bookmarkStart w:id="249" w:name="_Toc38853705"/>
      <w:bookmarkStart w:id="250" w:name="_Toc122328450"/>
      <w:r>
        <w:rPr>
          <w:rStyle w:val="CharSectno"/>
        </w:rPr>
        <w:t>38</w:t>
      </w:r>
      <w:r>
        <w:rPr>
          <w:snapToGrid w:val="0"/>
        </w:rPr>
        <w:t>.</w:t>
      </w:r>
      <w:r>
        <w:rPr>
          <w:snapToGrid w:val="0"/>
        </w:rPr>
        <w:tab/>
        <w:t>Right of owner to apply for mining tenement</w:t>
      </w:r>
      <w:bookmarkEnd w:id="247"/>
      <w:bookmarkEnd w:id="248"/>
      <w:bookmarkEnd w:id="249"/>
      <w:bookmarkEnd w:id="250"/>
      <w:r>
        <w:rPr>
          <w:snapToGrid w:val="0"/>
        </w:rPr>
        <w:t xml:space="preserve"> </w:t>
      </w:r>
    </w:p>
    <w:p>
      <w:pPr>
        <w:pStyle w:val="Subsection"/>
        <w:spacing w:before="120"/>
        <w:rPr>
          <w:snapToGrid w:val="0"/>
        </w:rPr>
      </w:pPr>
      <w:r>
        <w:rPr>
          <w:snapToGrid w:val="0"/>
        </w:rPr>
        <w:tab/>
        <w:t>(1)</w:t>
      </w:r>
      <w:r>
        <w:rPr>
          <w:snapToGrid w:val="0"/>
        </w:rPr>
        <w:tab/>
        <w:t>The owner of the private land to which section 37 refers may, at any time within the period referred to in subsection (3)(a) of that section, apply for a mining tenement in respect of the private land or any part thereof.</w:t>
      </w:r>
    </w:p>
    <w:p>
      <w:pPr>
        <w:pStyle w:val="Subsection"/>
        <w:spacing w:before="120"/>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 xml:space="preserve">[Section 38 amended by No. 69 of 1981 s. 15; No. 100 of 1985 s. 26.] </w:t>
      </w:r>
    </w:p>
    <w:p>
      <w:pPr>
        <w:pStyle w:val="Heading5"/>
        <w:rPr>
          <w:snapToGrid w:val="0"/>
        </w:rPr>
      </w:pPr>
      <w:bookmarkStart w:id="251" w:name="_Toc520087920"/>
      <w:bookmarkStart w:id="252" w:name="_Toc523620555"/>
      <w:bookmarkStart w:id="253" w:name="_Toc38853706"/>
      <w:bookmarkStart w:id="254" w:name="_Toc122328451"/>
      <w:r>
        <w:rPr>
          <w:rStyle w:val="CharSectno"/>
        </w:rPr>
        <w:t>39</w:t>
      </w:r>
      <w:r>
        <w:rPr>
          <w:snapToGrid w:val="0"/>
        </w:rPr>
        <w:t>.</w:t>
      </w:r>
      <w:r>
        <w:rPr>
          <w:snapToGrid w:val="0"/>
        </w:rPr>
        <w:tab/>
        <w:t>Owner to comply with mining tenement conditions</w:t>
      </w:r>
      <w:bookmarkEnd w:id="251"/>
      <w:bookmarkEnd w:id="252"/>
      <w:bookmarkEnd w:id="253"/>
      <w:bookmarkEnd w:id="254"/>
      <w:r>
        <w:rPr>
          <w:snapToGrid w:val="0"/>
        </w:rPr>
        <w:t xml:space="preserve"> </w:t>
      </w:r>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255" w:name="_Toc87427580"/>
      <w:bookmarkStart w:id="256" w:name="_Toc87851155"/>
      <w:bookmarkStart w:id="257" w:name="_Toc88295378"/>
      <w:bookmarkStart w:id="258" w:name="_Toc89519037"/>
      <w:bookmarkStart w:id="259" w:name="_Toc90869162"/>
      <w:bookmarkStart w:id="260" w:name="_Toc91407934"/>
      <w:bookmarkStart w:id="261" w:name="_Toc92863678"/>
      <w:bookmarkStart w:id="262" w:name="_Toc95015046"/>
      <w:bookmarkStart w:id="263" w:name="_Toc95106753"/>
      <w:bookmarkStart w:id="264" w:name="_Toc97018553"/>
      <w:bookmarkStart w:id="265" w:name="_Toc101693506"/>
      <w:bookmarkStart w:id="266" w:name="_Toc103130376"/>
      <w:bookmarkStart w:id="267" w:name="_Toc104711026"/>
      <w:bookmarkStart w:id="268" w:name="_Toc121560011"/>
      <w:bookmarkStart w:id="269" w:name="_Toc122328452"/>
      <w:r>
        <w:rPr>
          <w:rStyle w:val="CharPartNo"/>
        </w:rPr>
        <w:t>Part IV</w:t>
      </w:r>
      <w:r>
        <w:t> — </w:t>
      </w:r>
      <w:r>
        <w:rPr>
          <w:rStyle w:val="CharPartText"/>
        </w:rPr>
        <w:t>Mining tenements</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r>
        <w:rPr>
          <w:rStyle w:val="CharPartText"/>
        </w:rPr>
        <w:t xml:space="preserve"> </w:t>
      </w:r>
    </w:p>
    <w:p>
      <w:pPr>
        <w:pStyle w:val="Heading3"/>
        <w:rPr>
          <w:snapToGrid w:val="0"/>
        </w:rPr>
      </w:pPr>
      <w:bookmarkStart w:id="270" w:name="_Toc87427581"/>
      <w:bookmarkStart w:id="271" w:name="_Toc87851156"/>
      <w:bookmarkStart w:id="272" w:name="_Toc88295379"/>
      <w:bookmarkStart w:id="273" w:name="_Toc89519038"/>
      <w:bookmarkStart w:id="274" w:name="_Toc90869163"/>
      <w:bookmarkStart w:id="275" w:name="_Toc91407935"/>
      <w:bookmarkStart w:id="276" w:name="_Toc92863679"/>
      <w:bookmarkStart w:id="277" w:name="_Toc95015047"/>
      <w:bookmarkStart w:id="278" w:name="_Toc95106754"/>
      <w:bookmarkStart w:id="279" w:name="_Toc97018554"/>
      <w:bookmarkStart w:id="280" w:name="_Toc101693507"/>
      <w:bookmarkStart w:id="281" w:name="_Toc103130377"/>
      <w:bookmarkStart w:id="282" w:name="_Toc104711027"/>
      <w:bookmarkStart w:id="283" w:name="_Toc121560012"/>
      <w:bookmarkStart w:id="284" w:name="_Toc122328453"/>
      <w:r>
        <w:rPr>
          <w:rStyle w:val="CharDivNo"/>
        </w:rPr>
        <w:t>Division 1</w:t>
      </w:r>
      <w:r>
        <w:rPr>
          <w:snapToGrid w:val="0"/>
        </w:rPr>
        <w:t> — </w:t>
      </w:r>
      <w:r>
        <w:rPr>
          <w:rStyle w:val="CharDivText"/>
        </w:rPr>
        <w:t>Prospecting licence</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rPr>
          <w:rStyle w:val="CharDivText"/>
        </w:rPr>
        <w:t xml:space="preserve"> </w:t>
      </w:r>
    </w:p>
    <w:p>
      <w:pPr>
        <w:pStyle w:val="Ednotesection"/>
      </w:pPr>
      <w:r>
        <w:t>[</w:t>
      </w:r>
      <w:r>
        <w:rPr>
          <w:b/>
        </w:rPr>
        <w:t xml:space="preserve">39A. </w:t>
      </w:r>
      <w:r>
        <w:rPr>
          <w:b/>
        </w:rPr>
        <w:tab/>
      </w:r>
      <w:r>
        <w:t xml:space="preserve">Repealed by No. 52 of 1995 s. 21.] </w:t>
      </w:r>
    </w:p>
    <w:p>
      <w:pPr>
        <w:pStyle w:val="Heading5"/>
        <w:rPr>
          <w:snapToGrid w:val="0"/>
        </w:rPr>
      </w:pPr>
      <w:bookmarkStart w:id="285" w:name="_Toc520087921"/>
      <w:bookmarkStart w:id="286" w:name="_Toc523620556"/>
      <w:bookmarkStart w:id="287" w:name="_Toc38853707"/>
      <w:bookmarkStart w:id="288" w:name="_Toc122328454"/>
      <w:r>
        <w:rPr>
          <w:rStyle w:val="CharSectno"/>
        </w:rPr>
        <w:t>40</w:t>
      </w:r>
      <w:r>
        <w:rPr>
          <w:snapToGrid w:val="0"/>
        </w:rPr>
        <w:t>.</w:t>
      </w:r>
      <w:r>
        <w:rPr>
          <w:snapToGrid w:val="0"/>
        </w:rPr>
        <w:tab/>
        <w:t xml:space="preserve">Grant of prospecting </w:t>
      </w:r>
      <w:bookmarkEnd w:id="285"/>
      <w:r>
        <w:rPr>
          <w:snapToGrid w:val="0"/>
        </w:rPr>
        <w:t>licence</w:t>
      </w:r>
      <w:bookmarkEnd w:id="286"/>
      <w:bookmarkEnd w:id="287"/>
      <w:bookmarkEnd w:id="288"/>
      <w:r>
        <w:rPr>
          <w:snapToGrid w:val="0"/>
        </w:rPr>
        <w:t xml:space="preserve"> </w:t>
      </w:r>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hectares.</w:t>
      </w:r>
    </w:p>
    <w:p>
      <w:pPr>
        <w:pStyle w:val="Subsection"/>
        <w:rPr>
          <w:snapToGrid w:val="0"/>
        </w:rPr>
      </w:pPr>
      <w:r>
        <w:rPr>
          <w:snapToGrid w:val="0"/>
        </w:rPr>
        <w:tab/>
        <w:t>(3)</w:t>
      </w:r>
      <w:r>
        <w:rPr>
          <w:snapToGrid w:val="0"/>
        </w:rPr>
        <w:tab/>
        <w:t>A person may be granted more than one prospecting licence.</w:t>
      </w:r>
    </w:p>
    <w:p>
      <w:pPr>
        <w:pStyle w:val="Footnotesection"/>
      </w:pPr>
      <w:r>
        <w:tab/>
        <w:t xml:space="preserve">[Section 40 amended by No. 122 of 1982 s. 8; No. 100 of 1985 s. 27; No. 58 of 1994 s. 7; No. 5 of 1997 s. 41(2).] </w:t>
      </w:r>
    </w:p>
    <w:p>
      <w:pPr>
        <w:pStyle w:val="Heading5"/>
        <w:rPr>
          <w:snapToGrid w:val="0"/>
        </w:rPr>
      </w:pPr>
      <w:bookmarkStart w:id="289" w:name="_Toc520087922"/>
      <w:bookmarkStart w:id="290" w:name="_Toc523620557"/>
      <w:bookmarkStart w:id="291" w:name="_Toc38853708"/>
      <w:bookmarkStart w:id="292" w:name="_Toc122328455"/>
      <w:r>
        <w:rPr>
          <w:rStyle w:val="CharSectno"/>
        </w:rPr>
        <w:t>41</w:t>
      </w:r>
      <w:r>
        <w:rPr>
          <w:snapToGrid w:val="0"/>
        </w:rPr>
        <w:t>.</w:t>
      </w:r>
      <w:r>
        <w:rPr>
          <w:snapToGrid w:val="0"/>
        </w:rPr>
        <w:tab/>
        <w:t xml:space="preserve">Application for prospecting </w:t>
      </w:r>
      <w:bookmarkEnd w:id="289"/>
      <w:r>
        <w:rPr>
          <w:snapToGrid w:val="0"/>
        </w:rPr>
        <w:t>licence</w:t>
      </w:r>
      <w:bookmarkEnd w:id="290"/>
      <w:bookmarkEnd w:id="291"/>
      <w:bookmarkEnd w:id="292"/>
      <w:r>
        <w:rPr>
          <w:snapToGrid w:val="0"/>
        </w:rPr>
        <w:t xml:space="preserve"> </w:t>
      </w:r>
    </w:p>
    <w:p>
      <w:pPr>
        <w:pStyle w:val="Subsection"/>
        <w:rPr>
          <w:snapToGrid w:val="0"/>
        </w:rPr>
      </w:pPr>
      <w:r>
        <w:rPr>
          <w:snapToGrid w:val="0"/>
        </w:rPr>
        <w:tab/>
        <w:t>(1)</w:t>
      </w:r>
      <w:r>
        <w:rPr>
          <w:snapToGrid w:val="0"/>
        </w:rPr>
        <w:tab/>
        <w:t>An application for a prospecting licence — </w:t>
      </w:r>
    </w:p>
    <w:p>
      <w:pPr>
        <w:pStyle w:val="Indenta"/>
        <w:rPr>
          <w:snapToGrid w:val="0"/>
        </w:rPr>
      </w:pPr>
      <w:r>
        <w:rPr>
          <w:snapToGrid w:val="0"/>
        </w:rPr>
        <w:tab/>
        <w:t>(a)</w:t>
      </w:r>
      <w:r>
        <w:rPr>
          <w:snapToGrid w:val="0"/>
        </w:rPr>
        <w:tab/>
        <w:t>shall be made in the prescribed form;</w:t>
      </w:r>
    </w:p>
    <w:p>
      <w:pPr>
        <w:pStyle w:val="Indenta"/>
        <w:rPr>
          <w:snapToGrid w:val="0"/>
        </w:rPr>
      </w:pPr>
      <w:r>
        <w:rPr>
          <w:snapToGrid w:val="0"/>
        </w:rPr>
        <w:tab/>
        <w:t>(b)</w:t>
      </w:r>
      <w:r>
        <w:rPr>
          <w:snapToGrid w:val="0"/>
        </w:rPr>
        <w:tab/>
        <w:t>shall be accompanied by the amount of the prescribed rent for the first year or portion thereof as prescribed;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w:t>
      </w:r>
    </w:p>
    <w:p>
      <w:pPr>
        <w:pStyle w:val="Ednotepara"/>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shall be lodged at the office of the mining registrar;</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 xml:space="preserve">[Section 41 amended by No. 122 of 1982 s. 9; No. 52 of 1983 s. 3; No. 100 of 1985 s. 28; No. 37 of 1993 s. 26; No. 58 of 1994 s. 8.] </w:t>
      </w:r>
    </w:p>
    <w:p>
      <w:pPr>
        <w:pStyle w:val="Heading5"/>
        <w:rPr>
          <w:snapToGrid w:val="0"/>
        </w:rPr>
      </w:pPr>
      <w:bookmarkStart w:id="293" w:name="_Toc520087923"/>
      <w:bookmarkStart w:id="294" w:name="_Toc523620558"/>
      <w:bookmarkStart w:id="295" w:name="_Toc38853709"/>
      <w:bookmarkStart w:id="296" w:name="_Toc122328456"/>
      <w:r>
        <w:rPr>
          <w:rStyle w:val="CharSectno"/>
        </w:rPr>
        <w:t>42</w:t>
      </w:r>
      <w:r>
        <w:rPr>
          <w:snapToGrid w:val="0"/>
        </w:rPr>
        <w:t>.</w:t>
      </w:r>
      <w:r>
        <w:rPr>
          <w:snapToGrid w:val="0"/>
        </w:rPr>
        <w:tab/>
        <w:t xml:space="preserve">Determination of application for prospecting </w:t>
      </w:r>
      <w:bookmarkEnd w:id="293"/>
      <w:r>
        <w:rPr>
          <w:snapToGrid w:val="0"/>
        </w:rPr>
        <w:t>licence</w:t>
      </w:r>
      <w:bookmarkEnd w:id="294"/>
      <w:bookmarkEnd w:id="295"/>
      <w:bookmarkEnd w:id="296"/>
      <w:r>
        <w:rPr>
          <w:snapToGrid w:val="0"/>
        </w:rPr>
        <w:t xml:space="preserve"> </w:t>
      </w:r>
    </w:p>
    <w:p>
      <w:pPr>
        <w:pStyle w:val="Subsection"/>
        <w:rPr>
          <w:snapToGrid w:val="0"/>
        </w:rPr>
      </w:pPr>
      <w:r>
        <w:rPr>
          <w:snapToGrid w:val="0"/>
        </w:rPr>
        <w:tab/>
        <w:t>(1)</w:t>
      </w:r>
      <w:r>
        <w:rPr>
          <w:snapToGrid w:val="0"/>
        </w:rPr>
        <w:tab/>
        <w:t>A person who wishes to object to the granting of an application for a prospecting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 the mining registrar may —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rPr>
          <w:snapToGrid w:val="0"/>
        </w:rPr>
      </w:pPr>
      <w:r>
        <w:rPr>
          <w:snapToGrid w:val="0"/>
        </w:rPr>
        <w:tab/>
      </w:r>
      <w:r>
        <w:rPr>
          <w:snapToGrid w:val="0"/>
        </w:rPr>
        <w:tab/>
        <w:t>the warden shall hear and determine the application for the prospecting licence in open court on a day appointed by the warden and may give any person who has lodged such a notice of objection an opportunity to be heard.</w:t>
      </w:r>
    </w:p>
    <w:p>
      <w:pPr>
        <w:pStyle w:val="Footnotesection"/>
      </w:pPr>
      <w:r>
        <w:tab/>
        <w:t xml:space="preserve">[Section 42 inserted by No. 58 of 1994 s. 9(1).] </w:t>
      </w:r>
    </w:p>
    <w:p>
      <w:pPr>
        <w:pStyle w:val="Heading5"/>
      </w:pPr>
      <w:bookmarkStart w:id="297" w:name="_Toc38853710"/>
      <w:bookmarkStart w:id="298" w:name="_Toc122328457"/>
      <w:bookmarkStart w:id="299" w:name="_Toc520087924"/>
      <w:bookmarkStart w:id="300" w:name="_Toc523620559"/>
      <w:r>
        <w:rPr>
          <w:rStyle w:val="CharSectno"/>
        </w:rPr>
        <w:t>43</w:t>
      </w:r>
      <w:r>
        <w:t>.</w:t>
      </w:r>
      <w:r>
        <w:tab/>
        <w:t>Prospecting licence not to include land already the subject of a mining tenement</w:t>
      </w:r>
      <w:bookmarkEnd w:id="297"/>
      <w:bookmarkEnd w:id="298"/>
    </w:p>
    <w:p>
      <w:pPr>
        <w:pStyle w:val="Subsection"/>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pPr>
      <w:r>
        <w:tab/>
        <w:t>(2)</w:t>
      </w:r>
      <w:r>
        <w:tab/>
        <w:t>Subsection (1) does not apply in relation to a special prospecting licence under section 56A.</w:t>
      </w:r>
    </w:p>
    <w:p>
      <w:pPr>
        <w:pStyle w:val="Footnotesection"/>
      </w:pPr>
      <w:r>
        <w:tab/>
        <w:t>[Section 43 inserted by No. 15 of 2002 s. 6.]</w:t>
      </w:r>
    </w:p>
    <w:p>
      <w:pPr>
        <w:pStyle w:val="Heading5"/>
        <w:rPr>
          <w:snapToGrid w:val="0"/>
        </w:rPr>
      </w:pPr>
      <w:bookmarkStart w:id="301" w:name="_Toc38853711"/>
      <w:bookmarkStart w:id="302" w:name="_Toc122328458"/>
      <w:r>
        <w:rPr>
          <w:rStyle w:val="CharSectno"/>
        </w:rPr>
        <w:t>44</w:t>
      </w:r>
      <w:r>
        <w:rPr>
          <w:snapToGrid w:val="0"/>
        </w:rPr>
        <w:t>.</w:t>
      </w:r>
      <w:r>
        <w:rPr>
          <w:snapToGrid w:val="0"/>
        </w:rPr>
        <w:tab/>
        <w:t>Power to grant prospecting licence over all or part of land in application</w:t>
      </w:r>
      <w:bookmarkEnd w:id="299"/>
      <w:bookmarkEnd w:id="300"/>
      <w:bookmarkEnd w:id="301"/>
      <w:bookmarkEnd w:id="302"/>
      <w:r>
        <w:rPr>
          <w:snapToGrid w:val="0"/>
        </w:rPr>
        <w:t xml:space="preserve"> </w:t>
      </w:r>
    </w:p>
    <w:p>
      <w:pPr>
        <w:pStyle w:val="Subsection"/>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pPr>
      <w:r>
        <w:tab/>
        <w:t xml:space="preserve">[Section 44 amended by No. 100 of 1985 s. 30; No. 15 of 2002 s. 7.] </w:t>
      </w:r>
    </w:p>
    <w:p>
      <w:pPr>
        <w:pStyle w:val="Heading5"/>
        <w:rPr>
          <w:snapToGrid w:val="0"/>
        </w:rPr>
      </w:pPr>
      <w:bookmarkStart w:id="303" w:name="_Toc520087925"/>
      <w:bookmarkStart w:id="304" w:name="_Toc523620560"/>
      <w:bookmarkStart w:id="305" w:name="_Toc38853712"/>
      <w:bookmarkStart w:id="306" w:name="_Toc122328459"/>
      <w:r>
        <w:rPr>
          <w:rStyle w:val="CharSectno"/>
        </w:rPr>
        <w:t>45</w:t>
      </w:r>
      <w:r>
        <w:rPr>
          <w:snapToGrid w:val="0"/>
        </w:rPr>
        <w:t>.</w:t>
      </w:r>
      <w:r>
        <w:rPr>
          <w:snapToGrid w:val="0"/>
        </w:rPr>
        <w:tab/>
        <w:t xml:space="preserve">Term of prospecting </w:t>
      </w:r>
      <w:bookmarkEnd w:id="303"/>
      <w:r>
        <w:rPr>
          <w:snapToGrid w:val="0"/>
        </w:rPr>
        <w:t>licence</w:t>
      </w:r>
      <w:bookmarkEnd w:id="304"/>
      <w:bookmarkEnd w:id="305"/>
      <w:bookmarkEnd w:id="306"/>
      <w:r>
        <w:rPr>
          <w:snapToGrid w:val="0"/>
        </w:rPr>
        <w:t xml:space="preserve"> </w:t>
      </w:r>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 </w:t>
      </w:r>
    </w:p>
    <w:p>
      <w:pPr>
        <w:pStyle w:val="Indenta"/>
        <w:rPr>
          <w:snapToGrid w:val="0"/>
        </w:rPr>
      </w:pPr>
      <w:r>
        <w:rPr>
          <w:snapToGrid w:val="0"/>
        </w:rPr>
        <w:tab/>
        <w:t>(a)</w:t>
      </w:r>
      <w:r>
        <w:rPr>
          <w:snapToGrid w:val="0"/>
        </w:rPr>
        <w:tab/>
        <w:t>by or on behalf of the person who was the holder of the prospecting licence immediately prior to the date of the surrender, forfeiture or expiry;</w:t>
      </w:r>
    </w:p>
    <w:p>
      <w:pPr>
        <w:pStyle w:val="Indenta"/>
      </w:pPr>
      <w:r>
        <w:rPr>
          <w:snapToGrid w:val="0"/>
        </w:rPr>
        <w:tab/>
        <w:t>(b)</w:t>
      </w:r>
      <w:r>
        <w:rPr>
          <w:snapToGrid w:val="0"/>
        </w:rPr>
        <w:tab/>
        <w:t>by or on behalf of any person who had an interest in the prospecting licence immediately prior to that date</w:t>
      </w:r>
      <w:r>
        <w:t>; or</w:t>
      </w:r>
    </w:p>
    <w:p>
      <w:pPr>
        <w:pStyle w:val="Indenta"/>
      </w:pPr>
      <w:r>
        <w:tab/>
        <w:t>(c)</w:t>
      </w:r>
      <w:r>
        <w:tab/>
        <w:t>by or on behalf of 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pPr>
      <w:r>
        <w:tab/>
        <w:t xml:space="preserve">[Section 45 amended by No. 122 of 1982 s. 11; No. 100 of 1985 s. 31; No. 22 of 1990 s. 11; No. 37 of 1993 s. 5; No. 15 of 2002 s. 8.] </w:t>
      </w:r>
    </w:p>
    <w:p>
      <w:pPr>
        <w:pStyle w:val="Heading5"/>
        <w:rPr>
          <w:snapToGrid w:val="0"/>
        </w:rPr>
      </w:pPr>
      <w:bookmarkStart w:id="307" w:name="_Toc520087926"/>
      <w:bookmarkStart w:id="308" w:name="_Toc523620561"/>
      <w:bookmarkStart w:id="309" w:name="_Toc38853713"/>
      <w:bookmarkStart w:id="310" w:name="_Toc122328460"/>
      <w:r>
        <w:rPr>
          <w:rStyle w:val="CharSectno"/>
        </w:rPr>
        <w:t>46</w:t>
      </w:r>
      <w:r>
        <w:rPr>
          <w:snapToGrid w:val="0"/>
        </w:rPr>
        <w:t>.</w:t>
      </w:r>
      <w:r>
        <w:rPr>
          <w:snapToGrid w:val="0"/>
        </w:rPr>
        <w:tab/>
        <w:t xml:space="preserve">Conditions attached to every prospecting </w:t>
      </w:r>
      <w:bookmarkEnd w:id="307"/>
      <w:r>
        <w:rPr>
          <w:snapToGrid w:val="0"/>
        </w:rPr>
        <w:t>licence</w:t>
      </w:r>
      <w:bookmarkEnd w:id="308"/>
      <w:bookmarkEnd w:id="309"/>
      <w:bookmarkEnd w:id="310"/>
      <w:r>
        <w:rPr>
          <w:snapToGrid w:val="0"/>
        </w:rPr>
        <w:t xml:space="preserve"> </w:t>
      </w:r>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 </w:t>
      </w:r>
    </w:p>
    <w:p>
      <w:pPr>
        <w:pStyle w:val="Indenta"/>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 xml:space="preserve">in the opinion of the State Mining Engineer </w:t>
      </w:r>
      <w:r>
        <w:rPr>
          <w:snapToGrid w:val="0"/>
          <w:vertAlign w:val="superscript"/>
        </w:rPr>
        <w:t>5</w:t>
      </w:r>
      <w:r>
        <w:rPr>
          <w:snapToGrid w:val="0"/>
        </w:rPr>
        <w:t>, likely to endanger the safety of any person or animal,</w:t>
      </w:r>
    </w:p>
    <w:p>
      <w:pPr>
        <w:pStyle w:val="Indenta"/>
        <w:rPr>
          <w:snapToGrid w:val="0"/>
        </w:rPr>
      </w:pPr>
      <w:r>
        <w:rPr>
          <w:snapToGrid w:val="0"/>
        </w:rPr>
        <w:tab/>
      </w:r>
      <w:r>
        <w:rPr>
          <w:snapToGrid w:val="0"/>
        </w:rPr>
        <w:tab/>
        <w:t xml:space="preserve">will be filled in or otherwise made safe to the satisfaction of the State Mining Engineer </w:t>
      </w:r>
      <w:r>
        <w:rPr>
          <w:snapToGrid w:val="0"/>
          <w:vertAlign w:val="superscript"/>
        </w:rPr>
        <w:t>5</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 xml:space="preserve">[Section 46 amended by No. 69 of 1981 s. 16; No. 100 of 1985 s. 32; No. 57 of 1997 s. 89(1).] </w:t>
      </w:r>
    </w:p>
    <w:p>
      <w:pPr>
        <w:pStyle w:val="Heading5"/>
        <w:rPr>
          <w:snapToGrid w:val="0"/>
        </w:rPr>
      </w:pPr>
      <w:bookmarkStart w:id="311" w:name="_Toc520087927"/>
      <w:bookmarkStart w:id="312" w:name="_Toc523620562"/>
      <w:bookmarkStart w:id="313" w:name="_Toc38853714"/>
      <w:bookmarkStart w:id="314" w:name="_Toc122328461"/>
      <w:r>
        <w:rPr>
          <w:rStyle w:val="CharSectno"/>
        </w:rPr>
        <w:t>46A</w:t>
      </w:r>
      <w:r>
        <w:rPr>
          <w:snapToGrid w:val="0"/>
        </w:rPr>
        <w:t>.</w:t>
      </w:r>
      <w:r>
        <w:rPr>
          <w:snapToGrid w:val="0"/>
        </w:rPr>
        <w:tab/>
        <w:t>Conditions for prevention or reduction of injury to land</w:t>
      </w:r>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may be imposed under this section —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rPr>
          <w:snapToGrid w:val="0"/>
        </w:rPr>
      </w:pPr>
      <w:r>
        <w:rPr>
          <w:snapToGrid w:val="0"/>
        </w:rPr>
        <w:tab/>
        <w:t>(4)</w:t>
      </w:r>
      <w:r>
        <w:rPr>
          <w:snapToGrid w:val="0"/>
        </w:rPr>
        <w:tab/>
        <w:t>A condition imposed in relation to a licence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 xml:space="preserve">[Section 46A inserted by No. 22 of 1990 s. 12; amended by No. 58 of 1994 s. 9(2).] </w:t>
      </w:r>
    </w:p>
    <w:p>
      <w:pPr>
        <w:pStyle w:val="Heading5"/>
        <w:rPr>
          <w:snapToGrid w:val="0"/>
        </w:rPr>
      </w:pPr>
      <w:bookmarkStart w:id="315" w:name="_Toc520087928"/>
      <w:bookmarkStart w:id="316" w:name="_Toc523620563"/>
      <w:bookmarkStart w:id="317" w:name="_Toc38853715"/>
      <w:bookmarkStart w:id="318" w:name="_Toc122328462"/>
      <w:r>
        <w:rPr>
          <w:rStyle w:val="CharSectno"/>
        </w:rPr>
        <w:t>47</w:t>
      </w:r>
      <w:r>
        <w:rPr>
          <w:snapToGrid w:val="0"/>
        </w:rPr>
        <w:t>.</w:t>
      </w:r>
      <w:r>
        <w:rPr>
          <w:snapToGrid w:val="0"/>
        </w:rPr>
        <w:tab/>
        <w:t>Survey of area of prospecting licence not required in first instance</w:t>
      </w:r>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order a survey to be made of the boundaries or the boundary in order to settle the dispute.</w:t>
      </w:r>
    </w:p>
    <w:p>
      <w:pPr>
        <w:pStyle w:val="Subsection"/>
        <w:rPr>
          <w:snapToGrid w:val="0"/>
        </w:rPr>
      </w:pPr>
      <w:r>
        <w:rPr>
          <w:snapToGrid w:val="0"/>
        </w:rPr>
        <w:tab/>
        <w:t>(2)</w:t>
      </w:r>
      <w:r>
        <w:rPr>
          <w:snapToGrid w:val="0"/>
        </w:rPr>
        <w:tab/>
        <w:t>A survey ordered under subsection (1) shall be arranged and paid for by such party or parties to the dispute as the warden or the Minister determines.</w:t>
      </w:r>
    </w:p>
    <w:p>
      <w:pPr>
        <w:pStyle w:val="Footnotesection"/>
      </w:pPr>
      <w:r>
        <w:tab/>
        <w:t xml:space="preserve">[Section 47 amended by No. 100 of 1985 s. 33; No. 37 of 1993 s. 28(1).] </w:t>
      </w:r>
    </w:p>
    <w:p>
      <w:pPr>
        <w:pStyle w:val="Heading5"/>
        <w:rPr>
          <w:snapToGrid w:val="0"/>
        </w:rPr>
      </w:pPr>
      <w:bookmarkStart w:id="319" w:name="_Toc520087929"/>
      <w:bookmarkStart w:id="320" w:name="_Toc523620564"/>
      <w:bookmarkStart w:id="321" w:name="_Toc38853716"/>
      <w:bookmarkStart w:id="322" w:name="_Toc122328463"/>
      <w:r>
        <w:rPr>
          <w:rStyle w:val="CharSectno"/>
        </w:rPr>
        <w:t>48</w:t>
      </w:r>
      <w:r>
        <w:rPr>
          <w:snapToGrid w:val="0"/>
        </w:rPr>
        <w:t>.</w:t>
      </w:r>
      <w:r>
        <w:rPr>
          <w:snapToGrid w:val="0"/>
        </w:rPr>
        <w:tab/>
        <w:t xml:space="preserve">Rights conferred by prospecting </w:t>
      </w:r>
      <w:bookmarkEnd w:id="319"/>
      <w:r>
        <w:rPr>
          <w:snapToGrid w:val="0"/>
        </w:rPr>
        <w:t>licence</w:t>
      </w:r>
      <w:bookmarkEnd w:id="320"/>
      <w:bookmarkEnd w:id="321"/>
      <w:bookmarkEnd w:id="322"/>
      <w:r>
        <w:rPr>
          <w:snapToGrid w:val="0"/>
        </w:rPr>
        <w:t xml:space="preserve"> </w:t>
      </w:r>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 xml:space="preserve">[Section 48 amended by No. 100 of 1985 s. 34 (as amended by No. 105 of 1986 s. 4); No. 22 of 1990 s. 13; No. 5 of 1997 s. 41(2).] </w:t>
      </w:r>
    </w:p>
    <w:p>
      <w:pPr>
        <w:pStyle w:val="Heading5"/>
        <w:rPr>
          <w:snapToGrid w:val="0"/>
        </w:rPr>
      </w:pPr>
      <w:bookmarkStart w:id="323" w:name="_Toc520087930"/>
      <w:bookmarkStart w:id="324" w:name="_Toc523620565"/>
      <w:bookmarkStart w:id="325" w:name="_Toc38853717"/>
      <w:bookmarkStart w:id="326" w:name="_Toc122328464"/>
      <w:r>
        <w:rPr>
          <w:rStyle w:val="CharSectno"/>
        </w:rPr>
        <w:t>49</w:t>
      </w:r>
      <w:r>
        <w:rPr>
          <w:snapToGrid w:val="0"/>
        </w:rPr>
        <w:t>.</w:t>
      </w:r>
      <w:r>
        <w:rPr>
          <w:snapToGrid w:val="0"/>
        </w:rPr>
        <w:tab/>
        <w:t>Holder of prospecting licence to have priority for grant of mining leases or general purpose leases</w:t>
      </w:r>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The holder of a prospecting licence has —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 prospecting licence —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 xml:space="preserve">[Section 49 inserted by No. 122 of 1982 s. 12; amended by No. 100 of 1985 s. 35; No. 21 of 1993 s. 45; No. 58 of 1994 s. 29(2); No. 52 of 1995 s. 22; No. 17 of 1999 s. 5.] </w:t>
      </w:r>
    </w:p>
    <w:p>
      <w:pPr>
        <w:pStyle w:val="Heading5"/>
        <w:rPr>
          <w:snapToGrid w:val="0"/>
        </w:rPr>
      </w:pPr>
      <w:bookmarkStart w:id="327" w:name="_Toc520087931"/>
      <w:bookmarkStart w:id="328" w:name="_Toc523620566"/>
      <w:bookmarkStart w:id="329" w:name="_Toc38853718"/>
      <w:bookmarkStart w:id="330" w:name="_Toc122328465"/>
      <w:r>
        <w:rPr>
          <w:rStyle w:val="CharSectno"/>
        </w:rPr>
        <w:t>50</w:t>
      </w:r>
      <w:r>
        <w:rPr>
          <w:snapToGrid w:val="0"/>
        </w:rPr>
        <w:t>.</w:t>
      </w:r>
      <w:r>
        <w:rPr>
          <w:snapToGrid w:val="0"/>
        </w:rPr>
        <w:tab/>
        <w:t>Compliance with expenditure conditions</w:t>
      </w:r>
      <w:bookmarkEnd w:id="327"/>
      <w:bookmarkEnd w:id="328"/>
      <w:bookmarkEnd w:id="329"/>
      <w:bookmarkEnd w:id="330"/>
      <w:r>
        <w:rPr>
          <w:snapToGrid w:val="0"/>
        </w:rPr>
        <w:t xml:space="preserve"> </w:t>
      </w:r>
    </w:p>
    <w:p>
      <w:pPr>
        <w:pStyle w:val="Subsection"/>
        <w:rPr>
          <w:snapToGrid w:val="0"/>
        </w:rPr>
      </w:pPr>
      <w:r>
        <w:rPr>
          <w:snapToGrid w:val="0"/>
        </w:rPr>
        <w:tab/>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Heading5"/>
        <w:rPr>
          <w:snapToGrid w:val="0"/>
        </w:rPr>
      </w:pPr>
      <w:bookmarkStart w:id="331" w:name="_Toc520087932"/>
      <w:bookmarkStart w:id="332" w:name="_Toc523620567"/>
      <w:bookmarkStart w:id="333" w:name="_Toc38853719"/>
      <w:bookmarkStart w:id="334" w:name="_Toc122328466"/>
      <w:r>
        <w:rPr>
          <w:rStyle w:val="CharSectno"/>
        </w:rPr>
        <w:t>51</w:t>
      </w:r>
      <w:r>
        <w:rPr>
          <w:snapToGrid w:val="0"/>
        </w:rPr>
        <w:t>.</w:t>
      </w:r>
      <w:r>
        <w:rPr>
          <w:snapToGrid w:val="0"/>
        </w:rPr>
        <w:tab/>
        <w:t>Reports of work and expenditure</w:t>
      </w:r>
      <w:bookmarkEnd w:id="331"/>
      <w:bookmarkEnd w:id="332"/>
      <w:bookmarkEnd w:id="333"/>
      <w:bookmarkEnd w:id="334"/>
      <w:r>
        <w:rPr>
          <w:snapToGrid w:val="0"/>
        </w:rPr>
        <w:t xml:space="preserve"> </w:t>
      </w:r>
    </w:p>
    <w:p>
      <w:pPr>
        <w:pStyle w:val="Subsection"/>
        <w:rPr>
          <w:snapToGrid w:val="0"/>
        </w:rPr>
      </w:pPr>
      <w:r>
        <w:rPr>
          <w:snapToGrid w:val="0"/>
        </w:rPr>
        <w:tab/>
      </w:r>
      <w:r>
        <w:rPr>
          <w:snapToGrid w:val="0"/>
        </w:rPr>
        <w:tab/>
        <w:t>The holder of a prospecting licence shall, at such times and in such manner as may be prescribed, file or cause to be filed with the Department at Perth a report of all work done on, and money expended in connection with, prospecting in the area the subject of the licence, during the period to which the report relates.</w:t>
      </w:r>
    </w:p>
    <w:p>
      <w:pPr>
        <w:pStyle w:val="Footnotesection"/>
      </w:pPr>
      <w:r>
        <w:tab/>
        <w:t xml:space="preserve">[Section 51 amended by No. 58 of 1994 s. 10.] </w:t>
      </w:r>
    </w:p>
    <w:p>
      <w:pPr>
        <w:pStyle w:val="Heading5"/>
        <w:rPr>
          <w:snapToGrid w:val="0"/>
        </w:rPr>
      </w:pPr>
      <w:bookmarkStart w:id="335" w:name="_Toc520087933"/>
      <w:bookmarkStart w:id="336" w:name="_Toc523620568"/>
      <w:bookmarkStart w:id="337" w:name="_Toc38853720"/>
      <w:bookmarkStart w:id="338" w:name="_Toc122328467"/>
      <w:r>
        <w:rPr>
          <w:rStyle w:val="CharSectno"/>
        </w:rPr>
        <w:t>52</w:t>
      </w:r>
      <w:r>
        <w:rPr>
          <w:snapToGrid w:val="0"/>
        </w:rPr>
        <w:t>.</w:t>
      </w:r>
      <w:r>
        <w:rPr>
          <w:snapToGrid w:val="0"/>
        </w:rPr>
        <w:tab/>
        <w:t xml:space="preserve">Security relating to prospecting </w:t>
      </w:r>
      <w:bookmarkEnd w:id="335"/>
      <w:r>
        <w:rPr>
          <w:snapToGrid w:val="0"/>
        </w:rPr>
        <w:t>licence</w:t>
      </w:r>
      <w:bookmarkEnd w:id="336"/>
      <w:bookmarkEnd w:id="337"/>
      <w:bookmarkEnd w:id="338"/>
      <w:r>
        <w:rPr>
          <w:snapToGrid w:val="0"/>
        </w:rPr>
        <w:t xml:space="preserve"> </w:t>
      </w:r>
    </w:p>
    <w:p>
      <w:pPr>
        <w:pStyle w:val="Subsection"/>
        <w:rPr>
          <w:snapToGrid w:val="0"/>
        </w:rPr>
      </w:pPr>
      <w:r>
        <w:rPr>
          <w:snapToGrid w:val="0"/>
        </w:rPr>
        <w:tab/>
        <w:t>(1)</w:t>
      </w:r>
      <w:r>
        <w:rPr>
          <w:snapToGrid w:val="0"/>
        </w:rPr>
        <w:tab/>
        <w:t>The applicant for a prospecting licence shall lodge at the office of the mining registrar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The Minister may require the holder of a prospecting licence to lodge at the office of the mining registrar or the Department at Perth,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 xml:space="preserve">[Section 52 amended by No. 122 of 1982 s. 13; No. 100 of 1985 s. 36; No. 37 of 1993 s. 26; No. 58 of 1994 s. 11; No. 17 of 1999 s. 6(1) and (2).] </w:t>
      </w:r>
    </w:p>
    <w:p>
      <w:pPr>
        <w:pStyle w:val="Ednotesection"/>
      </w:pPr>
      <w:r>
        <w:t>[</w:t>
      </w:r>
      <w:r>
        <w:rPr>
          <w:b/>
        </w:rPr>
        <w:t>53-55.</w:t>
      </w:r>
      <w:r>
        <w:t xml:space="preserve">  Repealed by No. 122 of 1982 s. 14.] </w:t>
      </w:r>
    </w:p>
    <w:p>
      <w:pPr>
        <w:pStyle w:val="Heading5"/>
        <w:rPr>
          <w:snapToGrid w:val="0"/>
        </w:rPr>
      </w:pPr>
      <w:bookmarkStart w:id="339" w:name="_Toc520087934"/>
      <w:bookmarkStart w:id="340" w:name="_Toc523620569"/>
      <w:bookmarkStart w:id="341" w:name="_Toc38853721"/>
      <w:bookmarkStart w:id="342" w:name="_Toc122328468"/>
      <w:r>
        <w:rPr>
          <w:rStyle w:val="CharSectno"/>
        </w:rPr>
        <w:t>56</w:t>
      </w:r>
      <w:r>
        <w:rPr>
          <w:snapToGrid w:val="0"/>
        </w:rPr>
        <w:t>.</w:t>
      </w:r>
      <w:r>
        <w:rPr>
          <w:snapToGrid w:val="0"/>
        </w:rPr>
        <w:tab/>
        <w:t xml:space="preserve">Appeal against refusal to grant prospecting </w:t>
      </w:r>
      <w:bookmarkEnd w:id="339"/>
      <w:r>
        <w:rPr>
          <w:snapToGrid w:val="0"/>
        </w:rPr>
        <w:t>licence</w:t>
      </w:r>
      <w:bookmarkEnd w:id="340"/>
      <w:bookmarkEnd w:id="341"/>
      <w:bookmarkEnd w:id="342"/>
      <w:r>
        <w:rPr>
          <w:snapToGrid w:val="0"/>
        </w:rPr>
        <w:t xml:space="preserve"> </w:t>
      </w:r>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pPr>
      <w:r>
        <w:tab/>
        <w:t xml:space="preserve">[Section 56 inserted by No. 122 of 1982 s. 15; amended by No. 21 of 1993 s. 45; No. 58 of 1994 s. 9(3) and (4); No. 52 of 1995 s. 23.] </w:t>
      </w:r>
    </w:p>
    <w:p>
      <w:pPr>
        <w:pStyle w:val="Heading5"/>
        <w:rPr>
          <w:snapToGrid w:val="0"/>
        </w:rPr>
      </w:pPr>
      <w:bookmarkStart w:id="343" w:name="_Toc520087935"/>
      <w:bookmarkStart w:id="344" w:name="_Toc523620570"/>
      <w:bookmarkStart w:id="345" w:name="_Toc38853722"/>
      <w:bookmarkStart w:id="346" w:name="_Toc122328469"/>
      <w:r>
        <w:rPr>
          <w:rStyle w:val="CharSectno"/>
        </w:rPr>
        <w:t>56A</w:t>
      </w:r>
      <w:r>
        <w:rPr>
          <w:snapToGrid w:val="0"/>
        </w:rPr>
        <w:t>.</w:t>
      </w:r>
      <w:r>
        <w:rPr>
          <w:snapToGrid w:val="0"/>
        </w:rPr>
        <w:tab/>
        <w:t>Special prospecting licences</w:t>
      </w:r>
      <w:bookmarkEnd w:id="343"/>
      <w:bookmarkEnd w:id="344"/>
      <w:bookmarkEnd w:id="345"/>
      <w:bookmarkEnd w:id="346"/>
      <w:r>
        <w:rPr>
          <w:snapToGrid w:val="0"/>
        </w:rPr>
        <w:t xml:space="preserve"> </w:t>
      </w:r>
    </w:p>
    <w:p>
      <w:pPr>
        <w:pStyle w:val="Subsection"/>
        <w:spacing w:before="100"/>
        <w:rPr>
          <w:snapToGrid w:val="0"/>
        </w:rPr>
      </w:pPr>
      <w:r>
        <w:rPr>
          <w:snapToGrid w:val="0"/>
        </w:rPr>
        <w:tab/>
        <w:t>(1)</w:t>
      </w:r>
      <w:r>
        <w:rPr>
          <w:snapToGrid w:val="0"/>
        </w:rPr>
        <w:tab/>
        <w:t xml:space="preserve">Where any land is the subject of a prospecting licence (in this section called </w:t>
      </w:r>
      <w:r>
        <w:rPr>
          <w:b/>
          <w:snapToGrid w:val="0"/>
        </w:rPr>
        <w:t>“</w:t>
      </w:r>
      <w:r>
        <w:rPr>
          <w:rStyle w:val="CharDefText"/>
        </w:rPr>
        <w:t>the primary tenement</w:t>
      </w:r>
      <w:r>
        <w:rPr>
          <w:b/>
          <w:snapToGrid w:val="0"/>
        </w:rPr>
        <w:t>”</w:t>
      </w:r>
      <w:r>
        <w:rPr>
          <w:snapToGrid w:val="0"/>
        </w:rPr>
        <w:t>) then, notwithstanding section 117, a person may at any time after the expiry of 12 months from —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rPr>
          <w:snapToGrid w:val="0"/>
        </w:rPr>
      </w:pPr>
      <w:r>
        <w:rPr>
          <w:snapToGrid w:val="0"/>
        </w:rPr>
        <w:tab/>
        <w:t>(b)</w:t>
      </w:r>
      <w:r>
        <w:rPr>
          <w:snapToGrid w:val="0"/>
        </w:rPr>
        <w:tab/>
        <w:t xml:space="preserve">in any other case, the date on which the </w:t>
      </w:r>
      <w:r>
        <w:t>primary tenement</w:t>
      </w:r>
      <w:r>
        <w:rPr>
          <w:snapToGrid w:val="0"/>
        </w:rPr>
        <w:t xml:space="preserve"> was granted,</w:t>
      </w:r>
    </w:p>
    <w:p>
      <w:pPr>
        <w:pStyle w:val="Subsection"/>
        <w:rPr>
          <w:snapToGrid w:val="0"/>
        </w:rPr>
      </w:pPr>
      <w:r>
        <w:rPr>
          <w:snapToGrid w:val="0"/>
        </w:rPr>
        <w:tab/>
      </w:r>
      <w:r>
        <w:rPr>
          <w:snapToGrid w:val="0"/>
        </w:rPr>
        <w:tab/>
        <w:t xml:space="preserve">mark out and, in accordance with section 41, apply for a prospecting licence for gold (in this section called a </w:t>
      </w:r>
      <w:r>
        <w:rPr>
          <w:b/>
          <w:snapToGrid w:val="0"/>
        </w:rPr>
        <w:t>“</w:t>
      </w:r>
      <w:r>
        <w:rPr>
          <w:rStyle w:val="CharDefText"/>
        </w:rPr>
        <w:t>special prospecting licence</w:t>
      </w:r>
      <w:r>
        <w:rPr>
          <w:b/>
          <w:snapToGrid w:val="0"/>
        </w:rPr>
        <w:t>”</w:t>
      </w:r>
      <w:r>
        <w:rPr>
          <w:snapToGrid w:val="0"/>
        </w:rPr>
        <w:t>) in respect of any part of the land the subject of the primary tenement.</w:t>
      </w:r>
    </w:p>
    <w:p>
      <w:pPr>
        <w:pStyle w:val="Subsection"/>
        <w:spacing w:before="100"/>
        <w:rPr>
          <w:snapToGrid w:val="0"/>
        </w:rPr>
      </w:pPr>
      <w:r>
        <w:rPr>
          <w:snapToGrid w:val="0"/>
        </w:rPr>
        <w:tab/>
        <w:t>(1a)</w:t>
      </w:r>
      <w:r>
        <w:rPr>
          <w:snapToGrid w:val="0"/>
        </w:rPr>
        <w:tab/>
        <w:t>A special prospecting licence may only be applied for by, granted to or held by a natural person.</w:t>
      </w:r>
    </w:p>
    <w:p>
      <w:pPr>
        <w:pStyle w:val="Subsection"/>
        <w:spacing w:before="100"/>
        <w:rPr>
          <w:snapToGrid w:val="0"/>
        </w:rPr>
      </w:pPr>
      <w:r>
        <w:rPr>
          <w:snapToGrid w:val="0"/>
        </w:rPr>
        <w:tab/>
        <w:t>(2)</w:t>
      </w:r>
      <w:r>
        <w:rPr>
          <w:snapToGrid w:val="0"/>
        </w:rPr>
        <w:tab/>
        <w:t>Within 14 days after lodging an application for a special prospecting licence under subsection (1) the applicant shall serve notice of his application on the holder of the primary tenement as if that holder were the occupier of the land to which that application relates.</w:t>
      </w:r>
    </w:p>
    <w:p>
      <w:pPr>
        <w:pStyle w:val="Subsection"/>
        <w:spacing w:before="100"/>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spacing w:before="100"/>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spacing w:before="120"/>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spacing w:before="120"/>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 </w:t>
      </w:r>
    </w:p>
    <w:p>
      <w:pPr>
        <w:pStyle w:val="Indenta"/>
        <w:rPr>
          <w:snapToGrid w:val="0"/>
        </w:rPr>
      </w:pPr>
      <w:r>
        <w:rPr>
          <w:snapToGrid w:val="0"/>
        </w:rPr>
        <w:tab/>
        <w:t>(a)</w:t>
      </w:r>
      <w:r>
        <w:rPr>
          <w:snapToGrid w:val="0"/>
        </w:rPr>
        <w:tab/>
        <w:t>refuse that application; or</w:t>
      </w:r>
    </w:p>
    <w:p>
      <w:pPr>
        <w:pStyle w:val="Indenta"/>
        <w:rPr>
          <w:snapToGrid w:val="0"/>
        </w:rPr>
      </w:pPr>
      <w:r>
        <w:rPr>
          <w:snapToGrid w:val="0"/>
        </w:rPr>
        <w:tab/>
        <w:t>(b)</w:t>
      </w:r>
      <w:r>
        <w:rPr>
          <w:snapToGrid w:val="0"/>
        </w:rPr>
        <w:tab/>
        <w:t>subject to this Act, grant that application as provided in subsection (6),</w:t>
      </w:r>
    </w:p>
    <w:p>
      <w:pPr>
        <w:pStyle w:val="Subsection"/>
        <w:spacing w:before="12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rPr>
          <w:snapToGrid w:val="0"/>
        </w:rPr>
      </w:pPr>
      <w:r>
        <w:rPr>
          <w:snapToGrid w:val="0"/>
        </w:rPr>
        <w:tab/>
        <w:t>(6)</w:t>
      </w:r>
      <w:r>
        <w:rPr>
          <w:snapToGrid w:val="0"/>
        </w:rPr>
        <w:tab/>
        <w:t>Subject to this section, the mining registrar, the warden or the Minister may grant an application for a special prospecting licence on such terms and conditions as he thinks fit, but a special prospecting licence so granted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thereof to prospect only for gold;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rPr>
          <w:snapToGrid w:val="0"/>
        </w:rPr>
      </w:pPr>
      <w:r>
        <w:rPr>
          <w:snapToGrid w:val="0"/>
        </w:rPr>
        <w:tab/>
        <w:t>(c)</w:t>
      </w:r>
      <w:r>
        <w:rPr>
          <w:snapToGrid w:val="0"/>
        </w:rPr>
        <w:tab/>
        <w:t>more than 3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No more than one special prospecting licence, or mining lease in respect of the land or any part thereof which is the subject of a special prospecting licence, shall be granted in respect of the primary tenement.</w:t>
      </w:r>
    </w:p>
    <w:p>
      <w:pPr>
        <w:pStyle w:val="Subsection"/>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 if — </w:t>
      </w:r>
    </w:p>
    <w:p>
      <w:pPr>
        <w:pStyle w:val="Indenta"/>
        <w:rPr>
          <w:snapToGrid w:val="0"/>
        </w:rPr>
      </w:pPr>
      <w:r>
        <w:rPr>
          <w:snapToGrid w:val="0"/>
        </w:rPr>
        <w:tab/>
        <w:t>(a)</w:t>
      </w:r>
      <w:r>
        <w:rPr>
          <w:snapToGrid w:val="0"/>
        </w:rPr>
        <w:tab/>
        <w:t>after being served with the prescribed notice of that application, the holder of the primary tenement does not lodge an objection against that application; or</w:t>
      </w:r>
    </w:p>
    <w:p>
      <w:pPr>
        <w:pStyle w:val="Indenta"/>
        <w:rPr>
          <w:snapToGrid w:val="0"/>
        </w:rPr>
      </w:pPr>
      <w:r>
        <w:rPr>
          <w:snapToGrid w:val="0"/>
        </w:rPr>
        <w:tab/>
        <w:t>(b)</w:t>
      </w:r>
      <w:r>
        <w:rPr>
          <w:snapToGrid w:val="0"/>
        </w:rPr>
        <w:tab/>
        <w:t>it is proved to the satisfaction of the Minister by a report from the Director, Geological Survey, that gold exists in payable quantities on or in the land to which that application relates,</w:t>
      </w:r>
    </w:p>
    <w:p>
      <w:pPr>
        <w:pStyle w:val="Subsection"/>
        <w:spacing w:before="120"/>
        <w:rPr>
          <w:snapToGrid w:val="0"/>
        </w:rPr>
      </w:pPr>
      <w:r>
        <w:rPr>
          <w:snapToGrid w:val="0"/>
        </w:rPr>
        <w:tab/>
      </w:r>
      <w:r>
        <w:rPr>
          <w:snapToGrid w:val="0"/>
        </w:rPr>
        <w:tab/>
        <w:t>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spacing w:before="120"/>
        <w:rPr>
          <w:snapToGrid w:val="0"/>
        </w:rPr>
      </w:pPr>
      <w:r>
        <w:rPr>
          <w:snapToGrid w:val="0"/>
        </w:rPr>
        <w:tab/>
        <w:t>(8a)</w:t>
      </w:r>
      <w:r>
        <w:rPr>
          <w:snapToGrid w:val="0"/>
        </w:rPr>
        <w:tab/>
        <w:t>A mining lease granted pursuant to subsection (8)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spacing w:before="120"/>
        <w:rPr>
          <w:snapToGrid w:val="0"/>
        </w:rPr>
      </w:pPr>
      <w:r>
        <w:rPr>
          <w:snapToGrid w:val="0"/>
        </w:rPr>
        <w:tab/>
        <w:t>(9)</w:t>
      </w:r>
      <w:r>
        <w:rPr>
          <w:snapToGrid w:val="0"/>
        </w:rPr>
        <w:tab/>
        <w:t>Subject to this section, the provisions of this Act relating to —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spacing w:before="120"/>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spacing w:before="220"/>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spacing w:before="220"/>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spacing w:before="220"/>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pPr>
      <w:r>
        <w:tab/>
        <w:t xml:space="preserve">[Section 56A inserted by No. 122 of 1982 s. 16; amended by No. 100 of 1985 s. 37; No. 22 of 1990 s. 14; No. 21 of 1993 s. 45; No. 37 of 1993 s. 6, 10(2) and 27; No. 58 of 1994 s. 12; No. 52 of 1995 s. 24; No. 54 of 1996 s. 7 and 23; No. 10 of 2001 s. 131; No. 15 of 2002 s. 9.] </w:t>
      </w:r>
    </w:p>
    <w:p>
      <w:pPr>
        <w:pStyle w:val="Heading3"/>
        <w:rPr>
          <w:snapToGrid w:val="0"/>
        </w:rPr>
      </w:pPr>
      <w:bookmarkStart w:id="347" w:name="_Toc87427598"/>
      <w:bookmarkStart w:id="348" w:name="_Toc87851173"/>
      <w:bookmarkStart w:id="349" w:name="_Toc88295396"/>
      <w:bookmarkStart w:id="350" w:name="_Toc89519055"/>
      <w:bookmarkStart w:id="351" w:name="_Toc90869180"/>
      <w:bookmarkStart w:id="352" w:name="_Toc91407952"/>
      <w:bookmarkStart w:id="353" w:name="_Toc92863696"/>
      <w:bookmarkStart w:id="354" w:name="_Toc95015064"/>
      <w:bookmarkStart w:id="355" w:name="_Toc95106771"/>
      <w:bookmarkStart w:id="356" w:name="_Toc97018571"/>
      <w:bookmarkStart w:id="357" w:name="_Toc101693524"/>
      <w:bookmarkStart w:id="358" w:name="_Toc103130394"/>
      <w:bookmarkStart w:id="359" w:name="_Toc104711044"/>
      <w:bookmarkStart w:id="360" w:name="_Toc121560029"/>
      <w:bookmarkStart w:id="361" w:name="_Toc122328470"/>
      <w:r>
        <w:rPr>
          <w:rStyle w:val="CharDivNo"/>
        </w:rPr>
        <w:t>Division 2</w:t>
      </w:r>
      <w:r>
        <w:rPr>
          <w:snapToGrid w:val="0"/>
        </w:rPr>
        <w:t> — </w:t>
      </w:r>
      <w:r>
        <w:rPr>
          <w:rStyle w:val="CharDivText"/>
        </w:rPr>
        <w:t>Exploration licence</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r>
        <w:rPr>
          <w:rStyle w:val="CharDivText"/>
        </w:rPr>
        <w:t xml:space="preserve"> </w:t>
      </w:r>
    </w:p>
    <w:p>
      <w:pPr>
        <w:pStyle w:val="Ednotesection"/>
      </w:pPr>
      <w:r>
        <w:t>[</w:t>
      </w:r>
      <w:r>
        <w:rPr>
          <w:b/>
        </w:rPr>
        <w:t>56AA.</w:t>
      </w:r>
      <w:r>
        <w:t xml:space="preserve"> </w:t>
      </w:r>
      <w:r>
        <w:tab/>
        <w:t xml:space="preserve">Repealed by No. 52 of 1995 s. 25.] </w:t>
      </w:r>
    </w:p>
    <w:p>
      <w:pPr>
        <w:pStyle w:val="Ednotesection"/>
      </w:pPr>
      <w:r>
        <w:t>[</w:t>
      </w:r>
      <w:r>
        <w:rPr>
          <w:b/>
        </w:rPr>
        <w:t>56B</w:t>
      </w:r>
      <w:r>
        <w:t>.</w:t>
      </w:r>
      <w:r>
        <w:tab/>
      </w:r>
      <w:r>
        <w:tab/>
        <w:t>Repealed by No. 54 of 2000 s. 5(3).]</w:t>
      </w:r>
    </w:p>
    <w:p>
      <w:pPr>
        <w:pStyle w:val="Heading5"/>
        <w:rPr>
          <w:snapToGrid w:val="0"/>
        </w:rPr>
      </w:pPr>
      <w:bookmarkStart w:id="362" w:name="_Toc520087936"/>
      <w:bookmarkStart w:id="363" w:name="_Toc523620571"/>
      <w:bookmarkStart w:id="364" w:name="_Toc38853723"/>
      <w:bookmarkStart w:id="365" w:name="_Toc122328471"/>
      <w:r>
        <w:rPr>
          <w:rStyle w:val="CharSectno"/>
        </w:rPr>
        <w:t>56C</w:t>
      </w:r>
      <w:r>
        <w:rPr>
          <w:snapToGrid w:val="0"/>
        </w:rPr>
        <w:t>.</w:t>
      </w:r>
      <w:r>
        <w:rPr>
          <w:snapToGrid w:val="0"/>
          <w:vertAlign w:val="superscript"/>
        </w:rPr>
        <w:tab/>
      </w:r>
      <w:r>
        <w:rPr>
          <w:snapToGrid w:val="0"/>
        </w:rPr>
        <w:t>Graticular sections</w:t>
      </w:r>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For the purposes of this Division, the surface of the Earth shall be deemed to be divided — </w:t>
      </w:r>
    </w:p>
    <w:p>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spacing w:before="120"/>
        <w:rPr>
          <w:snapToGrid w:val="0"/>
        </w:rPr>
      </w:pPr>
      <w:r>
        <w:rPr>
          <w:snapToGrid w:val="0"/>
        </w:rPr>
        <w:tab/>
      </w:r>
      <w:r>
        <w:rPr>
          <w:snapToGrid w:val="0"/>
        </w:rPr>
        <w:tab/>
        <w:t xml:space="preserve">into sections (in this Division called </w:t>
      </w:r>
      <w:r>
        <w:rPr>
          <w:b/>
          <w:snapToGrid w:val="0"/>
        </w:rPr>
        <w:t>“</w:t>
      </w:r>
      <w:r>
        <w:rPr>
          <w:rStyle w:val="CharDefText"/>
        </w:rPr>
        <w:t>graticular sections</w:t>
      </w:r>
      <w:r>
        <w:rPr>
          <w:b/>
          <w:snapToGrid w:val="0"/>
        </w:rPr>
        <w:t>”</w:t>
      </w:r>
      <w:r>
        <w:rPr>
          <w:snapToGrid w:val="0"/>
        </w:rPr>
        <w:t>), each of which is bounded —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spacing w:before="120"/>
        <w:rPr>
          <w:snapToGrid w:val="0"/>
        </w:rPr>
      </w:pPr>
      <w:r>
        <w:rPr>
          <w:snapToGrid w:val="0"/>
        </w:rPr>
        <w:tab/>
        <w:t>(2)</w:t>
      </w:r>
      <w:r>
        <w:rPr>
          <w:snapToGrid w:val="0"/>
        </w:rPr>
        <w:tab/>
        <w:t>For the purposes of this Division —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Footnotesection"/>
      </w:pPr>
      <w:r>
        <w:tab/>
        <w:t xml:space="preserve">[Section 56C inserted by No. 22 of 1990 s. 15.] </w:t>
      </w:r>
    </w:p>
    <w:p>
      <w:pPr>
        <w:pStyle w:val="Heading5"/>
        <w:spacing w:before="120"/>
        <w:rPr>
          <w:snapToGrid w:val="0"/>
        </w:rPr>
      </w:pPr>
      <w:bookmarkStart w:id="366" w:name="_Toc520087937"/>
      <w:bookmarkStart w:id="367" w:name="_Toc523620572"/>
      <w:bookmarkStart w:id="368" w:name="_Toc38853724"/>
      <w:bookmarkStart w:id="369" w:name="_Toc122328472"/>
      <w:r>
        <w:rPr>
          <w:rStyle w:val="CharSectno"/>
        </w:rPr>
        <w:t>57</w:t>
      </w:r>
      <w:r>
        <w:rPr>
          <w:snapToGrid w:val="0"/>
        </w:rPr>
        <w:t>.</w:t>
      </w:r>
      <w:r>
        <w:rPr>
          <w:snapToGrid w:val="0"/>
        </w:rPr>
        <w:tab/>
        <w:t xml:space="preserve">Grant of exploration </w:t>
      </w:r>
      <w:bookmarkEnd w:id="366"/>
      <w:r>
        <w:rPr>
          <w:snapToGrid w:val="0"/>
        </w:rPr>
        <w:t>licence</w:t>
      </w:r>
      <w:bookmarkEnd w:id="367"/>
      <w:bookmarkEnd w:id="368"/>
      <w:bookmarkEnd w:id="369"/>
      <w:r>
        <w:rPr>
          <w:snapToGrid w:val="0"/>
        </w:rPr>
        <w:t xml:space="preserve"> </w:t>
      </w:r>
    </w:p>
    <w:p>
      <w:pPr>
        <w:pStyle w:val="Subsection"/>
        <w:keepNext/>
        <w:keepLines/>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rPr>
          <w:snapToGrid w:val="0"/>
        </w:rPr>
      </w:pPr>
      <w:r>
        <w:rPr>
          <w:snapToGrid w:val="0"/>
        </w:rPr>
        <w:tab/>
        <w:t>(2)</w:t>
      </w:r>
      <w:r>
        <w:rPr>
          <w:snapToGrid w:val="0"/>
        </w:rPr>
        <w:tab/>
        <w:t>The area of land in respect of which an exploration licence may be granted shall be a block or blocks but shall not be more than 70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 </w:t>
      </w:r>
    </w:p>
    <w:p>
      <w:pPr>
        <w:pStyle w:val="Indenta"/>
        <w:rPr>
          <w:snapToGrid w:val="0"/>
        </w:rPr>
      </w:pPr>
      <w:r>
        <w:rPr>
          <w:snapToGrid w:val="0"/>
        </w:rPr>
        <w:tab/>
        <w:t>(a)</w:t>
      </w:r>
      <w:r>
        <w:rPr>
          <w:snapToGrid w:val="0"/>
        </w:rPr>
        <w:tab/>
        <w:t>an application is made for an exploration licence in respect of 3 or more blocks;</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spacing w:before="220"/>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spacing w:before="220"/>
        <w:rPr>
          <w:snapToGrid w:val="0"/>
        </w:rPr>
      </w:pPr>
      <w:r>
        <w:rPr>
          <w:snapToGrid w:val="0"/>
        </w:rPr>
        <w:tab/>
        <w:t>(2f)</w:t>
      </w:r>
      <w:r>
        <w:rPr>
          <w:snapToGrid w:val="0"/>
        </w:rPr>
        <w:tab/>
        <w:t>Where the land in respect of which an exploration licence is granted comprises or includes part of a block — </w:t>
      </w:r>
    </w:p>
    <w:p>
      <w:pPr>
        <w:pStyle w:val="Indenta"/>
        <w:rPr>
          <w:snapToGrid w:val="0"/>
        </w:rPr>
      </w:pPr>
      <w:r>
        <w:rPr>
          <w:snapToGrid w:val="0"/>
        </w:rPr>
        <w:tab/>
        <w:t>(a)</w:t>
      </w:r>
      <w:r>
        <w:rPr>
          <w:snapToGrid w:val="0"/>
        </w:rPr>
        <w:tab/>
        <w:t>the licence is deemed to be granted in respect of that block for the purposes of subsections (2), (2a) and (2b);</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spacing w:before="220"/>
        <w:rPr>
          <w:snapToGrid w:val="0"/>
        </w:rPr>
      </w:pPr>
      <w:r>
        <w:rPr>
          <w:snapToGrid w:val="0"/>
        </w:rPr>
        <w:tab/>
        <w:t>(2g)</w:t>
      </w:r>
      <w:r>
        <w:rPr>
          <w:snapToGrid w:val="0"/>
        </w:rPr>
        <w:tab/>
        <w:t>A person may be granted more than one exploration licence.</w:t>
      </w:r>
    </w:p>
    <w:p>
      <w:pPr>
        <w:pStyle w:val="Subsection"/>
        <w:spacing w:before="120"/>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spacing w:before="220"/>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spacing w:before="120"/>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pPr>
      <w:r>
        <w:tab/>
        <w:t xml:space="preserve">[Section 57 amended by No. 69 of 1981 s. 17; No. 122 of 1982 s. 17; No. 100 of 1985 s. 38; No. 22 of 1990 s. 16; No. 37 of 1993 s. 7; No. 58 of 1994 s. 13 and 15(2) and (3); No. 15 of 2002 s. 10.] </w:t>
      </w:r>
    </w:p>
    <w:p>
      <w:pPr>
        <w:pStyle w:val="Heading5"/>
        <w:spacing w:before="120"/>
        <w:rPr>
          <w:snapToGrid w:val="0"/>
        </w:rPr>
      </w:pPr>
      <w:bookmarkStart w:id="370" w:name="_Toc520087938"/>
      <w:bookmarkStart w:id="371" w:name="_Toc523620573"/>
      <w:bookmarkStart w:id="372" w:name="_Toc38853725"/>
      <w:bookmarkStart w:id="373" w:name="_Toc122328473"/>
      <w:r>
        <w:rPr>
          <w:rStyle w:val="CharSectno"/>
        </w:rPr>
        <w:t>58</w:t>
      </w:r>
      <w:r>
        <w:rPr>
          <w:snapToGrid w:val="0"/>
        </w:rPr>
        <w:t>.</w:t>
      </w:r>
      <w:r>
        <w:rPr>
          <w:snapToGrid w:val="0"/>
        </w:rPr>
        <w:tab/>
        <w:t xml:space="preserve">Application for exploration </w:t>
      </w:r>
      <w:bookmarkEnd w:id="370"/>
      <w:r>
        <w:rPr>
          <w:snapToGrid w:val="0"/>
        </w:rPr>
        <w:t>licence</w:t>
      </w:r>
      <w:bookmarkEnd w:id="371"/>
      <w:bookmarkEnd w:id="372"/>
      <w:bookmarkEnd w:id="373"/>
      <w:r>
        <w:rPr>
          <w:snapToGrid w:val="0"/>
        </w:rPr>
        <w:t xml:space="preserve"> </w:t>
      </w:r>
    </w:p>
    <w:p>
      <w:pPr>
        <w:pStyle w:val="Subsection"/>
        <w:rPr>
          <w:snapToGrid w:val="0"/>
        </w:rPr>
      </w:pPr>
      <w:r>
        <w:rPr>
          <w:snapToGrid w:val="0"/>
        </w:rPr>
        <w:tab/>
        <w:t>(1)</w:t>
      </w:r>
      <w:r>
        <w:rPr>
          <w:snapToGrid w:val="0"/>
        </w:rPr>
        <w:tab/>
        <w:t>An application for an exploration licence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accompanied by a statement specifying — </w:t>
      </w:r>
    </w:p>
    <w:p>
      <w:pPr>
        <w:pStyle w:val="Indenti"/>
        <w:rPr>
          <w:snapToGrid w:val="0"/>
        </w:rPr>
      </w:pPr>
      <w:r>
        <w:rPr>
          <w:snapToGrid w:val="0"/>
        </w:rPr>
        <w:tab/>
        <w:t>(i)</w:t>
      </w:r>
      <w:r>
        <w:rPr>
          <w:snapToGrid w:val="0"/>
        </w:rPr>
        <w:tab/>
        <w:t>the proposed method of exploration of the area in respect of which the licence is sought;</w:t>
      </w:r>
    </w:p>
    <w:p>
      <w:pPr>
        <w:pStyle w:val="Indenti"/>
        <w:rPr>
          <w:snapToGrid w:val="0"/>
        </w:rPr>
      </w:pPr>
      <w:r>
        <w:rPr>
          <w:snapToGrid w:val="0"/>
        </w:rPr>
        <w:tab/>
        <w:t>(ii)</w:t>
      </w:r>
      <w:r>
        <w:rPr>
          <w:snapToGrid w:val="0"/>
        </w:rPr>
        <w:tab/>
        <w:t>the details of the programme of work proposed to be carried out in such area;</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w:t>
      </w:r>
    </w:p>
    <w:p>
      <w:pPr>
        <w:pStyle w:val="Indenta"/>
        <w:rPr>
          <w:snapToGrid w:val="0"/>
        </w:rPr>
      </w:pPr>
      <w:r>
        <w:rPr>
          <w:snapToGrid w:val="0"/>
        </w:rPr>
        <w:tab/>
        <w:t>(d)</w:t>
      </w:r>
      <w:r>
        <w:rPr>
          <w:snapToGrid w:val="0"/>
        </w:rPr>
        <w:tab/>
        <w:t>shall be lodged at the office of the mining registrar;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Subsection"/>
        <w:rPr>
          <w:snapToGrid w:val="0"/>
        </w:rPr>
      </w:pPr>
      <w:r>
        <w:rPr>
          <w:snapToGrid w:val="0"/>
        </w:rPr>
        <w:tab/>
        <w:t>(1a)</w:t>
      </w:r>
      <w:r>
        <w:rPr>
          <w:snapToGrid w:val="0"/>
        </w:rPr>
        <w:tab/>
        <w:t>In order to facilitate the operation of section 105A(3) and (4)(a) in relation to applications for exploration licences in respect of an area that are made at the first available opportunity after that area has been surrendered under section 65 or has become forfeited under section 96A or 97, those applications shall be made in accordance with a prescribed procedure and shall be regarded as having been lodged at a time determined in accordance with the regulations.</w:t>
      </w:r>
    </w:p>
    <w:p>
      <w:pPr>
        <w:pStyle w:val="MiscellaneousBody"/>
        <w:tabs>
          <w:tab w:val="right" w:pos="607"/>
          <w:tab w:val="right" w:pos="1327"/>
          <w:tab w:val="left" w:pos="1610"/>
        </w:tabs>
        <w:ind w:left="1610" w:hanging="1610"/>
        <w:rPr>
          <w:snapToGrid w:val="0"/>
        </w:rPr>
      </w:pPr>
      <w:r>
        <w:rPr>
          <w:snapToGrid w:val="0"/>
        </w:rPr>
        <w:tab/>
        <w:t>(2)</w:t>
      </w:r>
      <w:r>
        <w:rPr>
          <w:snapToGrid w:val="0"/>
        </w:rPr>
        <w:tab/>
        <w:t>(a)</w:t>
      </w:r>
      <w:r>
        <w:rPr>
          <w:snapToGrid w:val="0"/>
        </w:rPr>
        <w:tab/>
        <w:t>An application referred to in subsection (1) must identify the block or blocks applied for by number in accordance with section 56C(4).</w:t>
      </w:r>
    </w:p>
    <w:p>
      <w:pPr>
        <w:pStyle w:val="Indenta"/>
        <w:rPr>
          <w:snapToGrid w:val="0"/>
        </w:rPr>
      </w:pPr>
      <w:r>
        <w:rPr>
          <w:snapToGrid w:val="0"/>
        </w:rPr>
        <w:tab/>
        <w:t>(b)</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order a survey to be made of the boundaries or the boundary in order to settle the dispute.</w:t>
      </w:r>
    </w:p>
    <w:p>
      <w:pPr>
        <w:pStyle w:val="Indenta"/>
        <w:rPr>
          <w:snapToGrid w:val="0"/>
        </w:rPr>
      </w:pPr>
      <w:r>
        <w:rPr>
          <w:snapToGrid w:val="0"/>
        </w:rPr>
        <w:tab/>
        <w:t>(c)</w:t>
      </w:r>
      <w:r>
        <w:rPr>
          <w:snapToGrid w:val="0"/>
        </w:rPr>
        <w:tab/>
        <w:t>A survey ordered under paragraph (b) shall be arranged and paid for by such party or parties to the dispute as the warden or Minister determines.</w:t>
      </w:r>
    </w:p>
    <w:p>
      <w:pPr>
        <w:pStyle w:val="Subsection"/>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spacing w:before="80"/>
        <w:ind w:left="890" w:hanging="890"/>
      </w:pPr>
      <w:r>
        <w:tab/>
        <w:t xml:space="preserve">[Section 58 amended by No. 100 of 1985 s. 39; No. 22 of 1990 s. 17; No. 37 of 1993 s. 26 and 28(1); No. 58 of 1994 s. 14; No. 15 of 2002 s. 11.] </w:t>
      </w:r>
    </w:p>
    <w:p>
      <w:pPr>
        <w:pStyle w:val="Heading5"/>
        <w:spacing w:before="120"/>
        <w:rPr>
          <w:snapToGrid w:val="0"/>
        </w:rPr>
      </w:pPr>
      <w:bookmarkStart w:id="374" w:name="_Toc520087939"/>
      <w:bookmarkStart w:id="375" w:name="_Toc523620574"/>
      <w:bookmarkStart w:id="376" w:name="_Toc38853726"/>
      <w:bookmarkStart w:id="377" w:name="_Toc122328474"/>
      <w:r>
        <w:rPr>
          <w:rStyle w:val="CharSectno"/>
        </w:rPr>
        <w:t>59</w:t>
      </w:r>
      <w:r>
        <w:rPr>
          <w:snapToGrid w:val="0"/>
        </w:rPr>
        <w:t>.</w:t>
      </w:r>
      <w:r>
        <w:rPr>
          <w:snapToGrid w:val="0"/>
        </w:rPr>
        <w:tab/>
        <w:t xml:space="preserve">Determination of application for exploration </w:t>
      </w:r>
      <w:bookmarkEnd w:id="374"/>
      <w:r>
        <w:rPr>
          <w:snapToGrid w:val="0"/>
        </w:rPr>
        <w:t>licence</w:t>
      </w:r>
      <w:bookmarkEnd w:id="375"/>
      <w:bookmarkEnd w:id="376"/>
      <w:bookmarkEnd w:id="377"/>
      <w:r>
        <w:rPr>
          <w:snapToGrid w:val="0"/>
        </w:rPr>
        <w:t xml:space="preserve"> </w:t>
      </w:r>
    </w:p>
    <w:p>
      <w:pPr>
        <w:pStyle w:val="Subsection"/>
        <w:spacing w:before="120"/>
        <w:rPr>
          <w:snapToGrid w:val="0"/>
        </w:rPr>
      </w:pPr>
      <w:r>
        <w:rPr>
          <w:snapToGrid w:val="0"/>
        </w:rPr>
        <w:tab/>
        <w:t>(1)</w:t>
      </w:r>
      <w:r>
        <w:rPr>
          <w:snapToGrid w:val="0"/>
        </w:rPr>
        <w:tab/>
        <w:t>A person who wishes to object to the granting of an application for an exploration licence shall lodge at the office of the mining registrar a notice of objection within the prescribed time and in the prescribed manner.</w:t>
      </w:r>
    </w:p>
    <w:p>
      <w:pPr>
        <w:pStyle w:val="Subsection"/>
        <w:spacing w:before="100"/>
        <w:rPr>
          <w:snapToGrid w:val="0"/>
        </w:rPr>
      </w:pPr>
      <w:r>
        <w:rPr>
          <w:snapToGrid w:val="0"/>
        </w:rPr>
        <w:tab/>
        <w:t>(2)</w:t>
      </w:r>
      <w:r>
        <w:rPr>
          <w:snapToGrid w:val="0"/>
        </w:rPr>
        <w:tab/>
        <w:t>Where no notice of objection is lodged within the prescribed time the mining registrar shall, unless subsection (4)(b) applies, forward to the Minister a report which recommends the grant or refusal of the exploration licence and sets out the reasons for that recommendation.</w:t>
      </w:r>
    </w:p>
    <w:p>
      <w:pPr>
        <w:pStyle w:val="Subsection"/>
        <w:spacing w:before="100"/>
        <w:rPr>
          <w:snapToGrid w:val="0"/>
        </w:rPr>
      </w:pPr>
      <w:r>
        <w:rPr>
          <w:snapToGrid w:val="0"/>
        </w:rPr>
        <w:tab/>
        <w:t>(3)</w:t>
      </w:r>
      <w:r>
        <w:rPr>
          <w:snapToGrid w:val="0"/>
        </w:rPr>
        <w:tab/>
        <w:t>The mining registrar shall — </w:t>
      </w:r>
    </w:p>
    <w:p>
      <w:pPr>
        <w:pStyle w:val="Indenta"/>
        <w:spacing w:before="60"/>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spacing w:before="60"/>
        <w:rPr>
          <w:snapToGrid w:val="0"/>
        </w:rPr>
      </w:pPr>
      <w:r>
        <w:rPr>
          <w:snapToGrid w:val="0"/>
        </w:rPr>
        <w:tab/>
        <w:t>(b)</w:t>
      </w:r>
      <w:r>
        <w:rPr>
          <w:snapToGrid w:val="0"/>
        </w:rPr>
        <w:tab/>
        <w:t>recommend the refusal of the exploration licence if not so satisfied.</w:t>
      </w:r>
    </w:p>
    <w:p>
      <w:pPr>
        <w:pStyle w:val="Subsection"/>
        <w:spacing w:before="100"/>
        <w:rPr>
          <w:snapToGrid w:val="0"/>
        </w:rPr>
      </w:pPr>
      <w:r>
        <w:rPr>
          <w:snapToGrid w:val="0"/>
        </w:rPr>
        <w:tab/>
        <w:t>(4)</w:t>
      </w:r>
      <w:r>
        <w:rPr>
          <w:snapToGrid w:val="0"/>
        </w:rPr>
        <w:tab/>
        <w:t>Where a notice of objection — </w:t>
      </w:r>
    </w:p>
    <w:p>
      <w:pPr>
        <w:pStyle w:val="Indenta"/>
        <w:spacing w:before="60"/>
        <w:rPr>
          <w:snapToGrid w:val="0"/>
        </w:rPr>
      </w:pPr>
      <w:r>
        <w:rPr>
          <w:snapToGrid w:val="0"/>
        </w:rPr>
        <w:tab/>
        <w:t>(a)</w:t>
      </w:r>
      <w:r>
        <w:rPr>
          <w:snapToGrid w:val="0"/>
        </w:rPr>
        <w:tab/>
        <w:t>is lodged within the prescribed time; or</w:t>
      </w:r>
    </w:p>
    <w:p>
      <w:pPr>
        <w:pStyle w:val="Indenta"/>
        <w:spacing w:before="60"/>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00"/>
        <w:rPr>
          <w:snapToGrid w:val="0"/>
        </w:rPr>
      </w:pPr>
      <w:r>
        <w:rPr>
          <w:snapToGrid w:val="0"/>
        </w:rPr>
        <w:tab/>
      </w:r>
      <w:r>
        <w:rPr>
          <w:snapToGrid w:val="0"/>
        </w:rPr>
        <w:tab/>
        <w:t>the warden shall hear the application for the exploration licence in open court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grant or refuse the exploration licence as the Minister thinks fit, and irrespective of whether —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pPr>
      <w:r>
        <w:tab/>
        <w:t xml:space="preserve">[Section 59 inserted by No. 58 of 1994 s. 15(1).] </w:t>
      </w:r>
    </w:p>
    <w:p>
      <w:pPr>
        <w:pStyle w:val="Heading5"/>
        <w:rPr>
          <w:snapToGrid w:val="0"/>
        </w:rPr>
      </w:pPr>
      <w:bookmarkStart w:id="378" w:name="_Toc520087940"/>
      <w:bookmarkStart w:id="379" w:name="_Toc523620575"/>
      <w:bookmarkStart w:id="380" w:name="_Toc38853727"/>
      <w:bookmarkStart w:id="381" w:name="_Toc122328475"/>
      <w:r>
        <w:rPr>
          <w:rStyle w:val="CharSectno"/>
        </w:rPr>
        <w:t>60</w:t>
      </w:r>
      <w:r>
        <w:rPr>
          <w:snapToGrid w:val="0"/>
        </w:rPr>
        <w:t>.</w:t>
      </w:r>
      <w:r>
        <w:rPr>
          <w:snapToGrid w:val="0"/>
        </w:rPr>
        <w:tab/>
        <w:t xml:space="preserve">Security relating to exploration </w:t>
      </w:r>
      <w:bookmarkEnd w:id="378"/>
      <w:r>
        <w:rPr>
          <w:snapToGrid w:val="0"/>
        </w:rPr>
        <w:t>licence</w:t>
      </w:r>
      <w:bookmarkEnd w:id="379"/>
      <w:bookmarkEnd w:id="380"/>
      <w:bookmarkEnd w:id="381"/>
      <w:r>
        <w:rPr>
          <w:snapToGrid w:val="0"/>
        </w:rPr>
        <w:t xml:space="preserve"> </w:t>
      </w:r>
    </w:p>
    <w:p>
      <w:pPr>
        <w:pStyle w:val="Subsection"/>
        <w:rPr>
          <w:snapToGrid w:val="0"/>
        </w:rPr>
      </w:pPr>
      <w:r>
        <w:rPr>
          <w:snapToGrid w:val="0"/>
        </w:rPr>
        <w:tab/>
        <w:t>(1)</w:t>
      </w:r>
      <w:r>
        <w:rPr>
          <w:snapToGrid w:val="0"/>
        </w:rPr>
        <w:tab/>
        <w:t>The applicant for an exploration licence shall lodge at the office of the mining registrar within the prescribed period, a security for compliance with the conditions to which the exploration licence, if granted, will from time to time be subject and with the provisions of this Part and the regulations.</w:t>
      </w:r>
    </w:p>
    <w:p>
      <w:pPr>
        <w:pStyle w:val="Subsection"/>
        <w:rPr>
          <w:snapToGrid w:val="0"/>
        </w:rPr>
      </w:pPr>
      <w:r>
        <w:rPr>
          <w:snapToGrid w:val="0"/>
        </w:rPr>
        <w:tab/>
        <w:t>(1a)</w:t>
      </w:r>
      <w:r>
        <w:rPr>
          <w:snapToGrid w:val="0"/>
        </w:rPr>
        <w:tab/>
        <w:t>The Minister may require the holder of an exploration licence to lodge at the office of the mining registrar or the Department at Perth, within such period as the Minister specifies in writing, an additional security for compliance with conditions imposed in relation to the licence under section 63AA.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pPr>
      <w:r>
        <w:tab/>
        <w:t xml:space="preserve">[Section 60 amended by No. 100 of 1985 s. 41; No. 37 of 1993 s. 26; No. 58 of 1994 s. 16; No. 17 of 1999 s. 7(1) and (2).] </w:t>
      </w:r>
    </w:p>
    <w:p>
      <w:pPr>
        <w:pStyle w:val="Heading5"/>
        <w:rPr>
          <w:snapToGrid w:val="0"/>
        </w:rPr>
      </w:pPr>
      <w:bookmarkStart w:id="382" w:name="_Toc520087941"/>
      <w:bookmarkStart w:id="383" w:name="_Toc523620576"/>
      <w:bookmarkStart w:id="384" w:name="_Toc38853728"/>
      <w:bookmarkStart w:id="385" w:name="_Toc122328476"/>
      <w:r>
        <w:rPr>
          <w:rStyle w:val="CharSectno"/>
        </w:rPr>
        <w:t>61</w:t>
      </w:r>
      <w:r>
        <w:rPr>
          <w:snapToGrid w:val="0"/>
        </w:rPr>
        <w:t>.</w:t>
      </w:r>
      <w:r>
        <w:rPr>
          <w:snapToGrid w:val="0"/>
        </w:rPr>
        <w:tab/>
        <w:t xml:space="preserve">Term of exploration </w:t>
      </w:r>
      <w:bookmarkEnd w:id="382"/>
      <w:r>
        <w:rPr>
          <w:snapToGrid w:val="0"/>
        </w:rPr>
        <w:t>licence</w:t>
      </w:r>
      <w:bookmarkEnd w:id="383"/>
      <w:bookmarkEnd w:id="384"/>
      <w:bookmarkEnd w:id="385"/>
      <w:r>
        <w:rPr>
          <w:snapToGrid w:val="0"/>
        </w:rPr>
        <w:t xml:space="preserve"> </w:t>
      </w:r>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keepNext/>
        <w:rPr>
          <w:snapToGrid w:val="0"/>
        </w:rPr>
      </w:pPr>
      <w:r>
        <w:rPr>
          <w:snapToGrid w:val="0"/>
        </w:rPr>
        <w:tab/>
        <w:t>(2)</w:t>
      </w:r>
      <w:r>
        <w:rPr>
          <w:snapToGrid w:val="0"/>
        </w:rPr>
        <w:tab/>
        <w:t>Notwithstanding subsection (1) the Minister may extend the term of an exploration licence — </w:t>
      </w:r>
    </w:p>
    <w:p>
      <w:pPr>
        <w:pStyle w:val="Indenta"/>
        <w:rPr>
          <w:snapToGrid w:val="0"/>
        </w:rPr>
      </w:pPr>
      <w:r>
        <w:rPr>
          <w:snapToGrid w:val="0"/>
        </w:rPr>
        <w:tab/>
        <w:t>(a)</w:t>
      </w:r>
      <w:r>
        <w:rPr>
          <w:snapToGrid w:val="0"/>
        </w:rPr>
        <w:tab/>
        <w:t>in prescribed circumstances by — </w:t>
      </w:r>
    </w:p>
    <w:p>
      <w:pPr>
        <w:pStyle w:val="Indenti"/>
        <w:rPr>
          <w:snapToGrid w:val="0"/>
        </w:rPr>
      </w:pPr>
      <w:r>
        <w:rPr>
          <w:snapToGrid w:val="0"/>
        </w:rPr>
        <w:tab/>
        <w:t>(i)</w:t>
      </w:r>
      <w:r>
        <w:rPr>
          <w:snapToGrid w:val="0"/>
        </w:rPr>
        <w:tab/>
        <w:t>a period of one or 2 years; and</w:t>
      </w:r>
    </w:p>
    <w:p>
      <w:pPr>
        <w:pStyle w:val="Indenti"/>
        <w:rPr>
          <w:snapToGrid w:val="0"/>
        </w:rPr>
      </w:pPr>
      <w:r>
        <w:rPr>
          <w:snapToGrid w:val="0"/>
        </w:rPr>
        <w:tab/>
        <w:t>(ii)</w:t>
      </w:r>
      <w:r>
        <w:rPr>
          <w:snapToGrid w:val="0"/>
        </w:rPr>
        <w:tab/>
        <w:t>one further period of one or 2 years;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exceptional circumstances by a further period or periods of one year,</w:t>
      </w:r>
    </w:p>
    <w:p>
      <w:pPr>
        <w:pStyle w:val="Subsection"/>
        <w:spacing w:before="120"/>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spacing w:before="120"/>
        <w:rPr>
          <w:snapToGrid w:val="0"/>
        </w:rPr>
      </w:pPr>
      <w:r>
        <w:rPr>
          <w:snapToGrid w:val="0"/>
        </w:rPr>
        <w:tab/>
        <w:t>(3)</w:t>
      </w:r>
      <w:r>
        <w:rPr>
          <w:snapToGrid w:val="0"/>
        </w:rPr>
        <w:tab/>
        <w:t>A person making an application for the extension of the term of an exploration licence under subsection (2) shall lodge that application at the office of the mining registrar and where the term of the exploration licence would but for this subsection expire, that licence shall continue in force in respect to the land the subject of the application until the application for the extension of the term is determined.</w:t>
      </w:r>
    </w:p>
    <w:p>
      <w:pPr>
        <w:pStyle w:val="Subsection"/>
        <w:spacing w:before="100"/>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pPr>
      <w:r>
        <w:tab/>
        <w:t xml:space="preserve">[Section 61 amended by No. 122 of 1982 s. 18; No. 12 of 1987 s. 4; No. 37 of 1993 s. 26; No. 58 of 1994 s. 17; No. 17 of 1999 s. 8.] </w:t>
      </w:r>
    </w:p>
    <w:p>
      <w:pPr>
        <w:pStyle w:val="Heading5"/>
        <w:spacing w:before="120"/>
        <w:rPr>
          <w:snapToGrid w:val="0"/>
        </w:rPr>
      </w:pPr>
      <w:bookmarkStart w:id="386" w:name="_Toc520087942"/>
      <w:bookmarkStart w:id="387" w:name="_Toc523620577"/>
      <w:bookmarkStart w:id="388" w:name="_Toc38853729"/>
      <w:bookmarkStart w:id="389" w:name="_Toc122328477"/>
      <w:r>
        <w:rPr>
          <w:rStyle w:val="CharSectno"/>
        </w:rPr>
        <w:t>62</w:t>
      </w:r>
      <w:r>
        <w:rPr>
          <w:snapToGrid w:val="0"/>
        </w:rPr>
        <w:t>.</w:t>
      </w:r>
      <w:r>
        <w:rPr>
          <w:snapToGrid w:val="0"/>
        </w:rPr>
        <w:tab/>
        <w:t>Expenditure conditions</w:t>
      </w:r>
      <w:bookmarkEnd w:id="386"/>
      <w:bookmarkEnd w:id="387"/>
      <w:bookmarkEnd w:id="388"/>
      <w:bookmarkEnd w:id="389"/>
      <w:r>
        <w:rPr>
          <w:snapToGrid w:val="0"/>
        </w:rPr>
        <w:t xml:space="preserve"> </w:t>
      </w:r>
    </w:p>
    <w:p>
      <w:pPr>
        <w:pStyle w:val="Subsection"/>
        <w:spacing w:before="100"/>
        <w:rPr>
          <w:snapToGrid w:val="0"/>
        </w:rPr>
      </w:pPr>
      <w:r>
        <w:rPr>
          <w:snapToGrid w:val="0"/>
        </w:rPr>
        <w:tab/>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Heading5"/>
        <w:spacing w:before="120"/>
        <w:rPr>
          <w:snapToGrid w:val="0"/>
        </w:rPr>
      </w:pPr>
      <w:bookmarkStart w:id="390" w:name="_Toc520087943"/>
      <w:bookmarkStart w:id="391" w:name="_Toc523620578"/>
      <w:bookmarkStart w:id="392" w:name="_Toc38853730"/>
      <w:bookmarkStart w:id="393" w:name="_Toc122328478"/>
      <w:r>
        <w:rPr>
          <w:rStyle w:val="CharSectno"/>
        </w:rPr>
        <w:t>63</w:t>
      </w:r>
      <w:r>
        <w:rPr>
          <w:snapToGrid w:val="0"/>
        </w:rPr>
        <w:t>.</w:t>
      </w:r>
      <w:r>
        <w:rPr>
          <w:snapToGrid w:val="0"/>
        </w:rPr>
        <w:tab/>
        <w:t xml:space="preserve">Condition attached to exploration </w:t>
      </w:r>
      <w:bookmarkEnd w:id="390"/>
      <w:r>
        <w:rPr>
          <w:snapToGrid w:val="0"/>
        </w:rPr>
        <w:t>licence</w:t>
      </w:r>
      <w:bookmarkEnd w:id="391"/>
      <w:bookmarkEnd w:id="392"/>
      <w:bookmarkEnd w:id="393"/>
      <w:r>
        <w:rPr>
          <w:snapToGrid w:val="0"/>
        </w:rPr>
        <w:t xml:space="preserve"> </w:t>
      </w:r>
    </w:p>
    <w:p>
      <w:pPr>
        <w:pStyle w:val="Subsection"/>
        <w:spacing w:before="100"/>
        <w:rPr>
          <w:snapToGrid w:val="0"/>
        </w:rPr>
      </w:pPr>
      <w:r>
        <w:rPr>
          <w:snapToGrid w:val="0"/>
        </w:rPr>
        <w:tab/>
      </w:r>
      <w:r>
        <w:rPr>
          <w:snapToGrid w:val="0"/>
        </w:rPr>
        <w:tab/>
        <w:t>Every exploration licence shall be deemed to be granted subject to the condition that the holder thereof will explore for minerals and — </w:t>
      </w:r>
    </w:p>
    <w:p>
      <w:pPr>
        <w:pStyle w:val="Indenta"/>
        <w:spacing w:before="60"/>
        <w:rPr>
          <w:snapToGrid w:val="0"/>
        </w:rPr>
      </w:pPr>
      <w:r>
        <w:rPr>
          <w:snapToGrid w:val="0"/>
        </w:rPr>
        <w:tab/>
        <w:t>(a)</w:t>
      </w:r>
      <w:r>
        <w:rPr>
          <w:snapToGrid w:val="0"/>
        </w:rPr>
        <w:tab/>
        <w:t>will promptly report in writing to the Minister all minerals of economic interest discovered in, on or under the land the subject of the exploration licence;</w:t>
      </w:r>
    </w:p>
    <w:p>
      <w:pPr>
        <w:pStyle w:val="Indenta"/>
        <w:spacing w:before="60"/>
        <w:rPr>
          <w:snapToGrid w:val="0"/>
        </w:rPr>
      </w:pPr>
      <w:r>
        <w:rPr>
          <w:snapToGrid w:val="0"/>
        </w:rPr>
        <w:tab/>
        <w:t>(b)</w:t>
      </w:r>
      <w:r>
        <w:rPr>
          <w:snapToGrid w:val="0"/>
        </w:rPr>
        <w:tab/>
        <w:t xml:space="preserve">will fill in or otherwise make safe to the satisfaction of the State Mining Engineer </w:t>
      </w:r>
      <w:r>
        <w:rPr>
          <w:snapToGrid w:val="0"/>
          <w:vertAlign w:val="superscript"/>
        </w:rPr>
        <w:t>5</w:t>
      </w:r>
      <w:r>
        <w:rPr>
          <w:snapToGrid w:val="0"/>
        </w:rPr>
        <w:t xml:space="preserve"> all holes, pits, trenches and other disturbances to the surface of the land the subject of the exploration licence which are —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 xml:space="preserve">in the opinion of the State Mining Engineer </w:t>
      </w:r>
      <w:r>
        <w:rPr>
          <w:snapToGrid w:val="0"/>
          <w:vertAlign w:val="superscript"/>
        </w:rPr>
        <w:t>5</w:t>
      </w:r>
      <w:r>
        <w:rPr>
          <w:snapToGrid w:val="0"/>
        </w:rPr>
        <w:t>, likely to endanger the safety of any person or animal;</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 xml:space="preserve">[Section 63 amended by No. 69 of 1981 s. 18; No. 100 of 1985 s. 42.] </w:t>
      </w:r>
    </w:p>
    <w:p>
      <w:pPr>
        <w:pStyle w:val="Heading5"/>
        <w:rPr>
          <w:snapToGrid w:val="0"/>
        </w:rPr>
      </w:pPr>
      <w:bookmarkStart w:id="394" w:name="_Toc520087944"/>
      <w:bookmarkStart w:id="395" w:name="_Toc523620579"/>
      <w:bookmarkStart w:id="396" w:name="_Toc38853731"/>
      <w:bookmarkStart w:id="397" w:name="_Toc122328479"/>
      <w:r>
        <w:rPr>
          <w:rStyle w:val="CharSectno"/>
        </w:rPr>
        <w:t>63AA</w:t>
      </w:r>
      <w:r>
        <w:rPr>
          <w:snapToGrid w:val="0"/>
        </w:rPr>
        <w:t>.</w:t>
      </w:r>
      <w:r>
        <w:rPr>
          <w:snapToGrid w:val="0"/>
        </w:rPr>
        <w:tab/>
        <w:t>Conditions for prevention or reduction of injury to land</w:t>
      </w:r>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 xml:space="preserve">[Section 63AA inserted by No. 22 of 1990 s. 18.] </w:t>
      </w:r>
    </w:p>
    <w:p>
      <w:pPr>
        <w:pStyle w:val="Heading5"/>
        <w:rPr>
          <w:snapToGrid w:val="0"/>
        </w:rPr>
      </w:pPr>
      <w:bookmarkStart w:id="398" w:name="_Toc520087945"/>
      <w:bookmarkStart w:id="399" w:name="_Toc523620580"/>
      <w:bookmarkStart w:id="400" w:name="_Toc38853732"/>
      <w:bookmarkStart w:id="401" w:name="_Toc122328480"/>
      <w:r>
        <w:rPr>
          <w:rStyle w:val="CharSectno"/>
        </w:rPr>
        <w:t>63A</w:t>
      </w:r>
      <w:r>
        <w:rPr>
          <w:snapToGrid w:val="0"/>
        </w:rPr>
        <w:t>.</w:t>
      </w:r>
      <w:r>
        <w:rPr>
          <w:snapToGrid w:val="0"/>
        </w:rPr>
        <w:tab/>
        <w:t>When exploration licence liable to forfeiture</w:t>
      </w:r>
      <w:bookmarkEnd w:id="398"/>
      <w:bookmarkEnd w:id="399"/>
      <w:bookmarkEnd w:id="400"/>
      <w:bookmarkEnd w:id="401"/>
      <w:r>
        <w:rPr>
          <w:snapToGrid w:val="0"/>
        </w:rPr>
        <w:t xml:space="preserve"> </w:t>
      </w:r>
    </w:p>
    <w:p>
      <w:pPr>
        <w:pStyle w:val="Subsection"/>
        <w:rPr>
          <w:snapToGrid w:val="0"/>
        </w:rPr>
      </w:pPr>
      <w:r>
        <w:rPr>
          <w:snapToGrid w:val="0"/>
        </w:rPr>
        <w:tab/>
      </w:r>
      <w:r>
        <w:rPr>
          <w:snapToGrid w:val="0"/>
        </w:rPr>
        <w:tab/>
        <w:t>An exploration licence is liable to forfeiture if —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(aa)</w:t>
      </w:r>
      <w:r>
        <w:rPr>
          <w:snapToGrid w:val="0"/>
        </w:rPr>
        <w:tab/>
        <w:t>any requirement under section 60(1a) in relation to the exploration licence is not complied with;</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 xml:space="preserve">[Section 63A inserted by No. 69 of 1981 s. 19; amended by No. 100 of 1985 s. 43; No. 58 of 1994 s. 18; No. 17 of 1999 s. 7(3).] </w:t>
      </w:r>
    </w:p>
    <w:p>
      <w:pPr>
        <w:pStyle w:val="Heading5"/>
        <w:rPr>
          <w:snapToGrid w:val="0"/>
        </w:rPr>
      </w:pPr>
      <w:bookmarkStart w:id="402" w:name="_Toc520087946"/>
      <w:bookmarkStart w:id="403" w:name="_Toc523620581"/>
      <w:bookmarkStart w:id="404" w:name="_Toc38853733"/>
      <w:bookmarkStart w:id="405" w:name="_Toc122328481"/>
      <w:r>
        <w:rPr>
          <w:rStyle w:val="CharSectno"/>
        </w:rPr>
        <w:t>64</w:t>
      </w:r>
      <w:r>
        <w:rPr>
          <w:snapToGrid w:val="0"/>
        </w:rPr>
        <w:t>.</w:t>
      </w:r>
      <w:r>
        <w:rPr>
          <w:snapToGrid w:val="0"/>
        </w:rPr>
        <w:tab/>
        <w:t xml:space="preserve">Consent to dealing in exploration </w:t>
      </w:r>
      <w:bookmarkEnd w:id="402"/>
      <w:r>
        <w:rPr>
          <w:snapToGrid w:val="0"/>
        </w:rPr>
        <w:t>licence</w:t>
      </w:r>
      <w:bookmarkEnd w:id="403"/>
      <w:bookmarkEnd w:id="404"/>
      <w:bookmarkEnd w:id="405"/>
      <w:r>
        <w:rPr>
          <w:snapToGrid w:val="0"/>
        </w:rPr>
        <w:t xml:space="preserve"> </w:t>
      </w:r>
    </w:p>
    <w:p>
      <w:pPr>
        <w:pStyle w:val="Subsection"/>
        <w:rPr>
          <w:snapToGrid w:val="0"/>
        </w:rPr>
      </w:pPr>
      <w:r>
        <w:rPr>
          <w:snapToGrid w:val="0"/>
        </w:rPr>
        <w:tab/>
        <w:t>(1)</w:t>
      </w:r>
      <w:r>
        <w:rPr>
          <w:snapToGrid w:val="0"/>
        </w:rPr>
        <w:tab/>
        <w:t>During the first year of the term for which an exploration licence is granted, a legal or equitable interest in or affecting an exploration licence shall not be transferred or otherwise dealt with, whether directly or indirectly, unless — </w:t>
      </w:r>
    </w:p>
    <w:p>
      <w:pPr>
        <w:pStyle w:val="Indenta"/>
        <w:rPr>
          <w:snapToGrid w:val="0"/>
        </w:rPr>
      </w:pPr>
      <w:r>
        <w:rPr>
          <w:snapToGrid w:val="0"/>
        </w:rPr>
        <w:tab/>
        <w:t>(a)</w:t>
      </w:r>
      <w:r>
        <w:rPr>
          <w:snapToGrid w:val="0"/>
        </w:rPr>
        <w:tab/>
        <w:t>the dealing arises in the due administration of the estate or affairs of a holder — </w:t>
      </w:r>
    </w:p>
    <w:p>
      <w:pPr>
        <w:pStyle w:val="Indenti"/>
        <w:rPr>
          <w:snapToGrid w:val="0"/>
        </w:rPr>
      </w:pPr>
      <w:r>
        <w:rPr>
          <w:snapToGrid w:val="0"/>
        </w:rPr>
        <w:tab/>
        <w:t>(i)</w:t>
      </w:r>
      <w:r>
        <w:rPr>
          <w:snapToGrid w:val="0"/>
        </w:rPr>
        <w:tab/>
        <w:t>who is dead;</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is given by the Minister or an officer of the Department acting with the authority of the Minister.</w:t>
      </w:r>
    </w:p>
    <w:p>
      <w:pPr>
        <w:pStyle w:val="Subsection"/>
        <w:rPr>
          <w:snapToGrid w:val="0"/>
        </w:rPr>
      </w:pPr>
      <w:r>
        <w:rPr>
          <w:snapToGrid w:val="0"/>
        </w:rPr>
        <w:tab/>
        <w:t>(2)</w:t>
      </w:r>
      <w:r>
        <w:rPr>
          <w:snapToGrid w:val="0"/>
        </w:rPr>
        <w:tab/>
        <w:t>Nothing in subsection (1) prevents, or affects the validity of, any agreement made in contemplation of a dealing to which that subsection applies where the agreement expressly provides that the consent required by that subsection is to be obtained as a condition of the dealing.</w:t>
      </w:r>
    </w:p>
    <w:p>
      <w:pPr>
        <w:pStyle w:val="Footnotesection"/>
      </w:pPr>
      <w:r>
        <w:tab/>
        <w:t xml:space="preserve">[Section 64 inserted by No. 100 of 1985 s. 44; amended by No. 37 of 1993 s. 27; No. 10 of 2001 s. 132.] </w:t>
      </w:r>
    </w:p>
    <w:p>
      <w:pPr>
        <w:pStyle w:val="Heading5"/>
        <w:rPr>
          <w:snapToGrid w:val="0"/>
        </w:rPr>
      </w:pPr>
      <w:bookmarkStart w:id="406" w:name="_Toc520087947"/>
      <w:bookmarkStart w:id="407" w:name="_Toc523620582"/>
      <w:bookmarkStart w:id="408" w:name="_Toc38853734"/>
      <w:bookmarkStart w:id="409" w:name="_Toc122328482"/>
      <w:r>
        <w:rPr>
          <w:rStyle w:val="CharSectno"/>
        </w:rPr>
        <w:t>65</w:t>
      </w:r>
      <w:r>
        <w:rPr>
          <w:snapToGrid w:val="0"/>
        </w:rPr>
        <w:t>.</w:t>
      </w:r>
      <w:r>
        <w:rPr>
          <w:snapToGrid w:val="0"/>
        </w:rPr>
        <w:tab/>
        <w:t xml:space="preserve">Surrender of certain areas subject to the exploration </w:t>
      </w:r>
      <w:bookmarkEnd w:id="406"/>
      <w:r>
        <w:rPr>
          <w:snapToGrid w:val="0"/>
        </w:rPr>
        <w:t>licence</w:t>
      </w:r>
      <w:bookmarkEnd w:id="407"/>
      <w:bookmarkEnd w:id="408"/>
      <w:bookmarkEnd w:id="409"/>
      <w:r>
        <w:rPr>
          <w:snapToGrid w:val="0"/>
        </w:rPr>
        <w:t xml:space="preserve"> </w:t>
      </w:r>
    </w:p>
    <w:p>
      <w:pPr>
        <w:pStyle w:val="Subsection"/>
        <w:rPr>
          <w:snapToGrid w:val="0"/>
        </w:rPr>
      </w:pPr>
      <w:r>
        <w:rPr>
          <w:snapToGrid w:val="0"/>
        </w:rPr>
        <w:tab/>
        <w:t>(1)</w:t>
      </w:r>
      <w:r>
        <w:rPr>
          <w:snapToGrid w:val="0"/>
        </w:rPr>
        <w:tab/>
        <w:t>Subject to this section, the holder of an exploration licence shall at the expiration of — </w:t>
      </w:r>
    </w:p>
    <w:p>
      <w:pPr>
        <w:pStyle w:val="Indenta"/>
        <w:rPr>
          <w:snapToGrid w:val="0"/>
        </w:rPr>
      </w:pPr>
      <w:r>
        <w:rPr>
          <w:snapToGrid w:val="0"/>
        </w:rPr>
        <w:tab/>
        <w:t>(a)</w:t>
      </w:r>
      <w:r>
        <w:rPr>
          <w:snapToGrid w:val="0"/>
        </w:rPr>
        <w:tab/>
        <w:t>the third year of the term for which the licence was granted, surrender not less than half the number of the blocks that are subject to the licence;</w:t>
      </w:r>
    </w:p>
    <w:p>
      <w:pPr>
        <w:pStyle w:val="Indenta"/>
        <w:rPr>
          <w:snapToGrid w:val="0"/>
        </w:rPr>
      </w:pPr>
      <w:r>
        <w:rPr>
          <w:snapToGrid w:val="0"/>
        </w:rPr>
        <w:tab/>
        <w:t>(b)</w:t>
      </w:r>
      <w:r>
        <w:rPr>
          <w:snapToGrid w:val="0"/>
        </w:rPr>
        <w:tab/>
        <w:t>the fourth year of the term for which the licence was granted, surrender not less than half the number of the blocks that are then subject to the licence,</w:t>
      </w:r>
    </w:p>
    <w:p>
      <w:pPr>
        <w:pStyle w:val="Subsection"/>
        <w:rPr>
          <w:snapToGrid w:val="0"/>
        </w:rPr>
      </w:pPr>
      <w:r>
        <w:rPr>
          <w:snapToGrid w:val="0"/>
        </w:rPr>
        <w:tab/>
      </w:r>
      <w:r>
        <w:rPr>
          <w:snapToGrid w:val="0"/>
        </w:rPr>
        <w:tab/>
        <w:t>but so that after each surrender the graticular sections that constitute the blocks that remain subject to the exploration licence form not more than 3 discrete areas each consisting of — </w:t>
      </w:r>
    </w:p>
    <w:p>
      <w:pPr>
        <w:pStyle w:val="Indenta"/>
        <w:rPr>
          <w:snapToGrid w:val="0"/>
        </w:rPr>
      </w:pPr>
      <w:r>
        <w:rPr>
          <w:snapToGrid w:val="0"/>
        </w:rPr>
        <w:tab/>
        <w:t>(c)</w:t>
      </w:r>
      <w:r>
        <w:rPr>
          <w:snapToGrid w:val="0"/>
        </w:rPr>
        <w:tab/>
        <w:t>a single graticular section; or</w:t>
      </w:r>
    </w:p>
    <w:p>
      <w:pPr>
        <w:pStyle w:val="Indenta"/>
        <w:rPr>
          <w:snapToGrid w:val="0"/>
        </w:rPr>
      </w:pPr>
      <w:r>
        <w:rPr>
          <w:snapToGrid w:val="0"/>
        </w:rPr>
        <w:tab/>
        <w:t>(d)</w:t>
      </w:r>
      <w:r>
        <w:rPr>
          <w:snapToGrid w:val="0"/>
        </w:rPr>
        <w:tab/>
        <w:t>a number of graticular sections each having a side in common with at least one other graticular section in that area.</w:t>
      </w:r>
    </w:p>
    <w:p>
      <w:pPr>
        <w:pStyle w:val="Subsection"/>
        <w:rPr>
          <w:snapToGrid w:val="0"/>
        </w:rPr>
      </w:pPr>
      <w:r>
        <w:rPr>
          <w:snapToGrid w:val="0"/>
        </w:rPr>
        <w:tab/>
        <w:t>(1a)</w:t>
      </w:r>
      <w:r>
        <w:rPr>
          <w:snapToGrid w:val="0"/>
        </w:rPr>
        <w:tab/>
        <w:t>Where, at least one month before the end of that year of the term when the land to which the application relates is by this section required to be surrendered, or within such shorter period as the Minister may allow, the holder of an exploration licence — </w:t>
      </w:r>
    </w:p>
    <w:p>
      <w:pPr>
        <w:pStyle w:val="Indenta"/>
        <w:rPr>
          <w:snapToGrid w:val="0"/>
        </w:rPr>
      </w:pPr>
      <w:r>
        <w:rPr>
          <w:snapToGrid w:val="0"/>
        </w:rPr>
        <w:tab/>
        <w:t>(a)</w:t>
      </w:r>
      <w:r>
        <w:rPr>
          <w:snapToGrid w:val="0"/>
        </w:rPr>
        <w:tab/>
        <w:t>who is a person authorised by the Minister under section 111 to explore for iron on that land; or</w:t>
      </w:r>
    </w:p>
    <w:p>
      <w:pPr>
        <w:pStyle w:val="Indenta"/>
        <w:rPr>
          <w:snapToGrid w:val="0"/>
        </w:rPr>
      </w:pPr>
      <w:r>
        <w:rPr>
          <w:snapToGrid w:val="0"/>
        </w:rPr>
        <w:tab/>
        <w:t>(b)</w:t>
      </w:r>
      <w:r>
        <w:rPr>
          <w:snapToGrid w:val="0"/>
        </w:rPr>
        <w:tab/>
        <w:t>who satisfies the Minister that by reason of difficulties or delays — </w:t>
      </w:r>
    </w:p>
    <w:p>
      <w:pPr>
        <w:pStyle w:val="Indenti"/>
        <w:rPr>
          <w:snapToGrid w:val="0"/>
        </w:rPr>
      </w:pPr>
      <w:r>
        <w:rPr>
          <w:snapToGrid w:val="0"/>
        </w:rPr>
        <w:tab/>
        <w:t>(i)</w:t>
      </w:r>
      <w:r>
        <w:rPr>
          <w:snapToGrid w:val="0"/>
        </w:rPr>
        <w:tab/>
        <w:t>occasioned by law;</w:t>
      </w:r>
    </w:p>
    <w:p>
      <w:pPr>
        <w:pStyle w:val="Indenti"/>
        <w:rPr>
          <w:snapToGrid w:val="0"/>
        </w:rPr>
      </w:pPr>
      <w:r>
        <w:rPr>
          <w:snapToGrid w:val="0"/>
        </w:rPr>
        <w:tab/>
        <w:t>(ii)</w:t>
      </w:r>
      <w:r>
        <w:rPr>
          <w:snapToGrid w:val="0"/>
        </w:rPr>
        <w:tab/>
        <w:t>arising from administrative, political, environmental or other requirements of governmental or other authorities, in the State or elsewhere; or</w:t>
      </w:r>
    </w:p>
    <w:p>
      <w:pPr>
        <w:pStyle w:val="Indenti"/>
        <w:rPr>
          <w:snapToGrid w:val="0"/>
        </w:rPr>
      </w:pPr>
      <w:r>
        <w:rPr>
          <w:snapToGrid w:val="0"/>
        </w:rPr>
        <w:tab/>
        <w:t>(iii)</w:t>
      </w:r>
      <w:r>
        <w:rPr>
          <w:snapToGrid w:val="0"/>
        </w:rPr>
        <w:tab/>
        <w:t>in obtaining requisite consents or approvals for exploration or for the marking out of a mining lease or general purpose lease in relation to any part of the land,</w:t>
      </w:r>
    </w:p>
    <w:p>
      <w:pPr>
        <w:pStyle w:val="Indenta"/>
        <w:rPr>
          <w:snapToGrid w:val="0"/>
        </w:rPr>
      </w:pPr>
      <w:r>
        <w:rPr>
          <w:snapToGrid w:val="0"/>
        </w:rPr>
        <w:tab/>
      </w:r>
      <w:r>
        <w:rPr>
          <w:snapToGrid w:val="0"/>
        </w:rPr>
        <w:tab/>
        <w:t>his exploration programme, or the marking out and application appropriate to a mining lease or general purpose lease in relation to the land, could not be undertaken or completed or is restricted in a manner that is, or is subject to conditions that are, for the time being impracticable,</w:t>
      </w:r>
    </w:p>
    <w:p>
      <w:pPr>
        <w:pStyle w:val="Subsection"/>
        <w:rPr>
          <w:snapToGrid w:val="0"/>
        </w:rPr>
      </w:pPr>
      <w:r>
        <w:rPr>
          <w:snapToGrid w:val="0"/>
        </w:rPr>
        <w:tab/>
      </w:r>
      <w:r>
        <w:rPr>
          <w:snapToGrid w:val="0"/>
        </w:rPr>
        <w:tab/>
        <w:t>applies in writing to the Minister for relief from the obligation to surrender land the Minister may exempt that holder from the requirements of this section, either wholly or in part, on such terms or conditions as he thinks fit.</w:t>
      </w:r>
    </w:p>
    <w:p>
      <w:pPr>
        <w:pStyle w:val="Subsection"/>
        <w:rPr>
          <w:snapToGrid w:val="0"/>
        </w:rPr>
      </w:pPr>
      <w:r>
        <w:rPr>
          <w:snapToGrid w:val="0"/>
        </w:rPr>
        <w:tab/>
        <w:t>(1b)</w:t>
      </w:r>
      <w:r>
        <w:rPr>
          <w:snapToGrid w:val="0"/>
        </w:rPr>
        <w:tab/>
        <w:t>Where any application is made under subsection (1a), the requirements of subsection (1) as to surrender shall in respect to the land the subject of the application be deferred until the application is determined, but in so far as in respect to any land to which the application relates no exemption is granted those requirements shall have effect in relation to the land to which an exemption does not apply as though the year of the term for which the licence was granted expired on a date 2 months after the date on which the notification of the determination of the application was given by the Minister to the holder.</w:t>
      </w:r>
    </w:p>
    <w:p>
      <w:pPr>
        <w:pStyle w:val="Subsection"/>
        <w:rPr>
          <w:snapToGrid w:val="0"/>
        </w:rPr>
      </w:pPr>
      <w:r>
        <w:rPr>
          <w:snapToGrid w:val="0"/>
        </w:rPr>
        <w:tab/>
        <w:t>(1ba)</w:t>
      </w:r>
      <w:r>
        <w:rPr>
          <w:snapToGrid w:val="0"/>
        </w:rPr>
        <w:tab/>
        <w:t>Notification referred to in subsection (1b) shall be given by the Minister by certified mail, and the date on which the notification is given shall be taken to be the date on which the notification is posted.</w:t>
      </w:r>
    </w:p>
    <w:p>
      <w:pPr>
        <w:pStyle w:val="Subsection"/>
        <w:rPr>
          <w:snapToGrid w:val="0"/>
        </w:rPr>
      </w:pPr>
      <w:r>
        <w:rPr>
          <w:snapToGrid w:val="0"/>
        </w:rPr>
        <w:tab/>
        <w:t>(1c)</w:t>
      </w:r>
      <w:r>
        <w:rPr>
          <w:snapToGrid w:val="0"/>
          <w:sz w:val="20"/>
        </w:rPr>
        <w:tab/>
      </w:r>
      <w:r>
        <w:rPr>
          <w:snapToGrid w:val="0"/>
        </w:rPr>
        <w:t>A surrender under this section — </w:t>
      </w:r>
    </w:p>
    <w:p>
      <w:pPr>
        <w:pStyle w:val="Indenta"/>
        <w:rPr>
          <w:snapToGrid w:val="0"/>
        </w:rPr>
      </w:pPr>
      <w:r>
        <w:rPr>
          <w:snapToGrid w:val="0"/>
        </w:rPr>
        <w:tab/>
        <w:t>(a)</w:t>
      </w:r>
      <w:r>
        <w:rPr>
          <w:snapToGrid w:val="0"/>
        </w:rPr>
        <w:tab/>
        <w:t>shall be made in the prescribed manner;</w:t>
      </w:r>
    </w:p>
    <w:p>
      <w:pPr>
        <w:pStyle w:val="Indenta"/>
        <w:rPr>
          <w:snapToGrid w:val="0"/>
        </w:rPr>
      </w:pPr>
      <w:r>
        <w:rPr>
          <w:snapToGrid w:val="0"/>
        </w:rPr>
        <w:tab/>
        <w:t>(b)</w:t>
      </w:r>
      <w:r>
        <w:rPr>
          <w:snapToGrid w:val="0"/>
        </w:rPr>
        <w:tab/>
        <w:t>shall be lodged at the principal office of the Department at Perth on or before the last day of the third or fourth year, as the case requires, of the term for which it is lodged;</w:t>
      </w:r>
    </w:p>
    <w:p>
      <w:pPr>
        <w:pStyle w:val="Indenta"/>
        <w:rPr>
          <w:snapToGrid w:val="0"/>
        </w:rPr>
      </w:pPr>
      <w:r>
        <w:rPr>
          <w:snapToGrid w:val="0"/>
        </w:rPr>
        <w:tab/>
        <w:t>(c)</w:t>
      </w:r>
      <w:r>
        <w:rPr>
          <w:snapToGrid w:val="0"/>
        </w:rPr>
        <w:tab/>
        <w:t>subject to subsection (1b), takes effect on the expiration of the last day of the third or fourth year, as the case requires, of the term; and</w:t>
      </w:r>
    </w:p>
    <w:p>
      <w:pPr>
        <w:pStyle w:val="Indenta"/>
        <w:rPr>
          <w:snapToGrid w:val="0"/>
        </w:rPr>
      </w:pPr>
      <w:r>
        <w:rPr>
          <w:snapToGrid w:val="0"/>
        </w:rPr>
        <w:tab/>
        <w:t>(d)</w:t>
      </w:r>
      <w:r>
        <w:rPr>
          <w:snapToGrid w:val="0"/>
        </w:rPr>
        <w:tab/>
        <w:t>if the number of blocks in an exploration licence is an uneven number, the number of blocks to be surrendered is the number ascertained in accordance with the following formula — </w:t>
      </w:r>
    </w:p>
    <w:p>
      <w:pPr>
        <w:pStyle w:val="Equation"/>
        <w:ind w:left="1701"/>
      </w:pPr>
      <w:r>
        <w:rPr>
          <w:position w:val="-24"/>
        </w:rPr>
        <w:object w:dxaOrig="176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7.75pt;height:31.5pt" o:ole="" fillcolor="window">
            <v:imagedata r:id="rId20" o:title=""/>
          </v:shape>
          <o:OLEObject Type="Embed" ProgID="Equation.3" ShapeID="_x0000_i1025" DrawAspect="Content" ObjectID="_1643569592" r:id="rId21"/>
        </w:object>
      </w:r>
    </w:p>
    <w:p>
      <w:pPr>
        <w:pStyle w:val="MiscellaneousBody"/>
        <w:tabs>
          <w:tab w:val="left" w:pos="2410"/>
          <w:tab w:val="left" w:pos="2694"/>
        </w:tabs>
        <w:spacing w:before="120"/>
        <w:ind w:left="2744" w:hanging="1134"/>
        <w:rPr>
          <w:snapToGrid w:val="0"/>
        </w:rPr>
      </w:pPr>
      <w:r>
        <w:rPr>
          <w:snapToGrid w:val="0"/>
        </w:rPr>
        <w:t>Where</w:t>
      </w:r>
      <w:r>
        <w:rPr>
          <w:snapToGrid w:val="0"/>
        </w:rPr>
        <w:tab/>
        <w:t>S</w:t>
      </w:r>
      <w:r>
        <w:rPr>
          <w:snapToGrid w:val="0"/>
        </w:rPr>
        <w:tab/>
        <w:t>means the number of blocks to be surrendered; and</w:t>
      </w:r>
    </w:p>
    <w:p>
      <w:pPr>
        <w:pStyle w:val="MiscellaneousBody"/>
        <w:tabs>
          <w:tab w:val="left" w:pos="2410"/>
          <w:tab w:val="left" w:pos="2694"/>
        </w:tabs>
        <w:spacing w:before="120"/>
        <w:ind w:left="2744" w:hanging="1134"/>
        <w:rPr>
          <w:snapToGrid w:val="0"/>
        </w:rPr>
      </w:pPr>
      <w:r>
        <w:rPr>
          <w:snapToGrid w:val="0"/>
        </w:rPr>
        <w:tab/>
        <w:t>N</w:t>
      </w:r>
      <w:r>
        <w:rPr>
          <w:snapToGrid w:val="0"/>
        </w:rPr>
        <w:tab/>
        <w:t>means the total number of blocks in the licence.</w:t>
      </w:r>
    </w:p>
    <w:p>
      <w:pPr>
        <w:pStyle w:val="Subsection"/>
        <w:keepNext/>
        <w:rPr>
          <w:snapToGrid w:val="0"/>
        </w:rPr>
      </w:pPr>
      <w:r>
        <w:rPr>
          <w:snapToGrid w:val="0"/>
        </w:rPr>
        <w:tab/>
        <w:t>(2)</w:t>
      </w:r>
      <w:r>
        <w:rPr>
          <w:snapToGrid w:val="0"/>
        </w:rPr>
        <w:tab/>
        <w:t>For the purposes of subsection (1) — </w:t>
      </w:r>
    </w:p>
    <w:p>
      <w:pPr>
        <w:pStyle w:val="Indenta"/>
        <w:rPr>
          <w:snapToGrid w:val="0"/>
        </w:rPr>
      </w:pPr>
      <w:r>
        <w:rPr>
          <w:snapToGrid w:val="0"/>
        </w:rPr>
        <w:tab/>
        <w:t>(a)</w:t>
      </w:r>
      <w:r>
        <w:rPr>
          <w:snapToGrid w:val="0"/>
        </w:rPr>
        <w:tab/>
        <w:t>if, during the first 3 years of the term for which an exploration licence was granted, the holder — </w:t>
      </w:r>
    </w:p>
    <w:p>
      <w:pPr>
        <w:pStyle w:val="Indenti"/>
        <w:rPr>
          <w:snapToGrid w:val="0"/>
        </w:rPr>
      </w:pPr>
      <w:r>
        <w:rPr>
          <w:snapToGrid w:val="0"/>
        </w:rPr>
        <w:tab/>
        <w:t>(i)</w:t>
      </w:r>
      <w:r>
        <w:rPr>
          <w:snapToGrid w:val="0"/>
        </w:rPr>
        <w:tab/>
        <w:t>is granted a mining lease or general purpose lease of land then the subject of the exploration licence; or</w:t>
      </w:r>
    </w:p>
    <w:p>
      <w:pPr>
        <w:pStyle w:val="Indenti"/>
        <w:rPr>
          <w:snapToGrid w:val="0"/>
        </w:rPr>
      </w:pPr>
      <w:r>
        <w:rPr>
          <w:snapToGrid w:val="0"/>
        </w:rPr>
        <w:tab/>
        <w:t>(ii)</w:t>
      </w:r>
      <w:r>
        <w:rPr>
          <w:snapToGrid w:val="0"/>
        </w:rPr>
        <w:tab/>
        <w:t>surrenders a part of the area then the subject of the exploration licence,</w:t>
      </w:r>
    </w:p>
    <w:p>
      <w:pPr>
        <w:pStyle w:val="Indenta"/>
        <w:rPr>
          <w:snapToGrid w:val="0"/>
        </w:rPr>
      </w:pPr>
      <w:r>
        <w:rPr>
          <w:snapToGrid w:val="0"/>
        </w:rPr>
        <w:tab/>
      </w:r>
      <w:r>
        <w:rPr>
          <w:snapToGrid w:val="0"/>
        </w:rPr>
        <w:tab/>
        <w:t>in calculating the area of land that is required to be surrendered under paragraph (a) of that subsection an area to which subparagraph (i) or (ii) of this subsection applies shall, at the expiration of the third year of the term, be taken into account as though it were an area then surrendered in satisfaction of that requirement; and</w:t>
      </w:r>
    </w:p>
    <w:p>
      <w:pPr>
        <w:pStyle w:val="Indenta"/>
        <w:keepNext/>
        <w:rPr>
          <w:snapToGrid w:val="0"/>
        </w:rPr>
      </w:pPr>
      <w:r>
        <w:rPr>
          <w:snapToGrid w:val="0"/>
        </w:rPr>
        <w:tab/>
        <w:t>(b)</w:t>
      </w:r>
      <w:r>
        <w:rPr>
          <w:snapToGrid w:val="0"/>
        </w:rPr>
        <w:tab/>
        <w:t>if, during the fourth year of the term for which an exploration licence is granted, the holder — </w:t>
      </w:r>
    </w:p>
    <w:p>
      <w:pPr>
        <w:pStyle w:val="Indenti"/>
        <w:rPr>
          <w:snapToGrid w:val="0"/>
        </w:rPr>
      </w:pPr>
      <w:r>
        <w:rPr>
          <w:snapToGrid w:val="0"/>
        </w:rPr>
        <w:tab/>
        <w:t>(i)</w:t>
      </w:r>
      <w:r>
        <w:rPr>
          <w:snapToGrid w:val="0"/>
        </w:rPr>
        <w:tab/>
        <w:t>is granted a mining lease or general purpose lease of land then the subject of the exploration licence; or</w:t>
      </w:r>
    </w:p>
    <w:p>
      <w:pPr>
        <w:pStyle w:val="Indenti"/>
        <w:rPr>
          <w:snapToGrid w:val="0"/>
        </w:rPr>
      </w:pPr>
      <w:r>
        <w:rPr>
          <w:snapToGrid w:val="0"/>
        </w:rPr>
        <w:tab/>
        <w:t>(ii)</w:t>
      </w:r>
      <w:r>
        <w:rPr>
          <w:snapToGrid w:val="0"/>
        </w:rPr>
        <w:tab/>
        <w:t>surrenders a part of the area then the subject of the exploration licence,</w:t>
      </w:r>
    </w:p>
    <w:p>
      <w:pPr>
        <w:pStyle w:val="Indenta"/>
        <w:rPr>
          <w:snapToGrid w:val="0"/>
        </w:rPr>
      </w:pPr>
      <w:r>
        <w:rPr>
          <w:snapToGrid w:val="0"/>
        </w:rPr>
        <w:tab/>
      </w:r>
      <w:r>
        <w:rPr>
          <w:snapToGrid w:val="0"/>
        </w:rPr>
        <w:tab/>
        <w:t>in calculating the area of land that is required to be surrendered under paragraph (b) of that subsection an area to which subparagraph (i) or (ii) of this subsection applies shall, at the expiration of that year, be taken into account as though it were an area then surrendered in satisfaction of that requirement.</w:t>
      </w:r>
    </w:p>
    <w:p>
      <w:pPr>
        <w:pStyle w:val="Subsection"/>
        <w:rPr>
          <w:snapToGrid w:val="0"/>
        </w:rPr>
      </w:pPr>
      <w:r>
        <w:rPr>
          <w:snapToGrid w:val="0"/>
        </w:rPr>
        <w:tab/>
        <w:t>(3)</w:t>
      </w:r>
      <w:r>
        <w:rPr>
          <w:snapToGrid w:val="0"/>
        </w:rPr>
        <w:tab/>
        <w:t>Subsection (1) does not apply to an exploration licence if the licence is granted in respect of one block.</w:t>
      </w:r>
    </w:p>
    <w:p>
      <w:pPr>
        <w:pStyle w:val="Subsection"/>
        <w:rPr>
          <w:snapToGrid w:val="0"/>
        </w:rPr>
      </w:pPr>
      <w:r>
        <w:rPr>
          <w:snapToGrid w:val="0"/>
        </w:rPr>
        <w:tab/>
        <w:t>(3a)</w:t>
      </w:r>
      <w:r>
        <w:rPr>
          <w:snapToGrid w:val="0"/>
        </w:rPr>
        <w:tab/>
        <w:t>Subsection (1)(b) does not apply to an exploration licence if the licence is granted in respect of 2 blocks.</w:t>
      </w:r>
    </w:p>
    <w:p>
      <w:pPr>
        <w:pStyle w:val="Subsection"/>
        <w:rPr>
          <w:snapToGrid w:val="0"/>
        </w:rPr>
      </w:pPr>
      <w:r>
        <w:rPr>
          <w:snapToGrid w:val="0"/>
        </w:rPr>
        <w:tab/>
        <w:t>(4)</w:t>
      </w:r>
      <w:r>
        <w:rPr>
          <w:snapToGrid w:val="0"/>
        </w:rPr>
        <w:tab/>
        <w:t>Where the holder does not comply with subsection (1) or (1b), the whole of the area of land which is then subject to the exploration licence shall by force of this subsection be surrendered and the exploration licence shall cease to apply thereto.</w:t>
      </w:r>
    </w:p>
    <w:p>
      <w:pPr>
        <w:pStyle w:val="Subsection"/>
        <w:keepNext/>
        <w:rPr>
          <w:snapToGrid w:val="0"/>
        </w:rPr>
      </w:pPr>
      <w:r>
        <w:rPr>
          <w:snapToGrid w:val="0"/>
        </w:rPr>
        <w:tab/>
        <w:t>(5)</w:t>
      </w:r>
      <w:r>
        <w:rPr>
          <w:snapToGrid w:val="0"/>
        </w:rPr>
        <w:tab/>
        <w:t>A surrender under this section shall be endorsed on the public plans of the Department — </w:t>
      </w:r>
    </w:p>
    <w:p>
      <w:pPr>
        <w:pStyle w:val="Indenta"/>
        <w:rPr>
          <w:snapToGrid w:val="0"/>
        </w:rPr>
      </w:pPr>
      <w:r>
        <w:rPr>
          <w:snapToGrid w:val="0"/>
        </w:rPr>
        <w:tab/>
        <w:t>(a)</w:t>
      </w:r>
      <w:r>
        <w:rPr>
          <w:snapToGrid w:val="0"/>
        </w:rPr>
        <w:tab/>
        <w:t>at the office of the Department at Perth;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rPr>
          <w:snapToGrid w:val="0"/>
        </w:rPr>
      </w:pPr>
      <w:r>
        <w:rPr>
          <w:snapToGrid w:val="0"/>
        </w:rPr>
        <w:tab/>
        <w:t>(6)</w:t>
      </w:r>
      <w:r>
        <w:rPr>
          <w:snapToGrid w:val="0"/>
        </w:rPr>
        <w:tab/>
        <w:t>Notwithstanding that a surrender has taken effect under this section any land the subject of the surrender shall not be — </w:t>
      </w:r>
    </w:p>
    <w:p>
      <w:pPr>
        <w:pStyle w:val="Indenta"/>
        <w:rPr>
          <w:snapToGrid w:val="0"/>
        </w:rPr>
      </w:pPr>
      <w:r>
        <w:rPr>
          <w:snapToGrid w:val="0"/>
        </w:rPr>
        <w:tab/>
        <w:t>(a)</w:t>
      </w:r>
      <w:r>
        <w:rPr>
          <w:snapToGrid w:val="0"/>
        </w:rPr>
        <w:tab/>
        <w:t>marked out in connection with a mining tenement; or</w:t>
      </w:r>
    </w:p>
    <w:p>
      <w:pPr>
        <w:pStyle w:val="Indenta"/>
        <w:keepNext/>
        <w:rPr>
          <w:snapToGrid w:val="0"/>
        </w:rPr>
      </w:pPr>
      <w:r>
        <w:rPr>
          <w:snapToGrid w:val="0"/>
        </w:rPr>
        <w:tab/>
        <w:t>(b)</w:t>
      </w:r>
      <w:r>
        <w:rPr>
          <w:snapToGrid w:val="0"/>
        </w:rPr>
        <w:tab/>
        <w:t>included in an application for a mining tenement,</w:t>
      </w:r>
    </w:p>
    <w:p>
      <w:pPr>
        <w:pStyle w:val="Subsection"/>
        <w:rPr>
          <w:snapToGrid w:val="0"/>
        </w:rPr>
      </w:pPr>
      <w:r>
        <w:rPr>
          <w:snapToGrid w:val="0"/>
        </w:rPr>
        <w:tab/>
      </w:r>
      <w:r>
        <w:rPr>
          <w:snapToGrid w:val="0"/>
        </w:rPr>
        <w:tab/>
        <w:t>unless and until plans referred to in subsection (5) have been endorsed to that effect in the prescribed manner.</w:t>
      </w:r>
    </w:p>
    <w:p>
      <w:pPr>
        <w:pStyle w:val="Footnotesection"/>
      </w:pPr>
      <w:r>
        <w:tab/>
        <w:t xml:space="preserve">[Section 65 amended by No. 69 of 1981 s. 20; No. 100 of 1985 s. 45; No. 12 of 1987 s. 5; No. 22 of 1990 s. 19; No. 57 of 1997 s. 89(2).] </w:t>
      </w:r>
    </w:p>
    <w:p>
      <w:pPr>
        <w:pStyle w:val="Heading5"/>
        <w:spacing w:before="120"/>
        <w:rPr>
          <w:snapToGrid w:val="0"/>
        </w:rPr>
      </w:pPr>
      <w:bookmarkStart w:id="410" w:name="_Toc520087948"/>
      <w:bookmarkStart w:id="411" w:name="_Toc523620583"/>
      <w:bookmarkStart w:id="412" w:name="_Toc38853735"/>
      <w:bookmarkStart w:id="413" w:name="_Toc122328483"/>
      <w:r>
        <w:rPr>
          <w:rStyle w:val="CharSectno"/>
        </w:rPr>
        <w:t>66</w:t>
      </w:r>
      <w:r>
        <w:rPr>
          <w:snapToGrid w:val="0"/>
        </w:rPr>
        <w:t>.</w:t>
      </w:r>
      <w:r>
        <w:rPr>
          <w:snapToGrid w:val="0"/>
        </w:rPr>
        <w:tab/>
        <w:t xml:space="preserve">Rights conferred by exploration </w:t>
      </w:r>
      <w:bookmarkEnd w:id="410"/>
      <w:r>
        <w:rPr>
          <w:snapToGrid w:val="0"/>
        </w:rPr>
        <w:t>licence</w:t>
      </w:r>
      <w:bookmarkEnd w:id="411"/>
      <w:bookmarkEnd w:id="412"/>
      <w:bookmarkEnd w:id="413"/>
      <w:r>
        <w:rPr>
          <w:snapToGrid w:val="0"/>
        </w:rPr>
        <w:t xml:space="preserve"> </w:t>
      </w:r>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pPr>
      <w:r>
        <w:tab/>
        <w:t xml:space="preserve">[Section 66 amended by No. 100 of 1985 s. 46; No. 22 of 1990 s. 20; No. 5 of 1997 s. 41(2).] </w:t>
      </w:r>
    </w:p>
    <w:p>
      <w:pPr>
        <w:pStyle w:val="Heading5"/>
        <w:spacing w:before="120"/>
        <w:rPr>
          <w:snapToGrid w:val="0"/>
        </w:rPr>
      </w:pPr>
      <w:bookmarkStart w:id="414" w:name="_Toc520087949"/>
      <w:bookmarkStart w:id="415" w:name="_Toc523620584"/>
      <w:bookmarkStart w:id="416" w:name="_Toc38853736"/>
      <w:bookmarkStart w:id="417" w:name="_Toc122328484"/>
      <w:r>
        <w:rPr>
          <w:rStyle w:val="CharSectno"/>
        </w:rPr>
        <w:t>67</w:t>
      </w:r>
      <w:r>
        <w:rPr>
          <w:snapToGrid w:val="0"/>
        </w:rPr>
        <w:t>.</w:t>
      </w:r>
      <w:r>
        <w:rPr>
          <w:snapToGrid w:val="0"/>
        </w:rPr>
        <w:tab/>
        <w:t>Holder of exploration licence to have priority for grant of mining leases or general purpose leases</w:t>
      </w:r>
      <w:bookmarkEnd w:id="414"/>
      <w:bookmarkEnd w:id="415"/>
      <w:bookmarkEnd w:id="416"/>
      <w:bookmarkEnd w:id="417"/>
      <w:r>
        <w:rPr>
          <w:snapToGrid w:val="0"/>
        </w:rPr>
        <w:t xml:space="preserve"> </w:t>
      </w:r>
    </w:p>
    <w:p>
      <w:pPr>
        <w:pStyle w:val="Subsection"/>
        <w:spacing w:before="100"/>
        <w:rPr>
          <w:snapToGrid w:val="0"/>
        </w:rPr>
      </w:pPr>
      <w:r>
        <w:rPr>
          <w:snapToGrid w:val="0"/>
        </w:rPr>
        <w:tab/>
        <w:t>(1)</w:t>
      </w:r>
      <w:r>
        <w:rPr>
          <w:snapToGrid w:val="0"/>
        </w:rPr>
        <w:tab/>
        <w:t>The holder of an exploration licence has —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spacing w:before="100"/>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spacing w:before="100"/>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spacing w:before="100"/>
        <w:rPr>
          <w:snapToGrid w:val="0"/>
        </w:rPr>
      </w:pPr>
      <w:r>
        <w:rPr>
          <w:snapToGrid w:val="0"/>
        </w:rPr>
        <w:tab/>
        <w:t>(3)</w:t>
      </w:r>
      <w:r>
        <w:rPr>
          <w:snapToGrid w:val="0"/>
        </w:rPr>
        <w:tab/>
        <w:t xml:space="preserve">If, after an application is made under subsection (1) in respect of land the subject of an exploration licence —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spacing w:before="120"/>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pPr>
      <w:r>
        <w:tab/>
        <w:t xml:space="preserve">[Section 67 inserted by No. 122 of 1982 s. 19 amended by No. 100 of 1985 s. 47; No. 105 of 1986 s. 10; No. 21 of 1993 s. 45; No. 58 of 1994 s. 29(2); No. 52 of 1995 s. 26; No. 17 of 1999 s. 9.] </w:t>
      </w:r>
    </w:p>
    <w:p>
      <w:pPr>
        <w:pStyle w:val="Heading5"/>
        <w:rPr>
          <w:snapToGrid w:val="0"/>
        </w:rPr>
      </w:pPr>
      <w:bookmarkStart w:id="418" w:name="_Toc520087950"/>
      <w:bookmarkStart w:id="419" w:name="_Toc523620585"/>
      <w:bookmarkStart w:id="420" w:name="_Toc38853737"/>
      <w:bookmarkStart w:id="421" w:name="_Toc122328485"/>
      <w:r>
        <w:rPr>
          <w:rStyle w:val="CharSectno"/>
        </w:rPr>
        <w:t>67A</w:t>
      </w:r>
      <w:r>
        <w:rPr>
          <w:snapToGrid w:val="0"/>
        </w:rPr>
        <w:t>.</w:t>
      </w:r>
      <w:r>
        <w:rPr>
          <w:snapToGrid w:val="0"/>
        </w:rPr>
        <w:tab/>
        <w:t>Holder of exploration licence may apply to amalgamate secondary tenement</w:t>
      </w:r>
      <w:bookmarkEnd w:id="418"/>
      <w:bookmarkEnd w:id="419"/>
      <w:bookmarkEnd w:id="420"/>
      <w:bookmarkEnd w:id="421"/>
      <w:r>
        <w:rPr>
          <w:snapToGrid w:val="0"/>
        </w:rPr>
        <w:t xml:space="preserve"> </w:t>
      </w:r>
    </w:p>
    <w:p>
      <w:pPr>
        <w:pStyle w:val="Subsection"/>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spacing w:before="100"/>
        <w:rPr>
          <w:snapToGrid w:val="0"/>
        </w:rPr>
      </w:pPr>
      <w:r>
        <w:rPr>
          <w:snapToGrid w:val="0"/>
        </w:rPr>
        <w:tab/>
        <w:t>(4)</w:t>
      </w:r>
      <w:r>
        <w:rPr>
          <w:snapToGrid w:val="0"/>
        </w:rPr>
        <w:tab/>
        <w:t>On receiving an application under subsection (1), (2) or (3), the Minister may, whether or not the Minister refers the matter to the warden for a recommendation —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spacing w:before="100"/>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spacing w:before="100"/>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at the office of the mining registrar.</w:t>
      </w:r>
    </w:p>
    <w:p>
      <w:pPr>
        <w:pStyle w:val="Subsection"/>
        <w:spacing w:before="100"/>
        <w:rPr>
          <w:snapToGrid w:val="0"/>
        </w:rPr>
      </w:pPr>
      <w:r>
        <w:rPr>
          <w:snapToGrid w:val="0"/>
        </w:rPr>
        <w:tab/>
        <w:t>(7)</w:t>
      </w:r>
      <w:r>
        <w:rPr>
          <w:snapToGrid w:val="0"/>
        </w:rPr>
        <w:tab/>
        <w:t>In this section — </w:t>
      </w:r>
    </w:p>
    <w:p>
      <w:pPr>
        <w:pStyle w:val="Defstart"/>
        <w:keepNext/>
      </w:pPr>
      <w:r>
        <w:rPr>
          <w:b/>
        </w:rPr>
        <w:tab/>
        <w:t>“</w:t>
      </w:r>
      <w:r>
        <w:rPr>
          <w:rStyle w:val="CharDefText"/>
        </w:rPr>
        <w:t>secondary tenement</w:t>
      </w:r>
      <w:r>
        <w:rPr>
          <w:b/>
        </w:rPr>
        <w:t>”</w:t>
      </w:r>
      <w:r>
        <w:t>, in relation to an exploration licence —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spacing w:before="100"/>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80"/>
        <w:ind w:left="890" w:hanging="890"/>
      </w:pPr>
      <w:r>
        <w:tab/>
        <w:t xml:space="preserve">[Section 67A inserted by No. 37 of 1993 s. 8; amended by No. 58 of 1994 s. 19; No. 15 of 2002 s. 13.] </w:t>
      </w:r>
    </w:p>
    <w:p>
      <w:pPr>
        <w:pStyle w:val="Heading5"/>
        <w:spacing w:before="120"/>
        <w:rPr>
          <w:snapToGrid w:val="0"/>
        </w:rPr>
      </w:pPr>
      <w:bookmarkStart w:id="422" w:name="_Toc520087951"/>
      <w:bookmarkStart w:id="423" w:name="_Toc523620586"/>
      <w:bookmarkStart w:id="424" w:name="_Toc38853738"/>
      <w:bookmarkStart w:id="425" w:name="_Toc122328486"/>
      <w:r>
        <w:rPr>
          <w:rStyle w:val="CharSectno"/>
        </w:rPr>
        <w:t>68</w:t>
      </w:r>
      <w:r>
        <w:rPr>
          <w:snapToGrid w:val="0"/>
        </w:rPr>
        <w:t>.</w:t>
      </w:r>
      <w:r>
        <w:rPr>
          <w:snapToGrid w:val="0"/>
        </w:rPr>
        <w:tab/>
        <w:t>Holder of exploration licence to keep geological records</w:t>
      </w:r>
      <w:bookmarkEnd w:id="422"/>
      <w:bookmarkEnd w:id="423"/>
      <w:bookmarkEnd w:id="424"/>
      <w:bookmarkEnd w:id="425"/>
      <w:r>
        <w:rPr>
          <w:snapToGrid w:val="0"/>
        </w:rPr>
        <w:t xml:space="preserve"> </w:t>
      </w:r>
    </w:p>
    <w:p>
      <w:pPr>
        <w:pStyle w:val="Subsection"/>
        <w:spacing w:before="100"/>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Penstart"/>
        <w:spacing w:before="60"/>
        <w:rPr>
          <w:snapToGrid w:val="0"/>
        </w:rPr>
      </w:pPr>
      <w:r>
        <w:rPr>
          <w:snapToGrid w:val="0"/>
        </w:rPr>
        <w:tab/>
        <w:t>Penalty: $500.</w:t>
      </w:r>
    </w:p>
    <w:p>
      <w:pPr>
        <w:pStyle w:val="Subsection"/>
        <w:spacing w:before="100"/>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Penstart"/>
        <w:spacing w:before="60"/>
        <w:rPr>
          <w:snapToGrid w:val="0"/>
        </w:rPr>
      </w:pPr>
      <w:r>
        <w:rPr>
          <w:snapToGrid w:val="0"/>
        </w:rPr>
        <w:tab/>
        <w:t>Penalty: $500.</w:t>
      </w:r>
    </w:p>
    <w:p>
      <w:pPr>
        <w:pStyle w:val="Subsection"/>
        <w:spacing w:before="100"/>
        <w:rPr>
          <w:snapToGrid w:val="0"/>
        </w:rPr>
      </w:pPr>
      <w:r>
        <w:rPr>
          <w:snapToGrid w:val="0"/>
        </w:rPr>
        <w:tab/>
        <w:t>(3)</w:t>
      </w:r>
      <w:r>
        <w:rPr>
          <w:snapToGrid w:val="0"/>
        </w:rPr>
        <w:tab/>
        <w:t>The holder of an exploration licence shall at such times and in such manner as may be prescribed, file or cause to be filed with the Department at Perth a report of all work done on, and money expended in connection with, exploration in the area the subject of the licence during the period to which the report relates.</w:t>
      </w:r>
    </w:p>
    <w:p>
      <w:pPr>
        <w:pStyle w:val="Footnotesection"/>
      </w:pPr>
      <w:r>
        <w:tab/>
        <w:t xml:space="preserve">[Section 68 amended by No. 58 of 1994 s. 20.] </w:t>
      </w:r>
    </w:p>
    <w:p>
      <w:pPr>
        <w:pStyle w:val="Heading5"/>
        <w:keepNext w:val="0"/>
        <w:keepLines w:val="0"/>
        <w:spacing w:before="120"/>
        <w:rPr>
          <w:snapToGrid w:val="0"/>
        </w:rPr>
      </w:pPr>
      <w:bookmarkStart w:id="426" w:name="_Toc520087952"/>
      <w:bookmarkStart w:id="427" w:name="_Toc523620587"/>
      <w:bookmarkStart w:id="428" w:name="_Toc38853739"/>
      <w:bookmarkStart w:id="429" w:name="_Toc122328487"/>
      <w:r>
        <w:rPr>
          <w:rStyle w:val="CharSectno"/>
        </w:rPr>
        <w:t>69</w:t>
      </w:r>
      <w:r>
        <w:rPr>
          <w:snapToGrid w:val="0"/>
        </w:rPr>
        <w:t>.</w:t>
      </w:r>
      <w:r>
        <w:rPr>
          <w:snapToGrid w:val="0"/>
        </w:rPr>
        <w:tab/>
        <w:t>Land the subject of exploration licence not to be again marked out for a certain period</w:t>
      </w:r>
      <w:bookmarkEnd w:id="426"/>
      <w:bookmarkEnd w:id="427"/>
      <w:bookmarkEnd w:id="428"/>
      <w:bookmarkEnd w:id="429"/>
      <w:r>
        <w:rPr>
          <w:snapToGrid w:val="0"/>
        </w:rPr>
        <w:t xml:space="preserve"> </w:t>
      </w:r>
    </w:p>
    <w:p>
      <w:pPr>
        <w:pStyle w:val="Subsection"/>
      </w:pPr>
      <w:r>
        <w:rPr>
          <w:snapToGrid w:val="0"/>
        </w:rPr>
        <w:tab/>
        <w:t>(1)</w:t>
      </w:r>
      <w:r>
        <w:rPr>
          <w:snapToGrid w:val="0"/>
        </w:rPr>
        <w:tab/>
        <w:t xml:space="preserve">When an exploration licence is surrendered or forfeited, or expires, or any part of the land the subject of the licence is relinquished in accordance with section 65, the land the subject of the licence or the part so relinquished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spacing w:before="100"/>
        <w:rPr>
          <w:snapToGrid w:val="0"/>
        </w:rPr>
      </w:pPr>
      <w:r>
        <w:tab/>
      </w:r>
      <w:r>
        <w:tab/>
        <w:t>within a period of 3 months from and including that date.</w:t>
      </w:r>
    </w:p>
    <w:p>
      <w:pPr>
        <w:pStyle w:val="Subsection"/>
        <w:spacing w:before="100"/>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pPr>
      <w:r>
        <w:tab/>
        <w:t xml:space="preserve">[Section 69 amended by No. 100 of 1985 s. 48; No. 22 of 1990 s. 21; No. 15 of 2002 s. 14.] </w:t>
      </w:r>
    </w:p>
    <w:p>
      <w:pPr>
        <w:pStyle w:val="Heading5"/>
        <w:spacing w:before="120"/>
        <w:rPr>
          <w:snapToGrid w:val="0"/>
        </w:rPr>
      </w:pPr>
      <w:bookmarkStart w:id="430" w:name="_Toc520087953"/>
      <w:bookmarkStart w:id="431" w:name="_Toc523620588"/>
      <w:bookmarkStart w:id="432" w:name="_Toc38853740"/>
      <w:bookmarkStart w:id="433" w:name="_Toc122328488"/>
      <w:r>
        <w:rPr>
          <w:rStyle w:val="CharSectno"/>
        </w:rPr>
        <w:t>70</w:t>
      </w:r>
      <w:r>
        <w:rPr>
          <w:snapToGrid w:val="0"/>
        </w:rPr>
        <w:t>.</w:t>
      </w:r>
      <w:r>
        <w:rPr>
          <w:snapToGrid w:val="0"/>
        </w:rPr>
        <w:tab/>
        <w:t xml:space="preserve">Special prospecting licences on an </w:t>
      </w:r>
      <w:bookmarkEnd w:id="430"/>
      <w:bookmarkEnd w:id="431"/>
      <w:r>
        <w:t>primary tenement</w:t>
      </w:r>
      <w:bookmarkEnd w:id="432"/>
      <w:bookmarkEnd w:id="433"/>
    </w:p>
    <w:p>
      <w:pPr>
        <w:pStyle w:val="Subsection"/>
        <w:spacing w:before="100"/>
        <w:rPr>
          <w:snapToGrid w:val="0"/>
        </w:rPr>
      </w:pPr>
      <w:r>
        <w:rPr>
          <w:snapToGrid w:val="0"/>
        </w:rPr>
        <w:tab/>
        <w:t>(1)</w:t>
      </w:r>
      <w:r>
        <w:rPr>
          <w:snapToGrid w:val="0"/>
        </w:rPr>
        <w:tab/>
        <w:t xml:space="preserve">Where any land is the subject of an exploration licence (in this section called </w:t>
      </w:r>
      <w:r>
        <w:rPr>
          <w:b/>
          <w:snapToGrid w:val="0"/>
        </w:rPr>
        <w:t>“</w:t>
      </w:r>
      <w:r>
        <w:rPr>
          <w:rStyle w:val="CharDefText"/>
        </w:rPr>
        <w:t>the primary tenement</w:t>
      </w:r>
      <w:r>
        <w:rPr>
          <w:b/>
          <w:snapToGrid w:val="0"/>
        </w:rPr>
        <w:t>”</w:t>
      </w:r>
      <w:r>
        <w:rPr>
          <w:snapToGrid w:val="0"/>
        </w:rPr>
        <w:t>) then, notwithstanding section 117, a person may at any time after the expiry of 12 months from — </w:t>
      </w:r>
    </w:p>
    <w:p>
      <w:pPr>
        <w:pStyle w:val="Indenta"/>
        <w:rPr>
          <w:snapToGrid w:val="0"/>
          <w:spacing w:val="-4"/>
        </w:rPr>
      </w:pPr>
      <w:r>
        <w:rPr>
          <w:snapToGrid w:val="0"/>
          <w:spacing w:val="-4"/>
        </w:rPr>
        <w:tab/>
        <w:t>(a)</w:t>
      </w:r>
      <w:r>
        <w:rPr>
          <w:snapToGrid w:val="0"/>
          <w:spacing w:val="-4"/>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spacing w:val="-4"/>
        </w:rPr>
        <w:t>, the date of approval of the claim; and</w:t>
      </w:r>
    </w:p>
    <w:p>
      <w:pPr>
        <w:pStyle w:val="Indenta"/>
        <w:rPr>
          <w:snapToGrid w:val="0"/>
        </w:rPr>
      </w:pPr>
      <w:r>
        <w:rPr>
          <w:snapToGrid w:val="0"/>
        </w:rPr>
        <w:tab/>
        <w:t>(b)</w:t>
      </w:r>
      <w:r>
        <w:rPr>
          <w:snapToGrid w:val="0"/>
        </w:rPr>
        <w:tab/>
        <w:t xml:space="preserve">in any other case, the date on which the </w:t>
      </w:r>
      <w:r>
        <w:t>primary tenement</w:t>
      </w:r>
      <w:r>
        <w:rPr>
          <w:snapToGrid w:val="0"/>
        </w:rPr>
        <w:t xml:space="preserve"> was granted,</w:t>
      </w:r>
    </w:p>
    <w:p>
      <w:pPr>
        <w:pStyle w:val="Subsection"/>
        <w:spacing w:before="100"/>
        <w:rPr>
          <w:snapToGrid w:val="0"/>
        </w:rPr>
      </w:pPr>
      <w:r>
        <w:rPr>
          <w:snapToGrid w:val="0"/>
        </w:rPr>
        <w:tab/>
      </w:r>
      <w:r>
        <w:rPr>
          <w:snapToGrid w:val="0"/>
        </w:rPr>
        <w:tab/>
        <w:t xml:space="preserve">mark out and, in accordance with section 41, apply for a prospecting licence for gold (in this section called a </w:t>
      </w:r>
      <w:r>
        <w:rPr>
          <w:b/>
          <w:snapToGrid w:val="0"/>
        </w:rPr>
        <w:t>“</w:t>
      </w:r>
      <w:r>
        <w:rPr>
          <w:rStyle w:val="CharDefText"/>
        </w:rPr>
        <w:t>special prospecting licence</w:t>
      </w:r>
      <w:r>
        <w:rPr>
          <w:b/>
          <w:snapToGrid w:val="0"/>
        </w:rPr>
        <w:t>”</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 xml:space="preserve">Within 14 days after lodging an application for a special prospecting licence under subsection (1) the applicant shall give notice thereof to the holder of the </w:t>
      </w:r>
      <w:r>
        <w:t>primary tenement</w:t>
      </w:r>
      <w:r>
        <w:rPr>
          <w:snapToGrid w:val="0"/>
        </w:rPr>
        <w:t xml:space="preserve"> as if such holder were the occupier of the land to which the application relates.</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rPr>
          <w:snapToGrid w:val="0"/>
        </w:rPr>
      </w:pPr>
      <w:r>
        <w:rPr>
          <w:snapToGrid w:val="0"/>
        </w:rPr>
        <w:tab/>
        <w:t>(6)</w:t>
      </w:r>
      <w:r>
        <w:rPr>
          <w:snapToGrid w:val="0"/>
        </w:rPr>
        <w:tab/>
        <w:t>Subject to this section the mining registrar, the warden or Minister may grant the application on such terms and conditions as he thinks fit but a special prospecting licence granted pursuant to this section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to prospect only for gold;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2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20"/>
        <w:rPr>
          <w:snapToGrid w:val="0"/>
        </w:rPr>
      </w:pPr>
      <w:r>
        <w:rPr>
          <w:snapToGrid w:val="0"/>
        </w:rPr>
        <w:tab/>
        <w:t>(6a)</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spacing w:before="120"/>
        <w:rPr>
          <w:snapToGrid w:val="0"/>
        </w:rPr>
      </w:pPr>
      <w:r>
        <w:rPr>
          <w:snapToGrid w:val="0"/>
        </w:rPr>
        <w:tab/>
        <w:t>(7)</w:t>
      </w:r>
      <w:r>
        <w:rPr>
          <w:snapToGrid w:val="0"/>
        </w:rPr>
        <w:tab/>
        <w:t>No legal or equitable interest in or affecting — </w:t>
      </w:r>
    </w:p>
    <w:p>
      <w:pPr>
        <w:pStyle w:val="Indenta"/>
        <w:rPr>
          <w:snapToGrid w:val="0"/>
        </w:rPr>
      </w:pPr>
      <w:r>
        <w:rPr>
          <w:snapToGrid w:val="0"/>
        </w:rPr>
        <w:tab/>
        <w:t>(a)</w:t>
      </w:r>
      <w:r>
        <w:rPr>
          <w:snapToGrid w:val="0"/>
        </w:rPr>
        <w:tab/>
        <w:t>a special prospecting licence; or</w:t>
      </w:r>
    </w:p>
    <w:p>
      <w:pPr>
        <w:pStyle w:val="Indenta"/>
        <w:keepNext/>
        <w:rPr>
          <w:snapToGrid w:val="0"/>
        </w:rPr>
      </w:pPr>
      <w:r>
        <w:rPr>
          <w:snapToGrid w:val="0"/>
        </w:rPr>
        <w:tab/>
        <w:t>(b)</w:t>
      </w:r>
      <w:r>
        <w:rPr>
          <w:snapToGrid w:val="0"/>
        </w:rPr>
        <w:tab/>
        <w:t>a mining lease in respect of the land or any part thereof the subject of a special prospecting licence,</w:t>
      </w:r>
    </w:p>
    <w:p>
      <w:pPr>
        <w:pStyle w:val="Subsection"/>
        <w:spacing w:before="120"/>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rPr>
          <w:snapToGrid w:val="0"/>
        </w:rPr>
      </w:pPr>
      <w:r>
        <w:rPr>
          <w:snapToGrid w:val="0"/>
        </w:rPr>
        <w:tab/>
        <w:t>(c)</w:t>
      </w:r>
      <w:r>
        <w:rPr>
          <w:snapToGrid w:val="0"/>
        </w:rPr>
        <w:tab/>
        <w:t>more than 3 such special prospecting licences; or</w:t>
      </w:r>
    </w:p>
    <w:p>
      <w:pPr>
        <w:pStyle w:val="Indenta"/>
        <w:rPr>
          <w:snapToGrid w:val="0"/>
        </w:rPr>
      </w:pPr>
      <w:r>
        <w:rPr>
          <w:snapToGrid w:val="0"/>
        </w:rPr>
        <w:tab/>
        <w:t>(d)</w:t>
      </w:r>
      <w:r>
        <w:rPr>
          <w:snapToGrid w:val="0"/>
        </w:rPr>
        <w:tab/>
        <w:t>more than one such mining lease.</w:t>
      </w:r>
    </w:p>
    <w:p>
      <w:pPr>
        <w:pStyle w:val="Subsection"/>
        <w:spacing w:before="120"/>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A special prospecting licence, or a mining lease in respect of the land or any part thereof which is the subject of a special prospecting licence, shall not be granted in respect of the primary tenement where the number of such licences or leases granted in respect of that primary tenement exceeds one for each 200 hectares of the primary tenement.</w:t>
      </w:r>
    </w:p>
    <w:p>
      <w:pPr>
        <w:pStyle w:val="Subsection"/>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if — </w:t>
      </w:r>
    </w:p>
    <w:p>
      <w:pPr>
        <w:pStyle w:val="Indenta"/>
        <w:rPr>
          <w:snapToGrid w:val="0"/>
        </w:rPr>
      </w:pPr>
      <w:r>
        <w:rPr>
          <w:snapToGrid w:val="0"/>
        </w:rPr>
        <w:tab/>
        <w:t>(a)</w:t>
      </w:r>
      <w:r>
        <w:rPr>
          <w:snapToGrid w:val="0"/>
        </w:rPr>
        <w:tab/>
        <w:t xml:space="preserve">after being served with the prescribed notice of the application, the holder of the </w:t>
      </w:r>
      <w:r>
        <w:t>primary tenement</w:t>
      </w:r>
      <w:r>
        <w:rPr>
          <w:snapToGrid w:val="0"/>
        </w:rPr>
        <w:t xml:space="preserve"> does not lodge an objection against it; or</w:t>
      </w:r>
    </w:p>
    <w:p>
      <w:pPr>
        <w:pStyle w:val="Indenta"/>
        <w:rPr>
          <w:snapToGrid w:val="0"/>
        </w:rPr>
      </w:pPr>
      <w:r>
        <w:rPr>
          <w:snapToGrid w:val="0"/>
        </w:rPr>
        <w:tab/>
        <w:t>(b)</w:t>
      </w:r>
      <w:r>
        <w:rPr>
          <w:snapToGrid w:val="0"/>
        </w:rPr>
        <w:tab/>
        <w:t>it is proved to the satisfaction of the Minister by a report from the Director, Geological Survey that gold exists in payable quantities on or in the land to which the application relates,</w:t>
      </w:r>
    </w:p>
    <w:p>
      <w:pPr>
        <w:pStyle w:val="Subsection"/>
        <w:rPr>
          <w:snapToGrid w:val="0"/>
        </w:rPr>
      </w:pPr>
      <w:r>
        <w:rPr>
          <w:snapToGrid w:val="0"/>
        </w:rPr>
        <w:tab/>
      </w:r>
      <w:r>
        <w:rPr>
          <w:snapToGrid w:val="0"/>
        </w:rPr>
        <w:tab/>
        <w:t>the Minister may 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rPr>
          <w:snapToGrid w:val="0"/>
        </w:rPr>
      </w:pPr>
      <w:r>
        <w:rPr>
          <w:snapToGrid w:val="0"/>
        </w:rPr>
        <w:tab/>
        <w:t>(8a)</w:t>
      </w:r>
      <w:r>
        <w:rPr>
          <w:snapToGrid w:val="0"/>
        </w:rPr>
        <w:tab/>
        <w:t>A mining lease granted pursuant to subsection (8)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pPr>
      <w:r>
        <w:tab/>
        <w:t xml:space="preserve">[Section 70 amended by No. 100 of 1985 s. 49; No. 22 of 1990 s. 22; No. 21 of 1993 s. 45; No. 37 of 1993 s. 9, 10(2) and 27; No. 73 of 1994 s. 4; No. 58 of 1994 s. 21; No. 52 of 1995 s. 27; No. 54 of 1996 s. 10 and 23; No. 10 of 2001 s. 133; No. 15 of 2002 s. 15.] </w:t>
      </w:r>
    </w:p>
    <w:p>
      <w:pPr>
        <w:pStyle w:val="Heading3"/>
        <w:rPr>
          <w:snapToGrid w:val="0"/>
        </w:rPr>
      </w:pPr>
      <w:bookmarkStart w:id="434" w:name="_Toc87427617"/>
      <w:bookmarkStart w:id="435" w:name="_Toc87851192"/>
      <w:bookmarkStart w:id="436" w:name="_Toc88295415"/>
      <w:bookmarkStart w:id="437" w:name="_Toc89519074"/>
      <w:bookmarkStart w:id="438" w:name="_Toc90869199"/>
      <w:bookmarkStart w:id="439" w:name="_Toc91407971"/>
      <w:bookmarkStart w:id="440" w:name="_Toc92863715"/>
      <w:bookmarkStart w:id="441" w:name="_Toc95015083"/>
      <w:bookmarkStart w:id="442" w:name="_Toc95106790"/>
      <w:bookmarkStart w:id="443" w:name="_Toc97018590"/>
      <w:bookmarkStart w:id="444" w:name="_Toc101693543"/>
      <w:bookmarkStart w:id="445" w:name="_Toc103130413"/>
      <w:bookmarkStart w:id="446" w:name="_Toc104711063"/>
      <w:bookmarkStart w:id="447" w:name="_Toc121560048"/>
      <w:bookmarkStart w:id="448" w:name="_Toc122328489"/>
      <w:r>
        <w:rPr>
          <w:rStyle w:val="CharDivNo"/>
        </w:rPr>
        <w:t>Division 2A</w:t>
      </w:r>
      <w:r>
        <w:rPr>
          <w:snapToGrid w:val="0"/>
        </w:rPr>
        <w:t> — </w:t>
      </w:r>
      <w:r>
        <w:rPr>
          <w:rStyle w:val="CharDivText"/>
        </w:rPr>
        <w:t>Retention licence</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r>
        <w:rPr>
          <w:rStyle w:val="CharDivText"/>
        </w:rPr>
        <w:t xml:space="preserve"> </w:t>
      </w:r>
    </w:p>
    <w:p>
      <w:pPr>
        <w:pStyle w:val="Footnoteheading"/>
        <w:rPr>
          <w:snapToGrid w:val="0"/>
        </w:rPr>
      </w:pPr>
      <w:r>
        <w:rPr>
          <w:snapToGrid w:val="0"/>
        </w:rPr>
        <w:t xml:space="preserve">[Heading inserted by No. 37 of 1993 s. 10(1).] </w:t>
      </w:r>
    </w:p>
    <w:p>
      <w:pPr>
        <w:pStyle w:val="Heading5"/>
        <w:rPr>
          <w:snapToGrid w:val="0"/>
        </w:rPr>
      </w:pPr>
      <w:bookmarkStart w:id="449" w:name="_Toc520087954"/>
      <w:bookmarkStart w:id="450" w:name="_Toc523620589"/>
      <w:bookmarkStart w:id="451" w:name="_Toc38853741"/>
      <w:bookmarkStart w:id="452" w:name="_Toc122328490"/>
      <w:r>
        <w:rPr>
          <w:rStyle w:val="CharSectno"/>
        </w:rPr>
        <w:t>70A</w:t>
      </w:r>
      <w:r>
        <w:rPr>
          <w:snapToGrid w:val="0"/>
        </w:rPr>
        <w:t>.</w:t>
      </w:r>
      <w:r>
        <w:rPr>
          <w:snapToGrid w:val="0"/>
        </w:rPr>
        <w:tab/>
        <w:t>Definitions</w:t>
      </w:r>
      <w:bookmarkEnd w:id="449"/>
      <w:bookmarkEnd w:id="450"/>
      <w:bookmarkEnd w:id="451"/>
      <w:bookmarkEnd w:id="452"/>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identified mineral resource</w:t>
      </w:r>
      <w:r>
        <w:rPr>
          <w:b/>
        </w:rPr>
        <w:t>”</w:t>
      </w:r>
      <w:r>
        <w:t xml:space="preserve"> means a deposit of minerals identified in the prescribed manner;</w:t>
      </w:r>
    </w:p>
    <w:p>
      <w:pPr>
        <w:pStyle w:val="Defstart"/>
      </w:pPr>
      <w:r>
        <w:rPr>
          <w:b/>
        </w:rPr>
        <w:tab/>
        <w:t>“</w:t>
      </w:r>
      <w:r>
        <w:rPr>
          <w:rStyle w:val="CharDefText"/>
        </w:rPr>
        <w:t>primary tenement</w:t>
      </w:r>
      <w:r>
        <w:rPr>
          <w:b/>
        </w:rPr>
        <w:t>”</w:t>
      </w:r>
      <w:r>
        <w:t xml:space="preserve"> means a prospecting licence, an exploration licence or a mining lease.</w:t>
      </w:r>
    </w:p>
    <w:p>
      <w:pPr>
        <w:pStyle w:val="Footnotesection"/>
      </w:pPr>
      <w:r>
        <w:tab/>
        <w:t xml:space="preserve">[Section 70A inserted by No. 37 of 1993 s. 10(1).] </w:t>
      </w:r>
    </w:p>
    <w:p>
      <w:pPr>
        <w:pStyle w:val="Heading5"/>
        <w:rPr>
          <w:snapToGrid w:val="0"/>
        </w:rPr>
      </w:pPr>
      <w:bookmarkStart w:id="453" w:name="_Toc520087955"/>
      <w:bookmarkStart w:id="454" w:name="_Toc523620590"/>
      <w:bookmarkStart w:id="455" w:name="_Toc38853742"/>
      <w:bookmarkStart w:id="456" w:name="_Toc122328491"/>
      <w:r>
        <w:rPr>
          <w:rStyle w:val="CharSectno"/>
        </w:rPr>
        <w:t>70B</w:t>
      </w:r>
      <w:r>
        <w:rPr>
          <w:snapToGrid w:val="0"/>
        </w:rPr>
        <w:t>.</w:t>
      </w:r>
      <w:r>
        <w:rPr>
          <w:snapToGrid w:val="0"/>
        </w:rPr>
        <w:tab/>
        <w:t xml:space="preserve">Grant of retention </w:t>
      </w:r>
      <w:bookmarkEnd w:id="453"/>
      <w:r>
        <w:rPr>
          <w:snapToGrid w:val="0"/>
        </w:rPr>
        <w:t>licence</w:t>
      </w:r>
      <w:bookmarkEnd w:id="454"/>
      <w:bookmarkEnd w:id="455"/>
      <w:bookmarkEnd w:id="456"/>
      <w:r>
        <w:rPr>
          <w:snapToGrid w:val="0"/>
        </w:rPr>
        <w:t xml:space="preserve"> </w:t>
      </w:r>
    </w:p>
    <w:p>
      <w:pPr>
        <w:pStyle w:val="Subsection"/>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rPr>
          <w:snapToGrid w:val="0"/>
        </w:rPr>
      </w:pPr>
      <w:r>
        <w:rPr>
          <w:snapToGrid w:val="0"/>
        </w:rPr>
        <w:tab/>
        <w:t>(2)</w:t>
      </w:r>
      <w:r>
        <w:rPr>
          <w:snapToGrid w:val="0"/>
        </w:rPr>
        <w:tab/>
        <w:t>The holder of a primary tenement may be granted more than one retention licence.</w:t>
      </w:r>
    </w:p>
    <w:p>
      <w:pPr>
        <w:pStyle w:val="Subsection"/>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rPr>
          <w:snapToGrid w:val="0"/>
        </w:rPr>
      </w:pPr>
      <w:r>
        <w:rPr>
          <w:snapToGrid w:val="0"/>
        </w:rPr>
        <w:tab/>
        <w:t>(4)</w:t>
      </w:r>
      <w:r>
        <w:rPr>
          <w:snapToGrid w:val="0"/>
        </w:rPr>
        <w:tab/>
        <w:t>The land in respect of which a retention licence is granted — </w:t>
      </w:r>
    </w:p>
    <w:p>
      <w:pPr>
        <w:pStyle w:val="Indenta"/>
        <w:rPr>
          <w:snapToGrid w:val="0"/>
        </w:rPr>
      </w:pPr>
      <w:r>
        <w:rPr>
          <w:snapToGrid w:val="0"/>
        </w:rPr>
        <w:tab/>
        <w:t>(a)</w:t>
      </w:r>
      <w:r>
        <w:rPr>
          <w:snapToGrid w:val="0"/>
        </w:rPr>
        <w:tab/>
        <w:t>shall be of an area that, in the opinion of the Minister, is sufficient to include —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may be of an area that is less than the area of land in respect of which the retention licence is sought.</w:t>
      </w:r>
    </w:p>
    <w:p>
      <w:pPr>
        <w:pStyle w:val="Footnotesection"/>
        <w:spacing w:before="100"/>
        <w:ind w:left="890" w:hanging="890"/>
      </w:pPr>
      <w:r>
        <w:tab/>
        <w:t xml:space="preserve">[Section 70B inserted by No. 37 of 1993 s. 10(1); amended by No. 58 of 1994 s. 24(2).] </w:t>
      </w:r>
    </w:p>
    <w:p>
      <w:pPr>
        <w:pStyle w:val="Heading5"/>
        <w:spacing w:before="120"/>
        <w:rPr>
          <w:snapToGrid w:val="0"/>
        </w:rPr>
      </w:pPr>
      <w:bookmarkStart w:id="457" w:name="_Toc520087956"/>
      <w:bookmarkStart w:id="458" w:name="_Toc523620591"/>
      <w:bookmarkStart w:id="459" w:name="_Toc38853743"/>
      <w:bookmarkStart w:id="460" w:name="_Toc122328492"/>
      <w:r>
        <w:rPr>
          <w:rStyle w:val="CharSectno"/>
        </w:rPr>
        <w:t>70C</w:t>
      </w:r>
      <w:r>
        <w:rPr>
          <w:snapToGrid w:val="0"/>
        </w:rPr>
        <w:t>.</w:t>
      </w:r>
      <w:r>
        <w:rPr>
          <w:snapToGrid w:val="0"/>
        </w:rPr>
        <w:tab/>
        <w:t xml:space="preserve">Application for retention </w:t>
      </w:r>
      <w:bookmarkEnd w:id="457"/>
      <w:r>
        <w:rPr>
          <w:snapToGrid w:val="0"/>
        </w:rPr>
        <w:t>licence</w:t>
      </w:r>
      <w:bookmarkEnd w:id="458"/>
      <w:bookmarkEnd w:id="459"/>
      <w:bookmarkEnd w:id="460"/>
      <w:r>
        <w:rPr>
          <w:snapToGrid w:val="0"/>
        </w:rPr>
        <w:t xml:space="preserve"> </w:t>
      </w:r>
    </w:p>
    <w:p>
      <w:pPr>
        <w:pStyle w:val="Subsection"/>
        <w:spacing w:before="120"/>
        <w:rPr>
          <w:snapToGrid w:val="0"/>
        </w:rPr>
      </w:pPr>
      <w:r>
        <w:rPr>
          <w:snapToGrid w:val="0"/>
        </w:rPr>
        <w:tab/>
        <w:t>(1)</w:t>
      </w:r>
      <w:r>
        <w:rPr>
          <w:snapToGrid w:val="0"/>
        </w:rPr>
        <w:tab/>
        <w:t>An application for a retention licence — </w:t>
      </w:r>
    </w:p>
    <w:p>
      <w:pPr>
        <w:pStyle w:val="Indenta"/>
        <w:keepNext/>
        <w:rPr>
          <w:snapToGrid w:val="0"/>
        </w:rPr>
      </w:pPr>
      <w:r>
        <w:rPr>
          <w:snapToGrid w:val="0"/>
        </w:rPr>
        <w:tab/>
        <w:t>(a)</w:t>
      </w:r>
      <w:r>
        <w:rPr>
          <w:snapToGrid w:val="0"/>
        </w:rPr>
        <w:tab/>
        <w:t>shall be in the prescribed form;</w:t>
      </w:r>
    </w:p>
    <w:p>
      <w:pPr>
        <w:pStyle w:val="Indenta"/>
        <w:keepNext/>
        <w:rPr>
          <w:snapToGrid w:val="0"/>
        </w:rPr>
      </w:pPr>
      <w:r>
        <w:rPr>
          <w:snapToGrid w:val="0"/>
        </w:rPr>
        <w:tab/>
        <w:t>(b)</w:t>
      </w:r>
      <w:r>
        <w:rPr>
          <w:snapToGrid w:val="0"/>
        </w:rPr>
        <w:tab/>
        <w:t>shall be accompanied by the amount of the prescribed rent for the first year of the term of the licence or portion thereof as prescribed;</w:t>
      </w:r>
    </w:p>
    <w:p>
      <w:pPr>
        <w:pStyle w:val="Indenta"/>
        <w:keepNext/>
        <w:rPr>
          <w:snapToGrid w:val="0"/>
        </w:rPr>
      </w:pPr>
      <w:r>
        <w:rPr>
          <w:snapToGrid w:val="0"/>
        </w:rPr>
        <w:tab/>
        <w:t>(c)</w:t>
      </w:r>
      <w:r>
        <w:rPr>
          <w:snapToGrid w:val="0"/>
        </w:rPr>
        <w:tab/>
        <w:t>shall be accompanied by the prescribed application fee;</w:t>
      </w:r>
    </w:p>
    <w:p>
      <w:pPr>
        <w:pStyle w:val="Indenta"/>
        <w:keepNext/>
        <w:rPr>
          <w:snapToGrid w:val="0"/>
        </w:rPr>
      </w:pPr>
      <w:r>
        <w:rPr>
          <w:snapToGrid w:val="0"/>
        </w:rPr>
        <w:tab/>
        <w:t>(d)</w:t>
      </w:r>
      <w:r>
        <w:rPr>
          <w:snapToGrid w:val="0"/>
        </w:rPr>
        <w:tab/>
        <w:t>shall be lodged at the office of the mining registrar;</w:t>
      </w:r>
    </w:p>
    <w:p>
      <w:pPr>
        <w:pStyle w:val="Indenta"/>
        <w:keepNext/>
        <w:rPr>
          <w:snapToGrid w:val="0"/>
        </w:rPr>
      </w:pPr>
      <w:r>
        <w:rPr>
          <w:snapToGrid w:val="0"/>
        </w:rPr>
        <w:tab/>
        <w:t>(e)</w:t>
      </w:r>
      <w:r>
        <w:rPr>
          <w:snapToGrid w:val="0"/>
        </w:rPr>
        <w:tab/>
        <w:t>shall be accompanied by a statement specifying —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 work;</w:t>
      </w:r>
    </w:p>
    <w:p>
      <w:pPr>
        <w:pStyle w:val="Indenta"/>
        <w:rPr>
          <w:snapToGrid w:val="0"/>
        </w:rPr>
      </w:pPr>
      <w:r>
        <w:rPr>
          <w:snapToGrid w:val="0"/>
        </w:rPr>
        <w:tab/>
      </w:r>
      <w:r>
        <w:rPr>
          <w:snapToGrid w:val="0"/>
        </w:rPr>
        <w:tab/>
        <w:t>and</w:t>
      </w:r>
    </w:p>
    <w:p>
      <w:pPr>
        <w:pStyle w:val="Indenta"/>
        <w:keepNext/>
        <w:rPr>
          <w:snapToGrid w:val="0"/>
        </w:rPr>
      </w:pPr>
      <w:r>
        <w:rPr>
          <w:snapToGrid w:val="0"/>
        </w:rPr>
        <w:tab/>
        <w:t>(f)</w:t>
      </w:r>
      <w:r>
        <w:rPr>
          <w:snapToGrid w:val="0"/>
        </w:rPr>
        <w:tab/>
        <w:t>shall be accompanied by a statutory declaration made by the applicant to the effect that — </w:t>
      </w:r>
    </w:p>
    <w:p>
      <w:pPr>
        <w:pStyle w:val="Indenti"/>
        <w:rPr>
          <w:snapToGrid w:val="0"/>
        </w:rPr>
      </w:pPr>
      <w:r>
        <w:rPr>
          <w:snapToGrid w:val="0"/>
        </w:rPr>
        <w:tab/>
        <w:t>(i)</w:t>
      </w:r>
      <w:r>
        <w:rPr>
          <w:snapToGrid w:val="0"/>
        </w:rPr>
        <w:tab/>
        <w:t>there is an identified mineral resource in the area in respect of which the licence is sought; and</w:t>
      </w:r>
    </w:p>
    <w:p>
      <w:pPr>
        <w:pStyle w:val="Indenti"/>
        <w:rPr>
          <w:snapToGrid w:val="0"/>
        </w:rPr>
      </w:pPr>
      <w:r>
        <w:rPr>
          <w:snapToGrid w:val="0"/>
        </w:rPr>
        <w:tab/>
        <w:t>(ii)</w:t>
      </w:r>
      <w:r>
        <w:rPr>
          <w:snapToGrid w:val="0"/>
        </w:rPr>
        <w:tab/>
        <w:t>mining of that identified mineral resource is for the time being impracticable for one or more of the reasons referred to in subsection (2) (that reason or those reasons being set out in the statutory declaration).</w:t>
      </w:r>
    </w:p>
    <w:p>
      <w:pPr>
        <w:pStyle w:val="Subsection"/>
        <w:rPr>
          <w:snapToGrid w:val="0"/>
        </w:rPr>
      </w:pPr>
      <w:r>
        <w:rPr>
          <w:snapToGrid w:val="0"/>
        </w:rPr>
        <w:tab/>
        <w:t>(2)</w:t>
      </w:r>
      <w:r>
        <w:rPr>
          <w:snapToGrid w:val="0"/>
        </w:rPr>
        <w:tab/>
        <w:t>For the purposes of subsection (1)(f)(ii) mining of an identified mineral resource may be impracticable because —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10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spacing w:before="10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spacing w:before="100"/>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spacing w:before="100"/>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rPr>
          <w:snapToGrid w:val="0"/>
        </w:rPr>
      </w:pPr>
      <w:r>
        <w:rPr>
          <w:snapToGrid w:val="0"/>
        </w:rPr>
        <w:tab/>
        <w:t>(7)</w:t>
      </w:r>
      <w:r>
        <w:rPr>
          <w:snapToGrid w:val="0"/>
        </w:rPr>
        <w:tab/>
        <w:t xml:space="preserve">If, after an application is made under subsection (1) in respect of land the subject of a primary tenement —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pPr>
      <w:r>
        <w:tab/>
        <w:t xml:space="preserve">[Section 70C inserted by No. 37 of 1993 s. 10(1); amended No. 58 of 1994 s. 23; No. 17 of 1999 s. 10.] </w:t>
      </w:r>
    </w:p>
    <w:p>
      <w:pPr>
        <w:pStyle w:val="Heading5"/>
        <w:rPr>
          <w:snapToGrid w:val="0"/>
        </w:rPr>
      </w:pPr>
      <w:bookmarkStart w:id="461" w:name="_Toc520087957"/>
      <w:bookmarkStart w:id="462" w:name="_Toc523620592"/>
      <w:bookmarkStart w:id="463" w:name="_Toc38853744"/>
      <w:bookmarkStart w:id="464" w:name="_Toc122328493"/>
      <w:r>
        <w:rPr>
          <w:rStyle w:val="CharSectno"/>
        </w:rPr>
        <w:t>70D</w:t>
      </w:r>
      <w:r>
        <w:rPr>
          <w:snapToGrid w:val="0"/>
        </w:rPr>
        <w:t>.</w:t>
      </w:r>
      <w:r>
        <w:rPr>
          <w:snapToGrid w:val="0"/>
        </w:rPr>
        <w:tab/>
        <w:t xml:space="preserve">Determination of application for retention </w:t>
      </w:r>
      <w:bookmarkEnd w:id="461"/>
      <w:r>
        <w:rPr>
          <w:snapToGrid w:val="0"/>
        </w:rPr>
        <w:t>licence</w:t>
      </w:r>
      <w:bookmarkEnd w:id="462"/>
      <w:bookmarkEnd w:id="463"/>
      <w:bookmarkEnd w:id="464"/>
      <w:r>
        <w:rPr>
          <w:snapToGrid w:val="0"/>
        </w:rPr>
        <w:t xml:space="preserve"> </w:t>
      </w:r>
    </w:p>
    <w:p>
      <w:pPr>
        <w:pStyle w:val="Subsection"/>
        <w:rPr>
          <w:snapToGrid w:val="0"/>
        </w:rPr>
      </w:pPr>
      <w:r>
        <w:rPr>
          <w:snapToGrid w:val="0"/>
        </w:rPr>
        <w:tab/>
        <w:t>(1)</w:t>
      </w:r>
      <w:r>
        <w:rPr>
          <w:snapToGrid w:val="0"/>
        </w:rPr>
        <w:tab/>
        <w:t>A person who wishes to object to the granting of an application for a retention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t>the warden shall hear the application for the retention licence in open court on a day appointed by the warden and may give any person who has lodged such a notice of objection an opportunity to be heard.</w:t>
      </w:r>
    </w:p>
    <w:p>
      <w:pPr>
        <w:pStyle w:val="Subsection"/>
        <w:spacing w:before="80"/>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spacing w:before="80"/>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spacing w:before="80"/>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spacing w:before="80"/>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pPr>
      <w:r>
        <w:tab/>
        <w:t xml:space="preserve">[Section 70D inserted by No. 58 of 1994 s. 24(1).] </w:t>
      </w:r>
    </w:p>
    <w:p>
      <w:pPr>
        <w:pStyle w:val="Heading5"/>
        <w:rPr>
          <w:snapToGrid w:val="0"/>
        </w:rPr>
      </w:pPr>
      <w:bookmarkStart w:id="465" w:name="_Toc520087958"/>
      <w:bookmarkStart w:id="466" w:name="_Toc523620593"/>
      <w:bookmarkStart w:id="467" w:name="_Toc38853745"/>
      <w:bookmarkStart w:id="468" w:name="_Toc122328494"/>
      <w:r>
        <w:rPr>
          <w:rStyle w:val="CharSectno"/>
        </w:rPr>
        <w:t>70E</w:t>
      </w:r>
      <w:r>
        <w:rPr>
          <w:snapToGrid w:val="0"/>
        </w:rPr>
        <w:t>.</w:t>
      </w:r>
      <w:r>
        <w:rPr>
          <w:snapToGrid w:val="0"/>
        </w:rPr>
        <w:tab/>
        <w:t>Term of retention licence and renewal</w:t>
      </w:r>
      <w:bookmarkEnd w:id="465"/>
      <w:bookmarkEnd w:id="466"/>
      <w:bookmarkEnd w:id="467"/>
      <w:bookmarkEnd w:id="468"/>
      <w:r>
        <w:rPr>
          <w:snapToGrid w:val="0"/>
        </w:rPr>
        <w:t xml:space="preserve"> </w:t>
      </w:r>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 xml:space="preserve">[Section 70E inserted by No. 37 of 1993 s. 10(1); amended by No. 17 of 1999 s. 11.] </w:t>
      </w:r>
    </w:p>
    <w:p>
      <w:pPr>
        <w:pStyle w:val="Heading5"/>
        <w:rPr>
          <w:snapToGrid w:val="0"/>
        </w:rPr>
      </w:pPr>
      <w:bookmarkStart w:id="469" w:name="_Toc520087959"/>
      <w:bookmarkStart w:id="470" w:name="_Toc523620594"/>
      <w:bookmarkStart w:id="471" w:name="_Toc38853746"/>
      <w:bookmarkStart w:id="472" w:name="_Toc122328495"/>
      <w:r>
        <w:rPr>
          <w:rStyle w:val="CharSectno"/>
        </w:rPr>
        <w:t>70F</w:t>
      </w:r>
      <w:r>
        <w:rPr>
          <w:snapToGrid w:val="0"/>
        </w:rPr>
        <w:t>.</w:t>
      </w:r>
      <w:r>
        <w:rPr>
          <w:snapToGrid w:val="0"/>
        </w:rPr>
        <w:tab/>
        <w:t xml:space="preserve">Security relating to retention </w:t>
      </w:r>
      <w:bookmarkEnd w:id="469"/>
      <w:r>
        <w:rPr>
          <w:snapToGrid w:val="0"/>
        </w:rPr>
        <w:t>licence</w:t>
      </w:r>
      <w:bookmarkEnd w:id="470"/>
      <w:bookmarkEnd w:id="471"/>
      <w:bookmarkEnd w:id="472"/>
      <w:r>
        <w:rPr>
          <w:snapToGrid w:val="0"/>
        </w:rPr>
        <w:t xml:space="preserve"> </w:t>
      </w:r>
    </w:p>
    <w:p>
      <w:pPr>
        <w:pStyle w:val="Subsection"/>
        <w:rPr>
          <w:snapToGrid w:val="0"/>
        </w:rPr>
      </w:pPr>
      <w:r>
        <w:rPr>
          <w:snapToGrid w:val="0"/>
        </w:rPr>
        <w:tab/>
        <w:t>(1)</w:t>
      </w:r>
      <w:r>
        <w:rPr>
          <w:snapToGrid w:val="0"/>
        </w:rPr>
        <w:tab/>
        <w:t>The Minister may require the applicant for a retention licence or the holder of a retention licence to lodge at the office of the mining registrar, within such period as the Minister specifies in writing, a security for compliance with — </w:t>
      </w:r>
    </w:p>
    <w:p>
      <w:pPr>
        <w:pStyle w:val="Indenta"/>
        <w:rPr>
          <w:snapToGrid w:val="0"/>
        </w:rPr>
      </w:pPr>
      <w:r>
        <w:rPr>
          <w:snapToGrid w:val="0"/>
        </w:rPr>
        <w:tab/>
        <w:t>(a)</w:t>
      </w:r>
      <w:r>
        <w:rPr>
          <w:snapToGrid w:val="0"/>
        </w:rPr>
        <w:tab/>
        <w:t>the conditions to which the retention licence is or will, if granted, from time to time be subject; and</w:t>
      </w:r>
    </w:p>
    <w:p>
      <w:pPr>
        <w:pStyle w:val="Indenta"/>
        <w:rPr>
          <w:snapToGrid w:val="0"/>
        </w:rPr>
      </w:pPr>
      <w:r>
        <w:rPr>
          <w:snapToGrid w:val="0"/>
        </w:rPr>
        <w:tab/>
        <w:t>(b)</w:t>
      </w:r>
      <w:r>
        <w:rPr>
          <w:snapToGrid w:val="0"/>
        </w:rPr>
        <w:tab/>
        <w:t>the provisions of this Part and the regulations.</w:t>
      </w:r>
    </w:p>
    <w:p>
      <w:pPr>
        <w:pStyle w:val="Subsection"/>
        <w:spacing w:before="120"/>
        <w:rPr>
          <w:snapToGrid w:val="0"/>
        </w:rPr>
      </w:pPr>
      <w:r>
        <w:rPr>
          <w:snapToGrid w:val="0"/>
        </w:rPr>
        <w:tab/>
        <w:t>(2)</w:t>
      </w:r>
      <w:r>
        <w:rPr>
          <w:snapToGrid w:val="0"/>
        </w:rPr>
        <w:tab/>
        <w:t>A security referred to in subsection (1) shall be in accordance with and subject to the provisions of section 126.</w:t>
      </w:r>
    </w:p>
    <w:p>
      <w:pPr>
        <w:pStyle w:val="Subsection"/>
        <w:spacing w:before="120"/>
        <w:rPr>
          <w:snapToGrid w:val="0"/>
        </w:rPr>
      </w:pPr>
      <w:r>
        <w:rPr>
          <w:snapToGrid w:val="0"/>
        </w:rPr>
        <w:tab/>
        <w:t>(3)</w:t>
      </w:r>
      <w:r>
        <w:rPr>
          <w:snapToGrid w:val="0"/>
        </w:rPr>
        <w:tab/>
        <w:t>Where the applicant for a retention licence is required to lodge a security under subsection (1), the retention licence shall not be granted unless a security is lodged in accordance with that requirement.</w:t>
      </w:r>
    </w:p>
    <w:p>
      <w:pPr>
        <w:pStyle w:val="Footnotesection"/>
      </w:pPr>
      <w:r>
        <w:tab/>
        <w:t xml:space="preserve">[Section 70F inserted by No. 37 of 1993 s. 10(1); amended by No. 58 of 1994 s. 25.] </w:t>
      </w:r>
    </w:p>
    <w:p>
      <w:pPr>
        <w:pStyle w:val="Heading5"/>
        <w:spacing w:before="120"/>
        <w:rPr>
          <w:snapToGrid w:val="0"/>
        </w:rPr>
      </w:pPr>
      <w:bookmarkStart w:id="473" w:name="_Toc520087960"/>
      <w:bookmarkStart w:id="474" w:name="_Toc523620595"/>
      <w:bookmarkStart w:id="475" w:name="_Toc38853747"/>
      <w:bookmarkStart w:id="476" w:name="_Toc122328496"/>
      <w:r>
        <w:rPr>
          <w:rStyle w:val="CharSectno"/>
        </w:rPr>
        <w:t>70G</w:t>
      </w:r>
      <w:r>
        <w:rPr>
          <w:snapToGrid w:val="0"/>
        </w:rPr>
        <w:t>.</w:t>
      </w:r>
      <w:r>
        <w:rPr>
          <w:snapToGrid w:val="0"/>
        </w:rPr>
        <w:tab/>
        <w:t>Survey of area of retention licence not required in first instance</w:t>
      </w:r>
      <w:bookmarkEnd w:id="473"/>
      <w:bookmarkEnd w:id="474"/>
      <w:bookmarkEnd w:id="475"/>
      <w:bookmarkEnd w:id="476"/>
      <w:r>
        <w:rPr>
          <w:snapToGrid w:val="0"/>
        </w:rPr>
        <w:t xml:space="preserve"> </w:t>
      </w:r>
    </w:p>
    <w:p>
      <w:pPr>
        <w:pStyle w:val="Subsection"/>
        <w:spacing w:before="120"/>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order a survey to be made of the boundaries or the boundary in order to settle the dispute.</w:t>
      </w:r>
    </w:p>
    <w:p>
      <w:pPr>
        <w:pStyle w:val="Subsection"/>
        <w:spacing w:before="120"/>
        <w:rPr>
          <w:snapToGrid w:val="0"/>
        </w:rPr>
      </w:pPr>
      <w:r>
        <w:rPr>
          <w:snapToGrid w:val="0"/>
        </w:rPr>
        <w:tab/>
        <w:t>(2)</w:t>
      </w:r>
      <w:r>
        <w:rPr>
          <w:snapToGrid w:val="0"/>
        </w:rPr>
        <w:tab/>
        <w:t>A survey ordered under subsection (1) shall be arranged and paid for by such party or parties to the dispute as the warden or the Minister determines.</w:t>
      </w:r>
    </w:p>
    <w:p>
      <w:pPr>
        <w:pStyle w:val="Footnotesection"/>
      </w:pPr>
      <w:r>
        <w:tab/>
        <w:t xml:space="preserve">[Section 70G inserted by No. 37 of 1993 s. 10(1).] </w:t>
      </w:r>
    </w:p>
    <w:p>
      <w:pPr>
        <w:pStyle w:val="Heading5"/>
        <w:spacing w:before="120"/>
        <w:rPr>
          <w:snapToGrid w:val="0"/>
        </w:rPr>
      </w:pPr>
      <w:bookmarkStart w:id="477" w:name="_Toc520087961"/>
      <w:bookmarkStart w:id="478" w:name="_Toc523620596"/>
      <w:bookmarkStart w:id="479" w:name="_Toc38853748"/>
      <w:bookmarkStart w:id="480" w:name="_Toc122328497"/>
      <w:r>
        <w:rPr>
          <w:rStyle w:val="CharSectno"/>
        </w:rPr>
        <w:t>70H</w:t>
      </w:r>
      <w:r>
        <w:rPr>
          <w:snapToGrid w:val="0"/>
        </w:rPr>
        <w:t>.</w:t>
      </w:r>
      <w:r>
        <w:rPr>
          <w:snapToGrid w:val="0"/>
        </w:rPr>
        <w:tab/>
        <w:t xml:space="preserve">Conditions attached to retention </w:t>
      </w:r>
      <w:bookmarkEnd w:id="477"/>
      <w:r>
        <w:rPr>
          <w:snapToGrid w:val="0"/>
        </w:rPr>
        <w:t>licence</w:t>
      </w:r>
      <w:bookmarkEnd w:id="478"/>
      <w:bookmarkEnd w:id="479"/>
      <w:bookmarkEnd w:id="480"/>
      <w:r>
        <w:rPr>
          <w:snapToGrid w:val="0"/>
        </w:rPr>
        <w:t xml:space="preserve"> </w:t>
      </w:r>
    </w:p>
    <w:p>
      <w:pPr>
        <w:pStyle w:val="Subsection"/>
        <w:spacing w:before="120"/>
        <w:rPr>
          <w:snapToGrid w:val="0"/>
        </w:rPr>
      </w:pPr>
      <w:r>
        <w:rPr>
          <w:snapToGrid w:val="0"/>
        </w:rPr>
        <w:tab/>
        <w:t>(1)</w:t>
      </w:r>
      <w:r>
        <w:rPr>
          <w:snapToGrid w:val="0"/>
        </w:rPr>
        <w:tab/>
        <w:t>Every retention licence shall be deemed to be granted subject to the conditions that the holder of the licence shall — </w:t>
      </w:r>
    </w:p>
    <w:p>
      <w:pPr>
        <w:pStyle w:val="Indenta"/>
        <w:rPr>
          <w:snapToGrid w:val="0"/>
        </w:rPr>
      </w:pPr>
      <w:r>
        <w:rPr>
          <w:snapToGrid w:val="0"/>
        </w:rPr>
        <w:tab/>
        <w:t>(a)</w:t>
      </w:r>
      <w:r>
        <w:rPr>
          <w:snapToGrid w:val="0"/>
        </w:rPr>
        <w:tab/>
        <w:t xml:space="preserve">fill in or otherwise make safe to the satisfaction of the State Mining Engineer </w:t>
      </w:r>
      <w:r>
        <w:rPr>
          <w:snapToGrid w:val="0"/>
          <w:vertAlign w:val="superscript"/>
        </w:rPr>
        <w:t>5</w:t>
      </w:r>
      <w:r>
        <w:rPr>
          <w:snapToGrid w:val="0"/>
        </w:rPr>
        <w:t xml:space="preserve"> all holes, pits, trenches and other disturbances to the surface of the land the subject of the licence which are —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 xml:space="preserve">in the opinion of the State Mining Engineer </w:t>
      </w:r>
      <w:r>
        <w:rPr>
          <w:snapToGrid w:val="0"/>
          <w:vertAlign w:val="superscript"/>
        </w:rPr>
        <w:t>5</w:t>
      </w:r>
      <w:r>
        <w:rPr>
          <w:snapToGrid w:val="0"/>
        </w:rPr>
        <w:t>, likely to endanger the safety of any person or animal;</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w:t>
      </w:r>
    </w:p>
    <w:p>
      <w:pPr>
        <w:pStyle w:val="Indenta"/>
        <w:rPr>
          <w:snapToGrid w:val="0"/>
        </w:rPr>
      </w:pPr>
      <w:r>
        <w:rPr>
          <w:snapToGrid w:val="0"/>
        </w:rPr>
        <w:tab/>
        <w:t>(e)</w:t>
      </w:r>
      <w:r>
        <w:rPr>
          <w:snapToGrid w:val="0"/>
        </w:rPr>
        <w:tab/>
        <w:t>not assign, underlet or part with possession of such land or any part thereof without the prior written consent of the Minister, or of an officer of the Department acting with the authority of the Minister; and</w:t>
      </w:r>
    </w:p>
    <w:p>
      <w:pPr>
        <w:pStyle w:val="Indenta"/>
        <w:rPr>
          <w:snapToGrid w:val="0"/>
        </w:rPr>
      </w:pPr>
      <w:r>
        <w:rPr>
          <w:snapToGrid w:val="0"/>
        </w:rPr>
        <w:tab/>
        <w:t>(f)</w:t>
      </w:r>
      <w:r>
        <w:rPr>
          <w:snapToGrid w:val="0"/>
        </w:rPr>
        <w:tab/>
        <w:t>lodge with the Department at Perth such periodical reports and returns as may be prescribed.</w:t>
      </w:r>
    </w:p>
    <w:p>
      <w:pPr>
        <w:pStyle w:val="Subsection"/>
        <w:rPr>
          <w:snapToGrid w:val="0"/>
        </w:rPr>
      </w:pPr>
      <w:r>
        <w:rPr>
          <w:snapToGrid w:val="0"/>
        </w:rPr>
        <w:tab/>
        <w:t>(2)</w:t>
      </w:r>
      <w:r>
        <w:rPr>
          <w:snapToGrid w:val="0"/>
        </w:rPr>
        <w:tab/>
        <w:t>The Minister may at any time cancel or vary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expenditure conditions referred to in subsection (1)(d).</w:t>
      </w:r>
    </w:p>
    <w:p>
      <w:pPr>
        <w:pStyle w:val="Footnotesection"/>
      </w:pPr>
      <w:r>
        <w:tab/>
        <w:t xml:space="preserve">[Section 70H inserted by No. 37 of 1993 s. 10(1); amended by No. 17 of 1999 s. 12(2) and (3).] </w:t>
      </w:r>
    </w:p>
    <w:p>
      <w:pPr>
        <w:pStyle w:val="Heading5"/>
        <w:rPr>
          <w:snapToGrid w:val="0"/>
        </w:rPr>
      </w:pPr>
      <w:bookmarkStart w:id="481" w:name="_Toc520087962"/>
      <w:bookmarkStart w:id="482" w:name="_Toc523620597"/>
      <w:bookmarkStart w:id="483" w:name="_Toc38853749"/>
      <w:bookmarkStart w:id="484" w:name="_Toc122328498"/>
      <w:r>
        <w:rPr>
          <w:rStyle w:val="CharSectno"/>
        </w:rPr>
        <w:t>70I</w:t>
      </w:r>
      <w:r>
        <w:rPr>
          <w:snapToGrid w:val="0"/>
        </w:rPr>
        <w:t>.</w:t>
      </w:r>
      <w:r>
        <w:rPr>
          <w:snapToGrid w:val="0"/>
        </w:rPr>
        <w:tab/>
        <w:t>Conditions for prevention or reduction of injury to land</w:t>
      </w:r>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 xml:space="preserve">[Section 70I inserted by No. 37 of 1993 s. 10(1).] </w:t>
      </w:r>
    </w:p>
    <w:p>
      <w:pPr>
        <w:pStyle w:val="Heading5"/>
        <w:spacing w:before="120"/>
        <w:rPr>
          <w:snapToGrid w:val="0"/>
        </w:rPr>
      </w:pPr>
      <w:bookmarkStart w:id="485" w:name="_Toc520087963"/>
      <w:bookmarkStart w:id="486" w:name="_Toc523620598"/>
      <w:bookmarkStart w:id="487" w:name="_Toc38853750"/>
      <w:bookmarkStart w:id="488" w:name="_Toc122328499"/>
      <w:r>
        <w:rPr>
          <w:rStyle w:val="CharSectno"/>
        </w:rPr>
        <w:t>70IA</w:t>
      </w:r>
      <w:r>
        <w:rPr>
          <w:snapToGrid w:val="0"/>
        </w:rPr>
        <w:t>.</w:t>
      </w:r>
      <w:r>
        <w:rPr>
          <w:snapToGrid w:val="0"/>
        </w:rPr>
        <w:tab/>
        <w:t>Programme of work</w:t>
      </w:r>
      <w:bookmarkEnd w:id="485"/>
      <w:bookmarkEnd w:id="486"/>
      <w:bookmarkEnd w:id="487"/>
      <w:bookmarkEnd w:id="488"/>
    </w:p>
    <w:p>
      <w:pPr>
        <w:pStyle w:val="Subsection"/>
        <w:spacing w:before="120"/>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spacing w:before="120"/>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spacing w:before="120"/>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spacing w:before="120"/>
        <w:rPr>
          <w:snapToGrid w:val="0"/>
        </w:rPr>
      </w:pPr>
      <w:r>
        <w:rPr>
          <w:snapToGrid w:val="0"/>
        </w:rPr>
        <w:tab/>
        <w:t>(4)</w:t>
      </w:r>
      <w:r>
        <w:rPr>
          <w:snapToGrid w:val="0"/>
        </w:rPr>
        <w:tab/>
        <w:t xml:space="preserve">In subsection (1) — </w:t>
      </w:r>
    </w:p>
    <w:p>
      <w:pPr>
        <w:pStyle w:val="Defstart"/>
      </w:pPr>
      <w:r>
        <w:tab/>
      </w:r>
      <w:r>
        <w:rPr>
          <w:b/>
        </w:rPr>
        <w:t>“</w:t>
      </w:r>
      <w:r>
        <w:rPr>
          <w:rStyle w:val="CharDefText"/>
        </w:rPr>
        <w:t>specified</w:t>
      </w:r>
      <w:r>
        <w:rPr>
          <w:b/>
        </w:rPr>
        <w:t>”</w:t>
      </w:r>
      <w:r>
        <w:t xml:space="preserve"> means specified in writing by the Minister.</w:t>
      </w:r>
    </w:p>
    <w:p>
      <w:pPr>
        <w:pStyle w:val="Footnotesection"/>
      </w:pPr>
      <w:r>
        <w:tab/>
        <w:t>[Section 70IA inserted by No. 17 of 1999 s. 12(1).]</w:t>
      </w:r>
    </w:p>
    <w:p>
      <w:pPr>
        <w:pStyle w:val="Heading5"/>
        <w:spacing w:before="120"/>
        <w:rPr>
          <w:snapToGrid w:val="0"/>
        </w:rPr>
      </w:pPr>
      <w:bookmarkStart w:id="489" w:name="_Toc520087964"/>
      <w:bookmarkStart w:id="490" w:name="_Toc523620599"/>
      <w:bookmarkStart w:id="491" w:name="_Toc38853751"/>
      <w:bookmarkStart w:id="492" w:name="_Toc122328500"/>
      <w:r>
        <w:rPr>
          <w:rStyle w:val="CharSectno"/>
        </w:rPr>
        <w:t>70J</w:t>
      </w:r>
      <w:r>
        <w:rPr>
          <w:snapToGrid w:val="0"/>
        </w:rPr>
        <w:t>.</w:t>
      </w:r>
      <w:r>
        <w:rPr>
          <w:snapToGrid w:val="0"/>
        </w:rPr>
        <w:tab/>
        <w:t xml:space="preserve">Rights conferred by retention </w:t>
      </w:r>
      <w:bookmarkEnd w:id="489"/>
      <w:r>
        <w:rPr>
          <w:snapToGrid w:val="0"/>
        </w:rPr>
        <w:t>licence</w:t>
      </w:r>
      <w:bookmarkEnd w:id="490"/>
      <w:bookmarkEnd w:id="491"/>
      <w:bookmarkEnd w:id="492"/>
      <w:r>
        <w:rPr>
          <w:snapToGrid w:val="0"/>
        </w:rPr>
        <w:t xml:space="preserve"> </w:t>
      </w:r>
    </w:p>
    <w:p>
      <w:pPr>
        <w:pStyle w:val="Subsection"/>
        <w:spacing w:before="120"/>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pPr>
      <w:r>
        <w:tab/>
        <w:t xml:space="preserve">[Section 70J inserted by No. 37 of 1993 s. 10(1); amended by No. 5 of 1997 s. 41(2).] </w:t>
      </w:r>
    </w:p>
    <w:p>
      <w:pPr>
        <w:pStyle w:val="Heading5"/>
        <w:rPr>
          <w:snapToGrid w:val="0"/>
        </w:rPr>
      </w:pPr>
      <w:bookmarkStart w:id="493" w:name="_Toc520087965"/>
      <w:bookmarkStart w:id="494" w:name="_Toc523620600"/>
      <w:bookmarkStart w:id="495" w:name="_Toc38853752"/>
      <w:bookmarkStart w:id="496" w:name="_Toc122328501"/>
      <w:r>
        <w:rPr>
          <w:rStyle w:val="CharSectno"/>
        </w:rPr>
        <w:t>70K</w:t>
      </w:r>
      <w:r>
        <w:rPr>
          <w:snapToGrid w:val="0"/>
        </w:rPr>
        <w:t>.</w:t>
      </w:r>
      <w:r>
        <w:rPr>
          <w:snapToGrid w:val="0"/>
        </w:rPr>
        <w:tab/>
        <w:t>When retention licence liable to forfeiture</w:t>
      </w:r>
      <w:bookmarkEnd w:id="493"/>
      <w:bookmarkEnd w:id="494"/>
      <w:bookmarkEnd w:id="495"/>
      <w:bookmarkEnd w:id="496"/>
      <w:r>
        <w:rPr>
          <w:snapToGrid w:val="0"/>
        </w:rPr>
        <w:t xml:space="preserve"> </w:t>
      </w:r>
    </w:p>
    <w:p>
      <w:pPr>
        <w:pStyle w:val="Subsection"/>
        <w:rPr>
          <w:snapToGrid w:val="0"/>
        </w:rPr>
      </w:pPr>
      <w:r>
        <w:rPr>
          <w:snapToGrid w:val="0"/>
        </w:rPr>
        <w:tab/>
      </w:r>
      <w:r>
        <w:rPr>
          <w:snapToGrid w:val="0"/>
        </w:rPr>
        <w:tab/>
        <w:t>A retention licence is liable to forfeiture if — </w:t>
      </w:r>
    </w:p>
    <w:p>
      <w:pPr>
        <w:pStyle w:val="Indenta"/>
        <w:rPr>
          <w:snapToGrid w:val="0"/>
        </w:rPr>
      </w:pPr>
      <w:r>
        <w:rPr>
          <w:snapToGrid w:val="0"/>
        </w:rPr>
        <w:tab/>
        <w:t>(a)</w:t>
      </w:r>
      <w:r>
        <w:rPr>
          <w:snapToGrid w:val="0"/>
        </w:rPr>
        <w:tab/>
        <w:t>the prescribed rent or royalty in respect of the licence is not paid in accordance with this Act;</w:t>
      </w:r>
    </w:p>
    <w:p>
      <w:pPr>
        <w:pStyle w:val="Indenta"/>
        <w:rPr>
          <w:snapToGrid w:val="0"/>
        </w:rPr>
      </w:pPr>
      <w:r>
        <w:rPr>
          <w:snapToGrid w:val="0"/>
        </w:rPr>
        <w:tab/>
        <w:t>(b)</w:t>
      </w:r>
      <w:r>
        <w:rPr>
          <w:snapToGrid w:val="0"/>
        </w:rPr>
        <w:tab/>
        <w:t>the terms and conditions of the licence, including —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w:t>
      </w:r>
    </w:p>
    <w:p>
      <w:pPr>
        <w:pStyle w:val="Indenta"/>
        <w:rPr>
          <w:snapToGrid w:val="0"/>
        </w:rPr>
      </w:pPr>
      <w:r>
        <w:rPr>
          <w:snapToGrid w:val="0"/>
        </w:rPr>
        <w:tab/>
        <w:t>(bb)</w:t>
      </w:r>
      <w:r>
        <w:rPr>
          <w:snapToGrid w:val="0"/>
        </w:rPr>
        <w:tab/>
        <w:t>the holder of the licence fails to comply with a requirement under section 70F(1) to lodge a security;</w:t>
      </w:r>
    </w:p>
    <w:p>
      <w:pPr>
        <w:pStyle w:val="Indenta"/>
        <w:rPr>
          <w:snapToGrid w:val="0"/>
        </w:rPr>
      </w:pPr>
      <w:r>
        <w:rPr>
          <w:snapToGrid w:val="0"/>
        </w:rPr>
        <w:tab/>
        <w:t>(c)</w:t>
      </w:r>
      <w:r>
        <w:rPr>
          <w:snapToGrid w:val="0"/>
        </w:rPr>
        <w:tab/>
        <w:t>the holder of the licence is convicted of an offence against this Act; or</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w:t>
      </w:r>
    </w:p>
    <w:p>
      <w:pPr>
        <w:pStyle w:val="Footnotesection"/>
      </w:pPr>
      <w:r>
        <w:tab/>
        <w:t xml:space="preserve">[Section 70K inserted by No. 37 of 1993 s. 10(1); amended by No. 58 of 1994 s. 26; No. 17 of 1999 s. 12(4).] </w:t>
      </w:r>
    </w:p>
    <w:p>
      <w:pPr>
        <w:pStyle w:val="Heading5"/>
        <w:rPr>
          <w:snapToGrid w:val="0"/>
        </w:rPr>
      </w:pPr>
      <w:bookmarkStart w:id="497" w:name="_Toc520087966"/>
      <w:bookmarkStart w:id="498" w:name="_Toc523620601"/>
      <w:bookmarkStart w:id="499" w:name="_Toc38853753"/>
      <w:bookmarkStart w:id="500" w:name="_Toc122328502"/>
      <w:r>
        <w:rPr>
          <w:rStyle w:val="CharSectno"/>
        </w:rPr>
        <w:t>70L</w:t>
      </w:r>
      <w:r>
        <w:rPr>
          <w:snapToGrid w:val="0"/>
        </w:rPr>
        <w:t>.</w:t>
      </w:r>
      <w:r>
        <w:rPr>
          <w:snapToGrid w:val="0"/>
        </w:rPr>
        <w:tab/>
        <w:t>Holder of retention licence to have priority for grant of mining lease or general purpose lease</w:t>
      </w:r>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The holder of a retention licence has — </w:t>
      </w:r>
    </w:p>
    <w:p>
      <w:pPr>
        <w:pStyle w:val="Indenta"/>
        <w:rPr>
          <w:snapToGrid w:val="0"/>
        </w:rPr>
      </w:pPr>
      <w:r>
        <w:rPr>
          <w:snapToGrid w:val="0"/>
        </w:rPr>
        <w:tab/>
        <w:t>(a)</w:t>
      </w:r>
      <w:r>
        <w:rPr>
          <w:snapToGrid w:val="0"/>
        </w:rPr>
        <w:tab/>
        <w:t>subject to this Act and to any conditions to which the retention licence is subject;</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rPr>
          <w:snapToGrid w:val="0"/>
        </w:rPr>
      </w:pPr>
      <w:r>
        <w:rPr>
          <w:snapToGrid w:val="0"/>
        </w:rPr>
        <w:tab/>
        <w:t>(c)</w:t>
      </w:r>
      <w:r>
        <w:rPr>
          <w:snapToGrid w:val="0"/>
        </w:rPr>
        <w:tab/>
        <w:t>while the retention licence remains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 retention licence —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pPr>
      <w:r>
        <w:tab/>
        <w:t xml:space="preserve">[Section 70L inserted by No. 37 of 1993 s. 10(1); amended by No. 58 of 1994 s. 29(3); No. 17 of 1999 s. 12(5) and 13.] </w:t>
      </w:r>
    </w:p>
    <w:p>
      <w:pPr>
        <w:pStyle w:val="Heading5"/>
        <w:rPr>
          <w:snapToGrid w:val="0"/>
        </w:rPr>
      </w:pPr>
      <w:bookmarkStart w:id="501" w:name="_Toc520087967"/>
      <w:bookmarkStart w:id="502" w:name="_Toc523620602"/>
      <w:bookmarkStart w:id="503" w:name="_Toc38853754"/>
      <w:bookmarkStart w:id="504" w:name="_Toc122328503"/>
      <w:r>
        <w:rPr>
          <w:rStyle w:val="CharSectno"/>
        </w:rPr>
        <w:t>70M</w:t>
      </w:r>
      <w:r>
        <w:rPr>
          <w:snapToGrid w:val="0"/>
        </w:rPr>
        <w:t>.</w:t>
      </w:r>
      <w:r>
        <w:rPr>
          <w:snapToGrid w:val="0"/>
        </w:rPr>
        <w:tab/>
        <w:t>Holder of retention licence to show cause why mining lease should not be applied for</w:t>
      </w:r>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pPr>
      <w:r>
        <w:tab/>
        <w:t xml:space="preserve">[Section 70M inserted by No. 37 of 1993 s. 10(1).] </w:t>
      </w:r>
    </w:p>
    <w:p>
      <w:pPr>
        <w:pStyle w:val="Heading5"/>
        <w:rPr>
          <w:snapToGrid w:val="0"/>
        </w:rPr>
      </w:pPr>
      <w:bookmarkStart w:id="505" w:name="_Toc520087968"/>
      <w:bookmarkStart w:id="506" w:name="_Toc523620603"/>
      <w:bookmarkStart w:id="507" w:name="_Toc38853755"/>
      <w:bookmarkStart w:id="508" w:name="_Toc122328504"/>
      <w:r>
        <w:rPr>
          <w:rStyle w:val="CharSectno"/>
        </w:rPr>
        <w:t>70N</w:t>
      </w:r>
      <w:r>
        <w:rPr>
          <w:snapToGrid w:val="0"/>
        </w:rPr>
        <w:t>.</w:t>
      </w:r>
      <w:r>
        <w:rPr>
          <w:snapToGrid w:val="0"/>
        </w:rPr>
        <w:tab/>
        <w:t>Land the subject of retention licence not to be again marked out for a certain period</w:t>
      </w:r>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 xml:space="preserve">[Section 70N inserted by No. 37 of 1993 s. 10(1).] </w:t>
      </w:r>
    </w:p>
    <w:p>
      <w:pPr>
        <w:pStyle w:val="Heading3"/>
        <w:rPr>
          <w:snapToGrid w:val="0"/>
        </w:rPr>
      </w:pPr>
      <w:bookmarkStart w:id="509" w:name="_Toc87427633"/>
      <w:bookmarkStart w:id="510" w:name="_Toc87851208"/>
      <w:bookmarkStart w:id="511" w:name="_Toc88295431"/>
      <w:bookmarkStart w:id="512" w:name="_Toc89519090"/>
      <w:bookmarkStart w:id="513" w:name="_Toc90869215"/>
      <w:bookmarkStart w:id="514" w:name="_Toc91407987"/>
      <w:bookmarkStart w:id="515" w:name="_Toc92863731"/>
      <w:bookmarkStart w:id="516" w:name="_Toc95015099"/>
      <w:bookmarkStart w:id="517" w:name="_Toc95106806"/>
      <w:bookmarkStart w:id="518" w:name="_Toc97018606"/>
      <w:bookmarkStart w:id="519" w:name="_Toc101693559"/>
      <w:bookmarkStart w:id="520" w:name="_Toc103130429"/>
      <w:bookmarkStart w:id="521" w:name="_Toc104711079"/>
      <w:bookmarkStart w:id="522" w:name="_Toc121560064"/>
      <w:bookmarkStart w:id="523" w:name="_Toc122328505"/>
      <w:r>
        <w:rPr>
          <w:rStyle w:val="CharDivNo"/>
        </w:rPr>
        <w:t>Division 3</w:t>
      </w:r>
      <w:r>
        <w:rPr>
          <w:snapToGrid w:val="0"/>
        </w:rPr>
        <w:t> — </w:t>
      </w:r>
      <w:r>
        <w:rPr>
          <w:rStyle w:val="CharDivText"/>
        </w:rPr>
        <w:t>Mining lease</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r>
        <w:rPr>
          <w:rStyle w:val="CharDivText"/>
        </w:rPr>
        <w:t xml:space="preserve"> </w:t>
      </w:r>
    </w:p>
    <w:p>
      <w:pPr>
        <w:pStyle w:val="Ednotesection"/>
      </w:pPr>
      <w:r>
        <w:t>[</w:t>
      </w:r>
      <w:r>
        <w:rPr>
          <w:b/>
        </w:rPr>
        <w:t>70O.</w:t>
      </w:r>
      <w:r>
        <w:t xml:space="preserve"> </w:t>
      </w:r>
      <w:r>
        <w:tab/>
        <w:t xml:space="preserve">Repealed by No. 52 of 1995 s. 28.] </w:t>
      </w:r>
    </w:p>
    <w:p>
      <w:pPr>
        <w:pStyle w:val="Heading5"/>
        <w:rPr>
          <w:snapToGrid w:val="0"/>
        </w:rPr>
      </w:pPr>
      <w:bookmarkStart w:id="524" w:name="_Toc520087969"/>
      <w:bookmarkStart w:id="525" w:name="_Toc523620604"/>
      <w:bookmarkStart w:id="526" w:name="_Toc38853756"/>
      <w:bookmarkStart w:id="527" w:name="_Toc122328506"/>
      <w:r>
        <w:rPr>
          <w:rStyle w:val="CharSectno"/>
        </w:rPr>
        <w:t>71</w:t>
      </w:r>
      <w:r>
        <w:rPr>
          <w:snapToGrid w:val="0"/>
        </w:rPr>
        <w:t>.</w:t>
      </w:r>
      <w:r>
        <w:rPr>
          <w:snapToGrid w:val="0"/>
        </w:rPr>
        <w:tab/>
        <w:t>Grant of mining lease</w:t>
      </w:r>
      <w:bookmarkEnd w:id="524"/>
      <w:bookmarkEnd w:id="525"/>
      <w:bookmarkEnd w:id="526"/>
      <w:bookmarkEnd w:id="527"/>
      <w:r>
        <w:rPr>
          <w:snapToGrid w:val="0"/>
        </w:rPr>
        <w:t xml:space="preserve"> </w:t>
      </w:r>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 xml:space="preserve">[Section 71 amended by No. 122 of 1982 s. 20; No. 58 of 1994 s. 29(4).] </w:t>
      </w:r>
    </w:p>
    <w:p>
      <w:pPr>
        <w:pStyle w:val="Heading5"/>
        <w:rPr>
          <w:snapToGrid w:val="0"/>
        </w:rPr>
      </w:pPr>
      <w:bookmarkStart w:id="528" w:name="_Toc520087970"/>
      <w:bookmarkStart w:id="529" w:name="_Toc523620605"/>
      <w:bookmarkStart w:id="530" w:name="_Toc38853757"/>
      <w:bookmarkStart w:id="531" w:name="_Toc122328507"/>
      <w:r>
        <w:rPr>
          <w:rStyle w:val="CharSectno"/>
        </w:rPr>
        <w:t>72</w:t>
      </w:r>
      <w:r>
        <w:rPr>
          <w:snapToGrid w:val="0"/>
        </w:rPr>
        <w:t>.</w:t>
      </w:r>
      <w:r>
        <w:rPr>
          <w:snapToGrid w:val="0"/>
        </w:rPr>
        <w:tab/>
        <w:t>Person may be granted more than one mining lease</w:t>
      </w:r>
      <w:bookmarkEnd w:id="528"/>
      <w:bookmarkEnd w:id="529"/>
      <w:bookmarkEnd w:id="530"/>
      <w:bookmarkEnd w:id="531"/>
      <w:r>
        <w:rPr>
          <w:snapToGrid w:val="0"/>
        </w:rPr>
        <w:t xml:space="preserve"> </w:t>
      </w:r>
    </w:p>
    <w:p>
      <w:pPr>
        <w:pStyle w:val="Subsection"/>
        <w:rPr>
          <w:snapToGrid w:val="0"/>
        </w:rPr>
      </w:pPr>
      <w:r>
        <w:rPr>
          <w:snapToGrid w:val="0"/>
        </w:rPr>
        <w:tab/>
      </w:r>
      <w:r>
        <w:rPr>
          <w:snapToGrid w:val="0"/>
        </w:rPr>
        <w:tab/>
        <w:t>Any person may be granted more than one mining lease.</w:t>
      </w:r>
    </w:p>
    <w:p>
      <w:pPr>
        <w:pStyle w:val="Heading5"/>
        <w:rPr>
          <w:snapToGrid w:val="0"/>
        </w:rPr>
      </w:pPr>
      <w:bookmarkStart w:id="532" w:name="_Toc520087971"/>
      <w:bookmarkStart w:id="533" w:name="_Toc523620606"/>
      <w:bookmarkStart w:id="534" w:name="_Toc38853758"/>
      <w:bookmarkStart w:id="535" w:name="_Toc122328508"/>
      <w:r>
        <w:rPr>
          <w:rStyle w:val="CharSectno"/>
        </w:rPr>
        <w:t>73</w:t>
      </w:r>
      <w:r>
        <w:rPr>
          <w:snapToGrid w:val="0"/>
        </w:rPr>
        <w:t>.</w:t>
      </w:r>
      <w:r>
        <w:rPr>
          <w:snapToGrid w:val="0"/>
        </w:rPr>
        <w:tab/>
        <w:t>Area of mining lease</w:t>
      </w:r>
      <w:bookmarkEnd w:id="532"/>
      <w:bookmarkEnd w:id="533"/>
      <w:bookmarkEnd w:id="534"/>
      <w:bookmarkEnd w:id="535"/>
      <w:r>
        <w:rPr>
          <w:snapToGrid w:val="0"/>
        </w:rPr>
        <w:t xml:space="preserve"> </w:t>
      </w:r>
    </w:p>
    <w:p>
      <w:pPr>
        <w:pStyle w:val="Subsection"/>
        <w:rPr>
          <w:snapToGrid w:val="0"/>
        </w:rPr>
      </w:pPr>
      <w:r>
        <w:rPr>
          <w:snapToGrid w:val="0"/>
        </w:rPr>
        <w:tab/>
      </w:r>
      <w:r>
        <w:rPr>
          <w:snapToGrid w:val="0"/>
        </w:rPr>
        <w:tab/>
        <w:t>The area of land in respect of which any one mining lease may be granted shall not exceed 10 square kilometres.</w:t>
      </w:r>
    </w:p>
    <w:p>
      <w:pPr>
        <w:pStyle w:val="Heading5"/>
        <w:rPr>
          <w:snapToGrid w:val="0"/>
        </w:rPr>
      </w:pPr>
      <w:bookmarkStart w:id="536" w:name="_Toc520087972"/>
      <w:bookmarkStart w:id="537" w:name="_Toc523620607"/>
      <w:bookmarkStart w:id="538" w:name="_Toc38853759"/>
      <w:bookmarkStart w:id="539" w:name="_Toc122328509"/>
      <w:r>
        <w:rPr>
          <w:rStyle w:val="CharSectno"/>
        </w:rPr>
        <w:t>74</w:t>
      </w:r>
      <w:r>
        <w:rPr>
          <w:snapToGrid w:val="0"/>
        </w:rPr>
        <w:t>.</w:t>
      </w:r>
      <w:r>
        <w:rPr>
          <w:snapToGrid w:val="0"/>
        </w:rPr>
        <w:tab/>
        <w:t>Application for mining lease</w:t>
      </w:r>
      <w:bookmarkEnd w:id="536"/>
      <w:bookmarkEnd w:id="537"/>
      <w:bookmarkEnd w:id="538"/>
      <w:bookmarkEnd w:id="539"/>
      <w:r>
        <w:rPr>
          <w:snapToGrid w:val="0"/>
        </w:rPr>
        <w:t xml:space="preserve"> </w:t>
      </w:r>
    </w:p>
    <w:p>
      <w:pPr>
        <w:pStyle w:val="Subsection"/>
        <w:rPr>
          <w:snapToGrid w:val="0"/>
        </w:rPr>
      </w:pPr>
      <w:r>
        <w:rPr>
          <w:snapToGrid w:val="0"/>
        </w:rPr>
        <w:tab/>
        <w:t>(1)</w:t>
      </w:r>
      <w:r>
        <w:rPr>
          <w:snapToGrid w:val="0"/>
        </w:rPr>
        <w:tab/>
        <w:t>An application for a mining lease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w:t>
      </w:r>
    </w:p>
    <w:p>
      <w:pPr>
        <w:pStyle w:val="Indenta"/>
        <w:rPr>
          <w:snapToGrid w:val="0"/>
        </w:rPr>
      </w:pPr>
      <w:r>
        <w:rPr>
          <w:snapToGrid w:val="0"/>
        </w:rPr>
        <w:tab/>
        <w:t>(c)</w:t>
      </w:r>
      <w:r>
        <w:rPr>
          <w:snapToGrid w:val="0"/>
        </w:rPr>
        <w:tab/>
        <w:t>shall be accompanied by the prescribed application fee;</w:t>
      </w:r>
    </w:p>
    <w:p>
      <w:pPr>
        <w:pStyle w:val="Indenta"/>
        <w:rPr>
          <w:snapToGrid w:val="0"/>
        </w:rPr>
      </w:pPr>
      <w:r>
        <w:rPr>
          <w:snapToGrid w:val="0"/>
        </w:rPr>
        <w:tab/>
        <w:t>(d)</w:t>
      </w:r>
      <w:r>
        <w:rPr>
          <w:snapToGrid w:val="0"/>
        </w:rPr>
        <w:tab/>
        <w:t>shall be lodged at the office of the mining registrar.</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Footnotesection"/>
      </w:pPr>
      <w:r>
        <w:tab/>
        <w:t xml:space="preserve">[Section 74 amended by No. 100 of 1985 s. 50; No. 37 of 1993 s. 26 and 28(1); No. 58 of 1994 s. 28.] </w:t>
      </w:r>
    </w:p>
    <w:p>
      <w:pPr>
        <w:pStyle w:val="Heading5"/>
        <w:spacing w:before="120"/>
        <w:rPr>
          <w:snapToGrid w:val="0"/>
        </w:rPr>
      </w:pPr>
      <w:bookmarkStart w:id="540" w:name="_Toc520087973"/>
      <w:bookmarkStart w:id="541" w:name="_Toc523620608"/>
      <w:bookmarkStart w:id="542" w:name="_Toc38853760"/>
      <w:bookmarkStart w:id="543" w:name="_Toc122328510"/>
      <w:r>
        <w:rPr>
          <w:rStyle w:val="CharSectno"/>
        </w:rPr>
        <w:t>75</w:t>
      </w:r>
      <w:r>
        <w:rPr>
          <w:snapToGrid w:val="0"/>
        </w:rPr>
        <w:t>.</w:t>
      </w:r>
      <w:r>
        <w:rPr>
          <w:snapToGrid w:val="0"/>
        </w:rPr>
        <w:tab/>
        <w:t>Determination of application for mining lease</w:t>
      </w:r>
      <w:bookmarkEnd w:id="540"/>
      <w:bookmarkEnd w:id="541"/>
      <w:bookmarkEnd w:id="542"/>
      <w:bookmarkEnd w:id="543"/>
      <w:r>
        <w:rPr>
          <w:snapToGrid w:val="0"/>
        </w:rPr>
        <w:t xml:space="preserve"> </w:t>
      </w:r>
    </w:p>
    <w:p>
      <w:pPr>
        <w:pStyle w:val="Subsection"/>
        <w:spacing w:before="120"/>
        <w:rPr>
          <w:snapToGrid w:val="0"/>
        </w:rPr>
      </w:pPr>
      <w:r>
        <w:rPr>
          <w:snapToGrid w:val="0"/>
        </w:rPr>
        <w:tab/>
        <w:t>(1)</w:t>
      </w:r>
      <w:r>
        <w:rPr>
          <w:snapToGrid w:val="0"/>
        </w:rPr>
        <w:tab/>
        <w:t>A person who wishes to object to the granting of an application for a mining lease shall lodge at the office of the mining registrar a notice of objection within the prescribed time and in the prescribed manner.</w:t>
      </w:r>
    </w:p>
    <w:p>
      <w:pPr>
        <w:pStyle w:val="Subsection"/>
        <w:spacing w:before="120"/>
        <w:rPr>
          <w:snapToGrid w:val="0"/>
        </w:rPr>
      </w:pPr>
      <w:r>
        <w:rPr>
          <w:snapToGrid w:val="0"/>
        </w:rPr>
        <w:tab/>
        <w:t>(2)</w:t>
      </w:r>
      <w:r>
        <w:rPr>
          <w:snapToGrid w:val="0"/>
        </w:rPr>
        <w:tab/>
        <w:t>Where no notice of objection is lodged within the prescribed time the mining registrar shall, unless subsection (4)(b) applies, forward to the Minister a report which recommends the grant or refusal of the mining lease and sets out the reasons for that recommendation.</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t>the warden shall hear the application for the mining lease in open court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In the case of an application for a mining lease made by the holder of — </w:t>
      </w:r>
    </w:p>
    <w:p>
      <w:pPr>
        <w:pStyle w:val="Indenta"/>
        <w:rPr>
          <w:snapToGrid w:val="0"/>
        </w:rPr>
      </w:pPr>
      <w:r>
        <w:rPr>
          <w:snapToGrid w:val="0"/>
        </w:rPr>
        <w:tab/>
        <w:t>(a)</w:t>
      </w:r>
      <w:r>
        <w:rPr>
          <w:snapToGrid w:val="0"/>
        </w:rPr>
        <w:tab/>
        <w:t>a prospecting licence under section 49;</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rPr>
          <w:snapToGrid w:val="0"/>
        </w:rPr>
      </w:pPr>
      <w:r>
        <w:rPr>
          <w:snapToGrid w:val="0"/>
        </w:rPr>
        <w:tab/>
      </w:r>
      <w:r>
        <w:rPr>
          <w:snapToGrid w:val="0"/>
        </w:rPr>
        <w:tab/>
        <w:t>the Minister shall, subject to this Act, grant to that holder one or more mining leases —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Ednotesubsection"/>
      </w:pPr>
      <w:r>
        <w:tab/>
        <w:t>[(8)</w:t>
      </w:r>
      <w:r>
        <w:tab/>
        <w:t xml:space="preserve">repealed] </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Footnotesection"/>
      </w:pPr>
      <w:r>
        <w:tab/>
        <w:t xml:space="preserve">[Section 75 inserted by No. 58 of 1994 s. 29(1); amended by No. 52 of 1995 s. 29; No. 5 of 1997 s. 41(2).] </w:t>
      </w:r>
    </w:p>
    <w:p>
      <w:pPr>
        <w:pStyle w:val="Heading5"/>
        <w:spacing w:before="120"/>
        <w:rPr>
          <w:snapToGrid w:val="0"/>
        </w:rPr>
      </w:pPr>
      <w:bookmarkStart w:id="544" w:name="_Toc520087974"/>
      <w:bookmarkStart w:id="545" w:name="_Toc523620609"/>
      <w:bookmarkStart w:id="546" w:name="_Toc38853761"/>
      <w:bookmarkStart w:id="547" w:name="_Toc122328511"/>
      <w:r>
        <w:rPr>
          <w:rStyle w:val="CharSectno"/>
        </w:rPr>
        <w:t>76</w:t>
      </w:r>
      <w:r>
        <w:rPr>
          <w:snapToGrid w:val="0"/>
        </w:rPr>
        <w:t>.</w:t>
      </w:r>
      <w:r>
        <w:rPr>
          <w:snapToGrid w:val="0"/>
        </w:rPr>
        <w:tab/>
        <w:t>Priorities as to mining tenements</w:t>
      </w:r>
      <w:bookmarkEnd w:id="544"/>
      <w:bookmarkEnd w:id="545"/>
      <w:bookmarkEnd w:id="546"/>
      <w:bookmarkEnd w:id="547"/>
      <w:r>
        <w:rPr>
          <w:snapToGrid w:val="0"/>
        </w:rPr>
        <w:t xml:space="preserve"> </w:t>
      </w:r>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pPr>
      <w:r>
        <w:tab/>
        <w:t xml:space="preserve">[Section 76 amended by No. 100 of 1985 s. 52; No. 22 of 1990 s. 23; No. 37 of 1993 s. 12(2).] </w:t>
      </w:r>
    </w:p>
    <w:p>
      <w:pPr>
        <w:pStyle w:val="Ednotesection"/>
        <w:spacing w:before="120"/>
        <w:ind w:left="890" w:hanging="890"/>
      </w:pPr>
      <w:r>
        <w:t>[</w:t>
      </w:r>
      <w:r>
        <w:rPr>
          <w:b/>
        </w:rPr>
        <w:t>77.</w:t>
      </w:r>
      <w:r>
        <w:t xml:space="preserve"> </w:t>
      </w:r>
      <w:r>
        <w:tab/>
      </w:r>
      <w:r>
        <w:tab/>
        <w:t xml:space="preserve">Repealed by No. 122 of 1982 s. 22.] </w:t>
      </w:r>
    </w:p>
    <w:p>
      <w:pPr>
        <w:pStyle w:val="Heading5"/>
        <w:spacing w:before="120"/>
        <w:rPr>
          <w:snapToGrid w:val="0"/>
        </w:rPr>
      </w:pPr>
      <w:bookmarkStart w:id="548" w:name="_Toc520087975"/>
      <w:bookmarkStart w:id="549" w:name="_Toc523620610"/>
      <w:bookmarkStart w:id="550" w:name="_Toc38853762"/>
      <w:bookmarkStart w:id="551" w:name="_Toc122328512"/>
      <w:r>
        <w:rPr>
          <w:rStyle w:val="CharSectno"/>
        </w:rPr>
        <w:t>78</w:t>
      </w:r>
      <w:r>
        <w:rPr>
          <w:snapToGrid w:val="0"/>
        </w:rPr>
        <w:t>.</w:t>
      </w:r>
      <w:r>
        <w:rPr>
          <w:snapToGrid w:val="0"/>
        </w:rPr>
        <w:tab/>
        <w:t>Term of leases, options and renewals</w:t>
      </w:r>
      <w:bookmarkEnd w:id="548"/>
      <w:bookmarkEnd w:id="549"/>
      <w:bookmarkEnd w:id="550"/>
      <w:bookmarkEnd w:id="551"/>
      <w:r>
        <w:rPr>
          <w:snapToGrid w:val="0"/>
        </w:rPr>
        <w:t xml:space="preserve"> </w:t>
      </w:r>
    </w:p>
    <w:p>
      <w:pPr>
        <w:pStyle w:val="Subsection"/>
        <w:spacing w:before="120"/>
        <w:rPr>
          <w:snapToGrid w:val="0"/>
        </w:rPr>
      </w:pPr>
      <w:r>
        <w:rPr>
          <w:snapToGrid w:val="0"/>
        </w:rPr>
        <w:tab/>
        <w:t>(1)</w:t>
      </w:r>
      <w:r>
        <w:rPr>
          <w:snapToGrid w:val="0"/>
        </w:rPr>
        <w:tab/>
        <w:t>Subject to this Act, a mining lease shall remain in force — </w:t>
      </w:r>
    </w:p>
    <w:p>
      <w:pPr>
        <w:pStyle w:val="Indenta"/>
        <w:rPr>
          <w:snapToGrid w:val="0"/>
        </w:rPr>
      </w:pPr>
      <w:r>
        <w:rPr>
          <w:snapToGrid w:val="0"/>
        </w:rPr>
        <w:tab/>
        <w:t>(a)</w:t>
      </w:r>
      <w:r>
        <w:rPr>
          <w:snapToGrid w:val="0"/>
        </w:rPr>
        <w:tab/>
        <w:t>for an initial term of 21 years; and</w:t>
      </w:r>
    </w:p>
    <w:p>
      <w:pPr>
        <w:pStyle w:val="Indenta"/>
        <w:spacing w:before="240"/>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spacing w:before="120"/>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 xml:space="preserve">If, after an application for renewal is made under this section —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pPr>
      <w:r>
        <w:tab/>
        <w:t xml:space="preserve">[Section 78 inserted by No. 100 of 1985 s. 53; amended by No. 1 of 1986 s. 5; No. 57 of 1997 s. 89(3); No. 17 of 1999 s. 14.] </w:t>
      </w:r>
    </w:p>
    <w:p>
      <w:pPr>
        <w:pStyle w:val="Heading5"/>
        <w:spacing w:before="120"/>
        <w:rPr>
          <w:snapToGrid w:val="0"/>
        </w:rPr>
      </w:pPr>
      <w:bookmarkStart w:id="552" w:name="_Toc520087976"/>
      <w:bookmarkStart w:id="553" w:name="_Toc523620611"/>
      <w:bookmarkStart w:id="554" w:name="_Toc38853763"/>
      <w:bookmarkStart w:id="555" w:name="_Toc122328513"/>
      <w:r>
        <w:rPr>
          <w:rStyle w:val="CharSectno"/>
        </w:rPr>
        <w:t>79</w:t>
      </w:r>
      <w:r>
        <w:rPr>
          <w:snapToGrid w:val="0"/>
        </w:rPr>
        <w:t>.</w:t>
      </w:r>
      <w:r>
        <w:rPr>
          <w:snapToGrid w:val="0"/>
        </w:rPr>
        <w:tab/>
        <w:t>Approval of application</w:t>
      </w:r>
      <w:bookmarkEnd w:id="552"/>
      <w:bookmarkEnd w:id="553"/>
      <w:bookmarkEnd w:id="554"/>
      <w:bookmarkEnd w:id="555"/>
      <w:r>
        <w:rPr>
          <w:snapToGrid w:val="0"/>
        </w:rPr>
        <w:t xml:space="preserve"> </w:t>
      </w:r>
    </w:p>
    <w:p>
      <w:pPr>
        <w:pStyle w:val="Subsection"/>
        <w:spacing w:before="10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spacing w:before="100"/>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spacing w:before="120"/>
        <w:rPr>
          <w:snapToGrid w:val="0"/>
        </w:rPr>
      </w:pPr>
      <w:bookmarkStart w:id="556" w:name="_Toc520087977"/>
      <w:bookmarkStart w:id="557" w:name="_Toc523620612"/>
      <w:bookmarkStart w:id="558" w:name="_Toc38853764"/>
      <w:bookmarkStart w:id="559" w:name="_Toc122328514"/>
      <w:r>
        <w:rPr>
          <w:rStyle w:val="CharSectno"/>
        </w:rPr>
        <w:t>80</w:t>
      </w:r>
      <w:r>
        <w:rPr>
          <w:snapToGrid w:val="0"/>
        </w:rPr>
        <w:t>.</w:t>
      </w:r>
      <w:r>
        <w:rPr>
          <w:snapToGrid w:val="0"/>
        </w:rPr>
        <w:tab/>
        <w:t>Surveys of mining leases</w:t>
      </w:r>
      <w:bookmarkEnd w:id="556"/>
      <w:bookmarkEnd w:id="557"/>
      <w:bookmarkEnd w:id="558"/>
      <w:bookmarkEnd w:id="559"/>
      <w:r>
        <w:rPr>
          <w:snapToGrid w:val="0"/>
        </w:rPr>
        <w:t xml:space="preserve"> </w:t>
      </w:r>
    </w:p>
    <w:p>
      <w:pPr>
        <w:pStyle w:val="Subsection"/>
        <w:spacing w:before="100"/>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repealed]</w:t>
      </w:r>
    </w:p>
    <w:p>
      <w:pPr>
        <w:pStyle w:val="Footnotesection"/>
      </w:pPr>
      <w:r>
        <w:tab/>
        <w:t xml:space="preserve">[Section 80 inserted by No. 100 of 1985 s. 54; amended by No. 37 of 1993 s. 28(1).] </w:t>
      </w:r>
    </w:p>
    <w:p>
      <w:pPr>
        <w:pStyle w:val="Ednotesection"/>
      </w:pPr>
      <w:r>
        <w:t>[</w:t>
      </w:r>
      <w:r>
        <w:rPr>
          <w:b/>
        </w:rPr>
        <w:t xml:space="preserve">81. </w:t>
      </w:r>
      <w:r>
        <w:rPr>
          <w:b/>
        </w:rPr>
        <w:tab/>
      </w:r>
      <w:r>
        <w:tab/>
        <w:t xml:space="preserve">Repealed by No. 100 of 1985 s. 55.] </w:t>
      </w:r>
    </w:p>
    <w:p>
      <w:pPr>
        <w:pStyle w:val="Heading5"/>
        <w:spacing w:before="120"/>
        <w:rPr>
          <w:snapToGrid w:val="0"/>
        </w:rPr>
      </w:pPr>
      <w:bookmarkStart w:id="560" w:name="_Toc520087978"/>
      <w:bookmarkStart w:id="561" w:name="_Toc523620613"/>
      <w:bookmarkStart w:id="562" w:name="_Toc38853765"/>
      <w:bookmarkStart w:id="563" w:name="_Toc122328515"/>
      <w:r>
        <w:rPr>
          <w:rStyle w:val="CharSectno"/>
        </w:rPr>
        <w:t>82</w:t>
      </w:r>
      <w:r>
        <w:rPr>
          <w:snapToGrid w:val="0"/>
        </w:rPr>
        <w:t>.</w:t>
      </w:r>
      <w:r>
        <w:rPr>
          <w:snapToGrid w:val="0"/>
        </w:rPr>
        <w:tab/>
        <w:t>Covenants and conditions of lease</w:t>
      </w:r>
      <w:bookmarkEnd w:id="560"/>
      <w:bookmarkEnd w:id="561"/>
      <w:bookmarkEnd w:id="562"/>
      <w:bookmarkEnd w:id="563"/>
      <w:r>
        <w:rPr>
          <w:snapToGrid w:val="0"/>
        </w:rPr>
        <w:t xml:space="preserve"> </w:t>
      </w:r>
    </w:p>
    <w:p>
      <w:pPr>
        <w:pStyle w:val="Subsection"/>
        <w:spacing w:before="100"/>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 </w:t>
      </w:r>
    </w:p>
    <w:p>
      <w:pPr>
        <w:pStyle w:val="Indenta"/>
        <w:spacing w:before="60"/>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spacing w:before="60"/>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spacing w:before="60"/>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spacing w:before="60"/>
        <w:rPr>
          <w:snapToGrid w:val="0"/>
        </w:rPr>
      </w:pPr>
      <w:r>
        <w:rPr>
          <w:snapToGrid w:val="0"/>
        </w:rPr>
        <w:tab/>
        <w:t>(d)</w:t>
      </w:r>
      <w:r>
        <w:rPr>
          <w:snapToGrid w:val="0"/>
        </w:rPr>
        <w:tab/>
        <w:t>not assign, underlet or part with possession of such land or any part thereof without the prior written consent of the Minister, or of an officer of the Department acting with the authority of the Minister;</w:t>
      </w:r>
    </w:p>
    <w:p>
      <w:pPr>
        <w:pStyle w:val="Indenta"/>
        <w:spacing w:before="60"/>
        <w:rPr>
          <w:snapToGrid w:val="0"/>
        </w:rPr>
      </w:pPr>
      <w:r>
        <w:rPr>
          <w:snapToGrid w:val="0"/>
        </w:rPr>
        <w:tab/>
        <w:t>(e)</w:t>
      </w:r>
      <w:r>
        <w:rPr>
          <w:snapToGrid w:val="0"/>
        </w:rPr>
        <w:tab/>
        <w:t>lodge with the Department at Perth such periodical reports and returns as may be prescribed;</w:t>
      </w:r>
    </w:p>
    <w:p>
      <w:pPr>
        <w:pStyle w:val="Indenta"/>
        <w:spacing w:before="60"/>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84A(1) in relation to the lease or if a report required under paragraph (e) or section 115A in relation to the land the subject of the lease is not filed in accordance with this Act.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spacing w:before="120"/>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pPr>
      <w:r>
        <w:tab/>
        <w:t xml:space="preserve">[Section 82 amended by No. 100 of 1985 s. 56; No. 22 of 1990 s. 38; No. 37 of 1993 s. 28(1); No. 58 of 1994 s. 30; No. 17 of 1999 s. 15(2); No. 15 of 2002 s. 28.] </w:t>
      </w:r>
    </w:p>
    <w:p>
      <w:pPr>
        <w:pStyle w:val="Heading5"/>
        <w:spacing w:before="120"/>
        <w:rPr>
          <w:snapToGrid w:val="0"/>
        </w:rPr>
      </w:pPr>
      <w:bookmarkStart w:id="564" w:name="_Toc520087979"/>
      <w:bookmarkStart w:id="565" w:name="_Toc523620614"/>
      <w:bookmarkStart w:id="566" w:name="_Toc38853766"/>
      <w:bookmarkStart w:id="567" w:name="_Toc122328516"/>
      <w:r>
        <w:rPr>
          <w:rStyle w:val="CharSectno"/>
        </w:rPr>
        <w:t>83</w:t>
      </w:r>
      <w:r>
        <w:rPr>
          <w:snapToGrid w:val="0"/>
        </w:rPr>
        <w:t>.</w:t>
      </w:r>
      <w:r>
        <w:rPr>
          <w:snapToGrid w:val="0"/>
        </w:rPr>
        <w:tab/>
        <w:t>Issue of mining leases</w:t>
      </w:r>
      <w:bookmarkEnd w:id="564"/>
      <w:bookmarkEnd w:id="565"/>
      <w:bookmarkEnd w:id="566"/>
      <w:bookmarkEnd w:id="567"/>
      <w:r>
        <w:rPr>
          <w:snapToGrid w:val="0"/>
        </w:rPr>
        <w:t xml:space="preserve"> </w:t>
      </w:r>
    </w:p>
    <w:p>
      <w:pPr>
        <w:pStyle w:val="Subsection"/>
        <w:keepNext/>
        <w:spacing w:before="120"/>
        <w:rPr>
          <w:snapToGrid w:val="0"/>
        </w:rPr>
      </w:pPr>
      <w:r>
        <w:rPr>
          <w:snapToGrid w:val="0"/>
        </w:rPr>
        <w:tab/>
        <w:t>(1)</w:t>
      </w:r>
      <w:r>
        <w:rPr>
          <w:snapToGrid w:val="0"/>
        </w:rPr>
        <w:tab/>
        <w:t>Every mining lease —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keepNext/>
        <w:spacing w:before="120"/>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pPr>
      <w:r>
        <w:tab/>
        <w:t xml:space="preserve">[Section 83 amended by No. 37 of 1993 s. 11.] </w:t>
      </w:r>
    </w:p>
    <w:p>
      <w:pPr>
        <w:pStyle w:val="Heading5"/>
        <w:rPr>
          <w:snapToGrid w:val="0"/>
        </w:rPr>
      </w:pPr>
      <w:bookmarkStart w:id="568" w:name="_Toc520087980"/>
      <w:bookmarkStart w:id="569" w:name="_Toc523620615"/>
      <w:bookmarkStart w:id="570" w:name="_Toc38853767"/>
      <w:bookmarkStart w:id="571" w:name="_Toc122328517"/>
      <w:r>
        <w:rPr>
          <w:rStyle w:val="CharSectno"/>
        </w:rPr>
        <w:t>84</w:t>
      </w:r>
      <w:r>
        <w:rPr>
          <w:snapToGrid w:val="0"/>
        </w:rPr>
        <w:t>.</w:t>
      </w:r>
      <w:r>
        <w:rPr>
          <w:snapToGrid w:val="0"/>
        </w:rPr>
        <w:tab/>
        <w:t>Conditions for prevention or reduction of injury to land</w:t>
      </w:r>
      <w:bookmarkEnd w:id="568"/>
      <w:bookmarkEnd w:id="569"/>
      <w:bookmarkEnd w:id="570"/>
      <w:bookmarkEnd w:id="571"/>
      <w:r>
        <w:rPr>
          <w:snapToGrid w:val="0"/>
        </w:rPr>
        <w:t xml:space="preserve"> </w:t>
      </w:r>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natural surface of the land in respect of which the lease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rPr>
          <w:snapToGrid w:val="0"/>
        </w:rPr>
      </w:pPr>
      <w:r>
        <w:rPr>
          <w:snapToGrid w:val="0"/>
        </w:rPr>
        <w:tab/>
        <w:t>(3)</w:t>
      </w:r>
      <w:r>
        <w:rPr>
          <w:snapToGrid w:val="0"/>
        </w:rPr>
        <w:tab/>
        <w:t>Any condition imposed under this section may at any time be cancelled by the Minister or from time to time varied by him.</w:t>
      </w:r>
    </w:p>
    <w:p>
      <w:pPr>
        <w:pStyle w:val="Subsection"/>
        <w:rPr>
          <w:snapToGrid w:val="0"/>
        </w:rPr>
      </w:pPr>
      <w:r>
        <w:rPr>
          <w:snapToGrid w:val="0"/>
        </w:rPr>
        <w:tab/>
        <w:t>(4)</w:t>
      </w:r>
      <w:r>
        <w:rPr>
          <w:snapToGrid w:val="0"/>
        </w:rPr>
        <w:tab/>
        <w:t>A condition imposed in relation to a lease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pPr>
      <w:r>
        <w:tab/>
        <w:t xml:space="preserve">[Section 84 amended by No. 100 of 1985 s. 57.] </w:t>
      </w:r>
    </w:p>
    <w:p>
      <w:pPr>
        <w:pStyle w:val="Heading5"/>
        <w:rPr>
          <w:snapToGrid w:val="0"/>
        </w:rPr>
      </w:pPr>
      <w:bookmarkStart w:id="572" w:name="_Toc520087981"/>
      <w:bookmarkStart w:id="573" w:name="_Toc523620616"/>
      <w:bookmarkStart w:id="574" w:name="_Toc38853768"/>
      <w:bookmarkStart w:id="575" w:name="_Toc122328518"/>
      <w:r>
        <w:rPr>
          <w:rStyle w:val="CharSectno"/>
        </w:rPr>
        <w:t>84A</w:t>
      </w:r>
      <w:r>
        <w:rPr>
          <w:snapToGrid w:val="0"/>
        </w:rPr>
        <w:t>.</w:t>
      </w:r>
      <w:r>
        <w:rPr>
          <w:snapToGrid w:val="0"/>
        </w:rPr>
        <w:tab/>
        <w:t>Security relating to mining lease</w:t>
      </w:r>
      <w:bookmarkEnd w:id="572"/>
      <w:bookmarkEnd w:id="573"/>
      <w:bookmarkEnd w:id="574"/>
      <w:bookmarkEnd w:id="575"/>
    </w:p>
    <w:p>
      <w:pPr>
        <w:pStyle w:val="Subsection"/>
      </w:pPr>
      <w:r>
        <w:tab/>
        <w:t>(1)</w:t>
      </w:r>
      <w:r>
        <w:tab/>
        <w:t>The Minister may require the holder of a mining lease to lodge at the office of the mining registrar or the Department at Perth, within such period as the Minister specifies in writing, a security for compliance with conditions imposed in relation to the lease under section 84.</w:t>
      </w:r>
    </w:p>
    <w:p>
      <w:pPr>
        <w:pStyle w:val="Subsection"/>
      </w:pPr>
      <w:r>
        <w:tab/>
        <w:t>(2)</w:t>
      </w:r>
      <w:r>
        <w:tab/>
        <w:t>A security referred to in subsection (1) shall be in accordance with and subject to section 126.</w:t>
      </w:r>
    </w:p>
    <w:p>
      <w:pPr>
        <w:pStyle w:val="Footnotesection"/>
      </w:pPr>
      <w:r>
        <w:tab/>
        <w:t>[Section 84A inserted by No. 17 of 1999 s. 15(1).]</w:t>
      </w:r>
    </w:p>
    <w:p>
      <w:pPr>
        <w:pStyle w:val="Heading5"/>
        <w:rPr>
          <w:snapToGrid w:val="0"/>
        </w:rPr>
      </w:pPr>
      <w:bookmarkStart w:id="576" w:name="_Toc520087982"/>
      <w:bookmarkStart w:id="577" w:name="_Toc523620617"/>
      <w:bookmarkStart w:id="578" w:name="_Toc38853769"/>
      <w:bookmarkStart w:id="579" w:name="_Toc122328519"/>
      <w:r>
        <w:rPr>
          <w:rStyle w:val="CharSectno"/>
        </w:rPr>
        <w:t>85</w:t>
      </w:r>
      <w:r>
        <w:rPr>
          <w:snapToGrid w:val="0"/>
        </w:rPr>
        <w:t>.</w:t>
      </w:r>
      <w:r>
        <w:rPr>
          <w:snapToGrid w:val="0"/>
        </w:rPr>
        <w:tab/>
        <w:t>Rights of holder of mining lease</w:t>
      </w:r>
      <w:bookmarkEnd w:id="576"/>
      <w:bookmarkEnd w:id="577"/>
      <w:bookmarkEnd w:id="578"/>
      <w:bookmarkEnd w:id="579"/>
      <w:r>
        <w:rPr>
          <w:snapToGrid w:val="0"/>
        </w:rPr>
        <w:t xml:space="preserve"> </w:t>
      </w:r>
    </w:p>
    <w:p>
      <w:pPr>
        <w:pStyle w:val="Subsection"/>
        <w:keepNext/>
        <w:rPr>
          <w:snapToGrid w:val="0"/>
        </w:rPr>
      </w:pPr>
      <w:r>
        <w:rPr>
          <w:snapToGrid w:val="0"/>
        </w:rPr>
        <w:tab/>
        <w:t>(1)</w:t>
      </w:r>
      <w:r>
        <w:rPr>
          <w:snapToGrid w:val="0"/>
        </w:rPr>
        <w:tab/>
        <w:t>Subject to this Act, a mining lease authorises the lessee thereof and his agents and employees on his behalf to — </w:t>
      </w:r>
    </w:p>
    <w:p>
      <w:pPr>
        <w:pStyle w:val="Indenta"/>
        <w:rPr>
          <w:snapToGrid w:val="0"/>
        </w:rPr>
      </w:pPr>
      <w:r>
        <w:rPr>
          <w:snapToGrid w:val="0"/>
        </w:rPr>
        <w:tab/>
        <w:t>(a)</w:t>
      </w:r>
      <w:r>
        <w:rPr>
          <w:snapToGrid w:val="0"/>
        </w:rPr>
        <w:tab/>
        <w:t>work and mine the land in respect of which the lease was granted for any minerals;</w:t>
      </w:r>
    </w:p>
    <w:p>
      <w:pPr>
        <w:pStyle w:val="Indenta"/>
        <w:rPr>
          <w:snapToGrid w:val="0"/>
        </w:rPr>
      </w:pPr>
      <w:r>
        <w:rPr>
          <w:snapToGrid w:val="0"/>
        </w:rPr>
        <w:tab/>
        <w:t>(b)</w:t>
      </w:r>
      <w:r>
        <w:rPr>
          <w:snapToGrid w:val="0"/>
        </w:rPr>
        <w:tab/>
        <w:t>take and remove from the land any minerals and dispose of them;</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keepNext/>
        <w:rPr>
          <w:snapToGrid w:val="0"/>
        </w:rPr>
      </w:pPr>
      <w:r>
        <w:rPr>
          <w:snapToGrid w:val="0"/>
        </w:rPr>
        <w:tab/>
        <w:t>(2)</w:t>
      </w:r>
      <w:r>
        <w:rPr>
          <w:snapToGrid w:val="0"/>
        </w:rPr>
        <w:tab/>
        <w:t>Subject to this Act, the lessee of a mining lease —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pPr>
      <w:r>
        <w:tab/>
        <w:t xml:space="preserve">[Section 85 amended by No. 100 of 1985 s. 58.] </w:t>
      </w:r>
    </w:p>
    <w:p>
      <w:pPr>
        <w:pStyle w:val="Heading5"/>
        <w:rPr>
          <w:snapToGrid w:val="0"/>
        </w:rPr>
      </w:pPr>
      <w:bookmarkStart w:id="580" w:name="_Toc520087983"/>
      <w:bookmarkStart w:id="581" w:name="_Toc523620618"/>
      <w:bookmarkStart w:id="582" w:name="_Toc38853770"/>
      <w:bookmarkStart w:id="583" w:name="_Toc122328520"/>
      <w:r>
        <w:rPr>
          <w:rStyle w:val="CharSectno"/>
        </w:rPr>
        <w:t>85A</w:t>
      </w:r>
      <w:r>
        <w:rPr>
          <w:snapToGrid w:val="0"/>
        </w:rPr>
        <w:t>.</w:t>
      </w:r>
      <w:r>
        <w:rPr>
          <w:snapToGrid w:val="0"/>
        </w:rPr>
        <w:tab/>
        <w:t>Land the subject of mining lease not to be again marked out for a certain period</w:t>
      </w:r>
      <w:bookmarkEnd w:id="580"/>
      <w:bookmarkEnd w:id="581"/>
      <w:bookmarkEnd w:id="582"/>
      <w:bookmarkEnd w:id="583"/>
      <w:r>
        <w:rPr>
          <w:snapToGrid w:val="0"/>
        </w:rPr>
        <w:t xml:space="preserve"> </w:t>
      </w:r>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 </w:t>
      </w:r>
    </w:p>
    <w:p>
      <w:pPr>
        <w:pStyle w:val="Indenta"/>
        <w:rPr>
          <w:snapToGrid w:val="0"/>
        </w:rPr>
      </w:pPr>
      <w:r>
        <w:rPr>
          <w:snapToGrid w:val="0"/>
        </w:rPr>
        <w:tab/>
        <w:t>(a)</w:t>
      </w:r>
      <w:r>
        <w:rPr>
          <w:snapToGrid w:val="0"/>
        </w:rPr>
        <w:tab/>
        <w:t>the person who was the holder of the mining lease immediately prior to the date of the surrender, forfeiture or expiry;</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pPr>
      <w:r>
        <w:tab/>
        <w:t xml:space="preserve">[Section 85A inserted by No. 37 of 1993 s. 12(1); amended by No. 15 of 2002 s. 16.] </w:t>
      </w:r>
    </w:p>
    <w:p>
      <w:pPr>
        <w:pStyle w:val="Heading5"/>
        <w:rPr>
          <w:snapToGrid w:val="0"/>
        </w:rPr>
      </w:pPr>
      <w:bookmarkStart w:id="584" w:name="_Toc520087984"/>
      <w:bookmarkStart w:id="585" w:name="_Toc523620619"/>
      <w:bookmarkStart w:id="586" w:name="_Toc38853771"/>
      <w:bookmarkStart w:id="587" w:name="_Toc122328521"/>
      <w:r>
        <w:rPr>
          <w:rStyle w:val="CharSectno"/>
        </w:rPr>
        <w:t>85B</w:t>
      </w:r>
      <w:r>
        <w:rPr>
          <w:snapToGrid w:val="0"/>
        </w:rPr>
        <w:t>.</w:t>
      </w:r>
      <w:r>
        <w:rPr>
          <w:snapToGrid w:val="0"/>
          <w:vertAlign w:val="superscript"/>
        </w:rPr>
        <w:tab/>
      </w:r>
      <w:r>
        <w:rPr>
          <w:snapToGrid w:val="0"/>
        </w:rPr>
        <w:t>Special prospecting licence on a mining lease</w:t>
      </w:r>
      <w:bookmarkEnd w:id="584"/>
      <w:bookmarkEnd w:id="585"/>
      <w:bookmarkEnd w:id="586"/>
      <w:bookmarkEnd w:id="587"/>
      <w:r>
        <w:rPr>
          <w:snapToGrid w:val="0"/>
        </w:rPr>
        <w:t xml:space="preserve"> </w:t>
      </w:r>
    </w:p>
    <w:p>
      <w:pPr>
        <w:pStyle w:val="Subsection"/>
        <w:rPr>
          <w:snapToGrid w:val="0"/>
        </w:rPr>
      </w:pPr>
      <w:r>
        <w:rPr>
          <w:snapToGrid w:val="0"/>
        </w:rPr>
        <w:tab/>
        <w:t>(1)</w:t>
      </w:r>
      <w:r>
        <w:rPr>
          <w:snapToGrid w:val="0"/>
        </w:rPr>
        <w:tab/>
        <w:t xml:space="preserve">Where any land is the subject of a mining lease (in this section called </w:t>
      </w:r>
      <w:r>
        <w:rPr>
          <w:b/>
          <w:snapToGrid w:val="0"/>
        </w:rPr>
        <w:t>“</w:t>
      </w:r>
      <w:r>
        <w:rPr>
          <w:rStyle w:val="CharDefText"/>
        </w:rPr>
        <w:t>the primary tenement</w:t>
      </w:r>
      <w:r>
        <w:rPr>
          <w:b/>
          <w:snapToGrid w:val="0"/>
        </w:rPr>
        <w:t>”</w:t>
      </w:r>
      <w:r>
        <w:rPr>
          <w:snapToGrid w:val="0"/>
        </w:rPr>
        <w:t xml:space="preserve">) then, notwithstanding section 117, a person may at any time mark out and, in accordance with section 41, apply for a prospecting licence for gold (in this section called a </w:t>
      </w:r>
      <w:r>
        <w:rPr>
          <w:b/>
          <w:snapToGrid w:val="0"/>
        </w:rPr>
        <w:t>“</w:t>
      </w:r>
      <w:r>
        <w:rPr>
          <w:rStyle w:val="CharDefText"/>
        </w:rPr>
        <w:t>special prospecting licence</w:t>
      </w:r>
      <w:r>
        <w:rPr>
          <w:b/>
          <w:snapToGrid w:val="0"/>
        </w:rPr>
        <w:t>”</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authorises the holder of the special prospecting licence to prospect only for gold;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tonnes, except in so far as the prior written approval of the Minister may otherwise permit; and</w:t>
      </w:r>
    </w:p>
    <w:p>
      <w:pPr>
        <w:pStyle w:val="Indenta"/>
        <w:keepNext/>
        <w:rPr>
          <w:snapToGrid w:val="0"/>
        </w:rPr>
      </w:pPr>
      <w:r>
        <w:rPr>
          <w:snapToGrid w:val="0"/>
        </w:rPr>
        <w:tab/>
        <w:t>(e)</w:t>
      </w:r>
      <w:r>
        <w:rPr>
          <w:snapToGrid w:val="0"/>
        </w:rPr>
        <w:tab/>
        <w:t>does not authorise mining to be carried out in any portion of the land that is — </w:t>
      </w:r>
    </w:p>
    <w:p>
      <w:pPr>
        <w:pStyle w:val="Indenti"/>
        <w:spacing w:before="120"/>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spacing w:before="120"/>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 </w:t>
      </w:r>
    </w:p>
    <w:p>
      <w:pPr>
        <w:pStyle w:val="Indenta"/>
        <w:spacing w:before="120"/>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spacing w:before="120"/>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rPr>
          <w:snapToGrid w:val="0"/>
        </w:rPr>
      </w:pPr>
      <w:r>
        <w:rPr>
          <w:snapToGrid w:val="0"/>
        </w:rPr>
        <w:tab/>
        <w:t>(5)</w:t>
      </w:r>
      <w:r>
        <w:rPr>
          <w:snapToGrid w:val="0"/>
        </w:rPr>
        <w:tab/>
        <w:t>No legal or equitable interest in or affecting — </w:t>
      </w:r>
    </w:p>
    <w:p>
      <w:pPr>
        <w:pStyle w:val="Indenta"/>
        <w:spacing w:before="120"/>
        <w:rPr>
          <w:snapToGrid w:val="0"/>
        </w:rPr>
      </w:pPr>
      <w:r>
        <w:rPr>
          <w:snapToGrid w:val="0"/>
        </w:rPr>
        <w:tab/>
        <w:t>(a)</w:t>
      </w:r>
      <w:r>
        <w:rPr>
          <w:snapToGrid w:val="0"/>
        </w:rPr>
        <w:tab/>
        <w:t>a special prospecting licence; or</w:t>
      </w:r>
    </w:p>
    <w:p>
      <w:pPr>
        <w:pStyle w:val="Indenta"/>
        <w:keepNext/>
        <w:rPr>
          <w:snapToGrid w:val="0"/>
        </w:rPr>
      </w:pPr>
      <w:r>
        <w:rPr>
          <w:snapToGrid w:val="0"/>
        </w:rPr>
        <w:tab/>
        <w:t>(b)</w:t>
      </w:r>
      <w:r>
        <w:rPr>
          <w:snapToGrid w:val="0"/>
        </w:rPr>
        <w:tab/>
        <w:t>a mining lease in respect of the land or any part of the land the subject of a special prospecting licence,</w:t>
      </w:r>
    </w:p>
    <w:p>
      <w:pPr>
        <w:pStyle w:val="Subsection"/>
        <w:spacing w:before="100"/>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rPr>
          <w:snapToGrid w:val="0"/>
        </w:rPr>
      </w:pPr>
      <w:r>
        <w:rPr>
          <w:snapToGrid w:val="0"/>
        </w:rPr>
        <w:tab/>
        <w:t>(c)</w:t>
      </w:r>
      <w:r>
        <w:rPr>
          <w:snapToGrid w:val="0"/>
        </w:rPr>
        <w:tab/>
        <w:t>more than 3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if — </w:t>
      </w:r>
    </w:p>
    <w:p>
      <w:pPr>
        <w:pStyle w:val="Indenta"/>
        <w:rPr>
          <w:snapToGrid w:val="0"/>
        </w:rPr>
      </w:pPr>
      <w:r>
        <w:rPr>
          <w:snapToGrid w:val="0"/>
        </w:rPr>
        <w:tab/>
        <w:t>(a)</w:t>
      </w:r>
      <w:r>
        <w:rPr>
          <w:snapToGrid w:val="0"/>
        </w:rPr>
        <w:tab/>
        <w:t>after being served with the prescribed notice of that application, the holder of the primary tenement does not lodge an objection against that application; or</w:t>
      </w:r>
    </w:p>
    <w:p>
      <w:pPr>
        <w:pStyle w:val="Indenta"/>
        <w:rPr>
          <w:snapToGrid w:val="0"/>
        </w:rPr>
      </w:pPr>
      <w:r>
        <w:rPr>
          <w:snapToGrid w:val="0"/>
        </w:rPr>
        <w:tab/>
        <w:t>(b)</w:t>
      </w:r>
      <w:r>
        <w:rPr>
          <w:snapToGrid w:val="0"/>
        </w:rPr>
        <w:tab/>
        <w:t>it is proved to the satisfaction of the Minister by a report from the Director, Geological Survey, that gold exists in payable quantities on or in the land to which that application relates,</w:t>
      </w:r>
    </w:p>
    <w:p>
      <w:pPr>
        <w:pStyle w:val="Subsection"/>
        <w:rPr>
          <w:snapToGrid w:val="0"/>
        </w:rPr>
      </w:pPr>
      <w:r>
        <w:rPr>
          <w:snapToGrid w:val="0"/>
        </w:rPr>
        <w:tab/>
      </w:r>
      <w:r>
        <w:rPr>
          <w:snapToGrid w:val="0"/>
        </w:rPr>
        <w:tab/>
        <w:t>grant the application for a lease in respect of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rPr>
          <w:snapToGrid w:val="0"/>
        </w:rPr>
      </w:pPr>
      <w:r>
        <w:rPr>
          <w:snapToGrid w:val="0"/>
        </w:rPr>
        <w:tab/>
        <w:t>(8)</w:t>
      </w:r>
      <w:r>
        <w:rPr>
          <w:snapToGrid w:val="0"/>
        </w:rPr>
        <w:tab/>
        <w:t>A mining lease granted pursuant to subsection (7)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keepNext/>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pPr>
      <w:r>
        <w:tab/>
        <w:t xml:space="preserve">[Section 85B inserted by No. 37 of 1993 s. 12(1); amended by No. 58 of 1994 s. 31; No. 54 of 1996 s. 13 and 23; No. 10 of 2001 s. 134; No. 15 of 2002 s. 17.] </w:t>
      </w:r>
    </w:p>
    <w:p>
      <w:pPr>
        <w:pStyle w:val="Heading3"/>
        <w:rPr>
          <w:snapToGrid w:val="0"/>
        </w:rPr>
      </w:pPr>
      <w:bookmarkStart w:id="588" w:name="_Toc87427650"/>
      <w:bookmarkStart w:id="589" w:name="_Toc87851225"/>
      <w:bookmarkStart w:id="590" w:name="_Toc88295448"/>
      <w:bookmarkStart w:id="591" w:name="_Toc89519107"/>
      <w:bookmarkStart w:id="592" w:name="_Toc90869232"/>
      <w:bookmarkStart w:id="593" w:name="_Toc91408004"/>
      <w:bookmarkStart w:id="594" w:name="_Toc92863748"/>
      <w:bookmarkStart w:id="595" w:name="_Toc95015116"/>
      <w:bookmarkStart w:id="596" w:name="_Toc95106823"/>
      <w:bookmarkStart w:id="597" w:name="_Toc97018623"/>
      <w:bookmarkStart w:id="598" w:name="_Toc101693576"/>
      <w:bookmarkStart w:id="599" w:name="_Toc103130446"/>
      <w:bookmarkStart w:id="600" w:name="_Toc104711096"/>
      <w:bookmarkStart w:id="601" w:name="_Toc121560081"/>
      <w:bookmarkStart w:id="602" w:name="_Toc122328522"/>
      <w:r>
        <w:rPr>
          <w:rStyle w:val="CharDivNo"/>
        </w:rPr>
        <w:t>Division 4</w:t>
      </w:r>
      <w:r>
        <w:rPr>
          <w:snapToGrid w:val="0"/>
        </w:rPr>
        <w:t> — </w:t>
      </w:r>
      <w:r>
        <w:rPr>
          <w:rStyle w:val="CharDivText"/>
        </w:rPr>
        <w:t>General purpose lease</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r>
        <w:rPr>
          <w:rStyle w:val="CharDivText"/>
        </w:rPr>
        <w:t xml:space="preserve"> </w:t>
      </w:r>
    </w:p>
    <w:p>
      <w:pPr>
        <w:pStyle w:val="Ednotesection"/>
      </w:pPr>
      <w:r>
        <w:t>[</w:t>
      </w:r>
      <w:r>
        <w:rPr>
          <w:b/>
        </w:rPr>
        <w:t>85C.</w:t>
      </w:r>
      <w:r>
        <w:t xml:space="preserve"> </w:t>
      </w:r>
      <w:r>
        <w:tab/>
        <w:t xml:space="preserve">Repealed by No. 52 of 1995 s. 30.] </w:t>
      </w:r>
    </w:p>
    <w:p>
      <w:pPr>
        <w:pStyle w:val="Heading5"/>
        <w:rPr>
          <w:snapToGrid w:val="0"/>
        </w:rPr>
      </w:pPr>
      <w:bookmarkStart w:id="603" w:name="_Toc520087985"/>
      <w:bookmarkStart w:id="604" w:name="_Toc523620620"/>
      <w:bookmarkStart w:id="605" w:name="_Toc38853772"/>
      <w:bookmarkStart w:id="606" w:name="_Toc122328523"/>
      <w:r>
        <w:rPr>
          <w:rStyle w:val="CharSectno"/>
        </w:rPr>
        <w:t>86</w:t>
      </w:r>
      <w:r>
        <w:rPr>
          <w:snapToGrid w:val="0"/>
        </w:rPr>
        <w:t>.</w:t>
      </w:r>
      <w:r>
        <w:rPr>
          <w:snapToGrid w:val="0"/>
        </w:rPr>
        <w:tab/>
        <w:t>Grant of general purpose lease</w:t>
      </w:r>
      <w:bookmarkEnd w:id="603"/>
      <w:bookmarkEnd w:id="604"/>
      <w:bookmarkEnd w:id="605"/>
      <w:bookmarkEnd w:id="606"/>
      <w:r>
        <w:rPr>
          <w:snapToGrid w:val="0"/>
        </w:rPr>
        <w:t xml:space="preserve"> </w:t>
      </w:r>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rPr>
          <w:snapToGrid w:val="0"/>
        </w:rPr>
      </w:pPr>
      <w:r>
        <w:rPr>
          <w:snapToGrid w:val="0"/>
        </w:rPr>
        <w:tab/>
        <w:t>(3)</w:t>
      </w:r>
      <w:r>
        <w:rPr>
          <w:snapToGrid w:val="0"/>
        </w:rPr>
        <w:tab/>
        <w:t>The area of land in respect of which any one general purpose lease may be granted shall not exceed 10 hectares, unless the Minister is satisfied that a larger area of land is required for the purposes of the lease, and shall be limited to such depth below the natural surface of the land as may be specified in the lease or, where no depth is so specified, to 15 metres below the lowest part of the natural surface of the land.</w:t>
      </w:r>
    </w:p>
    <w:p>
      <w:pPr>
        <w:pStyle w:val="Subsection"/>
        <w:keepNext/>
        <w:rPr>
          <w:snapToGrid w:val="0"/>
        </w:rPr>
      </w:pPr>
      <w:r>
        <w:rPr>
          <w:snapToGrid w:val="0"/>
        </w:rPr>
        <w:tab/>
        <w:t>(4)</w:t>
      </w:r>
      <w:r>
        <w:rPr>
          <w:snapToGrid w:val="0"/>
        </w:rPr>
        <w:tab/>
        <w:t>An application for the grant of a general purpose lease in respect of any land —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hectares shall be accompanied by a statement specifying the reasons why such an area of land is required for the purposes of the lease.</w:t>
      </w:r>
    </w:p>
    <w:p>
      <w:pPr>
        <w:pStyle w:val="Footnotesection"/>
      </w:pPr>
      <w:r>
        <w:tab/>
        <w:t xml:space="preserve">[Section 86 amended by No. 100 of 1985 s. 59; No. 58 of 1994 s. 32; No. 17 of 1999 s. 16.] </w:t>
      </w:r>
    </w:p>
    <w:p>
      <w:pPr>
        <w:pStyle w:val="Heading5"/>
        <w:rPr>
          <w:snapToGrid w:val="0"/>
        </w:rPr>
      </w:pPr>
      <w:bookmarkStart w:id="607" w:name="_Toc520087986"/>
      <w:bookmarkStart w:id="608" w:name="_Toc523620621"/>
      <w:bookmarkStart w:id="609" w:name="_Toc38853773"/>
      <w:bookmarkStart w:id="610" w:name="_Toc122328524"/>
      <w:r>
        <w:rPr>
          <w:rStyle w:val="CharSectno"/>
        </w:rPr>
        <w:t>87</w:t>
      </w:r>
      <w:r>
        <w:rPr>
          <w:snapToGrid w:val="0"/>
        </w:rPr>
        <w:t>.</w:t>
      </w:r>
      <w:r>
        <w:rPr>
          <w:snapToGrid w:val="0"/>
        </w:rPr>
        <w:tab/>
        <w:t>Purposes for which general purpose lease may be granted</w:t>
      </w:r>
      <w:bookmarkEnd w:id="607"/>
      <w:bookmarkEnd w:id="608"/>
      <w:bookmarkEnd w:id="609"/>
      <w:bookmarkEnd w:id="610"/>
      <w:r>
        <w:rPr>
          <w:snapToGrid w:val="0"/>
        </w:rPr>
        <w:t xml:space="preserve"> </w:t>
      </w:r>
    </w:p>
    <w:p>
      <w:pPr>
        <w:pStyle w:val="Subsection"/>
        <w:spacing w:before="120"/>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spacing w:before="120"/>
        <w:rPr>
          <w:snapToGrid w:val="0"/>
        </w:rPr>
      </w:pPr>
      <w:r>
        <w:rPr>
          <w:snapToGrid w:val="0"/>
        </w:rPr>
        <w:tab/>
        <w:t>(2)</w:t>
      </w:r>
      <w:r>
        <w:rPr>
          <w:snapToGrid w:val="0"/>
        </w:rPr>
        <w:tab/>
        <w:t>The purpose or purposes for which a general purpose lease is granted shall be specified in the lease.</w:t>
      </w:r>
    </w:p>
    <w:p>
      <w:pPr>
        <w:pStyle w:val="Footnotesection"/>
      </w:pPr>
      <w:r>
        <w:tab/>
        <w:t xml:space="preserve">[Section 87 amended by No. 100 of 1985 s. 60.] </w:t>
      </w:r>
    </w:p>
    <w:p>
      <w:pPr>
        <w:pStyle w:val="Heading5"/>
        <w:spacing w:before="120"/>
        <w:rPr>
          <w:snapToGrid w:val="0"/>
        </w:rPr>
      </w:pPr>
      <w:bookmarkStart w:id="611" w:name="_Toc520087987"/>
      <w:bookmarkStart w:id="612" w:name="_Toc523620622"/>
      <w:bookmarkStart w:id="613" w:name="_Toc38853774"/>
      <w:bookmarkStart w:id="614" w:name="_Toc122328525"/>
      <w:r>
        <w:rPr>
          <w:rStyle w:val="CharSectno"/>
        </w:rPr>
        <w:t>88</w:t>
      </w:r>
      <w:r>
        <w:rPr>
          <w:snapToGrid w:val="0"/>
        </w:rPr>
        <w:t>.</w:t>
      </w:r>
      <w:r>
        <w:rPr>
          <w:snapToGrid w:val="0"/>
        </w:rPr>
        <w:tab/>
        <w:t>Term of general purpose lease</w:t>
      </w:r>
      <w:bookmarkEnd w:id="611"/>
      <w:bookmarkEnd w:id="612"/>
      <w:bookmarkEnd w:id="613"/>
      <w:bookmarkEnd w:id="614"/>
      <w:r>
        <w:rPr>
          <w:snapToGrid w:val="0"/>
        </w:rPr>
        <w:t xml:space="preserve"> </w:t>
      </w:r>
    </w:p>
    <w:p>
      <w:pPr>
        <w:pStyle w:val="Subsection"/>
        <w:keepNext/>
        <w:spacing w:before="120"/>
        <w:rPr>
          <w:snapToGrid w:val="0"/>
        </w:rPr>
      </w:pPr>
      <w:r>
        <w:rPr>
          <w:snapToGrid w:val="0"/>
        </w:rPr>
        <w:tab/>
        <w:t>(1)</w:t>
      </w:r>
      <w:r>
        <w:rPr>
          <w:snapToGrid w:val="0"/>
        </w:rPr>
        <w:tab/>
        <w:t>Subject to this Act, a general purpose lease remains in force — </w:t>
      </w:r>
    </w:p>
    <w:p>
      <w:pPr>
        <w:pStyle w:val="Indenta"/>
        <w:spacing w:before="60"/>
        <w:rPr>
          <w:snapToGrid w:val="0"/>
        </w:rPr>
      </w:pPr>
      <w:r>
        <w:rPr>
          <w:snapToGrid w:val="0"/>
        </w:rPr>
        <w:tab/>
        <w:t>(a)</w:t>
      </w:r>
      <w:r>
        <w:rPr>
          <w:snapToGrid w:val="0"/>
        </w:rPr>
        <w:tab/>
        <w:t>where it is granted in relation to a particular mining lease and contains no other provision for expiry, until —</w:t>
      </w:r>
    </w:p>
    <w:p>
      <w:pPr>
        <w:pStyle w:val="Indenti"/>
        <w:spacing w:before="60"/>
        <w:rPr>
          <w:snapToGrid w:val="0"/>
        </w:rPr>
      </w:pPr>
      <w:r>
        <w:rPr>
          <w:snapToGrid w:val="0"/>
        </w:rPr>
        <w:tab/>
        <w:t>(i)</w:t>
      </w:r>
      <w:r>
        <w:rPr>
          <w:snapToGrid w:val="0"/>
        </w:rPr>
        <w:tab/>
        <w:t>it is surrendered or forfeited; or</w:t>
      </w:r>
    </w:p>
    <w:p>
      <w:pPr>
        <w:pStyle w:val="Indenti"/>
        <w:spacing w:before="60"/>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in any other case, for a period of 21 years or until it is sooner surrendered or forfeited.</w:t>
      </w:r>
    </w:p>
    <w:p>
      <w:pPr>
        <w:pStyle w:val="Subsection"/>
        <w:rPr>
          <w:snapToGrid w:val="0"/>
        </w:rPr>
      </w:pPr>
      <w:r>
        <w:rPr>
          <w:snapToGrid w:val="0"/>
        </w:rPr>
        <w:tab/>
        <w:t>(2)</w:t>
      </w:r>
      <w:r>
        <w:rPr>
          <w:snapToGrid w:val="0"/>
        </w:rPr>
        <w:tab/>
        <w:t xml:space="preserve">Notwithstanding subsection (1), on receipt of an application made in the prescribed manner during the final year of the term of the lease, the Minister — </w:t>
      </w:r>
    </w:p>
    <w:p>
      <w:pPr>
        <w:pStyle w:val="Indenta"/>
        <w:rPr>
          <w:snapToGrid w:val="0"/>
        </w:rPr>
      </w:pPr>
      <w:r>
        <w:rPr>
          <w:snapToGrid w:val="0"/>
        </w:rPr>
        <w:tab/>
        <w:t>(a)</w:t>
      </w:r>
      <w:r>
        <w:rPr>
          <w:snapToGrid w:val="0"/>
        </w:rPr>
        <w:tab/>
        <w:t xml:space="preserve">shall renew the term of the lease as to the whole of the land the subject of the lease —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may, in the case of a lease renewed under paragraph (a), renew or further renew the term of the lease as to the whole or any part of the land the subject of the lease —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rPr>
          <w:snapToGrid w:val="0"/>
        </w:rPr>
      </w:pPr>
      <w:r>
        <w:rPr>
          <w:snapToGrid w:val="0"/>
        </w:rPr>
        <w:tab/>
        <w:t>(4)</w:t>
      </w:r>
      <w:r>
        <w:rPr>
          <w:snapToGrid w:val="0"/>
        </w:rPr>
        <w:tab/>
        <w:t xml:space="preserve">If, after an application for renewal is made under this section —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pPr>
      <w:r>
        <w:tab/>
        <w:t xml:space="preserve">[Section 88 inserted by No. 100 of 1985 s. 61; amended by No. 105 of 1986 s. 11; No. 12 of 1987 s. 6; No. 17 of 1999 s. 17.] </w:t>
      </w:r>
    </w:p>
    <w:p>
      <w:pPr>
        <w:pStyle w:val="Heading5"/>
        <w:rPr>
          <w:snapToGrid w:val="0"/>
        </w:rPr>
      </w:pPr>
      <w:bookmarkStart w:id="615" w:name="_Toc520087988"/>
      <w:bookmarkStart w:id="616" w:name="_Toc523620623"/>
      <w:bookmarkStart w:id="617" w:name="_Toc38853775"/>
      <w:bookmarkStart w:id="618" w:name="_Toc122328526"/>
      <w:r>
        <w:rPr>
          <w:rStyle w:val="CharSectno"/>
        </w:rPr>
        <w:t>89</w:t>
      </w:r>
      <w:r>
        <w:rPr>
          <w:snapToGrid w:val="0"/>
        </w:rPr>
        <w:t>.</w:t>
      </w:r>
      <w:r>
        <w:rPr>
          <w:snapToGrid w:val="0"/>
        </w:rPr>
        <w:tab/>
        <w:t>Form of general purpose lease</w:t>
      </w:r>
      <w:bookmarkEnd w:id="615"/>
      <w:bookmarkEnd w:id="616"/>
      <w:bookmarkEnd w:id="617"/>
      <w:bookmarkEnd w:id="618"/>
      <w:r>
        <w:rPr>
          <w:snapToGrid w:val="0"/>
        </w:rPr>
        <w:t xml:space="preserve"> </w:t>
      </w:r>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 xml:space="preserve">[Section 89 amended by No. 100 of 1985 s. 62.] </w:t>
      </w:r>
    </w:p>
    <w:p>
      <w:pPr>
        <w:pStyle w:val="Heading5"/>
        <w:rPr>
          <w:snapToGrid w:val="0"/>
        </w:rPr>
      </w:pPr>
      <w:bookmarkStart w:id="619" w:name="_Toc520087989"/>
      <w:bookmarkStart w:id="620" w:name="_Toc523620624"/>
      <w:bookmarkStart w:id="621" w:name="_Toc38853776"/>
      <w:bookmarkStart w:id="622" w:name="_Toc122328527"/>
      <w:r>
        <w:rPr>
          <w:rStyle w:val="CharSectno"/>
        </w:rPr>
        <w:t>90</w:t>
      </w:r>
      <w:r>
        <w:rPr>
          <w:snapToGrid w:val="0"/>
        </w:rPr>
        <w:t>.</w:t>
      </w:r>
      <w:r>
        <w:rPr>
          <w:snapToGrid w:val="0"/>
        </w:rPr>
        <w:tab/>
        <w:t>Certain provisions apply to general purpose leases</w:t>
      </w:r>
      <w:bookmarkEnd w:id="619"/>
      <w:bookmarkEnd w:id="620"/>
      <w:bookmarkEnd w:id="621"/>
      <w:bookmarkEnd w:id="622"/>
      <w:r>
        <w:rPr>
          <w:snapToGrid w:val="0"/>
        </w:rPr>
        <w:t xml:space="preserve"> </w:t>
      </w:r>
    </w:p>
    <w:p>
      <w:pPr>
        <w:pStyle w:val="Subsection"/>
        <w:rPr>
          <w:snapToGrid w:val="0"/>
        </w:rPr>
      </w:pPr>
      <w:r>
        <w:rPr>
          <w:snapToGrid w:val="0"/>
        </w:rPr>
        <w:tab/>
      </w:r>
      <w:r>
        <w:rPr>
          <w:snapToGrid w:val="0"/>
        </w:rPr>
        <w:tab/>
        <w:t>The provisions of sections 74, 75, 76, 79, 80, 83, 84, 84A, 104 and 105, with such modifications as the circumstances require, apply to and in relation to a general purpose lease.</w:t>
      </w:r>
    </w:p>
    <w:p>
      <w:pPr>
        <w:pStyle w:val="Footnotesection"/>
      </w:pPr>
      <w:r>
        <w:tab/>
        <w:t xml:space="preserve">[Section 90 amended by No. 52 of 1983 s. 4; No. 54 of 1996 s. 23; No. 17 of 1999 s. 18.] </w:t>
      </w:r>
    </w:p>
    <w:p>
      <w:pPr>
        <w:pStyle w:val="Heading3"/>
        <w:rPr>
          <w:snapToGrid w:val="0"/>
        </w:rPr>
      </w:pPr>
      <w:bookmarkStart w:id="623" w:name="_Toc87427656"/>
      <w:bookmarkStart w:id="624" w:name="_Toc87851231"/>
      <w:bookmarkStart w:id="625" w:name="_Toc88295454"/>
      <w:bookmarkStart w:id="626" w:name="_Toc89519113"/>
      <w:bookmarkStart w:id="627" w:name="_Toc90869238"/>
      <w:bookmarkStart w:id="628" w:name="_Toc91408010"/>
      <w:bookmarkStart w:id="629" w:name="_Toc92863754"/>
      <w:bookmarkStart w:id="630" w:name="_Toc95015122"/>
      <w:bookmarkStart w:id="631" w:name="_Toc95106829"/>
      <w:bookmarkStart w:id="632" w:name="_Toc97018629"/>
      <w:bookmarkStart w:id="633" w:name="_Toc101693582"/>
      <w:bookmarkStart w:id="634" w:name="_Toc103130452"/>
      <w:bookmarkStart w:id="635" w:name="_Toc104711102"/>
      <w:bookmarkStart w:id="636" w:name="_Toc121560087"/>
      <w:bookmarkStart w:id="637" w:name="_Toc122328528"/>
      <w:r>
        <w:rPr>
          <w:rStyle w:val="CharDivNo"/>
        </w:rPr>
        <w:t>Division 5</w:t>
      </w:r>
      <w:r>
        <w:rPr>
          <w:snapToGrid w:val="0"/>
        </w:rPr>
        <w:t> — </w:t>
      </w:r>
      <w:r>
        <w:rPr>
          <w:rStyle w:val="CharDivText"/>
        </w:rPr>
        <w:t>Miscellaneous licences</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r>
        <w:rPr>
          <w:rStyle w:val="CharDivText"/>
        </w:rPr>
        <w:t xml:space="preserve"> </w:t>
      </w:r>
    </w:p>
    <w:p>
      <w:pPr>
        <w:pStyle w:val="Ednotesection"/>
      </w:pPr>
      <w:r>
        <w:t>[</w:t>
      </w:r>
      <w:r>
        <w:rPr>
          <w:b/>
        </w:rPr>
        <w:t xml:space="preserve">90A. </w:t>
      </w:r>
      <w:r>
        <w:rPr>
          <w:b/>
        </w:rPr>
        <w:tab/>
      </w:r>
      <w:r>
        <w:t xml:space="preserve">Repealed by No. 52 of 1995 s. 31.] </w:t>
      </w:r>
    </w:p>
    <w:p>
      <w:pPr>
        <w:pStyle w:val="Heading5"/>
        <w:rPr>
          <w:snapToGrid w:val="0"/>
        </w:rPr>
      </w:pPr>
      <w:bookmarkStart w:id="638" w:name="_Toc520087990"/>
      <w:bookmarkStart w:id="639" w:name="_Toc523620625"/>
      <w:bookmarkStart w:id="640" w:name="_Toc38853777"/>
      <w:bookmarkStart w:id="641" w:name="_Toc122328529"/>
      <w:r>
        <w:rPr>
          <w:rStyle w:val="CharSectno"/>
        </w:rPr>
        <w:t>91</w:t>
      </w:r>
      <w:r>
        <w:rPr>
          <w:snapToGrid w:val="0"/>
        </w:rPr>
        <w:t>.</w:t>
      </w:r>
      <w:r>
        <w:rPr>
          <w:snapToGrid w:val="0"/>
        </w:rPr>
        <w:tab/>
        <w:t xml:space="preserve">Grant of miscellaneous </w:t>
      </w:r>
      <w:bookmarkEnd w:id="638"/>
      <w:r>
        <w:rPr>
          <w:snapToGrid w:val="0"/>
        </w:rPr>
        <w:t>licence</w:t>
      </w:r>
      <w:bookmarkEnd w:id="639"/>
      <w:bookmarkEnd w:id="640"/>
      <w:bookmarkEnd w:id="641"/>
      <w:r>
        <w:rPr>
          <w:snapToGrid w:val="0"/>
        </w:rPr>
        <w:t xml:space="preserve"> </w:t>
      </w:r>
    </w:p>
    <w:p>
      <w:pPr>
        <w:pStyle w:val="Subsection"/>
        <w:rPr>
          <w:snapToGrid w:val="0"/>
        </w:rPr>
      </w:pPr>
      <w:r>
        <w:rPr>
          <w:snapToGrid w:val="0"/>
        </w:rPr>
        <w:tab/>
        <w:t>(1)</w:t>
      </w:r>
      <w:r>
        <w:rPr>
          <w:snapToGrid w:val="0"/>
        </w:rPr>
        <w:tab/>
        <w:t xml:space="preserve">Subject to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A person may be granted more than one miscellaneous licence.</w:t>
      </w:r>
    </w:p>
    <w:p>
      <w:pPr>
        <w:pStyle w:val="Subsection"/>
        <w:rPr>
          <w:snapToGrid w:val="0"/>
        </w:rPr>
      </w:pPr>
      <w:r>
        <w:rPr>
          <w:snapToGrid w:val="0"/>
        </w:rPr>
        <w:tab/>
        <w:t>(3)</w:t>
      </w:r>
      <w:r>
        <w:rPr>
          <w:snapToGrid w:val="0"/>
        </w:rPr>
        <w:tab/>
        <w:t>A miscellaneous licence shall —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tabs>
          <w:tab w:val="clear" w:pos="605"/>
          <w:tab w:val="clear" w:pos="893"/>
          <w:tab w:val="left" w:pos="284"/>
        </w:tabs>
      </w:pPr>
      <w:r>
        <w:tab/>
        <w:t>[(4) and (5)   repealed]</w:t>
      </w:r>
    </w:p>
    <w:p>
      <w:pPr>
        <w:pStyle w:val="Subsection"/>
        <w:spacing w:before="120"/>
        <w:rPr>
          <w:snapToGrid w:val="0"/>
        </w:rPr>
      </w:pPr>
      <w:r>
        <w:rPr>
          <w:snapToGrid w:val="0"/>
        </w:rPr>
        <w:tab/>
        <w:t>(6)</w:t>
      </w:r>
      <w:r>
        <w:rPr>
          <w:snapToGrid w:val="0"/>
        </w:rPr>
        <w:tab/>
        <w:t>A miscellaneous licence shall not be granted unless the purpose for which it is granted is directly connected with mining operations.</w:t>
      </w:r>
    </w:p>
    <w:p>
      <w:pPr>
        <w:pStyle w:val="Subsection"/>
        <w:spacing w:before="120"/>
        <w:rPr>
          <w:snapToGrid w:val="0"/>
        </w:rPr>
      </w:pPr>
      <w:r>
        <w:rPr>
          <w:snapToGrid w:val="0"/>
        </w:rPr>
        <w:tab/>
        <w:t>(7)</w:t>
      </w:r>
      <w:r>
        <w:rPr>
          <w:snapToGrid w:val="0"/>
        </w:rPr>
        <w:tab/>
        <w:t>Sections 18, 23 and 27 do not prevent a miscellaneous licence from being applied for or granted in respect of land that is the subject of another mining tenement.</w:t>
      </w:r>
    </w:p>
    <w:p>
      <w:pPr>
        <w:pStyle w:val="Subsection"/>
        <w:spacing w:before="120"/>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spacing w:before="120"/>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spacing w:before="120"/>
        <w:rPr>
          <w:snapToGrid w:val="0"/>
        </w:rPr>
      </w:pPr>
      <w:r>
        <w:rPr>
          <w:snapToGrid w:val="0"/>
        </w:rPr>
        <w:tab/>
        <w:t>(10)</w:t>
      </w:r>
      <w:r>
        <w:rPr>
          <w:snapToGrid w:val="0"/>
        </w:rPr>
        <w:tab/>
        <w:t>The local government is entitled to be heard on the application and may submit to the mining registrar or the warden, as the case requires, any terms and conditions to which it considers the miscellaneous licence, if granted, should be subject.</w:t>
      </w:r>
    </w:p>
    <w:p>
      <w:pPr>
        <w:pStyle w:val="Footnotesection"/>
      </w:pPr>
      <w:r>
        <w:tab/>
        <w:t xml:space="preserve">[Section 91 inserted by No. 58 of 1994 s. 33; amended by No. 14 of 1996 s. 4; No. 35 of 1998 s. 4(1) and (2); No. 15 of 2002 s. 18.] </w:t>
      </w:r>
    </w:p>
    <w:p>
      <w:pPr>
        <w:pStyle w:val="Heading5"/>
        <w:spacing w:before="120"/>
        <w:rPr>
          <w:snapToGrid w:val="0"/>
        </w:rPr>
      </w:pPr>
      <w:bookmarkStart w:id="642" w:name="_Toc520087991"/>
      <w:bookmarkStart w:id="643" w:name="_Toc523620626"/>
      <w:bookmarkStart w:id="644" w:name="_Toc38853778"/>
      <w:bookmarkStart w:id="645" w:name="_Toc122328530"/>
      <w:r>
        <w:rPr>
          <w:rStyle w:val="CharSectno"/>
        </w:rPr>
        <w:t>91A</w:t>
      </w:r>
      <w:r>
        <w:rPr>
          <w:snapToGrid w:val="0"/>
        </w:rPr>
        <w:t>.</w:t>
      </w:r>
      <w:r>
        <w:rPr>
          <w:snapToGrid w:val="0"/>
        </w:rPr>
        <w:tab/>
        <w:t>Term and renewal of existing licence or licence granted in respect of existing application</w:t>
      </w:r>
      <w:bookmarkEnd w:id="642"/>
      <w:bookmarkEnd w:id="643"/>
      <w:bookmarkEnd w:id="644"/>
      <w:bookmarkEnd w:id="645"/>
      <w:r>
        <w:rPr>
          <w:snapToGrid w:val="0"/>
        </w:rPr>
        <w:t xml:space="preserve"> </w:t>
      </w:r>
    </w:p>
    <w:p>
      <w:pPr>
        <w:pStyle w:val="Subsection"/>
        <w:spacing w:before="120"/>
        <w:rPr>
          <w:snapToGrid w:val="0"/>
        </w:rPr>
      </w:pPr>
      <w:r>
        <w:rPr>
          <w:snapToGrid w:val="0"/>
        </w:rPr>
        <w:tab/>
        <w:t>(1)</w:t>
      </w:r>
      <w:r>
        <w:rPr>
          <w:snapToGrid w:val="0"/>
        </w:rPr>
        <w:tab/>
        <w:t xml:space="preserve">This section applies to a miscellaneous licence that is —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spacing w:before="120"/>
        <w:rPr>
          <w:snapToGrid w:val="0"/>
        </w:rPr>
      </w:pPr>
      <w:r>
        <w:rPr>
          <w:snapToGrid w:val="0"/>
        </w:rPr>
        <w:tab/>
        <w:t>(2)</w:t>
      </w:r>
      <w:r>
        <w:rPr>
          <w:snapToGrid w:val="0"/>
        </w:rPr>
        <w:tab/>
        <w:t xml:space="preserve">Subject to this Act, a licence to which this section applies remains in force for —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spacing w:before="240"/>
        <w:rPr>
          <w:snapToGrid w:val="0"/>
        </w:rPr>
      </w:pPr>
      <w:r>
        <w:rPr>
          <w:snapToGrid w:val="0"/>
        </w:rPr>
        <w:tab/>
        <w:t>(3)</w:t>
      </w:r>
      <w:r>
        <w:rPr>
          <w:snapToGrid w:val="0"/>
        </w:rPr>
        <w:tab/>
        <w:t xml:space="preserve">Notwithstanding subsection (2), on receipt of an application made in the prescribed manner during the final year of the term of the licence, the Minister — </w:t>
      </w:r>
    </w:p>
    <w:p>
      <w:pPr>
        <w:pStyle w:val="Indenta"/>
        <w:spacing w:before="120"/>
        <w:rPr>
          <w:snapToGrid w:val="0"/>
        </w:rPr>
      </w:pPr>
      <w:r>
        <w:rPr>
          <w:snapToGrid w:val="0"/>
        </w:rPr>
        <w:tab/>
        <w:t>(a)</w:t>
      </w:r>
      <w:r>
        <w:rPr>
          <w:snapToGrid w:val="0"/>
        </w:rPr>
        <w:tab/>
        <w:t xml:space="preserve">may renew the term of the licence as to the whole or any part of the land the subject of the licence — </w:t>
      </w:r>
    </w:p>
    <w:p>
      <w:pPr>
        <w:pStyle w:val="Indenti"/>
        <w:spacing w:before="120"/>
        <w:rPr>
          <w:snapToGrid w:val="0"/>
        </w:rPr>
      </w:pPr>
      <w:r>
        <w:rPr>
          <w:snapToGrid w:val="0"/>
        </w:rPr>
        <w:tab/>
        <w:t>(i)</w:t>
      </w:r>
      <w:r>
        <w:rPr>
          <w:snapToGrid w:val="0"/>
        </w:rPr>
        <w:tab/>
        <w:t>for one further period not exceeding 5 years; and</w:t>
      </w:r>
    </w:p>
    <w:p>
      <w:pPr>
        <w:pStyle w:val="Indenti"/>
        <w:spacing w:before="120"/>
        <w:rPr>
          <w:snapToGrid w:val="0"/>
        </w:rPr>
      </w:pPr>
      <w:r>
        <w:rPr>
          <w:snapToGrid w:val="0"/>
        </w:rPr>
        <w:tab/>
        <w:t>(ii)</w:t>
      </w:r>
      <w:r>
        <w:rPr>
          <w:snapToGrid w:val="0"/>
        </w:rPr>
        <w:tab/>
        <w:t xml:space="preserve">on such terms and conditions as the Minister thinks fit; </w:t>
      </w:r>
    </w:p>
    <w:p>
      <w:pPr>
        <w:pStyle w:val="Indenta"/>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 xml:space="preserve">shall, in the case of a licence renewed under paragraph (a), renew or further renew the term of the licence as to the whole of the land the subject of the licence — </w:t>
      </w:r>
    </w:p>
    <w:p>
      <w:pPr>
        <w:pStyle w:val="Indenti"/>
        <w:spacing w:before="120"/>
        <w:rPr>
          <w:snapToGrid w:val="0"/>
        </w:rPr>
      </w:pPr>
      <w:r>
        <w:rPr>
          <w:snapToGrid w:val="0"/>
        </w:rPr>
        <w:tab/>
        <w:t>(i)</w:t>
      </w:r>
      <w:r>
        <w:rPr>
          <w:snapToGrid w:val="0"/>
        </w:rPr>
        <w:tab/>
        <w:t>for a period that is the same as the period for which the licence was renewed under paragraph (a); and</w:t>
      </w:r>
    </w:p>
    <w:p>
      <w:pPr>
        <w:pStyle w:val="Indenti"/>
        <w:spacing w:before="120"/>
        <w:rPr>
          <w:snapToGrid w:val="0"/>
        </w:rPr>
      </w:pPr>
      <w:r>
        <w:rPr>
          <w:snapToGrid w:val="0"/>
        </w:rPr>
        <w:tab/>
        <w:t>(ii)</w:t>
      </w:r>
      <w:r>
        <w:rPr>
          <w:snapToGrid w:val="0"/>
        </w:rPr>
        <w:tab/>
        <w:t>on the terms and conditions to which the licence was subject before its renewal.</w:t>
      </w:r>
    </w:p>
    <w:p>
      <w:pPr>
        <w:pStyle w:val="Subsection"/>
        <w:spacing w:before="240"/>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spacing w:before="240"/>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spacing w:before="120"/>
        <w:rPr>
          <w:snapToGrid w:val="0"/>
        </w:rPr>
      </w:pPr>
      <w:r>
        <w:rPr>
          <w:snapToGrid w:val="0"/>
        </w:rPr>
        <w:tab/>
        <w:t>(6)</w:t>
      </w:r>
      <w:r>
        <w:rPr>
          <w:snapToGrid w:val="0"/>
        </w:rPr>
        <w:tab/>
        <w:t xml:space="preserve">In this section and section 91B — </w:t>
      </w:r>
    </w:p>
    <w:p>
      <w:pPr>
        <w:pStyle w:val="Defstart"/>
        <w:keepNext/>
      </w:pPr>
      <w:r>
        <w:tab/>
      </w:r>
      <w:r>
        <w:rPr>
          <w:b/>
        </w:rPr>
        <w:t>“</w:t>
      </w:r>
      <w:r>
        <w:rPr>
          <w:rStyle w:val="CharDefText"/>
        </w:rPr>
        <w:t>commencement</w:t>
      </w:r>
      <w:r>
        <w:rPr>
          <w:b/>
        </w:rPr>
        <w:t>”</w:t>
      </w:r>
      <w:r>
        <w:t xml:space="preserve"> means the commencement of the </w:t>
      </w:r>
      <w:r>
        <w:rPr>
          <w:i/>
        </w:rPr>
        <w:t>Mining Amendment Act 1998</w:t>
      </w:r>
      <w:r>
        <w:t xml:space="preserve"> </w:t>
      </w:r>
      <w:r>
        <w:rPr>
          <w:vertAlign w:val="superscript"/>
        </w:rPr>
        <w:t>1</w:t>
      </w:r>
      <w:r>
        <w:t>.</w:t>
      </w:r>
    </w:p>
    <w:p>
      <w:pPr>
        <w:pStyle w:val="Footnotesection"/>
        <w:keepLines w:val="0"/>
        <w:spacing w:before="80"/>
        <w:ind w:left="890" w:hanging="890"/>
      </w:pPr>
      <w:r>
        <w:tab/>
        <w:t>[Section 91A inserted by No. 35 of 1998 s. 5.]</w:t>
      </w:r>
    </w:p>
    <w:p>
      <w:pPr>
        <w:pStyle w:val="Heading5"/>
        <w:rPr>
          <w:snapToGrid w:val="0"/>
        </w:rPr>
      </w:pPr>
      <w:bookmarkStart w:id="646" w:name="_Toc520087992"/>
      <w:bookmarkStart w:id="647" w:name="_Toc523620627"/>
      <w:bookmarkStart w:id="648" w:name="_Toc38853779"/>
      <w:bookmarkStart w:id="649" w:name="_Toc122328531"/>
      <w:r>
        <w:rPr>
          <w:rStyle w:val="CharSectno"/>
        </w:rPr>
        <w:t>91B</w:t>
      </w:r>
      <w:r>
        <w:rPr>
          <w:snapToGrid w:val="0"/>
        </w:rPr>
        <w:t>.</w:t>
      </w:r>
      <w:r>
        <w:rPr>
          <w:snapToGrid w:val="0"/>
        </w:rPr>
        <w:tab/>
        <w:t>Term and renewal of licence granted in respect of new application</w:t>
      </w:r>
      <w:bookmarkEnd w:id="646"/>
      <w:bookmarkEnd w:id="647"/>
      <w:bookmarkEnd w:id="648"/>
      <w:bookmarkEnd w:id="649"/>
      <w:r>
        <w:rPr>
          <w:snapToGrid w:val="0"/>
        </w:rPr>
        <w:t xml:space="preserve"> </w:t>
      </w:r>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 xml:space="preserve">Notwithstanding subsection (2), on receipt of an application made in the prescribed manner during the final year of the term of the licence, the Minister — </w:t>
      </w:r>
    </w:p>
    <w:p>
      <w:pPr>
        <w:pStyle w:val="Indenta"/>
        <w:spacing w:before="120"/>
        <w:rPr>
          <w:snapToGrid w:val="0"/>
        </w:rPr>
      </w:pPr>
      <w:r>
        <w:rPr>
          <w:snapToGrid w:val="0"/>
        </w:rPr>
        <w:tab/>
        <w:t>(a)</w:t>
      </w:r>
      <w:r>
        <w:rPr>
          <w:snapToGrid w:val="0"/>
        </w:rPr>
        <w:tab/>
        <w:t xml:space="preserve">shall renew the term of the licence as to the whole of the land the subject of the licence — </w:t>
      </w:r>
    </w:p>
    <w:p>
      <w:pPr>
        <w:pStyle w:val="Indenti"/>
        <w:spacing w:before="120"/>
        <w:rPr>
          <w:snapToGrid w:val="0"/>
        </w:rPr>
      </w:pPr>
      <w:r>
        <w:rPr>
          <w:snapToGrid w:val="0"/>
        </w:rPr>
        <w:tab/>
        <w:t>(i)</w:t>
      </w:r>
      <w:r>
        <w:rPr>
          <w:snapToGrid w:val="0"/>
        </w:rPr>
        <w:tab/>
        <w:t>for one further period of 21 years; and</w:t>
      </w:r>
    </w:p>
    <w:p>
      <w:pPr>
        <w:pStyle w:val="Indenti"/>
        <w:spacing w:before="120"/>
        <w:rPr>
          <w:snapToGrid w:val="0"/>
        </w:rPr>
      </w:pPr>
      <w:r>
        <w:rPr>
          <w:snapToGrid w:val="0"/>
        </w:rPr>
        <w:tab/>
        <w:t>(ii)</w:t>
      </w:r>
      <w:r>
        <w:rPr>
          <w:snapToGrid w:val="0"/>
        </w:rPr>
        <w:tab/>
        <w:t>on the terms and conditions to which the licence was subject before its renewal;</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 xml:space="preserve">may, in the case of a licence renewed under paragraph (a), renew or further renew the term of the licence as to the whole or any part of the land the subject of the licence — </w:t>
      </w:r>
    </w:p>
    <w:p>
      <w:pPr>
        <w:pStyle w:val="Indenti"/>
        <w:spacing w:before="120"/>
        <w:rPr>
          <w:snapToGrid w:val="0"/>
        </w:rPr>
      </w:pPr>
      <w:r>
        <w:rPr>
          <w:snapToGrid w:val="0"/>
        </w:rPr>
        <w:tab/>
        <w:t>(i)</w:t>
      </w:r>
      <w:r>
        <w:rPr>
          <w:snapToGrid w:val="0"/>
        </w:rPr>
        <w:tab/>
        <w:t>for a period not exceeding 21 years; and</w:t>
      </w:r>
    </w:p>
    <w:p>
      <w:pPr>
        <w:pStyle w:val="Indenti"/>
        <w:spacing w:before="120"/>
        <w:rPr>
          <w:snapToGrid w:val="0"/>
        </w:rPr>
      </w:pPr>
      <w:r>
        <w:rPr>
          <w:snapToGrid w:val="0"/>
        </w:rPr>
        <w:tab/>
        <w:t>(ii)</w:t>
      </w:r>
      <w:r>
        <w:rPr>
          <w:snapToGrid w:val="0"/>
        </w:rPr>
        <w:tab/>
        <w:t>on such terms and conditions as the Minister thinks fit.</w:t>
      </w:r>
    </w:p>
    <w:p>
      <w:pPr>
        <w:pStyle w:val="Subsection"/>
        <w:spacing w:before="240"/>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spacing w:before="240"/>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Footnotesection"/>
      </w:pPr>
      <w:r>
        <w:tab/>
        <w:t>[Section 91B inserted by No. 35 of 1998 s. 5.]</w:t>
      </w:r>
    </w:p>
    <w:p>
      <w:pPr>
        <w:pStyle w:val="Heading5"/>
        <w:spacing w:before="120"/>
        <w:ind w:left="0" w:firstLine="0"/>
        <w:rPr>
          <w:snapToGrid w:val="0"/>
        </w:rPr>
      </w:pPr>
      <w:bookmarkStart w:id="650" w:name="_Toc520087993"/>
      <w:bookmarkStart w:id="651" w:name="_Toc523620628"/>
      <w:bookmarkStart w:id="652" w:name="_Toc38853780"/>
      <w:bookmarkStart w:id="653" w:name="_Toc122328532"/>
      <w:r>
        <w:rPr>
          <w:rStyle w:val="CharSectno"/>
        </w:rPr>
        <w:t>92</w:t>
      </w:r>
      <w:r>
        <w:rPr>
          <w:snapToGrid w:val="0"/>
        </w:rPr>
        <w:t>.</w:t>
      </w:r>
      <w:r>
        <w:rPr>
          <w:snapToGrid w:val="0"/>
        </w:rPr>
        <w:tab/>
        <w:t>Provisions applying to all miscellaneous licences</w:t>
      </w:r>
      <w:bookmarkEnd w:id="650"/>
      <w:bookmarkEnd w:id="651"/>
      <w:bookmarkEnd w:id="652"/>
      <w:bookmarkEnd w:id="653"/>
      <w:r>
        <w:rPr>
          <w:snapToGrid w:val="0"/>
        </w:rPr>
        <w:t xml:space="preserve"> </w:t>
      </w:r>
    </w:p>
    <w:p>
      <w:pPr>
        <w:pStyle w:val="Subsection"/>
        <w:spacing w:before="120"/>
        <w:rPr>
          <w:snapToGrid w:val="0"/>
        </w:rPr>
      </w:pPr>
      <w:r>
        <w:rPr>
          <w:snapToGrid w:val="0"/>
        </w:rPr>
        <w:tab/>
      </w:r>
      <w:r>
        <w:rPr>
          <w:snapToGrid w:val="0"/>
        </w:rPr>
        <w:tab/>
        <w:t>Sections 41, 42, 44, 46, 46A, 47 and 52(1a) apply, with such modifications as the circumstances require, to and in relation to a miscellaneous licence as though in those provisions a reference to a prospecting licence was to be construed as a reference to a miscellaneous licence.</w:t>
      </w:r>
    </w:p>
    <w:p>
      <w:pPr>
        <w:pStyle w:val="Footnotesection"/>
      </w:pPr>
      <w:r>
        <w:tab/>
        <w:t xml:space="preserve">[Section 92 inserted by No. 100 of 1985 s. 64; amended by No. 22 of 1990 s. 25; No. 58 of 1994 s. 34; No. 17 of 1999 s. 6(3).] </w:t>
      </w:r>
    </w:p>
    <w:p>
      <w:pPr>
        <w:pStyle w:val="Heading5"/>
        <w:spacing w:before="120"/>
        <w:rPr>
          <w:snapToGrid w:val="0"/>
        </w:rPr>
      </w:pPr>
      <w:bookmarkStart w:id="654" w:name="_Toc520087994"/>
      <w:bookmarkStart w:id="655" w:name="_Toc523620629"/>
      <w:bookmarkStart w:id="656" w:name="_Toc38853781"/>
      <w:bookmarkStart w:id="657" w:name="_Toc122328533"/>
      <w:r>
        <w:rPr>
          <w:rStyle w:val="CharSectno"/>
        </w:rPr>
        <w:t>93</w:t>
      </w:r>
      <w:r>
        <w:rPr>
          <w:snapToGrid w:val="0"/>
        </w:rPr>
        <w:t>.</w:t>
      </w:r>
      <w:r>
        <w:rPr>
          <w:snapToGrid w:val="0"/>
        </w:rPr>
        <w:tab/>
        <w:t>Map to accompany plan</w:t>
      </w:r>
      <w:bookmarkEnd w:id="654"/>
      <w:bookmarkEnd w:id="655"/>
      <w:bookmarkEnd w:id="656"/>
      <w:bookmarkEnd w:id="657"/>
      <w:r>
        <w:rPr>
          <w:snapToGrid w:val="0"/>
        </w:rPr>
        <w:t xml:space="preserve"> </w:t>
      </w:r>
    </w:p>
    <w:p>
      <w:pPr>
        <w:pStyle w:val="Subsection"/>
        <w:spacing w:before="120"/>
        <w:rPr>
          <w:snapToGrid w:val="0"/>
        </w:rPr>
      </w:pPr>
      <w:r>
        <w:rPr>
          <w:snapToGrid w:val="0"/>
        </w:rPr>
        <w:tab/>
        <w:t>(1)</w:t>
      </w:r>
      <w:r>
        <w:rPr>
          <w:snapToGrid w:val="0"/>
        </w:rPr>
        <w:tab/>
        <w:t>Before making an application for the grant of a miscellaneous licence the applicant shall mark out in the prescribed manner the land in respect of which the licence is sought.</w:t>
      </w:r>
    </w:p>
    <w:p>
      <w:pPr>
        <w:pStyle w:val="Subsection"/>
        <w:spacing w:before="120"/>
        <w:rPr>
          <w:snapToGrid w:val="0"/>
        </w:rPr>
      </w:pPr>
      <w:r>
        <w:rPr>
          <w:snapToGrid w:val="0"/>
        </w:rPr>
        <w:tab/>
        <w:t>(2)</w:t>
      </w:r>
      <w:r>
        <w:rPr>
          <w:snapToGrid w:val="0"/>
        </w:rPr>
        <w:tab/>
        <w:t>The application for the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 xml:space="preserve">[Section 93 amended by No. 100 of 1985 s. 65; No. 58 of 1994 s. 35.] </w:t>
      </w:r>
    </w:p>
    <w:p>
      <w:pPr>
        <w:pStyle w:val="Heading5"/>
        <w:spacing w:before="240"/>
        <w:rPr>
          <w:snapToGrid w:val="0"/>
        </w:rPr>
      </w:pPr>
      <w:bookmarkStart w:id="658" w:name="_Toc520087995"/>
      <w:bookmarkStart w:id="659" w:name="_Toc523620630"/>
      <w:bookmarkStart w:id="660" w:name="_Toc38853782"/>
      <w:bookmarkStart w:id="661" w:name="_Toc122328534"/>
      <w:r>
        <w:rPr>
          <w:rStyle w:val="CharSectno"/>
        </w:rPr>
        <w:t>94</w:t>
      </w:r>
      <w:r>
        <w:rPr>
          <w:snapToGrid w:val="0"/>
        </w:rPr>
        <w:t>.</w:t>
      </w:r>
      <w:r>
        <w:rPr>
          <w:snapToGrid w:val="0"/>
        </w:rPr>
        <w:tab/>
        <w:t>Terms and conditions</w:t>
      </w:r>
      <w:bookmarkEnd w:id="658"/>
      <w:bookmarkEnd w:id="659"/>
      <w:bookmarkEnd w:id="660"/>
      <w:bookmarkEnd w:id="661"/>
      <w:r>
        <w:rPr>
          <w:snapToGrid w:val="0"/>
        </w:rPr>
        <w:t xml:space="preserve"> </w:t>
      </w:r>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0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pPr>
      <w:r>
        <w:tab/>
        <w:t xml:space="preserve">[Section 94 amended by No. 100 of 1985 s. 66; No. 21 of 1993 s. 45; No. 58 of 1994 s. 36; No. 52 of 1995 s. 32.] </w:t>
      </w:r>
    </w:p>
    <w:p>
      <w:pPr>
        <w:pStyle w:val="Heading5"/>
        <w:spacing w:before="120"/>
        <w:rPr>
          <w:snapToGrid w:val="0"/>
        </w:rPr>
      </w:pPr>
      <w:bookmarkStart w:id="662" w:name="_Toc520087996"/>
      <w:bookmarkStart w:id="663" w:name="_Toc523620631"/>
      <w:bookmarkStart w:id="664" w:name="_Toc38853783"/>
      <w:bookmarkStart w:id="665" w:name="_Toc122328535"/>
      <w:r>
        <w:rPr>
          <w:rStyle w:val="CharSectno"/>
        </w:rPr>
        <w:t>94A</w:t>
      </w:r>
      <w:r>
        <w:rPr>
          <w:snapToGrid w:val="0"/>
        </w:rPr>
        <w:t>.</w:t>
      </w:r>
      <w:r>
        <w:rPr>
          <w:snapToGrid w:val="0"/>
        </w:rPr>
        <w:tab/>
        <w:t xml:space="preserve">Grant of mining tenement on land in a miscellaneous </w:t>
      </w:r>
      <w:bookmarkEnd w:id="662"/>
      <w:r>
        <w:rPr>
          <w:snapToGrid w:val="0"/>
        </w:rPr>
        <w:t>licence</w:t>
      </w:r>
      <w:bookmarkEnd w:id="663"/>
      <w:bookmarkEnd w:id="664"/>
      <w:bookmarkEnd w:id="665"/>
      <w:r>
        <w:rPr>
          <w:snapToGrid w:val="0"/>
        </w:rPr>
        <w:t xml:space="preserve"> </w:t>
      </w:r>
    </w:p>
    <w:p>
      <w:pPr>
        <w:pStyle w:val="Subsection"/>
        <w:spacing w:before="100"/>
        <w:rPr>
          <w:snapToGrid w:val="0"/>
        </w:rPr>
      </w:pPr>
      <w:r>
        <w:rPr>
          <w:snapToGrid w:val="0"/>
        </w:rPr>
        <w:tab/>
        <w:t>(1)</w:t>
      </w:r>
      <w:r>
        <w:rPr>
          <w:snapToGrid w:val="0"/>
        </w:rPr>
        <w:tab/>
        <w:t>Sections 18, 23, 27</w:t>
      </w:r>
      <w:r>
        <w:t>, 43</w:t>
      </w:r>
      <w:r>
        <w:rPr>
          <w:snapToGrid w:val="0"/>
        </w:rPr>
        <w:t xml:space="preserve"> and 76 do not prevent another mining tenement from being marked out, applied for or granted in respect of land that is the subject of a miscellaneous licence.</w:t>
      </w:r>
    </w:p>
    <w:p>
      <w:pPr>
        <w:pStyle w:val="Subsection"/>
        <w:spacing w:before="100"/>
        <w:rPr>
          <w:snapToGrid w:val="0"/>
        </w:rPr>
      </w:pPr>
      <w:r>
        <w:rPr>
          <w:snapToGrid w:val="0"/>
        </w:rPr>
        <w:tab/>
        <w:t>(2)</w:t>
      </w:r>
      <w:r>
        <w:rPr>
          <w:snapToGrid w:val="0"/>
        </w:rPr>
        <w:tab/>
        <w:t>Notwithstanding section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pPr>
      <w:r>
        <w:tab/>
        <w:t xml:space="preserve">[Section 94A inserted by No. 22 of 1990 s. 26; amended by No. 15 of 2002 s. 19.] </w:t>
      </w:r>
    </w:p>
    <w:p>
      <w:pPr>
        <w:pStyle w:val="Heading5"/>
        <w:rPr>
          <w:snapToGrid w:val="0"/>
        </w:rPr>
      </w:pPr>
      <w:bookmarkStart w:id="666" w:name="_Toc520087997"/>
      <w:bookmarkStart w:id="667" w:name="_Toc523620632"/>
      <w:bookmarkStart w:id="668" w:name="_Toc38853784"/>
      <w:bookmarkStart w:id="669" w:name="_Toc122328536"/>
      <w:r>
        <w:rPr>
          <w:rStyle w:val="CharSectno"/>
        </w:rPr>
        <w:t>94B</w:t>
      </w:r>
      <w:r>
        <w:rPr>
          <w:snapToGrid w:val="0"/>
        </w:rPr>
        <w:t>.</w:t>
      </w:r>
      <w:r>
        <w:rPr>
          <w:snapToGrid w:val="0"/>
        </w:rPr>
        <w:tab/>
        <w:t>Surrender etc., of concurrent tenement</w:t>
      </w:r>
      <w:bookmarkEnd w:id="666"/>
      <w:bookmarkEnd w:id="667"/>
      <w:bookmarkEnd w:id="668"/>
      <w:bookmarkEnd w:id="669"/>
      <w:r>
        <w:rPr>
          <w:snapToGrid w:val="0"/>
        </w:rPr>
        <w:t xml:space="preserve"> </w:t>
      </w:r>
    </w:p>
    <w:p>
      <w:pPr>
        <w:pStyle w:val="Subsection"/>
        <w:rPr>
          <w:snapToGrid w:val="0"/>
        </w:rPr>
      </w:pPr>
      <w:r>
        <w:rPr>
          <w:snapToGrid w:val="0"/>
        </w:rPr>
        <w:tab/>
      </w:r>
      <w:r>
        <w:rPr>
          <w:snapToGrid w:val="0"/>
        </w:rPr>
        <w:tab/>
        <w:t>Subject to this Act, if —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pPr>
      <w:r>
        <w:tab/>
        <w:t xml:space="preserve">[Section 94B inserted by No. 22 of 1990 s. 26; amended by No. 58 of 1994 s. 37.] </w:t>
      </w:r>
    </w:p>
    <w:p>
      <w:pPr>
        <w:pStyle w:val="Ednotesection"/>
        <w:spacing w:before="480"/>
        <w:ind w:left="890" w:hanging="890"/>
      </w:pPr>
      <w:r>
        <w:t>[Division 5A (sections 94C</w:t>
      </w:r>
      <w:r>
        <w:noBreakHyphen/>
        <w:t>94P) repealed by No. 52 of 1995 s. 33.]</w:t>
      </w:r>
    </w:p>
    <w:p>
      <w:pPr>
        <w:pStyle w:val="Heading3"/>
        <w:rPr>
          <w:snapToGrid w:val="0"/>
        </w:rPr>
      </w:pPr>
      <w:bookmarkStart w:id="670" w:name="_Toc87427665"/>
      <w:bookmarkStart w:id="671" w:name="_Toc87851240"/>
      <w:bookmarkStart w:id="672" w:name="_Toc88295463"/>
      <w:bookmarkStart w:id="673" w:name="_Toc89519122"/>
      <w:bookmarkStart w:id="674" w:name="_Toc90869247"/>
      <w:bookmarkStart w:id="675" w:name="_Toc91408019"/>
      <w:bookmarkStart w:id="676" w:name="_Toc92863763"/>
      <w:bookmarkStart w:id="677" w:name="_Toc95015131"/>
      <w:bookmarkStart w:id="678" w:name="_Toc95106838"/>
      <w:bookmarkStart w:id="679" w:name="_Toc97018638"/>
      <w:bookmarkStart w:id="680" w:name="_Toc101693591"/>
      <w:bookmarkStart w:id="681" w:name="_Toc103130461"/>
      <w:bookmarkStart w:id="682" w:name="_Toc104711111"/>
      <w:bookmarkStart w:id="683" w:name="_Toc121560096"/>
      <w:bookmarkStart w:id="684" w:name="_Toc122328537"/>
      <w:r>
        <w:rPr>
          <w:rStyle w:val="CharDivNo"/>
        </w:rPr>
        <w:t>Division 6</w:t>
      </w:r>
      <w:r>
        <w:rPr>
          <w:snapToGrid w:val="0"/>
        </w:rPr>
        <w:t> — </w:t>
      </w:r>
      <w:r>
        <w:rPr>
          <w:rStyle w:val="CharDivText"/>
        </w:rPr>
        <w:t>Surrender and forfeiture of mining tenements</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r>
        <w:rPr>
          <w:rStyle w:val="CharDivText"/>
        </w:rPr>
        <w:t xml:space="preserve"> </w:t>
      </w:r>
    </w:p>
    <w:p>
      <w:pPr>
        <w:pStyle w:val="Heading5"/>
        <w:rPr>
          <w:snapToGrid w:val="0"/>
        </w:rPr>
      </w:pPr>
      <w:bookmarkStart w:id="685" w:name="_Toc520087998"/>
      <w:bookmarkStart w:id="686" w:name="_Toc523620633"/>
      <w:bookmarkStart w:id="687" w:name="_Toc38853785"/>
      <w:bookmarkStart w:id="688" w:name="_Toc122328538"/>
      <w:r>
        <w:rPr>
          <w:rStyle w:val="CharSectno"/>
        </w:rPr>
        <w:t>95</w:t>
      </w:r>
      <w:r>
        <w:rPr>
          <w:snapToGrid w:val="0"/>
        </w:rPr>
        <w:t>.</w:t>
      </w:r>
      <w:r>
        <w:rPr>
          <w:snapToGrid w:val="0"/>
        </w:rPr>
        <w:tab/>
        <w:t>Surrender of mining tenement</w:t>
      </w:r>
      <w:bookmarkEnd w:id="685"/>
      <w:bookmarkEnd w:id="686"/>
      <w:bookmarkEnd w:id="687"/>
      <w:bookmarkEnd w:id="688"/>
      <w:r>
        <w:rPr>
          <w:snapToGrid w:val="0"/>
        </w:rPr>
        <w:t xml:space="preserve"> </w:t>
      </w:r>
    </w:p>
    <w:p>
      <w:pPr>
        <w:pStyle w:val="Subsection"/>
        <w:rPr>
          <w:snapToGrid w:val="0"/>
        </w:rPr>
      </w:pPr>
      <w:r>
        <w:rPr>
          <w:snapToGrid w:val="0"/>
        </w:rPr>
        <w:tab/>
        <w:t>(1)</w:t>
      </w:r>
      <w:r>
        <w:rPr>
          <w:snapToGrid w:val="0"/>
        </w:rPr>
        <w:tab/>
        <w:t>Subject to this Act the holder of any mining tenement may, in the prescribed manner and on payment of the prescribed fees, surrender the tenement in whole or in part.</w:t>
      </w:r>
    </w:p>
    <w:p>
      <w:pPr>
        <w:pStyle w:val="Subsection"/>
        <w:rPr>
          <w:snapToGrid w:val="0"/>
        </w:rPr>
      </w:pPr>
      <w:r>
        <w:rPr>
          <w:snapToGrid w:val="0"/>
        </w:rPr>
        <w:tab/>
        <w:t>(2)</w:t>
      </w:r>
      <w:r>
        <w:rPr>
          <w:snapToGrid w:val="0"/>
        </w:rPr>
        <w:tab/>
        <w:t>When the holder of a mining tenement surrenders it pursuant to subsection (1) the liability of the holder — </w:t>
      </w:r>
    </w:p>
    <w:p>
      <w:pPr>
        <w:pStyle w:val="Indenta"/>
        <w:rPr>
          <w:snapToGrid w:val="0"/>
        </w:rPr>
      </w:pPr>
      <w:r>
        <w:rPr>
          <w:snapToGrid w:val="0"/>
        </w:rPr>
        <w:tab/>
        <w:t>(a)</w:t>
      </w:r>
      <w:r>
        <w:rPr>
          <w:snapToGrid w:val="0"/>
        </w:rPr>
        <w:tab/>
        <w:t>to pay any rent, fee, royalty, penalty or other money on any other account, that is payable on or before the date of surrender;</w:t>
      </w:r>
    </w:p>
    <w:p>
      <w:pPr>
        <w:pStyle w:val="Indenta"/>
        <w:rPr>
          <w:snapToGrid w:val="0"/>
        </w:rPr>
      </w:pPr>
      <w:r>
        <w:rPr>
          <w:snapToGrid w:val="0"/>
        </w:rPr>
        <w:tab/>
        <w:t>(b)</w:t>
      </w:r>
      <w:r>
        <w:rPr>
          <w:snapToGrid w:val="0"/>
        </w:rPr>
        <w:tab/>
        <w:t>to perform any obligation required to be performed on or before that date;</w:t>
      </w:r>
    </w:p>
    <w:p>
      <w:pPr>
        <w:pStyle w:val="Indenta"/>
        <w:rPr>
          <w:snapToGrid w:val="0"/>
        </w:rPr>
      </w:pPr>
      <w:r>
        <w:rPr>
          <w:snapToGrid w:val="0"/>
        </w:rPr>
        <w:tab/>
        <w:t>(c)</w:t>
      </w:r>
      <w:r>
        <w:rPr>
          <w:snapToGrid w:val="0"/>
        </w:rPr>
        <w:tab/>
        <w:t>for any act done or default made on or before that date,</w:t>
      </w:r>
    </w:p>
    <w:p>
      <w:pPr>
        <w:pStyle w:val="Subsection"/>
        <w:rPr>
          <w:snapToGrid w:val="0"/>
        </w:rPr>
      </w:pPr>
      <w:r>
        <w:rPr>
          <w:snapToGrid w:val="0"/>
        </w:rPr>
        <w:tab/>
      </w:r>
      <w:r>
        <w:rPr>
          <w:snapToGrid w:val="0"/>
        </w:rPr>
        <w:tab/>
        <w:t>that is payable under, in respect of, or arises out of or in relation to that mining tenement, is not affected.</w:t>
      </w:r>
    </w:p>
    <w:p>
      <w:pPr>
        <w:pStyle w:val="Ednotesubsection"/>
      </w:pPr>
      <w:r>
        <w:tab/>
        <w:t>[(3)</w:t>
      </w:r>
      <w:r>
        <w:tab/>
        <w:t xml:space="preserve">repealed] </w:t>
      </w:r>
    </w:p>
    <w:p>
      <w:pPr>
        <w:pStyle w:val="Subsection"/>
        <w:rPr>
          <w:snapToGrid w:val="0"/>
        </w:rPr>
      </w:pPr>
      <w:r>
        <w:rPr>
          <w:snapToGrid w:val="0"/>
        </w:rPr>
        <w:tab/>
        <w:t>(4)</w:t>
      </w:r>
      <w:r>
        <w:rPr>
          <w:snapToGrid w:val="0"/>
        </w:rPr>
        <w:tab/>
        <w:t>Where a mining tenement is being surrendered as to part only, the form of surrender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t>Notwithstanding anything to the contrary in this Act other than section 26A(3) and (4), where a mining tenement is surrendered, whether under this section or under section 26A or 65, in whole or in part, every right, title and interest held under the mining tenement in respect of —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rPr>
          <w:snapToGrid w:val="0"/>
        </w:rPr>
      </w:pPr>
      <w:r>
        <w:rPr>
          <w:snapToGrid w:val="0"/>
        </w:rPr>
        <w:tab/>
      </w:r>
      <w:r>
        <w:rPr>
          <w:snapToGrid w:val="0"/>
        </w:rPr>
        <w:tab/>
        <w:t>as the case requires, absolutely ceases and determines in the case of —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 xml:space="preserve">[Section 95 amended by No. 52 of 1983 s. 5; No. 100 of 1985 s. 67; No. 105 of 1986 s. 12; No. 22 of 1990 s. 27.] </w:t>
      </w:r>
    </w:p>
    <w:p>
      <w:pPr>
        <w:pStyle w:val="Heading5"/>
      </w:pPr>
      <w:bookmarkStart w:id="689" w:name="_Toc38853786"/>
      <w:bookmarkStart w:id="690" w:name="_Toc122328539"/>
      <w:bookmarkStart w:id="691" w:name="_Toc520087999"/>
      <w:bookmarkStart w:id="692" w:name="_Toc523620634"/>
      <w:r>
        <w:rPr>
          <w:rStyle w:val="CharSectno"/>
        </w:rPr>
        <w:t>95A</w:t>
      </w:r>
      <w:r>
        <w:t>.</w:t>
      </w:r>
      <w:r>
        <w:tab/>
        <w:t>Exploration licence – surrender of part of block</w:t>
      </w:r>
      <w:bookmarkEnd w:id="689"/>
      <w:bookmarkEnd w:id="690"/>
    </w:p>
    <w:p>
      <w:pPr>
        <w:pStyle w:val="Subsection"/>
      </w:pPr>
      <w:r>
        <w:tab/>
        <w:t>(1)</w:t>
      </w:r>
      <w:r>
        <w:tab/>
        <w:t>In this section —</w:t>
      </w:r>
    </w:p>
    <w:p>
      <w:pPr>
        <w:pStyle w:val="Defstart"/>
      </w:pPr>
      <w:r>
        <w:tab/>
      </w:r>
      <w:r>
        <w:rPr>
          <w:b/>
        </w:rPr>
        <w:t>“</w:t>
      </w:r>
      <w:r>
        <w:rPr>
          <w:rStyle w:val="CharDefText"/>
        </w:rPr>
        <w:t>block</w:t>
      </w:r>
      <w:r>
        <w:rPr>
          <w:b/>
        </w:rPr>
        <w:t>”</w:t>
      </w:r>
      <w:r>
        <w:t xml:space="preserve"> has the same meaning as it has in Part IV Division 2.</w:t>
      </w:r>
    </w:p>
    <w:p>
      <w:pPr>
        <w:pStyle w:val="Subsection"/>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693" w:name="_Toc38853787"/>
      <w:bookmarkStart w:id="694" w:name="_Toc122328540"/>
      <w:r>
        <w:rPr>
          <w:rStyle w:val="CharSectno"/>
        </w:rPr>
        <w:t>96</w:t>
      </w:r>
      <w:r>
        <w:rPr>
          <w:snapToGrid w:val="0"/>
        </w:rPr>
        <w:t>.</w:t>
      </w:r>
      <w:r>
        <w:rPr>
          <w:snapToGrid w:val="0"/>
        </w:rPr>
        <w:tab/>
        <w:t>Forfeiture of certain mining tenements</w:t>
      </w:r>
      <w:bookmarkEnd w:id="691"/>
      <w:bookmarkEnd w:id="692"/>
      <w:bookmarkEnd w:id="693"/>
      <w:bookmarkEnd w:id="694"/>
      <w:r>
        <w:rPr>
          <w:snapToGrid w:val="0"/>
        </w:rPr>
        <w:t xml:space="preserve"> </w:t>
      </w:r>
    </w:p>
    <w:p>
      <w:pPr>
        <w:pStyle w:val="Subsection"/>
        <w:keepNext/>
        <w:rPr>
          <w:snapToGrid w:val="0"/>
        </w:rPr>
      </w:pPr>
      <w:r>
        <w:rPr>
          <w:snapToGrid w:val="0"/>
        </w:rPr>
        <w:tab/>
        <w:t>(1)</w:t>
      </w:r>
      <w:r>
        <w:rPr>
          <w:snapToGrid w:val="0"/>
        </w:rPr>
        <w:tab/>
        <w:t>The warden may upon the application of —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rPr>
          <w:snapToGrid w:val="0"/>
        </w:rPr>
      </w:pPr>
      <w:r>
        <w:rPr>
          <w:snapToGrid w:val="0"/>
        </w:rPr>
        <w:tab/>
        <w:t>(2)</w:t>
      </w:r>
      <w:r>
        <w:rPr>
          <w:snapToGrid w:val="0"/>
        </w:rPr>
        <w:tab/>
        <w:t>An order for forfeiture may be made in relation to a mining tenement to which subsection (1) applies if — </w:t>
      </w:r>
    </w:p>
    <w:p>
      <w:pPr>
        <w:pStyle w:val="Indenta"/>
        <w:spacing w:before="60"/>
        <w:rPr>
          <w:snapToGrid w:val="0"/>
        </w:rPr>
      </w:pPr>
      <w:r>
        <w:rPr>
          <w:snapToGrid w:val="0"/>
        </w:rPr>
        <w:tab/>
        <w:t>(a)</w:t>
      </w:r>
      <w:r>
        <w:rPr>
          <w:snapToGrid w:val="0"/>
        </w:rPr>
        <w:tab/>
        <w:t>the prescribed rent or royalty in respect thereof is not paid in accordance with this Act;</w:t>
      </w:r>
    </w:p>
    <w:p>
      <w:pPr>
        <w:pStyle w:val="Indenta"/>
        <w:spacing w:before="60"/>
        <w:rPr>
          <w:snapToGrid w:val="0"/>
        </w:rPr>
      </w:pPr>
      <w:r>
        <w:rPr>
          <w:snapToGrid w:val="0"/>
        </w:rPr>
        <w:tab/>
        <w:t>(b)</w:t>
      </w:r>
      <w:r>
        <w:rPr>
          <w:snapToGrid w:val="0"/>
        </w:rPr>
        <w:tab/>
        <w:t>any term or condition to which the mining tenement is subject, including any condition referred to in section 46 or section 50, is not complied with;</w:t>
      </w:r>
    </w:p>
    <w:p>
      <w:pPr>
        <w:pStyle w:val="Indenta"/>
        <w:spacing w:before="60"/>
        <w:rPr>
          <w:snapToGrid w:val="0"/>
        </w:rPr>
      </w:pPr>
      <w:r>
        <w:rPr>
          <w:snapToGrid w:val="0"/>
        </w:rPr>
        <w:tab/>
        <w:t>(ba)</w:t>
      </w:r>
      <w:r>
        <w:rPr>
          <w:snapToGrid w:val="0"/>
        </w:rPr>
        <w:tab/>
        <w:t>a report required under section 51 or 115A in relation to the mining tenement is not filed in accordance with this Act;</w:t>
      </w:r>
    </w:p>
    <w:p>
      <w:pPr>
        <w:pStyle w:val="Indenta"/>
        <w:spacing w:before="60"/>
        <w:rPr>
          <w:snapToGrid w:val="0"/>
        </w:rPr>
      </w:pPr>
      <w:r>
        <w:rPr>
          <w:snapToGrid w:val="0"/>
        </w:rPr>
        <w:tab/>
        <w:t>(bb)</w:t>
      </w:r>
      <w:r>
        <w:rPr>
          <w:snapToGrid w:val="0"/>
        </w:rPr>
        <w:tab/>
        <w:t>any requirement under section 52(1a) is not complied with; or</w:t>
      </w:r>
    </w:p>
    <w:p>
      <w:pPr>
        <w:pStyle w:val="Indenta"/>
        <w:spacing w:before="60"/>
        <w:rPr>
          <w:snapToGrid w:val="0"/>
        </w:rPr>
      </w:pPr>
      <w:r>
        <w:rPr>
          <w:snapToGrid w:val="0"/>
        </w:rPr>
        <w:tab/>
        <w:t>(c)</w:t>
      </w:r>
      <w:r>
        <w:rPr>
          <w:snapToGrid w:val="0"/>
        </w:rPr>
        <w:tab/>
        <w:t>the holder of the mining tenement is convicted of an offence against this Act,</w:t>
      </w:r>
    </w:p>
    <w:p>
      <w:pPr>
        <w:pStyle w:val="Subsection"/>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rPr>
          <w:snapToGrid w:val="0"/>
        </w:rPr>
      </w:pPr>
      <w:r>
        <w:rPr>
          <w:snapToGrid w:val="0"/>
        </w:rPr>
        <w:tab/>
        <w:t>(3)</w:t>
      </w:r>
      <w:r>
        <w:rPr>
          <w:snapToGrid w:val="0"/>
        </w:rPr>
        <w:tab/>
        <w:t>A warden, as he thinks fit in the circumstances of the case, as an alternative to making an order under this section for forfeiture of such mining tenement may — </w:t>
      </w:r>
    </w:p>
    <w:p>
      <w:pPr>
        <w:pStyle w:val="Indenta"/>
      </w:pPr>
      <w:r>
        <w:rPr>
          <w:snapToGrid w:val="0"/>
        </w:rPr>
        <w:tab/>
        <w:t>(a)</w:t>
      </w:r>
      <w:r>
        <w:rPr>
          <w:snapToGrid w:val="0"/>
        </w:rPr>
        <w:tab/>
        <w:t xml:space="preserve">impose a penalty upon the holder of the mining </w:t>
      </w:r>
      <w:r>
        <w:t>tenement —</w:t>
      </w:r>
    </w:p>
    <w:p>
      <w:pPr>
        <w:pStyle w:val="Indenti"/>
      </w:pPr>
      <w:r>
        <w:tab/>
        <w:t>(i)</w:t>
      </w:r>
      <w:r>
        <w:tab/>
        <w:t>not exceeding $10 000, in a case where expenditure conditions have not been complied with;</w:t>
      </w:r>
    </w:p>
    <w:p>
      <w:pPr>
        <w:pStyle w:val="Indenti"/>
      </w:pPr>
      <w:r>
        <w:tab/>
        <w:t>(ii)</w:t>
      </w:r>
      <w:r>
        <w:tab/>
        <w:t>not exceeding $50 000, in any other case;</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spacing w:before="120"/>
        <w:rPr>
          <w:snapToGrid w:val="0"/>
        </w:rPr>
      </w:pPr>
      <w:r>
        <w:rPr>
          <w:snapToGrid w:val="0"/>
        </w:rPr>
        <w:tab/>
        <w:t>(3a)</w:t>
      </w:r>
      <w:r>
        <w:rPr>
          <w:snapToGrid w:val="0"/>
        </w:rPr>
        <w:tab/>
        <w:t>Where —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spacing w:before="120"/>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pPr>
      <w:r>
        <w:tab/>
        <w:t>(3b)</w:t>
      </w:r>
      <w:r>
        <w:tab/>
        <w:t>Where —</w:t>
      </w:r>
    </w:p>
    <w:p>
      <w:pPr>
        <w:pStyle w:val="Indenta"/>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b/>
        </w:rPr>
        <w:t>“</w:t>
      </w:r>
      <w:r>
        <w:rPr>
          <w:rStyle w:val="CharDefText"/>
        </w:rPr>
        <w:t>tenement application</w:t>
      </w:r>
      <w:r>
        <w:rPr>
          <w:b/>
        </w:rPr>
        <w:t>”</w:t>
      </w:r>
      <w:r>
        <w:t>);</w:t>
      </w:r>
    </w:p>
    <w:p>
      <w:pPr>
        <w:pStyle w:val="Indenta"/>
      </w:pPr>
      <w:r>
        <w:tab/>
        <w:t>(b)</w:t>
      </w:r>
      <w:r>
        <w:tab/>
        <w:t>the applicant for forfeiture is not the Minister, a mining registrar or an officer of the Department authorised in writing by the Minister; and</w:t>
      </w:r>
    </w:p>
    <w:p>
      <w:pPr>
        <w:pStyle w:val="Indenta"/>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spacing w:before="120"/>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spacing w:before="120"/>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spacing w:before="100"/>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spacing w:before="100"/>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spacing w:before="100"/>
        <w:rPr>
          <w:snapToGrid w:val="0"/>
        </w:rPr>
      </w:pPr>
      <w:r>
        <w:rPr>
          <w:snapToGrid w:val="0"/>
        </w:rPr>
        <w:tab/>
        <w:t>(8)</w:t>
      </w:r>
      <w:r>
        <w:rPr>
          <w:snapToGrid w:val="0"/>
        </w:rPr>
        <w:tab/>
        <w:t>Subject to section 97A, the warden may, for any cause that he deems sufficient and subject to subsection (9), cancel —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spacing w:before="100"/>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spacing w:before="100"/>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pPr>
      <w:r>
        <w:tab/>
        <w:t xml:space="preserve">[Section 96 amended by No. 69 of 1981 s. 21; No. 100 of 1985 s. 68; No. 105 of 1986 s. 13; No. 22 of 1990 s. 28 and 38; No. 37 of 1993 s. 13; No. 58 of 1994 s. 41; No. 54 of 1996 s. 23; No. 17 of 1999 s. 6(4); No. 15 of 2002 s. 21 and 28.] </w:t>
      </w:r>
    </w:p>
    <w:p>
      <w:pPr>
        <w:pStyle w:val="Heading5"/>
        <w:spacing w:before="120"/>
        <w:rPr>
          <w:snapToGrid w:val="0"/>
        </w:rPr>
      </w:pPr>
      <w:bookmarkStart w:id="695" w:name="_Toc520088000"/>
      <w:bookmarkStart w:id="696" w:name="_Toc523620635"/>
      <w:bookmarkStart w:id="697" w:name="_Toc38853788"/>
      <w:bookmarkStart w:id="698" w:name="_Toc122328541"/>
      <w:r>
        <w:rPr>
          <w:rStyle w:val="CharSectno"/>
        </w:rPr>
        <w:t>96A</w:t>
      </w:r>
      <w:r>
        <w:rPr>
          <w:snapToGrid w:val="0"/>
        </w:rPr>
        <w:t>.</w:t>
      </w:r>
      <w:r>
        <w:rPr>
          <w:snapToGrid w:val="0"/>
        </w:rPr>
        <w:tab/>
        <w:t xml:space="preserve">Forfeiture of exploration licence or retention </w:t>
      </w:r>
      <w:bookmarkEnd w:id="695"/>
      <w:r>
        <w:rPr>
          <w:snapToGrid w:val="0"/>
        </w:rPr>
        <w:t>licence</w:t>
      </w:r>
      <w:bookmarkEnd w:id="696"/>
      <w:bookmarkEnd w:id="697"/>
      <w:bookmarkEnd w:id="698"/>
      <w:r>
        <w:rPr>
          <w:snapToGrid w:val="0"/>
        </w:rPr>
        <w:t xml:space="preserve"> </w:t>
      </w:r>
    </w:p>
    <w:p>
      <w:pPr>
        <w:pStyle w:val="Subsection"/>
        <w:spacing w:before="100"/>
        <w:rPr>
          <w:snapToGrid w:val="0"/>
        </w:rPr>
      </w:pPr>
      <w:r>
        <w:rPr>
          <w:snapToGrid w:val="0"/>
        </w:rPr>
        <w:tab/>
        <w:t>(1)</w:t>
      </w:r>
      <w:r>
        <w:rPr>
          <w:snapToGrid w:val="0"/>
        </w:rPr>
        <w:tab/>
        <w:t>When — </w:t>
      </w:r>
    </w:p>
    <w:p>
      <w:pPr>
        <w:pStyle w:val="Indenta"/>
        <w:spacing w:before="60"/>
        <w:rPr>
          <w:snapToGrid w:val="0"/>
        </w:rPr>
      </w:pPr>
      <w:r>
        <w:rPr>
          <w:snapToGrid w:val="0"/>
        </w:rPr>
        <w:tab/>
        <w:t>(a)</w:t>
      </w:r>
      <w:r>
        <w:rPr>
          <w:snapToGrid w:val="0"/>
        </w:rPr>
        <w:tab/>
        <w:t>an exploration licence is liable to forfeiture by virtue of section 63A; or</w:t>
      </w:r>
    </w:p>
    <w:p>
      <w:pPr>
        <w:pStyle w:val="Indenta"/>
        <w:spacing w:before="60"/>
        <w:rPr>
          <w:snapToGrid w:val="0"/>
        </w:rPr>
      </w:pPr>
      <w:r>
        <w:rPr>
          <w:snapToGrid w:val="0"/>
        </w:rPr>
        <w:tab/>
        <w:t>(b)</w:t>
      </w:r>
      <w:r>
        <w:rPr>
          <w:snapToGrid w:val="0"/>
        </w:rPr>
        <w:tab/>
        <w:t>a retention licence is liable to forfeiture by virtue of section 70K,</w:t>
      </w:r>
    </w:p>
    <w:p>
      <w:pPr>
        <w:pStyle w:val="Subsection"/>
        <w:spacing w:before="100"/>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w:t>
      </w:r>
      <w:r>
        <w:rPr>
          <w:snapToGrid w:val="0"/>
        </w:rPr>
        <w:t>— </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 </w:t>
      </w:r>
    </w:p>
    <w:p>
      <w:pPr>
        <w:pStyle w:val="Indenta"/>
        <w:rPr>
          <w:snapToGrid w:val="0"/>
        </w:rPr>
      </w:pPr>
      <w:r>
        <w:rPr>
          <w:snapToGrid w:val="0"/>
        </w:rPr>
        <w:tab/>
        <w:t>(a)</w:t>
      </w:r>
      <w:r>
        <w:rPr>
          <w:snapToGrid w:val="0"/>
        </w:rPr>
        <w:tab/>
        <w:t xml:space="preserve">impose a penalty, not exceeding </w:t>
      </w:r>
      <w:r>
        <w:t>$50 000</w:t>
      </w:r>
      <w:r>
        <w:rPr>
          <w:snapToGrid w:val="0"/>
        </w:rPr>
        <w:t>, upon the holder of the licence;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b/>
          <w:snapToGrid w:val="0"/>
        </w:rPr>
        <w:t>“</w:t>
      </w:r>
      <w:r>
        <w:rPr>
          <w:rStyle w:val="CharDefText"/>
        </w:rPr>
        <w:t>licence</w:t>
      </w:r>
      <w:r>
        <w:rPr>
          <w:b/>
          <w:snapToGrid w:val="0"/>
        </w:rPr>
        <w:t>”</w:t>
      </w:r>
      <w:r>
        <w:rPr>
          <w:snapToGrid w:val="0"/>
        </w:rPr>
        <w:t xml:space="preserve"> means the exploration licence or the retention licence, as the case requires.</w:t>
      </w:r>
    </w:p>
    <w:p>
      <w:pPr>
        <w:pStyle w:val="Footnotesection"/>
      </w:pPr>
      <w:r>
        <w:tab/>
        <w:t xml:space="preserve">[Section 96A inserted by No. 69 of 1981 s. 22; amended by No. 100 of 1985 s. 69; No. 22 of 1990 s. 38; No. 37 of 1993 s. 10(2); No. 15 of 2002 s. 28.] </w:t>
      </w:r>
    </w:p>
    <w:p>
      <w:pPr>
        <w:pStyle w:val="Heading5"/>
        <w:rPr>
          <w:snapToGrid w:val="0"/>
        </w:rPr>
      </w:pPr>
      <w:bookmarkStart w:id="699" w:name="_Toc520088001"/>
      <w:bookmarkStart w:id="700" w:name="_Toc523620636"/>
      <w:bookmarkStart w:id="701" w:name="_Toc38853789"/>
      <w:bookmarkStart w:id="702" w:name="_Toc122328542"/>
      <w:r>
        <w:rPr>
          <w:rStyle w:val="CharSectno"/>
        </w:rPr>
        <w:t>97</w:t>
      </w:r>
      <w:r>
        <w:rPr>
          <w:snapToGrid w:val="0"/>
        </w:rPr>
        <w:t>.</w:t>
      </w:r>
      <w:r>
        <w:rPr>
          <w:snapToGrid w:val="0"/>
        </w:rPr>
        <w:tab/>
        <w:t>Forfeiture of mining lease or general purpose lease</w:t>
      </w:r>
      <w:bookmarkEnd w:id="699"/>
      <w:bookmarkEnd w:id="700"/>
      <w:bookmarkEnd w:id="701"/>
      <w:bookmarkEnd w:id="702"/>
      <w:r>
        <w:rPr>
          <w:snapToGrid w:val="0"/>
        </w:rPr>
        <w:t xml:space="preserve"> </w:t>
      </w:r>
    </w:p>
    <w:p>
      <w:pPr>
        <w:pStyle w:val="Subsection"/>
        <w:spacing w:before="180"/>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spacing w:before="180"/>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spacing w:before="180"/>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spacing w:before="140"/>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spacing w:before="180"/>
        <w:rPr>
          <w:snapToGrid w:val="0"/>
        </w:rPr>
      </w:pPr>
      <w:r>
        <w:rPr>
          <w:snapToGrid w:val="0"/>
        </w:rPr>
        <w:tab/>
        <w:t>(5)</w:t>
      </w:r>
      <w:r>
        <w:rPr>
          <w:snapToGrid w:val="0"/>
        </w:rPr>
        <w:tab/>
        <w:t>The Minister, as he thinks fit in the circumstances of the case, as an alternative to declaring the lease forfeited, may — </w:t>
      </w:r>
    </w:p>
    <w:p>
      <w:pPr>
        <w:pStyle w:val="Indenta"/>
        <w:spacing w:before="120"/>
        <w:rPr>
          <w:snapToGrid w:val="0"/>
        </w:rPr>
      </w:pPr>
      <w:r>
        <w:rPr>
          <w:snapToGrid w:val="0"/>
        </w:rPr>
        <w:tab/>
        <w:t>(a)</w:t>
      </w:r>
      <w:r>
        <w:rPr>
          <w:snapToGrid w:val="0"/>
        </w:rPr>
        <w:tab/>
        <w:t xml:space="preserve">impose a penalty, not exceeding </w:t>
      </w:r>
      <w:r>
        <w:t>$50 000</w:t>
      </w:r>
      <w:r>
        <w:rPr>
          <w:snapToGrid w:val="0"/>
        </w:rPr>
        <w:t xml:space="preserve"> upon the lessee;</w:t>
      </w:r>
    </w:p>
    <w:p>
      <w:pPr>
        <w:pStyle w:val="Indenta"/>
        <w:spacing w:before="120"/>
        <w:rPr>
          <w:snapToGrid w:val="0"/>
        </w:rPr>
      </w:pPr>
      <w:r>
        <w:rPr>
          <w:snapToGrid w:val="0"/>
        </w:rPr>
        <w:tab/>
        <w:t>(b)</w:t>
      </w:r>
      <w:r>
        <w:rPr>
          <w:snapToGrid w:val="0"/>
        </w:rPr>
        <w:tab/>
        <w:t>award the whole or any part of the amount of any such penalty to any person, other than an officer of the Department; or</w:t>
      </w:r>
    </w:p>
    <w:p>
      <w:pPr>
        <w:pStyle w:val="Indenta"/>
        <w:spacing w:before="120"/>
        <w:rPr>
          <w:snapToGrid w:val="0"/>
        </w:rPr>
      </w:pPr>
      <w:r>
        <w:rPr>
          <w:snapToGrid w:val="0"/>
        </w:rPr>
        <w:tab/>
        <w:t>(c)</w:t>
      </w:r>
      <w:r>
        <w:rPr>
          <w:snapToGrid w:val="0"/>
        </w:rPr>
        <w:tab/>
        <w:t>impose no penalty on the lessee.</w:t>
      </w:r>
    </w:p>
    <w:p>
      <w:pPr>
        <w:pStyle w:val="Subsection"/>
        <w:spacing w:before="180"/>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keepLines w:val="0"/>
        <w:spacing w:before="60"/>
        <w:ind w:left="890" w:hanging="890"/>
      </w:pPr>
      <w:r>
        <w:tab/>
        <w:t xml:space="preserve">[Section 97 amended by No. 100 of 1985 s. 70; No. 22 of 1990 s. 29 and 38; No. 15 of 2002 s. 28.] </w:t>
      </w:r>
    </w:p>
    <w:p>
      <w:pPr>
        <w:pStyle w:val="Heading5"/>
        <w:rPr>
          <w:snapToGrid w:val="0"/>
        </w:rPr>
      </w:pPr>
      <w:bookmarkStart w:id="703" w:name="_Toc520088002"/>
      <w:bookmarkStart w:id="704" w:name="_Toc523620637"/>
      <w:bookmarkStart w:id="705" w:name="_Toc38853790"/>
      <w:bookmarkStart w:id="706" w:name="_Toc122328543"/>
      <w:r>
        <w:rPr>
          <w:rStyle w:val="CharSectno"/>
        </w:rPr>
        <w:t>97A</w:t>
      </w:r>
      <w:r>
        <w:rPr>
          <w:snapToGrid w:val="0"/>
        </w:rPr>
        <w:t>.</w:t>
      </w:r>
      <w:r>
        <w:rPr>
          <w:snapToGrid w:val="0"/>
        </w:rPr>
        <w:tab/>
        <w:t>Appeals against cancellation of forfeiture</w:t>
      </w:r>
      <w:bookmarkEnd w:id="703"/>
      <w:bookmarkEnd w:id="704"/>
      <w:bookmarkEnd w:id="705"/>
      <w:bookmarkEnd w:id="706"/>
      <w:r>
        <w:rPr>
          <w:snapToGrid w:val="0"/>
        </w:rPr>
        <w:t xml:space="preserve"> </w:t>
      </w:r>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to the warden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 </w:t>
      </w:r>
    </w:p>
    <w:p>
      <w:pPr>
        <w:pStyle w:val="Indenta"/>
        <w:rPr>
          <w:snapToGrid w:val="0"/>
        </w:rPr>
      </w:pPr>
      <w:r>
        <w:rPr>
          <w:snapToGrid w:val="0"/>
        </w:rPr>
        <w:tab/>
        <w:t>(a)</w:t>
      </w:r>
      <w:r>
        <w:rPr>
          <w:snapToGrid w:val="0"/>
        </w:rPr>
        <w:tab/>
        <w:t>shall be in the prescribed form and made within the prescribed time;</w:t>
      </w:r>
    </w:p>
    <w:p>
      <w:pPr>
        <w:pStyle w:val="Indenta"/>
        <w:rPr>
          <w:snapToGrid w:val="0"/>
        </w:rPr>
      </w:pPr>
      <w:r>
        <w:rPr>
          <w:snapToGrid w:val="0"/>
        </w:rPr>
        <w:tab/>
        <w:t>(b)</w:t>
      </w:r>
      <w:r>
        <w:rPr>
          <w:snapToGrid w:val="0"/>
        </w:rPr>
        <w:tab/>
        <w:t>shall be lodged at the office of the mining registrar; and</w:t>
      </w:r>
    </w:p>
    <w:p>
      <w:pPr>
        <w:pStyle w:val="Indenta"/>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spacing w:before="120"/>
        <w:rPr>
          <w:snapToGrid w:val="0"/>
        </w:rPr>
      </w:pPr>
      <w:r>
        <w:rPr>
          <w:snapToGrid w:val="0"/>
        </w:rPr>
        <w:tab/>
        <w:t>(5)</w:t>
      </w:r>
      <w:r>
        <w:rPr>
          <w:snapToGrid w:val="0"/>
        </w:rPr>
        <w:tab/>
        <w:t>An application under subsection (1) shall be heard by the warden in open court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at the office of the mining registrar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 </w:t>
      </w:r>
    </w:p>
    <w:p>
      <w:pPr>
        <w:pStyle w:val="Indenta"/>
        <w:spacing w:before="120"/>
        <w:rPr>
          <w:snapToGrid w:val="0"/>
        </w:rPr>
      </w:pPr>
      <w:r>
        <w:rPr>
          <w:snapToGrid w:val="0"/>
        </w:rPr>
        <w:tab/>
        <w:t>(a)</w:t>
      </w:r>
      <w:r>
        <w:rPr>
          <w:snapToGrid w:val="0"/>
        </w:rPr>
        <w:tab/>
        <w:t>in a case to which section 96 applies, shall determine the application and make such order as he thinks fit and may — </w:t>
      </w:r>
    </w:p>
    <w:p>
      <w:pPr>
        <w:pStyle w:val="Indenti"/>
        <w:spacing w:before="120"/>
        <w:rPr>
          <w:snapToGrid w:val="0"/>
        </w:rPr>
      </w:pPr>
      <w:r>
        <w:rPr>
          <w:snapToGrid w:val="0"/>
        </w:rPr>
        <w:tab/>
        <w:t>(i)</w:t>
      </w:r>
      <w:r>
        <w:rPr>
          <w:snapToGrid w:val="0"/>
        </w:rPr>
        <w:tab/>
        <w:t>grant the application and restore the mining tenement to the former holder;</w:t>
      </w:r>
    </w:p>
    <w:p>
      <w:pPr>
        <w:pStyle w:val="Indenti"/>
        <w:spacing w:before="120"/>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spacing w:before="120"/>
        <w:rPr>
          <w:snapToGrid w:val="0"/>
        </w:rPr>
      </w:pPr>
      <w:r>
        <w:rPr>
          <w:snapToGrid w:val="0"/>
        </w:rPr>
        <w:tab/>
        <w:t>(iii)</w:t>
      </w:r>
      <w:r>
        <w:rPr>
          <w:snapToGrid w:val="0"/>
        </w:rPr>
        <w:tab/>
        <w:t>refuse the application;</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keepLines w:val="0"/>
      </w:pPr>
      <w:r>
        <w:tab/>
        <w:t xml:space="preserve">[Section 97A inserted by No. 100 of 1985 s. 71; amended by No. 37 of 1993 s. 26.] </w:t>
      </w:r>
    </w:p>
    <w:p>
      <w:pPr>
        <w:pStyle w:val="Heading5"/>
        <w:rPr>
          <w:snapToGrid w:val="0"/>
        </w:rPr>
      </w:pPr>
      <w:bookmarkStart w:id="707" w:name="_Toc520088003"/>
      <w:bookmarkStart w:id="708" w:name="_Toc523620638"/>
      <w:bookmarkStart w:id="709" w:name="_Toc38853791"/>
      <w:bookmarkStart w:id="710" w:name="_Toc122328544"/>
      <w:r>
        <w:rPr>
          <w:rStyle w:val="CharSectno"/>
        </w:rPr>
        <w:t>98</w:t>
      </w:r>
      <w:r>
        <w:rPr>
          <w:snapToGrid w:val="0"/>
        </w:rPr>
        <w:t>.</w:t>
      </w:r>
      <w:r>
        <w:rPr>
          <w:snapToGrid w:val="0"/>
        </w:rPr>
        <w:tab/>
        <w:t>Application for forfeiture on other grounds</w:t>
      </w:r>
      <w:bookmarkEnd w:id="707"/>
      <w:bookmarkEnd w:id="708"/>
      <w:bookmarkEnd w:id="709"/>
      <w:bookmarkEnd w:id="710"/>
      <w:r>
        <w:rPr>
          <w:snapToGrid w:val="0"/>
        </w:rPr>
        <w:t xml:space="preserve"> </w:t>
      </w:r>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to the warden for the forfeiture of such licence or lease as provided in this section.</w:t>
      </w:r>
    </w:p>
    <w:p>
      <w:pPr>
        <w:pStyle w:val="Subsection"/>
        <w:rPr>
          <w:snapToGrid w:val="0"/>
        </w:rPr>
      </w:pPr>
      <w:r>
        <w:rPr>
          <w:snapToGrid w:val="0"/>
        </w:rPr>
        <w:tab/>
        <w:t>(2)</w:t>
      </w:r>
      <w:r>
        <w:rPr>
          <w:snapToGrid w:val="0"/>
        </w:rPr>
        <w:tab/>
        <w:t>An application for forfeiture under this section shall be made, during the expenditure year in relation to which the requirement is not complied with or within 8 months thereafter, in such form and manner as may be prescribed and shall be accompanied by the prescribed fee.</w:t>
      </w:r>
    </w:p>
    <w:p>
      <w:pPr>
        <w:pStyle w:val="Subsection"/>
        <w:rPr>
          <w:snapToGrid w:val="0"/>
        </w:rPr>
      </w:pPr>
      <w:r>
        <w:rPr>
          <w:snapToGrid w:val="0"/>
        </w:rPr>
        <w:tab/>
        <w:t>(3)</w:t>
      </w:r>
      <w:r>
        <w:rPr>
          <w:snapToGrid w:val="0"/>
        </w:rPr>
        <w:tab/>
        <w:t>The application for forfeiture shall be heard in open court by the warden.</w:t>
      </w:r>
    </w:p>
    <w:p>
      <w:pPr>
        <w:pStyle w:val="Indenta"/>
        <w:tabs>
          <w:tab w:val="left" w:pos="284"/>
        </w:tabs>
        <w:rPr>
          <w:snapToGrid w:val="0"/>
        </w:rPr>
      </w:pPr>
      <w:r>
        <w:rPr>
          <w:snapToGrid w:val="0"/>
        </w:rPr>
        <w:tab/>
        <w:t>(4)</w:t>
      </w:r>
      <w:r>
        <w:rPr>
          <w:snapToGrid w:val="0"/>
        </w:rPr>
        <w:tab/>
        <w:t>(a)</w:t>
      </w:r>
      <w:r>
        <w:rPr>
          <w:snapToGrid w:val="0"/>
        </w:rPr>
        <w:tab/>
        <w:t xml:space="preserve">When the warden finds that the holder of an exploration licence or lessee of the mining lease has failed to comply with such requirements as are mentioned in subsection (1), the warden may recommend the forfeiture of such licence or lease, or impose a penalty not exceeding </w:t>
      </w:r>
      <w:r>
        <w:t>$10 000</w:t>
      </w:r>
      <w:r>
        <w:rPr>
          <w:snapToGrid w:val="0"/>
        </w:rPr>
        <w:t xml:space="preserve"> as an alternative to the forfeiture or dismiss the application.</w:t>
      </w:r>
    </w:p>
    <w:p>
      <w:pPr>
        <w:pStyle w:val="Indenta"/>
        <w:rPr>
          <w:snapToGrid w:val="0"/>
        </w:rPr>
      </w:pPr>
      <w:r>
        <w:rPr>
          <w:snapToGrid w:val="0"/>
        </w:rPr>
        <w:tab/>
        <w:t>(b)</w:t>
      </w:r>
      <w:r>
        <w:rPr>
          <w:snapToGrid w:val="0"/>
        </w:rPr>
        <w:tab/>
        <w:t>Where a penalty is imposed under this section the warden may award the whole amount of the penalty or any part thereof to the applicant.</w:t>
      </w:r>
    </w:p>
    <w:p>
      <w:pPr>
        <w:pStyle w:val="Subsection"/>
        <w:rPr>
          <w:snapToGrid w:val="0"/>
        </w:rPr>
      </w:pPr>
      <w:r>
        <w:rPr>
          <w:snapToGrid w:val="0"/>
        </w:rPr>
        <w:tab/>
        <w:t>(5)</w:t>
      </w:r>
      <w:r>
        <w:rPr>
          <w:snapToGrid w:val="0"/>
        </w:rPr>
        <w:tab/>
        <w:t>A recommendation shall not be made under subsection (4)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rPr>
          <w:snapToGrid w:val="0"/>
        </w:rPr>
      </w:pPr>
      <w:r>
        <w:rPr>
          <w:snapToGrid w:val="0"/>
        </w:rPr>
        <w:tab/>
        <w:t>(9)</w:t>
      </w:r>
      <w:r>
        <w:rPr>
          <w:snapToGrid w:val="0"/>
        </w:rPr>
        <w:tab/>
        <w:t>Where any penalty imposed by a warden as an alternative to forfeiture under subsection (4) is not paid within the time specified by the warden, or within 30 days of the order made by the warden where no other time is specified, the warden shall make a recommendation to the Minister as to whether or not the licence or lease should be forfeited.</w:t>
      </w:r>
    </w:p>
    <w:p>
      <w:pPr>
        <w:pStyle w:val="Footnotesection"/>
      </w:pPr>
      <w:r>
        <w:tab/>
        <w:t xml:space="preserve">[Section 98 amended by No. 100 of 1985 s. 72; No. 22 of 1990 s. 30 and 38; No. 15 of 2002 s. 28.] </w:t>
      </w:r>
    </w:p>
    <w:p>
      <w:pPr>
        <w:pStyle w:val="Heading5"/>
        <w:rPr>
          <w:snapToGrid w:val="0"/>
        </w:rPr>
      </w:pPr>
      <w:bookmarkStart w:id="711" w:name="_Toc520088004"/>
      <w:bookmarkStart w:id="712" w:name="_Toc523620639"/>
      <w:bookmarkStart w:id="713" w:name="_Toc38853792"/>
      <w:bookmarkStart w:id="714" w:name="_Toc122328545"/>
      <w:r>
        <w:rPr>
          <w:rStyle w:val="CharSectno"/>
        </w:rPr>
        <w:t>99</w:t>
      </w:r>
      <w:r>
        <w:rPr>
          <w:snapToGrid w:val="0"/>
        </w:rPr>
        <w:t>.</w:t>
      </w:r>
      <w:r>
        <w:rPr>
          <w:snapToGrid w:val="0"/>
        </w:rPr>
        <w:tab/>
        <w:t>Proceedings by Minister on recommendation</w:t>
      </w:r>
      <w:bookmarkEnd w:id="711"/>
      <w:bookmarkEnd w:id="712"/>
      <w:bookmarkEnd w:id="713"/>
      <w:bookmarkEnd w:id="714"/>
      <w:r>
        <w:rPr>
          <w:snapToGrid w:val="0"/>
        </w:rPr>
        <w:t xml:space="preserve"> </w:t>
      </w:r>
    </w:p>
    <w:p>
      <w:pPr>
        <w:pStyle w:val="Subsection"/>
        <w:rPr>
          <w:snapToGrid w:val="0"/>
        </w:rPr>
      </w:pPr>
      <w:r>
        <w:rPr>
          <w:snapToGrid w:val="0"/>
        </w:rPr>
        <w:tab/>
        <w:t>(1)</w:t>
      </w:r>
      <w:r>
        <w:rPr>
          <w:snapToGrid w:val="0"/>
        </w:rPr>
        <w:tab/>
        <w:t>The Minister, after receiving the recommendation of the warden as provided in section 98, may, as the Minister thinks fit — </w:t>
      </w:r>
    </w:p>
    <w:p>
      <w:pPr>
        <w:pStyle w:val="Indenta"/>
        <w:rPr>
          <w:snapToGrid w:val="0"/>
        </w:rPr>
      </w:pPr>
      <w:r>
        <w:rPr>
          <w:snapToGrid w:val="0"/>
        </w:rPr>
        <w:tab/>
        <w:t>(a)</w:t>
      </w:r>
      <w:r>
        <w:rPr>
          <w:snapToGrid w:val="0"/>
        </w:rPr>
        <w:tab/>
        <w:t>declare the exploration licence or the lease to which the recommendation relates, forfeited;</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 xml:space="preserve">[Section 99 amended by No. 100 of 1985 s. 73; No. 22 of 1990 s. 38; No. 37 of 1993 s. 14(2); No. 15 of 2002 s. 28.] </w:t>
      </w:r>
    </w:p>
    <w:p>
      <w:pPr>
        <w:pStyle w:val="Heading5"/>
        <w:rPr>
          <w:snapToGrid w:val="0"/>
        </w:rPr>
      </w:pPr>
      <w:bookmarkStart w:id="715" w:name="_Toc520088005"/>
      <w:bookmarkStart w:id="716" w:name="_Toc523620640"/>
      <w:bookmarkStart w:id="717" w:name="_Toc38853793"/>
      <w:bookmarkStart w:id="718" w:name="_Toc122328546"/>
      <w:r>
        <w:rPr>
          <w:rStyle w:val="CharSectno"/>
        </w:rPr>
        <w:t>100</w:t>
      </w:r>
      <w:r>
        <w:rPr>
          <w:snapToGrid w:val="0"/>
        </w:rPr>
        <w:t>.</w:t>
      </w:r>
      <w:r>
        <w:rPr>
          <w:snapToGrid w:val="0"/>
        </w:rPr>
        <w:tab/>
        <w:t>Applicant to have priority for marking out and applying for surrendered or forfeited licence or lease</w:t>
      </w:r>
      <w:bookmarkEnd w:id="715"/>
      <w:bookmarkEnd w:id="716"/>
      <w:bookmarkEnd w:id="717"/>
      <w:bookmarkEnd w:id="718"/>
      <w:r>
        <w:rPr>
          <w:snapToGrid w:val="0"/>
        </w:rPr>
        <w:t xml:space="preserve"> </w:t>
      </w:r>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b/>
        </w:rPr>
        <w:t>“</w:t>
      </w:r>
      <w:r>
        <w:rPr>
          <w:rStyle w:val="CharDefText"/>
        </w:rPr>
        <w:t>tenement application</w:t>
      </w:r>
      <w:r>
        <w:rPr>
          <w:b/>
        </w:rPr>
        <w:t>”</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pPr>
      <w:r>
        <w:tab/>
        <w:t xml:space="preserve">[Section 100 inserted by No. 37 of 1993 s. 14(1); amended by No. 15 of 2002 s. 22.] </w:t>
      </w:r>
    </w:p>
    <w:p>
      <w:pPr>
        <w:pStyle w:val="Heading5"/>
        <w:rPr>
          <w:snapToGrid w:val="0"/>
        </w:rPr>
      </w:pPr>
      <w:bookmarkStart w:id="719" w:name="_Toc520088006"/>
      <w:bookmarkStart w:id="720" w:name="_Toc523620641"/>
      <w:bookmarkStart w:id="721" w:name="_Toc38853794"/>
      <w:bookmarkStart w:id="722" w:name="_Toc122328547"/>
      <w:r>
        <w:rPr>
          <w:rStyle w:val="CharSectno"/>
        </w:rPr>
        <w:t>101</w:t>
      </w:r>
      <w:r>
        <w:rPr>
          <w:snapToGrid w:val="0"/>
        </w:rPr>
        <w:t>.</w:t>
      </w:r>
      <w:r>
        <w:rPr>
          <w:snapToGrid w:val="0"/>
        </w:rPr>
        <w:tab/>
        <w:t>Application for forfeiture of mining tenement while holder is a company in process of winding up</w:t>
      </w:r>
      <w:bookmarkEnd w:id="719"/>
      <w:bookmarkEnd w:id="720"/>
      <w:bookmarkEnd w:id="721"/>
      <w:bookmarkEnd w:id="722"/>
      <w:r>
        <w:rPr>
          <w:snapToGrid w:val="0"/>
        </w:rPr>
        <w:t xml:space="preserve"> </w:t>
      </w:r>
    </w:p>
    <w:p>
      <w:pPr>
        <w:pStyle w:val="Subsection"/>
        <w:rPr>
          <w:snapToGrid w:val="0"/>
        </w:rPr>
      </w:pPr>
      <w:r>
        <w:rPr>
          <w:snapToGrid w:val="0"/>
        </w:rPr>
        <w:tab/>
        <w:t>(1)</w:t>
      </w:r>
      <w:r>
        <w:rPr>
          <w:snapToGrid w:val="0"/>
        </w:rPr>
        <w:tab/>
        <w:t xml:space="preserve">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the </w:t>
      </w:r>
      <w:r>
        <w:rPr>
          <w:i/>
          <w:snapToGrid w:val="0"/>
        </w:rPr>
        <w:t>Companies (Western Australia) Code</w:t>
      </w:r>
      <w:r>
        <w:rPr>
          <w:snapToGrid w:val="0"/>
        </w:rPr>
        <w:t xml:space="preserve"> or the </w:t>
      </w:r>
      <w:r>
        <w:rPr>
          <w:i/>
          <w:snapToGrid w:val="0"/>
        </w:rPr>
        <w:t>Companies Act 1961</w:t>
      </w:r>
      <w:r>
        <w:rPr>
          <w:snapToGrid w:val="0"/>
        </w:rPr>
        <w:t>, shall not be an action or proceeding for the purposes of subsection (2) of section 471 of that Law (or any provision of that Law which replaces or is substituted for that subsection), section 371(2) of that Code or of section 230(3) of that Act,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pPr>
      <w:r>
        <w:tab/>
        <w:t xml:space="preserve">[Section 101 amended by No. 10 of 1982 s. 28; No. 100 of 1985 s. 75; No. 37 of 1993 s. 27; No. 10 of 2001 s. 135; No. 15 of 2002 s. 23.] </w:t>
      </w:r>
    </w:p>
    <w:p>
      <w:pPr>
        <w:pStyle w:val="Heading3"/>
        <w:rPr>
          <w:snapToGrid w:val="0"/>
        </w:rPr>
      </w:pPr>
      <w:bookmarkStart w:id="723" w:name="_Toc87427676"/>
      <w:bookmarkStart w:id="724" w:name="_Toc87851251"/>
      <w:bookmarkStart w:id="725" w:name="_Toc88295474"/>
      <w:bookmarkStart w:id="726" w:name="_Toc89519133"/>
      <w:bookmarkStart w:id="727" w:name="_Toc90869258"/>
      <w:bookmarkStart w:id="728" w:name="_Toc91408030"/>
      <w:bookmarkStart w:id="729" w:name="_Toc92863774"/>
      <w:bookmarkStart w:id="730" w:name="_Toc95015142"/>
      <w:bookmarkStart w:id="731" w:name="_Toc95106849"/>
      <w:bookmarkStart w:id="732" w:name="_Toc97018649"/>
      <w:bookmarkStart w:id="733" w:name="_Toc101693602"/>
      <w:bookmarkStart w:id="734" w:name="_Toc103130472"/>
      <w:bookmarkStart w:id="735" w:name="_Toc104711122"/>
      <w:bookmarkStart w:id="736" w:name="_Toc121560107"/>
      <w:bookmarkStart w:id="737" w:name="_Toc122328548"/>
      <w:r>
        <w:rPr>
          <w:rStyle w:val="CharDivNo"/>
        </w:rPr>
        <w:t>Division 7</w:t>
      </w:r>
      <w:r>
        <w:rPr>
          <w:snapToGrid w:val="0"/>
        </w:rPr>
        <w:t> — </w:t>
      </w:r>
      <w:r>
        <w:rPr>
          <w:rStyle w:val="CharDivText"/>
        </w:rPr>
        <w:t>Exemption from expenditure conditions</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r>
        <w:rPr>
          <w:rStyle w:val="CharDivText"/>
        </w:rPr>
        <w:t xml:space="preserve"> </w:t>
      </w:r>
    </w:p>
    <w:p>
      <w:pPr>
        <w:pStyle w:val="Heading5"/>
        <w:rPr>
          <w:snapToGrid w:val="0"/>
        </w:rPr>
      </w:pPr>
      <w:bookmarkStart w:id="738" w:name="_Toc520088007"/>
      <w:bookmarkStart w:id="739" w:name="_Toc523620642"/>
      <w:bookmarkStart w:id="740" w:name="_Toc38853795"/>
      <w:bookmarkStart w:id="741" w:name="_Toc122328549"/>
      <w:r>
        <w:rPr>
          <w:rStyle w:val="CharSectno"/>
        </w:rPr>
        <w:t>102</w:t>
      </w:r>
      <w:r>
        <w:rPr>
          <w:snapToGrid w:val="0"/>
        </w:rPr>
        <w:t>.</w:t>
      </w:r>
      <w:r>
        <w:rPr>
          <w:snapToGrid w:val="0"/>
        </w:rPr>
        <w:tab/>
        <w:t>Exemption from expenditure conditions</w:t>
      </w:r>
      <w:bookmarkEnd w:id="738"/>
      <w:bookmarkEnd w:id="739"/>
      <w:bookmarkEnd w:id="740"/>
      <w:bookmarkEnd w:id="741"/>
      <w:r>
        <w:rPr>
          <w:snapToGrid w:val="0"/>
        </w:rPr>
        <w:t xml:space="preserve"> </w:t>
      </w:r>
    </w:p>
    <w:p>
      <w:pPr>
        <w:pStyle w:val="Subsection"/>
        <w:rPr>
          <w:snapToGrid w:val="0"/>
        </w:rPr>
      </w:pPr>
      <w:r>
        <w:rPr>
          <w:snapToGrid w:val="0"/>
        </w:rPr>
        <w:tab/>
        <w:t>(1)</w:t>
      </w:r>
      <w:r>
        <w:rPr>
          <w:snapToGrid w:val="0"/>
        </w:rPr>
        <w:tab/>
        <w:t xml:space="preserve">Subject to this Act, on an application </w:t>
      </w:r>
      <w:r>
        <w:t xml:space="preserve">(an </w:t>
      </w:r>
      <w:r>
        <w:rPr>
          <w:b/>
        </w:rPr>
        <w:t>“</w:t>
      </w:r>
      <w:r>
        <w:rPr>
          <w:rStyle w:val="CharDefText"/>
        </w:rPr>
        <w:t>application for exemption</w:t>
      </w:r>
      <w:r>
        <w:rPr>
          <w:b/>
        </w:rPr>
        <w:t>”</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An application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 </w:t>
      </w:r>
    </w:p>
    <w:p>
      <w:pPr>
        <w:pStyle w:val="Indenta"/>
        <w:rPr>
          <w:snapToGrid w:val="0"/>
        </w:rPr>
      </w:pPr>
      <w:r>
        <w:rPr>
          <w:snapToGrid w:val="0"/>
        </w:rPr>
        <w:tab/>
        <w:t>(a)</w:t>
      </w:r>
      <w:r>
        <w:rPr>
          <w:snapToGrid w:val="0"/>
        </w:rPr>
        <w:tab/>
        <w:t>that the title to the mining tenement is in dispute;</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w:t>
      </w:r>
    </w:p>
    <w:p>
      <w:pPr>
        <w:pStyle w:val="Indenta"/>
        <w:rPr>
          <w:snapToGrid w:val="0"/>
        </w:rPr>
      </w:pPr>
      <w:r>
        <w:rPr>
          <w:snapToGrid w:val="0"/>
        </w:rPr>
        <w:tab/>
        <w:t>(c)</w:t>
      </w:r>
      <w:r>
        <w:rPr>
          <w:snapToGrid w:val="0"/>
        </w:rPr>
        <w:tab/>
        <w:t>that time is required to purchase and erect plant and machinery;</w:t>
      </w:r>
    </w:p>
    <w:p>
      <w:pPr>
        <w:pStyle w:val="Indenta"/>
        <w:rPr>
          <w:snapToGrid w:val="0"/>
        </w:rPr>
      </w:pPr>
      <w:r>
        <w:rPr>
          <w:snapToGrid w:val="0"/>
        </w:rPr>
        <w:tab/>
        <w:t>(d)</w:t>
      </w:r>
      <w:r>
        <w:rPr>
          <w:snapToGrid w:val="0"/>
        </w:rPr>
        <w:tab/>
        <w:t>that the ground the subject of the mining tenement is for any sufficient reason unworkable;</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rPr>
          <w:snapToGrid w:val="0"/>
        </w:rPr>
      </w:pPr>
      <w:r>
        <w:rPr>
          <w:snapToGrid w:val="0"/>
        </w:rPr>
        <w:tab/>
        <w:t>(h)</w:t>
      </w:r>
      <w:r>
        <w:rPr>
          <w:snapToGrid w:val="0"/>
        </w:rPr>
        <w:tab/>
        <w:t>that the mining tenement is comprised within a project involving more than one tenement, and that expenditure on a tenement or tenements comprised in that project would have been such as to satisfy the expenditure requirements in relation to the tenement concerned had that aggregate expenditure been apportioned in respect of the various tenements comprised in the project.</w:t>
      </w:r>
    </w:p>
    <w:p>
      <w:pPr>
        <w:pStyle w:val="Subsection"/>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 </w:t>
      </w:r>
    </w:p>
    <w:p>
      <w:pPr>
        <w:pStyle w:val="Indenta"/>
        <w:rPr>
          <w:snapToGrid w:val="0"/>
        </w:rPr>
      </w:pPr>
      <w:r>
        <w:rPr>
          <w:snapToGrid w:val="0"/>
        </w:rPr>
        <w:tab/>
        <w:t>(a)</w:t>
      </w:r>
      <w:r>
        <w:rPr>
          <w:snapToGrid w:val="0"/>
        </w:rPr>
        <w:tab/>
        <w:t>where an objection to the application is lodged, shall be heard by the warden in open court;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 xml:space="preserve">[Section 102 amended by No. 69 of 1981 s. 23; No. 100 of 1985 s. 76; No. 105 of 1986 s. 14; No. 22 of 1990 s. 32; No. 37 of 1993 s. 10(2); No. 15 of 2002 s. 24.] </w:t>
      </w:r>
    </w:p>
    <w:p>
      <w:pPr>
        <w:pStyle w:val="Heading5"/>
        <w:rPr>
          <w:snapToGrid w:val="0"/>
        </w:rPr>
      </w:pPr>
      <w:bookmarkStart w:id="742" w:name="_Toc520088008"/>
      <w:bookmarkStart w:id="743" w:name="_Toc523620643"/>
      <w:bookmarkStart w:id="744" w:name="_Toc38853796"/>
      <w:bookmarkStart w:id="745" w:name="_Toc122328550"/>
      <w:r>
        <w:rPr>
          <w:rStyle w:val="CharSectno"/>
        </w:rPr>
        <w:t>102A</w:t>
      </w:r>
      <w:r>
        <w:rPr>
          <w:snapToGrid w:val="0"/>
        </w:rPr>
        <w:t>.</w:t>
      </w:r>
      <w:r>
        <w:rPr>
          <w:snapToGrid w:val="0"/>
        </w:rPr>
        <w:tab/>
        <w:t>Exemption from expenditure conditions in respect of certain holders of exploration licences</w:t>
      </w:r>
      <w:bookmarkEnd w:id="742"/>
      <w:bookmarkEnd w:id="743"/>
      <w:bookmarkEnd w:id="744"/>
      <w:bookmarkEnd w:id="745"/>
      <w:r>
        <w:rPr>
          <w:snapToGrid w:val="0"/>
        </w:rPr>
        <w:t xml:space="preserve"> </w:t>
      </w:r>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 xml:space="preserve">[Section 102A inserted by No. 122 of 1982 s. 25; amended by No. 100 of 1985 s. 77; No. 15 of 2002 s. 25.] </w:t>
      </w:r>
    </w:p>
    <w:p>
      <w:pPr>
        <w:pStyle w:val="Heading5"/>
        <w:rPr>
          <w:snapToGrid w:val="0"/>
        </w:rPr>
      </w:pPr>
      <w:bookmarkStart w:id="746" w:name="_Toc520088009"/>
      <w:bookmarkStart w:id="747" w:name="_Toc523620644"/>
      <w:bookmarkStart w:id="748" w:name="_Toc38853797"/>
      <w:bookmarkStart w:id="749" w:name="_Toc122328551"/>
      <w:r>
        <w:rPr>
          <w:rStyle w:val="CharSectno"/>
        </w:rPr>
        <w:t>103</w:t>
      </w:r>
      <w:r>
        <w:rPr>
          <w:snapToGrid w:val="0"/>
        </w:rPr>
        <w:t>.</w:t>
      </w:r>
      <w:r>
        <w:rPr>
          <w:snapToGrid w:val="0"/>
        </w:rPr>
        <w:tab/>
        <w:t>Effect of exemption</w:t>
      </w:r>
      <w:bookmarkEnd w:id="746"/>
      <w:bookmarkEnd w:id="747"/>
      <w:bookmarkEnd w:id="748"/>
      <w:bookmarkEnd w:id="749"/>
      <w:r>
        <w:rPr>
          <w:snapToGrid w:val="0"/>
        </w:rPr>
        <w:t xml:space="preserve"> </w:t>
      </w:r>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 xml:space="preserve">[Section 103 amended by No. 100 of 1985 s. 78.] </w:t>
      </w:r>
    </w:p>
    <w:p>
      <w:pPr>
        <w:pStyle w:val="Heading3"/>
        <w:rPr>
          <w:snapToGrid w:val="0"/>
        </w:rPr>
      </w:pPr>
      <w:bookmarkStart w:id="750" w:name="_Toc87427680"/>
      <w:bookmarkStart w:id="751" w:name="_Toc87851255"/>
      <w:bookmarkStart w:id="752" w:name="_Toc88295478"/>
      <w:bookmarkStart w:id="753" w:name="_Toc89519137"/>
      <w:bookmarkStart w:id="754" w:name="_Toc90869262"/>
      <w:bookmarkStart w:id="755" w:name="_Toc91408034"/>
      <w:bookmarkStart w:id="756" w:name="_Toc92863778"/>
      <w:bookmarkStart w:id="757" w:name="_Toc95015146"/>
      <w:bookmarkStart w:id="758" w:name="_Toc95106853"/>
      <w:bookmarkStart w:id="759" w:name="_Toc97018653"/>
      <w:bookmarkStart w:id="760" w:name="_Toc101693606"/>
      <w:bookmarkStart w:id="761" w:name="_Toc103130476"/>
      <w:bookmarkStart w:id="762" w:name="_Toc104711126"/>
      <w:bookmarkStart w:id="763" w:name="_Toc121560111"/>
      <w:bookmarkStart w:id="764" w:name="_Toc122328552"/>
      <w:r>
        <w:rPr>
          <w:rStyle w:val="CharDivNo"/>
        </w:rPr>
        <w:t>Division 8</w:t>
      </w:r>
      <w:r>
        <w:rPr>
          <w:snapToGrid w:val="0"/>
        </w:rPr>
        <w:t> — </w:t>
      </w:r>
      <w:r>
        <w:rPr>
          <w:rStyle w:val="CharDivText"/>
        </w:rPr>
        <w:t>Registration of documents affecting tenements</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r>
        <w:rPr>
          <w:rStyle w:val="CharDivText"/>
        </w:rPr>
        <w:t xml:space="preserve"> </w:t>
      </w:r>
    </w:p>
    <w:p>
      <w:pPr>
        <w:pStyle w:val="Footnoteheading"/>
        <w:rPr>
          <w:snapToGrid w:val="0"/>
        </w:rPr>
      </w:pPr>
      <w:r>
        <w:rPr>
          <w:snapToGrid w:val="0"/>
        </w:rPr>
        <w:t xml:space="preserve">[Heading inserted by No. 105 of 1986 s. 15.] </w:t>
      </w:r>
    </w:p>
    <w:p>
      <w:pPr>
        <w:pStyle w:val="Heading5"/>
        <w:rPr>
          <w:snapToGrid w:val="0"/>
        </w:rPr>
      </w:pPr>
      <w:bookmarkStart w:id="765" w:name="_Toc520088010"/>
      <w:bookmarkStart w:id="766" w:name="_Toc523620645"/>
      <w:bookmarkStart w:id="767" w:name="_Toc38853798"/>
      <w:bookmarkStart w:id="768" w:name="_Toc122328553"/>
      <w:r>
        <w:rPr>
          <w:rStyle w:val="CharSectno"/>
        </w:rPr>
        <w:t>103A</w:t>
      </w:r>
      <w:r>
        <w:rPr>
          <w:snapToGrid w:val="0"/>
        </w:rPr>
        <w:t>.</w:t>
      </w:r>
      <w:r>
        <w:rPr>
          <w:snapToGrid w:val="0"/>
        </w:rPr>
        <w:tab/>
        <w:t>Time of lodgement to be taken as time of registration</w:t>
      </w:r>
      <w:bookmarkEnd w:id="765"/>
      <w:bookmarkEnd w:id="766"/>
      <w:bookmarkEnd w:id="767"/>
      <w:bookmarkEnd w:id="768"/>
      <w:r>
        <w:rPr>
          <w:snapToGrid w:val="0"/>
        </w:rPr>
        <w:t xml:space="preserve"> </w:t>
      </w:r>
    </w:p>
    <w:p>
      <w:pPr>
        <w:pStyle w:val="Subsection"/>
        <w:rPr>
          <w:snapToGrid w:val="0"/>
        </w:rPr>
      </w:pPr>
      <w:r>
        <w:rPr>
          <w:snapToGrid w:val="0"/>
        </w:rPr>
        <w:tab/>
        <w:t>(1)</w:t>
      </w:r>
      <w:r>
        <w:rPr>
          <w:snapToGrid w:val="0"/>
        </w:rPr>
        <w:tab/>
        <w:t>Where an instrument creating, assigning or surrendering a legal or equitable interest in a mining tenement or an instrument withdrawing an application for the grant of a mining tenement is required to be registered under this Act it shall be lodged for registration in such manner as may be prescribed in relation to an instrument of that kind, and, subject to section 122(3), the time and date of lodgement shall, unless subsection (3) applies or the regulations otherwise provide, be entered in the register as the time and date at which registration was effected.</w:t>
      </w:r>
    </w:p>
    <w:p>
      <w:pPr>
        <w:pStyle w:val="Subsection"/>
        <w:rPr>
          <w:snapToGrid w:val="0"/>
        </w:rPr>
      </w:pPr>
      <w:r>
        <w:rPr>
          <w:snapToGrid w:val="0"/>
        </w:rPr>
        <w:tab/>
        <w:t>(2)</w:t>
      </w:r>
      <w:r>
        <w:rPr>
          <w:snapToGrid w:val="0"/>
        </w:rPr>
        <w:tab/>
        <w:t>On and after the coming into operation of this section, no — </w:t>
      </w:r>
    </w:p>
    <w:p>
      <w:pPr>
        <w:pStyle w:val="Indenta"/>
        <w:rPr>
          <w:snapToGrid w:val="0"/>
        </w:rPr>
      </w:pPr>
      <w:r>
        <w:rPr>
          <w:snapToGrid w:val="0"/>
        </w:rPr>
        <w:tab/>
        <w:t>(a)</w:t>
      </w:r>
      <w:r>
        <w:rPr>
          <w:snapToGrid w:val="0"/>
        </w:rPr>
        <w:tab/>
        <w:t>mining tenement granted; or</w:t>
      </w:r>
    </w:p>
    <w:p>
      <w:pPr>
        <w:pStyle w:val="Indenta"/>
        <w:rPr>
          <w:snapToGrid w:val="0"/>
        </w:rPr>
      </w:pPr>
      <w:r>
        <w:rPr>
          <w:snapToGrid w:val="0"/>
        </w:rPr>
        <w:tab/>
        <w:t>(b)</w:t>
      </w:r>
      <w:r>
        <w:rPr>
          <w:snapToGrid w:val="0"/>
        </w:rPr>
        <w:tab/>
        <w:t>application for a mining tenement made or marked off, but not determined,</w:t>
      </w:r>
    </w:p>
    <w:p>
      <w:pPr>
        <w:pStyle w:val="Subsection"/>
        <w:rPr>
          <w:snapToGrid w:val="0"/>
        </w:rPr>
      </w:pPr>
      <w:r>
        <w:rPr>
          <w:snapToGrid w:val="0"/>
        </w:rPr>
        <w:tab/>
      </w:r>
      <w:r>
        <w:rPr>
          <w:snapToGrid w:val="0"/>
        </w:rPr>
        <w:tab/>
        <w:t>shall be taken to be, or to have been, invalid by reason only that the land in question was not open for mining where, had subsection (1) been enacted at that time, a surrender lodged in respect of that land would be deemed to have been registered and the land would have been open for mining.</w:t>
      </w:r>
    </w:p>
    <w:p>
      <w:pPr>
        <w:pStyle w:val="Subsection"/>
        <w:rPr>
          <w:snapToGrid w:val="0"/>
        </w:rPr>
      </w:pPr>
      <w:r>
        <w:rPr>
          <w:snapToGrid w:val="0"/>
        </w:rPr>
        <w:tab/>
        <w:t>(3)</w:t>
      </w:r>
      <w:r>
        <w:rPr>
          <w:snapToGrid w:val="0"/>
        </w:rPr>
        <w:tab/>
        <w:t>Where an instrument is lodged for registration and the document is, in the opinion of an authorised officer, erroneous or defective he may reject the lodgement but where he is of the opinion that the error or defect can be corrected he shall accept the instrument for provisional lodgement.</w:t>
      </w:r>
    </w:p>
    <w:p>
      <w:pPr>
        <w:pStyle w:val="Subsection"/>
        <w:rPr>
          <w:snapToGrid w:val="0"/>
        </w:rPr>
      </w:pPr>
      <w:r>
        <w:rPr>
          <w:snapToGrid w:val="0"/>
        </w:rPr>
        <w:tab/>
        <w:t>(4)</w:t>
      </w:r>
      <w:r>
        <w:rPr>
          <w:snapToGrid w:val="0"/>
        </w:rPr>
        <w:tab/>
        <w:t>Neither the Minister nor a person acting under his direction or authority is concerned with the effect any instrument lodged pursuant to this Act may have at law other than for the purposes of this Act, nor does the acceptance of any such instrument for registration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(5)</w:t>
      </w:r>
      <w:r>
        <w:rPr>
          <w:snapToGrid w:val="0"/>
        </w:rPr>
        <w:tab/>
        <w:t>Regulations under this Act may make provision in respect of the dating or effect to be given to the provisional lodgement for registration of an instrument.</w:t>
      </w:r>
    </w:p>
    <w:p>
      <w:pPr>
        <w:pStyle w:val="Footnotesection"/>
      </w:pPr>
      <w:r>
        <w:tab/>
        <w:t xml:space="preserve">[Section 103A inserted by No. 105 of 1986 s. 15; amended by No. 37 of 1993 s. 15.] </w:t>
      </w:r>
    </w:p>
    <w:p>
      <w:pPr>
        <w:pStyle w:val="Heading2"/>
      </w:pPr>
      <w:bookmarkStart w:id="769" w:name="_Toc87427682"/>
      <w:bookmarkStart w:id="770" w:name="_Toc87851257"/>
      <w:bookmarkStart w:id="771" w:name="_Toc88295480"/>
      <w:bookmarkStart w:id="772" w:name="_Toc89519139"/>
      <w:bookmarkStart w:id="773" w:name="_Toc90869264"/>
      <w:bookmarkStart w:id="774" w:name="_Toc91408036"/>
      <w:bookmarkStart w:id="775" w:name="_Toc92863780"/>
      <w:bookmarkStart w:id="776" w:name="_Toc95015148"/>
      <w:bookmarkStart w:id="777" w:name="_Toc95106855"/>
      <w:bookmarkStart w:id="778" w:name="_Toc97018655"/>
      <w:bookmarkStart w:id="779" w:name="_Toc101693608"/>
      <w:bookmarkStart w:id="780" w:name="_Toc103130478"/>
      <w:bookmarkStart w:id="781" w:name="_Toc104711128"/>
      <w:bookmarkStart w:id="782" w:name="_Toc121560113"/>
      <w:bookmarkStart w:id="783" w:name="_Toc122328554"/>
      <w:r>
        <w:rPr>
          <w:rStyle w:val="CharPartNo"/>
        </w:rPr>
        <w:t>Part V</w:t>
      </w:r>
      <w:r>
        <w:rPr>
          <w:rStyle w:val="CharDivNo"/>
        </w:rPr>
        <w:t> </w:t>
      </w:r>
      <w:r>
        <w:t>—</w:t>
      </w:r>
      <w:r>
        <w:rPr>
          <w:rStyle w:val="CharDivText"/>
        </w:rPr>
        <w:t> </w:t>
      </w:r>
      <w:r>
        <w:rPr>
          <w:rStyle w:val="CharPartText"/>
        </w:rPr>
        <w:t>General provisions relating to mining and mining tenements</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r>
        <w:rPr>
          <w:rStyle w:val="CharPartText"/>
        </w:rPr>
        <w:t xml:space="preserve"> </w:t>
      </w:r>
    </w:p>
    <w:p>
      <w:pPr>
        <w:pStyle w:val="Heading5"/>
        <w:rPr>
          <w:snapToGrid w:val="0"/>
        </w:rPr>
      </w:pPr>
      <w:bookmarkStart w:id="784" w:name="_Toc520088011"/>
      <w:bookmarkStart w:id="785" w:name="_Toc523620646"/>
      <w:bookmarkStart w:id="786" w:name="_Toc38853799"/>
      <w:bookmarkStart w:id="787" w:name="_Toc122328555"/>
      <w:r>
        <w:rPr>
          <w:rStyle w:val="CharSectno"/>
        </w:rPr>
        <w:t>104</w:t>
      </w:r>
      <w:r>
        <w:rPr>
          <w:snapToGrid w:val="0"/>
        </w:rPr>
        <w:t>.</w:t>
      </w:r>
      <w:r>
        <w:rPr>
          <w:snapToGrid w:val="0"/>
        </w:rPr>
        <w:tab/>
        <w:t>Entry on land for purpose of marking out, etc.</w:t>
      </w:r>
      <w:bookmarkEnd w:id="784"/>
      <w:bookmarkEnd w:id="785"/>
      <w:bookmarkEnd w:id="786"/>
      <w:bookmarkEnd w:id="787"/>
      <w:r>
        <w:rPr>
          <w:snapToGrid w:val="0"/>
        </w:rPr>
        <w:t xml:space="preserve"> </w:t>
      </w:r>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A person shall not, for the purposes specified in subsection (1) or (2), enter on any 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 xml:space="preserve">[Section 104 amended by No. 5 of 1997 s. 41(2).] </w:t>
      </w:r>
    </w:p>
    <w:p>
      <w:pPr>
        <w:pStyle w:val="Heading5"/>
        <w:rPr>
          <w:snapToGrid w:val="0"/>
        </w:rPr>
      </w:pPr>
      <w:bookmarkStart w:id="788" w:name="_Toc520088012"/>
      <w:bookmarkStart w:id="789" w:name="_Toc523620647"/>
      <w:bookmarkStart w:id="790" w:name="_Toc38853800"/>
      <w:bookmarkStart w:id="791" w:name="_Toc122328556"/>
      <w:r>
        <w:rPr>
          <w:rStyle w:val="CharSectno"/>
        </w:rPr>
        <w:t>105</w:t>
      </w:r>
      <w:r>
        <w:rPr>
          <w:snapToGrid w:val="0"/>
        </w:rPr>
        <w:t>.</w:t>
      </w:r>
      <w:r>
        <w:rPr>
          <w:snapToGrid w:val="0"/>
        </w:rPr>
        <w:tab/>
        <w:t>Marking out of mining tenement</w:t>
      </w:r>
      <w:bookmarkEnd w:id="788"/>
      <w:bookmarkEnd w:id="789"/>
      <w:bookmarkEnd w:id="790"/>
      <w:bookmarkEnd w:id="791"/>
      <w:r>
        <w:rPr>
          <w:snapToGrid w:val="0"/>
        </w:rPr>
        <w:t xml:space="preserve"> </w:t>
      </w:r>
    </w:p>
    <w:p>
      <w:pPr>
        <w:pStyle w:val="Subsection"/>
        <w:spacing w:before="100"/>
        <w:rPr>
          <w:snapToGrid w:val="0"/>
        </w:rPr>
      </w:pPr>
      <w:r>
        <w:rPr>
          <w:snapToGrid w:val="0"/>
        </w:rPr>
        <w:tab/>
        <w:t>(1)</w:t>
      </w:r>
      <w:r>
        <w:rPr>
          <w:snapToGrid w:val="0"/>
        </w:rPr>
        <w:tab/>
        <w:t>Before an application for a mining tenement other than an exploration licence or a retention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repealed]</w:t>
      </w:r>
    </w:p>
    <w:p>
      <w:pPr>
        <w:pStyle w:val="Footnotesection"/>
      </w:pPr>
      <w:r>
        <w:tab/>
        <w:t xml:space="preserve">[Section 105 amended by No. 100 of 1985 s. 79; No. 105 of 1986 s. 16; No. 22 of 1990 s. 33; No. 37 of 1993 s. 10(2) and 16.] </w:t>
      </w:r>
    </w:p>
    <w:p>
      <w:pPr>
        <w:pStyle w:val="Heading5"/>
        <w:spacing w:before="120"/>
        <w:rPr>
          <w:snapToGrid w:val="0"/>
        </w:rPr>
      </w:pPr>
      <w:bookmarkStart w:id="792" w:name="_Toc520088013"/>
      <w:bookmarkStart w:id="793" w:name="_Toc523620648"/>
      <w:bookmarkStart w:id="794" w:name="_Toc38853801"/>
      <w:bookmarkStart w:id="795" w:name="_Toc122328557"/>
      <w:r>
        <w:rPr>
          <w:rStyle w:val="CharSectno"/>
        </w:rPr>
        <w:t>105A</w:t>
      </w:r>
      <w:r>
        <w:rPr>
          <w:snapToGrid w:val="0"/>
        </w:rPr>
        <w:t>.</w:t>
      </w:r>
      <w:r>
        <w:rPr>
          <w:snapToGrid w:val="0"/>
        </w:rPr>
        <w:tab/>
        <w:t>Priorities between applicants for certain tenements</w:t>
      </w:r>
      <w:bookmarkEnd w:id="792"/>
      <w:bookmarkEnd w:id="793"/>
      <w:bookmarkEnd w:id="794"/>
      <w:bookmarkEnd w:id="795"/>
    </w:p>
    <w:p>
      <w:pPr>
        <w:pStyle w:val="Subsection"/>
        <w:spacing w:before="100"/>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b/>
          <w:snapToGrid w:val="0"/>
        </w:rPr>
        <w:t>“</w:t>
      </w:r>
      <w:r>
        <w:rPr>
          <w:rStyle w:val="CharDefText"/>
        </w:rPr>
        <w:t>applicant</w:t>
      </w:r>
      <w:r>
        <w:rPr>
          <w:b/>
          <w:snapToGrid w:val="0"/>
        </w:rPr>
        <w:t>”</w:t>
      </w:r>
      <w:r>
        <w:rPr>
          <w:snapToGrid w:val="0"/>
        </w:rPr>
        <w:t xml:space="preserve"> means an applicant for a prospecting licence, exploration licence, mining lease or general purpose lease.</w:t>
      </w:r>
    </w:p>
    <w:p>
      <w:pPr>
        <w:pStyle w:val="Subsection"/>
        <w:rPr>
          <w:snapToGrid w:val="0"/>
          <w:spacing w:val="-4"/>
        </w:rPr>
      </w:pPr>
      <w:r>
        <w:rPr>
          <w:snapToGrid w:val="0"/>
          <w:spacing w:val="-4"/>
        </w:rPr>
        <w:tab/>
        <w:t>(3)</w:t>
      </w:r>
      <w:r>
        <w:rPr>
          <w:snapToGrid w:val="0"/>
          <w:spacing w:val="-4"/>
        </w:rPr>
        <w:tab/>
        <w:t>Where in respect of any land the warden is satisfied that 2 or more applicants complied with the initial requirement in relation to their applications at the same time, priority shall, unless written agreement is concluded by the applicants and lodged at the office of the mining registrar within the prescribed time, be determined by ballot conducted by the warden in open court on a date to be determined by the warden and notified to the applicants.</w:t>
      </w:r>
    </w:p>
    <w:p>
      <w:pPr>
        <w:pStyle w:val="Subsection"/>
        <w:rPr>
          <w:snapToGrid w:val="0"/>
        </w:rPr>
      </w:pPr>
      <w:r>
        <w:rPr>
          <w:snapToGrid w:val="0"/>
        </w:rPr>
        <w:tab/>
        <w:t>(4)</w:t>
      </w:r>
      <w:r>
        <w:rPr>
          <w:snapToGrid w:val="0"/>
        </w:rPr>
        <w:tab/>
        <w:t>In this section a reference to compliance with the initial requirement in relation to an application is a reference — </w:t>
      </w:r>
    </w:p>
    <w:p>
      <w:pPr>
        <w:pStyle w:val="Indenta"/>
        <w:rPr>
          <w:snapToGrid w:val="0"/>
        </w:rPr>
      </w:pPr>
      <w:r>
        <w:rPr>
          <w:snapToGrid w:val="0"/>
        </w:rPr>
        <w:tab/>
        <w:t>(a)</w:t>
      </w:r>
      <w:r>
        <w:rPr>
          <w:snapToGrid w:val="0"/>
        </w:rPr>
        <w:tab/>
        <w:t>in the case of an application for an exploration licence, to lodging that application at the office of the mining registrar;</w:t>
      </w:r>
    </w:p>
    <w:p>
      <w:pPr>
        <w:pStyle w:val="Indenta"/>
        <w:rPr>
          <w:snapToGrid w:val="0"/>
        </w:rPr>
      </w:pPr>
      <w:r>
        <w:rPr>
          <w:snapToGrid w:val="0"/>
        </w:rPr>
        <w:tab/>
        <w:t>(b)</w:t>
      </w:r>
      <w:r>
        <w:rPr>
          <w:snapToGrid w:val="0"/>
        </w:rPr>
        <w:tab/>
        <w:t>in the case of an application for a prospecting licence, mining lease or general purpose lease — </w:t>
      </w:r>
    </w:p>
    <w:p>
      <w:pPr>
        <w:pStyle w:val="Indenti"/>
        <w:rPr>
          <w:snapToGrid w:val="0"/>
        </w:rPr>
      </w:pPr>
      <w:r>
        <w:rPr>
          <w:snapToGrid w:val="0"/>
        </w:rPr>
        <w:tab/>
        <w:t>(i)</w:t>
      </w:r>
      <w:r>
        <w:rPr>
          <w:snapToGrid w:val="0"/>
        </w:rPr>
        <w:tab/>
        <w:t>unless subparagraph (ii) or (iii) applies, to marking out the land concerned in the prescribed manner;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 at the office of the mining registrar;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 xml:space="preserve">[Section 105A inserted by No. 69 of 1981 s. 24; amended by No. 100 of 1985 s. 80; No. 1 of 1986 s. 6; No. 22 of 1990 s. 34; No. 37 of 1993 s. 17 and 26; No. 58 of 1994 s. 42; No. 15 of 2002 s. 26.] </w:t>
      </w:r>
    </w:p>
    <w:p>
      <w:pPr>
        <w:pStyle w:val="Heading5"/>
        <w:rPr>
          <w:snapToGrid w:val="0"/>
        </w:rPr>
      </w:pPr>
      <w:bookmarkStart w:id="796" w:name="_Toc520088014"/>
      <w:bookmarkStart w:id="797" w:name="_Toc523620649"/>
      <w:bookmarkStart w:id="798" w:name="_Toc38853802"/>
      <w:bookmarkStart w:id="799" w:name="_Toc122328558"/>
      <w:r>
        <w:rPr>
          <w:rStyle w:val="CharSectno"/>
        </w:rPr>
        <w:t>105B</w:t>
      </w:r>
      <w:r>
        <w:rPr>
          <w:snapToGrid w:val="0"/>
        </w:rPr>
        <w:t>.</w:t>
      </w:r>
      <w:r>
        <w:rPr>
          <w:snapToGrid w:val="0"/>
        </w:rPr>
        <w:tab/>
        <w:t>Grant of tenement subject to survey</w:t>
      </w:r>
      <w:bookmarkEnd w:id="796"/>
      <w:bookmarkEnd w:id="797"/>
      <w:bookmarkEnd w:id="798"/>
      <w:bookmarkEnd w:id="799"/>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 xml:space="preserve">[Section 105B inserted by No. 100 of 1985 s. 81.] </w:t>
      </w:r>
    </w:p>
    <w:p>
      <w:pPr>
        <w:pStyle w:val="Heading5"/>
        <w:rPr>
          <w:snapToGrid w:val="0"/>
        </w:rPr>
      </w:pPr>
      <w:bookmarkStart w:id="800" w:name="_Toc520088015"/>
      <w:bookmarkStart w:id="801" w:name="_Toc523620650"/>
      <w:bookmarkStart w:id="802" w:name="_Toc38853803"/>
      <w:bookmarkStart w:id="803" w:name="_Toc122328559"/>
      <w:r>
        <w:rPr>
          <w:rStyle w:val="CharSectno"/>
        </w:rPr>
        <w:t>106</w:t>
      </w:r>
      <w:r>
        <w:rPr>
          <w:snapToGrid w:val="0"/>
        </w:rPr>
        <w:t>.</w:t>
      </w:r>
      <w:r>
        <w:rPr>
          <w:snapToGrid w:val="0"/>
        </w:rPr>
        <w:tab/>
        <w:t>Offence of destroying marks or obstructing surveyor, etc.</w:t>
      </w:r>
      <w:bookmarkEnd w:id="800"/>
      <w:bookmarkEnd w:id="801"/>
      <w:bookmarkEnd w:id="802"/>
      <w:bookmarkEnd w:id="803"/>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 xml:space="preserve">[Section 106 amended by No. 122 of 1982 s. 26; No. 100 of 1985 s. 82.] </w:t>
      </w:r>
    </w:p>
    <w:p>
      <w:pPr>
        <w:pStyle w:val="Heading5"/>
        <w:rPr>
          <w:snapToGrid w:val="0"/>
        </w:rPr>
      </w:pPr>
      <w:bookmarkStart w:id="804" w:name="_Toc520088016"/>
      <w:bookmarkStart w:id="805" w:name="_Toc523620651"/>
      <w:bookmarkStart w:id="806" w:name="_Toc38853804"/>
      <w:bookmarkStart w:id="807" w:name="_Toc122328560"/>
      <w:r>
        <w:rPr>
          <w:rStyle w:val="CharSectno"/>
        </w:rPr>
        <w:t>107</w:t>
      </w:r>
      <w:r>
        <w:rPr>
          <w:snapToGrid w:val="0"/>
        </w:rPr>
        <w:t>.</w:t>
      </w:r>
      <w:r>
        <w:rPr>
          <w:snapToGrid w:val="0"/>
        </w:rPr>
        <w:tab/>
        <w:t>Areas covered by water not required to be marked out</w:t>
      </w:r>
      <w:bookmarkEnd w:id="804"/>
      <w:bookmarkEnd w:id="805"/>
      <w:bookmarkEnd w:id="806"/>
      <w:bookmarkEnd w:id="807"/>
      <w:r>
        <w:rPr>
          <w:snapToGrid w:val="0"/>
        </w:rPr>
        <w:t xml:space="preserve"> </w:t>
      </w:r>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808" w:name="_Toc520088017"/>
      <w:bookmarkStart w:id="809" w:name="_Toc523620652"/>
      <w:bookmarkStart w:id="810" w:name="_Toc38853805"/>
      <w:bookmarkStart w:id="811" w:name="_Toc122328561"/>
      <w:r>
        <w:rPr>
          <w:rStyle w:val="CharSectno"/>
        </w:rPr>
        <w:t>108</w:t>
      </w:r>
      <w:r>
        <w:rPr>
          <w:snapToGrid w:val="0"/>
        </w:rPr>
        <w:t>.</w:t>
      </w:r>
      <w:r>
        <w:rPr>
          <w:snapToGrid w:val="0"/>
        </w:rPr>
        <w:tab/>
        <w:t>Rent payable for mining tenement</w:t>
      </w:r>
      <w:bookmarkEnd w:id="808"/>
      <w:bookmarkEnd w:id="809"/>
      <w:bookmarkEnd w:id="810"/>
      <w:bookmarkEnd w:id="811"/>
      <w:r>
        <w:rPr>
          <w:snapToGrid w:val="0"/>
        </w:rPr>
        <w:t xml:space="preserve"> </w:t>
      </w:r>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812" w:name="_Toc520088018"/>
      <w:bookmarkStart w:id="813" w:name="_Toc523620653"/>
      <w:bookmarkStart w:id="814" w:name="_Toc38853806"/>
      <w:bookmarkStart w:id="815" w:name="_Toc122328562"/>
      <w:r>
        <w:rPr>
          <w:rStyle w:val="CharSectno"/>
        </w:rPr>
        <w:t>109</w:t>
      </w:r>
      <w:r>
        <w:rPr>
          <w:snapToGrid w:val="0"/>
        </w:rPr>
        <w:t>.</w:t>
      </w:r>
      <w:r>
        <w:rPr>
          <w:snapToGrid w:val="0"/>
        </w:rPr>
        <w:tab/>
        <w:t>Royalties</w:t>
      </w:r>
      <w:bookmarkEnd w:id="812"/>
      <w:bookmarkEnd w:id="813"/>
      <w:bookmarkEnd w:id="814"/>
      <w:bookmarkEnd w:id="815"/>
      <w:r>
        <w:rPr>
          <w:snapToGrid w:val="0"/>
        </w:rPr>
        <w:t xml:space="preserve"> </w:t>
      </w:r>
    </w:p>
    <w:p>
      <w:pPr>
        <w:pStyle w:val="Subsection"/>
        <w:rPr>
          <w:snapToGrid w:val="0"/>
        </w:rPr>
      </w:pPr>
      <w:r>
        <w:rPr>
          <w:snapToGrid w:val="0"/>
        </w:rPr>
        <w:tab/>
        <w:t>(1)</w:t>
      </w:r>
      <w:r>
        <w:rPr>
          <w:snapToGrid w:val="0"/>
        </w:rPr>
        <w:tab/>
        <w:t>In the exercise of the power to make regulations under section 162, the Governor may by regulation —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keepNext/>
        <w:rPr>
          <w:snapToGrid w:val="0"/>
        </w:rPr>
      </w:pPr>
      <w:r>
        <w:rPr>
          <w:snapToGrid w:val="0"/>
        </w:rPr>
        <w:tab/>
        <w:t>(2)</w:t>
      </w:r>
      <w:r>
        <w:rPr>
          <w:snapToGrid w:val="0"/>
        </w:rPr>
        <w:tab/>
        <w:t>Regulations made under section 162 may empower the Minister —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rPr>
          <w:snapToGrid w:val="0"/>
        </w:rPr>
      </w:pPr>
      <w:r>
        <w:rPr>
          <w:snapToGrid w:val="0"/>
        </w:rPr>
        <w:tab/>
        <w:t>(3)</w:t>
      </w:r>
      <w:r>
        <w:rPr>
          <w:snapToGrid w:val="0"/>
        </w:rPr>
        <w:tab/>
        <w:t>For the purposes of this section, a reference to a mineral includes a reference to a material containing that mineral.</w:t>
      </w:r>
    </w:p>
    <w:p>
      <w:pPr>
        <w:pStyle w:val="Subsection"/>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 xml:space="preserve">[Section 109 amended by No. 100 of 1985 s. 83; No. 58 of 1994 s. 43.] </w:t>
      </w:r>
    </w:p>
    <w:p>
      <w:pPr>
        <w:pStyle w:val="Heading5"/>
        <w:rPr>
          <w:snapToGrid w:val="0"/>
        </w:rPr>
      </w:pPr>
      <w:bookmarkStart w:id="816" w:name="_Toc520088019"/>
      <w:bookmarkStart w:id="817" w:name="_Toc523620654"/>
      <w:bookmarkStart w:id="818" w:name="_Toc38853807"/>
      <w:bookmarkStart w:id="819" w:name="_Toc122328563"/>
      <w:r>
        <w:rPr>
          <w:rStyle w:val="CharSectno"/>
        </w:rPr>
        <w:t>109A</w:t>
      </w:r>
      <w:r>
        <w:rPr>
          <w:snapToGrid w:val="0"/>
        </w:rPr>
        <w:t>.</w:t>
      </w:r>
      <w:r>
        <w:rPr>
          <w:snapToGrid w:val="0"/>
        </w:rPr>
        <w:tab/>
        <w:t>Verification of royalties payable</w:t>
      </w:r>
      <w:bookmarkEnd w:id="816"/>
      <w:bookmarkEnd w:id="817"/>
      <w:bookmarkEnd w:id="818"/>
      <w:bookmarkEnd w:id="819"/>
      <w:r>
        <w:rPr>
          <w:snapToGrid w:val="0"/>
        </w:rPr>
        <w:t xml:space="preserve"> </w:t>
      </w:r>
    </w:p>
    <w:p>
      <w:pPr>
        <w:pStyle w:val="Subsection"/>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 </w:t>
      </w:r>
    </w:p>
    <w:p>
      <w:pPr>
        <w:pStyle w:val="Indenta"/>
        <w:rPr>
          <w:snapToGrid w:val="0"/>
        </w:rPr>
      </w:pPr>
      <w:r>
        <w:rPr>
          <w:snapToGrid w:val="0"/>
        </w:rPr>
        <w:tab/>
        <w:t>(a)</w:t>
      </w:r>
      <w:r>
        <w:rPr>
          <w:snapToGrid w:val="0"/>
        </w:rPr>
        <w:tab/>
        <w:t>is prepared at the cost of the person by whom the request is made and is signed by —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keepNext/>
        <w:rPr>
          <w:snapToGrid w:val="0"/>
        </w:rPr>
      </w:pPr>
      <w:r>
        <w:rPr>
          <w:snapToGrid w:val="0"/>
        </w:rPr>
        <w:tab/>
        <w:t>(3)</w:t>
      </w:r>
      <w:r>
        <w:rPr>
          <w:snapToGrid w:val="0"/>
        </w:rPr>
        <w:tab/>
        <w:t>For the purpose of —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rPr>
          <w:snapToGrid w:val="0"/>
        </w:rPr>
      </w:pPr>
      <w:r>
        <w:rPr>
          <w:snapToGrid w:val="0"/>
        </w:rPr>
        <w:tab/>
        <w:t>(5)</w:t>
      </w:r>
      <w:r>
        <w:rPr>
          <w:snapToGrid w:val="0"/>
        </w:rPr>
        <w:tab/>
        <w:t>A person who, without reasonable cause, refuses or fails —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w:t>
      </w:r>
    </w:p>
    <w:p>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w:t>
      </w:r>
    </w:p>
    <w:p>
      <w:pPr>
        <w:pStyle w:val="Indenta"/>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rPr>
          <w:snapToGrid w:val="0"/>
        </w:rPr>
      </w:pPr>
      <w:r>
        <w:rPr>
          <w:snapToGrid w:val="0"/>
        </w:rPr>
        <w:tab/>
        <w:t>(6)</w:t>
      </w:r>
      <w:r>
        <w:rPr>
          <w:snapToGrid w:val="0"/>
        </w:rPr>
        <w:tab/>
        <w:t>Where a person who is the holder of, or an applicant for, a mining tenement is convicted in respect of that tenement of an offence contravening subsection (5) — </w:t>
      </w:r>
    </w:p>
    <w:p>
      <w:pPr>
        <w:pStyle w:val="Indenta"/>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w:t>
      </w:r>
    </w:p>
    <w:p>
      <w:pPr>
        <w:pStyle w:val="Indenta"/>
        <w:rPr>
          <w:snapToGrid w:val="0"/>
        </w:rPr>
      </w:pPr>
      <w:r>
        <w:rPr>
          <w:snapToGrid w:val="0"/>
        </w:rPr>
        <w:tab/>
        <w:t>(b)</w:t>
      </w:r>
      <w:r>
        <w:rPr>
          <w:snapToGrid w:val="0"/>
        </w:rPr>
        <w:tab/>
        <w:t>that person may by notice in writing be required to pay to the Minister — </w:t>
      </w:r>
    </w:p>
    <w:p>
      <w:pPr>
        <w:pStyle w:val="Indenti"/>
        <w:rPr>
          <w:snapToGrid w:val="0"/>
        </w:rPr>
      </w:pPr>
      <w:r>
        <w:rPr>
          <w:snapToGrid w:val="0"/>
        </w:rPr>
        <w:tab/>
        <w:t>(i)</w:t>
      </w:r>
      <w:r>
        <w:rPr>
          <w:snapToGrid w:val="0"/>
        </w:rPr>
        <w:tab/>
        <w:t>that estimated royalty; and</w:t>
      </w:r>
    </w:p>
    <w:p>
      <w:pPr>
        <w:pStyle w:val="Indenti"/>
        <w:rPr>
          <w:snapToGrid w:val="0"/>
        </w:rPr>
      </w:pPr>
      <w:r>
        <w:rPr>
          <w:snapToGrid w:val="0"/>
        </w:rPr>
        <w:tab/>
        <w:t>(ii)</w:t>
      </w:r>
      <w:r>
        <w:rPr>
          <w:snapToGrid w:val="0"/>
        </w:rPr>
        <w:tab/>
        <w:t>an amount by way of penalty determined by the Minister, being an amount not greater than 50% of that estimated royalty,</w:t>
      </w:r>
    </w:p>
    <w:p>
      <w:pPr>
        <w:pStyle w:val="Indenta"/>
        <w:rPr>
          <w:snapToGrid w:val="0"/>
        </w:rPr>
      </w:pPr>
      <w:r>
        <w:rPr>
          <w:snapToGrid w:val="0"/>
        </w:rPr>
        <w:tab/>
      </w:r>
      <w:r>
        <w:rPr>
          <w:snapToGrid w:val="0"/>
        </w:rPr>
        <w:tab/>
        <w:t>within a time specified by the Minister; and</w:t>
      </w:r>
    </w:p>
    <w:p>
      <w:pPr>
        <w:pStyle w:val="Indenta"/>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 </w:t>
      </w:r>
    </w:p>
    <w:p>
      <w:pPr>
        <w:pStyle w:val="Indenti"/>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pPr>
      <w:r>
        <w:tab/>
        <w:t xml:space="preserve">[Section 109A inserted by No. 22 of 1990 s. 35; amended by No. 37 of 1993 s. 27; No. 10 of 2001 s. 136.] </w:t>
      </w:r>
    </w:p>
    <w:p>
      <w:pPr>
        <w:pStyle w:val="Heading5"/>
        <w:rPr>
          <w:snapToGrid w:val="0"/>
        </w:rPr>
      </w:pPr>
      <w:bookmarkStart w:id="820" w:name="_Toc520088020"/>
      <w:bookmarkStart w:id="821" w:name="_Toc523620655"/>
      <w:bookmarkStart w:id="822" w:name="_Toc38853808"/>
      <w:bookmarkStart w:id="823" w:name="_Toc122328564"/>
      <w:r>
        <w:rPr>
          <w:rStyle w:val="CharSectno"/>
        </w:rPr>
        <w:t>110</w:t>
      </w:r>
      <w:r>
        <w:rPr>
          <w:snapToGrid w:val="0"/>
        </w:rPr>
        <w:t>.</w:t>
      </w:r>
      <w:r>
        <w:rPr>
          <w:snapToGrid w:val="0"/>
        </w:rPr>
        <w:tab/>
        <w:t>Mining lease restricted to certain minerals</w:t>
      </w:r>
      <w:bookmarkEnd w:id="820"/>
      <w:bookmarkEnd w:id="821"/>
      <w:bookmarkEnd w:id="822"/>
      <w:bookmarkEnd w:id="823"/>
      <w:r>
        <w:rPr>
          <w:snapToGrid w:val="0"/>
        </w:rPr>
        <w:t xml:space="preserve"> </w:t>
      </w:r>
    </w:p>
    <w:p>
      <w:pPr>
        <w:pStyle w:val="Subsection"/>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pPr>
      <w:r>
        <w:tab/>
        <w:t>[Section 110 amended by No. 57 of 1997 s. 89(4).]</w:t>
      </w:r>
    </w:p>
    <w:p>
      <w:pPr>
        <w:pStyle w:val="Heading5"/>
        <w:rPr>
          <w:snapToGrid w:val="0"/>
        </w:rPr>
      </w:pPr>
      <w:bookmarkStart w:id="824" w:name="_Toc520088021"/>
      <w:bookmarkStart w:id="825" w:name="_Toc523620656"/>
      <w:bookmarkStart w:id="826" w:name="_Toc38853809"/>
      <w:bookmarkStart w:id="827" w:name="_Toc122328565"/>
      <w:r>
        <w:rPr>
          <w:rStyle w:val="CharSectno"/>
        </w:rPr>
        <w:t>111</w:t>
      </w:r>
      <w:r>
        <w:rPr>
          <w:snapToGrid w:val="0"/>
        </w:rPr>
        <w:t>.</w:t>
      </w:r>
      <w:r>
        <w:rPr>
          <w:snapToGrid w:val="0"/>
        </w:rPr>
        <w:tab/>
        <w:t>Power of Minister to exclude mining for iron from mining tenements</w:t>
      </w:r>
      <w:bookmarkEnd w:id="824"/>
      <w:bookmarkEnd w:id="825"/>
      <w:bookmarkEnd w:id="826"/>
      <w:bookmarkEnd w:id="827"/>
      <w:r>
        <w:rPr>
          <w:snapToGrid w:val="0"/>
        </w:rPr>
        <w:t xml:space="preserve"> </w:t>
      </w:r>
    </w:p>
    <w:p>
      <w:pPr>
        <w:pStyle w:val="Subsection"/>
        <w:keepNext/>
        <w:rPr>
          <w:snapToGrid w:val="0"/>
        </w:rPr>
      </w:pPr>
      <w:r>
        <w:rPr>
          <w:snapToGrid w:val="0"/>
        </w:rPr>
        <w:tab/>
      </w:r>
      <w:r>
        <w:rPr>
          <w:snapToGrid w:val="0"/>
        </w:rPr>
        <w:tab/>
        <w:t>Notwithstanding the provisions of sections 48, 66, 70J and 85 — </w:t>
      </w:r>
    </w:p>
    <w:p>
      <w:pPr>
        <w:pStyle w:val="Indenta"/>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 xml:space="preserve">[Section 111 amended by No. 37 of 1993 s. 10(2); No. 54 of 1996 s. 23.] </w:t>
      </w:r>
    </w:p>
    <w:p>
      <w:pPr>
        <w:pStyle w:val="Heading5"/>
        <w:rPr>
          <w:snapToGrid w:val="0"/>
        </w:rPr>
      </w:pPr>
      <w:bookmarkStart w:id="828" w:name="_Toc520088022"/>
      <w:bookmarkStart w:id="829" w:name="_Toc523620657"/>
      <w:bookmarkStart w:id="830" w:name="_Toc38853810"/>
      <w:bookmarkStart w:id="831" w:name="_Toc122328566"/>
      <w:r>
        <w:rPr>
          <w:rStyle w:val="CharSectno"/>
        </w:rPr>
        <w:t>111A</w:t>
      </w:r>
      <w:r>
        <w:rPr>
          <w:snapToGrid w:val="0"/>
        </w:rPr>
        <w:t>.</w:t>
      </w:r>
      <w:r>
        <w:rPr>
          <w:snapToGrid w:val="0"/>
        </w:rPr>
        <w:tab/>
        <w:t>Minister may terminate or summarily refuse certain applications</w:t>
      </w:r>
      <w:bookmarkEnd w:id="828"/>
      <w:bookmarkEnd w:id="829"/>
      <w:bookmarkEnd w:id="830"/>
      <w:bookmarkEnd w:id="831"/>
      <w:r>
        <w:rPr>
          <w:snapToGrid w:val="0"/>
        </w:rPr>
        <w:t xml:space="preserve"> </w:t>
      </w:r>
    </w:p>
    <w:p>
      <w:pPr>
        <w:pStyle w:val="Subsection"/>
        <w:rPr>
          <w:snapToGrid w:val="0"/>
        </w:rPr>
      </w:pPr>
      <w:r>
        <w:rPr>
          <w:snapToGrid w:val="0"/>
        </w:rPr>
        <w:tab/>
        <w:t>(1)</w:t>
      </w:r>
      <w:r>
        <w:rPr>
          <w:snapToGrid w:val="0"/>
        </w:rPr>
        <w:tab/>
        <w:t>The Minister may — </w:t>
      </w:r>
    </w:p>
    <w:p>
      <w:pPr>
        <w:pStyle w:val="Indenta"/>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 </w:t>
      </w:r>
    </w:p>
    <w:p>
      <w:pPr>
        <w:pStyle w:val="Indenta"/>
        <w:rPr>
          <w:snapToGrid w:val="0"/>
        </w:rPr>
      </w:pPr>
      <w:r>
        <w:rPr>
          <w:snapToGrid w:val="0"/>
        </w:rPr>
        <w:tab/>
        <w:t>(c)</w:t>
      </w:r>
      <w:r>
        <w:rPr>
          <w:snapToGrid w:val="0"/>
        </w:rPr>
        <w:tab/>
        <w:t>the Minister is satisfied on reasonable grounds in the public interest that —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spacing w:before="120"/>
        <w:rPr>
          <w:snapToGrid w:val="0"/>
        </w:rPr>
      </w:pPr>
      <w:r>
        <w:rPr>
          <w:snapToGrid w:val="0"/>
        </w:rPr>
        <w:tab/>
        <w:t>(2)</w:t>
      </w:r>
      <w:r>
        <w:rPr>
          <w:snapToGrid w:val="0"/>
        </w:rPr>
        <w:tab/>
        <w:t xml:space="preserve">In subsection (1)(d) </w:t>
      </w:r>
      <w:r>
        <w:rPr>
          <w:b/>
          <w:snapToGrid w:val="0"/>
        </w:rPr>
        <w:t>“</w:t>
      </w:r>
      <w:r>
        <w:rPr>
          <w:rStyle w:val="CharDefText"/>
        </w:rPr>
        <w:t>late renewal application</w:t>
      </w:r>
      <w:r>
        <w:rPr>
          <w:b/>
          <w:snapToGrid w:val="0"/>
        </w:rPr>
        <w:t>”</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spacing w:before="120"/>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spacing w:before="120"/>
        <w:rPr>
          <w:snapToGrid w:val="0"/>
        </w:rPr>
      </w:pPr>
      <w:r>
        <w:rPr>
          <w:snapToGrid w:val="0"/>
        </w:rPr>
        <w:tab/>
        <w:t>(4)</w:t>
      </w:r>
      <w:r>
        <w:rPr>
          <w:snapToGrid w:val="0"/>
        </w:rPr>
        <w:tab/>
        <w:t>The powers conferred by subsection (1) are in addition to any other powers of the Minister under this Act.</w:t>
      </w:r>
    </w:p>
    <w:p>
      <w:pPr>
        <w:pStyle w:val="Footnotesection"/>
      </w:pPr>
      <w:r>
        <w:tab/>
        <w:t xml:space="preserve">[Section 111A inserted by No. 58 of 1994 s. 44.] </w:t>
      </w:r>
    </w:p>
    <w:p>
      <w:pPr>
        <w:pStyle w:val="Heading5"/>
        <w:spacing w:before="120"/>
        <w:rPr>
          <w:snapToGrid w:val="0"/>
        </w:rPr>
      </w:pPr>
      <w:bookmarkStart w:id="832" w:name="_Toc520088023"/>
      <w:bookmarkStart w:id="833" w:name="_Toc523620658"/>
      <w:bookmarkStart w:id="834" w:name="_Toc38853811"/>
      <w:bookmarkStart w:id="835" w:name="_Toc122328567"/>
      <w:r>
        <w:rPr>
          <w:rStyle w:val="CharSectno"/>
        </w:rPr>
        <w:t>112</w:t>
      </w:r>
      <w:r>
        <w:rPr>
          <w:snapToGrid w:val="0"/>
        </w:rPr>
        <w:t>.</w:t>
      </w:r>
      <w:r>
        <w:rPr>
          <w:snapToGrid w:val="0"/>
        </w:rPr>
        <w:tab/>
        <w:t>Reservation in favour of Crown on prospecting licence or exploration licence to take rock, etc.</w:t>
      </w:r>
      <w:bookmarkEnd w:id="832"/>
      <w:bookmarkEnd w:id="833"/>
      <w:bookmarkEnd w:id="834"/>
      <w:bookmarkEnd w:id="835"/>
      <w:r>
        <w:rPr>
          <w:snapToGrid w:val="0"/>
        </w:rPr>
        <w:t xml:space="preserve"> </w:t>
      </w:r>
    </w:p>
    <w:p>
      <w:pPr>
        <w:pStyle w:val="Subsection"/>
        <w:spacing w:before="120"/>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rPr>
          <w:snapToGrid w:val="0"/>
        </w:rPr>
      </w:pPr>
      <w:r>
        <w:rPr>
          <w:snapToGrid w:val="0"/>
        </w:rPr>
        <w:tab/>
        <w:t>(2)</w:t>
      </w:r>
      <w:r>
        <w:rPr>
          <w:snapToGrid w:val="0"/>
        </w:rPr>
        <w:tab/>
        <w:t>A prospecting licence or exploration licence granted —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 land.</w:t>
      </w:r>
    </w:p>
    <w:p>
      <w:pPr>
        <w:pStyle w:val="Footnotesection"/>
      </w:pPr>
      <w:r>
        <w:tab/>
        <w:t xml:space="preserve">[Section 112 amended by No. 69 of 1981 s. 26.] </w:t>
      </w:r>
    </w:p>
    <w:p>
      <w:pPr>
        <w:pStyle w:val="Heading5"/>
        <w:rPr>
          <w:snapToGrid w:val="0"/>
        </w:rPr>
      </w:pPr>
      <w:bookmarkStart w:id="836" w:name="_Toc520088024"/>
      <w:bookmarkStart w:id="837" w:name="_Toc523620659"/>
      <w:bookmarkStart w:id="838" w:name="_Toc38853812"/>
      <w:bookmarkStart w:id="839" w:name="_Toc122328568"/>
      <w:r>
        <w:rPr>
          <w:rStyle w:val="CharSectno"/>
        </w:rPr>
        <w:t>113</w:t>
      </w:r>
      <w:r>
        <w:rPr>
          <w:snapToGrid w:val="0"/>
        </w:rPr>
        <w:t>.</w:t>
      </w:r>
      <w:r>
        <w:rPr>
          <w:snapToGrid w:val="0"/>
        </w:rPr>
        <w:tab/>
        <w:t>Repossession of land on expiry, etc., of mining tenement</w:t>
      </w:r>
      <w:bookmarkEnd w:id="836"/>
      <w:bookmarkEnd w:id="837"/>
      <w:bookmarkEnd w:id="838"/>
      <w:bookmarkEnd w:id="839"/>
      <w:r>
        <w:rPr>
          <w:snapToGrid w:val="0"/>
        </w:rPr>
        <w:t xml:space="preserve"> </w:t>
      </w:r>
    </w:p>
    <w:p>
      <w:pPr>
        <w:pStyle w:val="Subsection"/>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rPr>
          <w:snapToGrid w:val="0"/>
        </w:rPr>
      </w:pPr>
      <w:bookmarkStart w:id="840" w:name="_Toc520088025"/>
      <w:bookmarkStart w:id="841" w:name="_Toc523620660"/>
      <w:bookmarkStart w:id="842" w:name="_Toc38853813"/>
      <w:bookmarkStart w:id="843" w:name="_Toc122328569"/>
      <w:r>
        <w:rPr>
          <w:rStyle w:val="CharSectno"/>
        </w:rPr>
        <w:t>114</w:t>
      </w:r>
      <w:r>
        <w:rPr>
          <w:snapToGrid w:val="0"/>
        </w:rPr>
        <w:t>.</w:t>
      </w:r>
      <w:r>
        <w:rPr>
          <w:snapToGrid w:val="0"/>
        </w:rPr>
        <w:tab/>
        <w:t>Removal of buildings etc., on expiry etc., of mining tenement</w:t>
      </w:r>
      <w:bookmarkEnd w:id="840"/>
      <w:bookmarkEnd w:id="841"/>
      <w:bookmarkEnd w:id="842"/>
      <w:bookmarkEnd w:id="843"/>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mining plant</w:t>
      </w:r>
      <w:r>
        <w:rPr>
          <w:b/>
        </w:rPr>
        <w:t>”</w:t>
      </w:r>
      <w:r>
        <w:t xml:space="preserve"> means any building, plant, machinery, equipment, tools or any other property of any kind whether affixed to land or not so affixed;</w:t>
      </w:r>
    </w:p>
    <w:p>
      <w:pPr>
        <w:pStyle w:val="Defstart"/>
      </w:pPr>
      <w:r>
        <w:rPr>
          <w:b/>
        </w:rPr>
        <w:tab/>
        <w:t>“</w:t>
      </w:r>
      <w:r>
        <w:rPr>
          <w:rStyle w:val="CharDefText"/>
        </w:rPr>
        <w:t>prescribed period</w:t>
      </w:r>
      <w:r>
        <w:rPr>
          <w:b/>
        </w:rPr>
        <w:t>”</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rPr>
          <w:snapToGrid w:val="0"/>
        </w:rPr>
      </w:pPr>
      <w:r>
        <w:rPr>
          <w:snapToGrid w:val="0"/>
        </w:rPr>
        <w:tab/>
        <w:t>(2)</w:t>
      </w:r>
      <w:r>
        <w:rPr>
          <w:snapToGrid w:val="0"/>
        </w:rPr>
        <w:tab/>
        <w:t>When a mining tenement expires or is surrendered in whole or in part or forfeited —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rPr>
          <w:snapToGrid w:val="0"/>
        </w:rPr>
      </w:pPr>
      <w:r>
        <w:rPr>
          <w:snapToGrid w:val="0"/>
        </w:rPr>
        <w:tab/>
        <w:t>(b)</w:t>
      </w:r>
      <w:r>
        <w:rPr>
          <w:snapToGrid w:val="0"/>
        </w:rPr>
        <w:tab/>
        <w:t>any other person,</w:t>
      </w:r>
    </w:p>
    <w:p>
      <w:pPr>
        <w:pStyle w:val="Subsection"/>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spacing w:before="240"/>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spacing w:before="240"/>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spacing w:before="240"/>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spacing w:before="240"/>
        <w:rPr>
          <w:snapToGrid w:val="0"/>
        </w:rPr>
      </w:pPr>
      <w:r>
        <w:rPr>
          <w:snapToGrid w:val="0"/>
        </w:rPr>
        <w:tab/>
        <w:t>(7)</w:t>
      </w:r>
      <w:r>
        <w:rPr>
          <w:snapToGrid w:val="0"/>
        </w:rPr>
        <w:tab/>
        <w:t>Where — </w:t>
      </w:r>
    </w:p>
    <w:p>
      <w:pPr>
        <w:pStyle w:val="Indenta"/>
        <w:spacing w:before="160"/>
        <w:rPr>
          <w:snapToGrid w:val="0"/>
        </w:rPr>
      </w:pPr>
      <w:r>
        <w:rPr>
          <w:snapToGrid w:val="0"/>
        </w:rPr>
        <w:tab/>
        <w:t>(a)</w:t>
      </w:r>
      <w:r>
        <w:rPr>
          <w:snapToGrid w:val="0"/>
        </w:rPr>
        <w:tab/>
        <w:t>a mining tenement expires or is surrendered in whole or in part or forfeited; and</w:t>
      </w:r>
    </w:p>
    <w:p>
      <w:pPr>
        <w:pStyle w:val="Indenta"/>
        <w:spacing w:before="160"/>
        <w:rPr>
          <w:snapToGrid w:val="0"/>
        </w:rPr>
      </w:pPr>
      <w:r>
        <w:rPr>
          <w:snapToGrid w:val="0"/>
        </w:rPr>
        <w:tab/>
        <w:t>(b)</w:t>
      </w:r>
      <w:r>
        <w:rPr>
          <w:snapToGrid w:val="0"/>
        </w:rPr>
        <w:tab/>
        <w:t xml:space="preserve">at the time of that expiry, surrender or forfeiture, the person (in this subsection called </w:t>
      </w:r>
      <w:r>
        <w:rPr>
          <w:b/>
          <w:snapToGrid w:val="0"/>
        </w:rPr>
        <w:t>“</w:t>
      </w:r>
      <w:r>
        <w:rPr>
          <w:rStyle w:val="CharDefText"/>
        </w:rPr>
        <w:t>the former holder</w:t>
      </w:r>
      <w:r>
        <w:rPr>
          <w:b/>
          <w:snapToGrid w:val="0"/>
        </w:rPr>
        <w:t>”</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rPr>
          <w:snapToGrid w:val="0"/>
        </w:rPr>
      </w:pPr>
      <w:r>
        <w:rPr>
          <w:snapToGrid w:val="0"/>
        </w:rPr>
        <w:tab/>
      </w:r>
      <w:r>
        <w:rPr>
          <w:snapToGrid w:val="0"/>
        </w:rPr>
        <w:tab/>
        <w:t>the tailings or other mining product become or becomes the property of the Crown — </w:t>
      </w:r>
    </w:p>
    <w:p>
      <w:pPr>
        <w:pStyle w:val="Indenta"/>
        <w:rPr>
          <w:snapToGrid w:val="0"/>
        </w:rPr>
      </w:pPr>
      <w:r>
        <w:rPr>
          <w:snapToGrid w:val="0"/>
        </w:rPr>
        <w:tab/>
        <w:t>(c)</w:t>
      </w:r>
      <w:r>
        <w:rPr>
          <w:snapToGrid w:val="0"/>
        </w:rPr>
        <w:tab/>
        <w:t>at the expiration of the prescribed period, if the former holder does not —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12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spacing w:before="120"/>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pPr>
      <w:r>
        <w:tab/>
        <w:t xml:space="preserve">[Section 114 amended by No. 37 of 1993 s. 18.] </w:t>
      </w:r>
    </w:p>
    <w:p>
      <w:pPr>
        <w:pStyle w:val="Heading5"/>
        <w:rPr>
          <w:snapToGrid w:val="0"/>
        </w:rPr>
      </w:pPr>
      <w:bookmarkStart w:id="844" w:name="_Toc520088026"/>
      <w:bookmarkStart w:id="845" w:name="_Toc523620661"/>
      <w:bookmarkStart w:id="846" w:name="_Toc38853814"/>
      <w:bookmarkStart w:id="847" w:name="_Toc122328570"/>
      <w:r>
        <w:rPr>
          <w:rStyle w:val="CharSectno"/>
        </w:rPr>
        <w:t>114A</w:t>
      </w:r>
      <w:r>
        <w:rPr>
          <w:snapToGrid w:val="0"/>
        </w:rPr>
        <w:t>.</w:t>
      </w:r>
      <w:r>
        <w:rPr>
          <w:snapToGrid w:val="0"/>
          <w:vertAlign w:val="superscript"/>
        </w:rPr>
        <w:tab/>
      </w:r>
      <w:r>
        <w:rPr>
          <w:snapToGrid w:val="0"/>
        </w:rPr>
        <w:t>Rights conferred under mining tenement exercisable in respect of mining product belonging to Crown</w:t>
      </w:r>
      <w:bookmarkEnd w:id="844"/>
      <w:bookmarkEnd w:id="845"/>
      <w:bookmarkEnd w:id="846"/>
      <w:bookmarkEnd w:id="847"/>
      <w:r>
        <w:rPr>
          <w:snapToGrid w:val="0"/>
        </w:rPr>
        <w:t xml:space="preserve"> </w:t>
      </w:r>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rPr>
          <w:snapToGrid w:val="0"/>
        </w:rPr>
      </w:pPr>
      <w:r>
        <w:rPr>
          <w:snapToGrid w:val="0"/>
        </w:rPr>
        <w:tab/>
      </w:r>
      <w:r>
        <w:rPr>
          <w:snapToGrid w:val="0"/>
        </w:rPr>
        <w:tab/>
        <w:t>by virtue of section 114(7) or clause 7(5) of the Second Schedule.</w:t>
      </w:r>
    </w:p>
    <w:p>
      <w:pPr>
        <w:pStyle w:val="Footnotesection"/>
      </w:pPr>
      <w:r>
        <w:tab/>
        <w:t xml:space="preserve">[Section 114A inserted by No. 37 of 1993 s. 19(1).] </w:t>
      </w:r>
    </w:p>
    <w:p>
      <w:pPr>
        <w:pStyle w:val="Heading5"/>
        <w:rPr>
          <w:snapToGrid w:val="0"/>
        </w:rPr>
      </w:pPr>
      <w:bookmarkStart w:id="848" w:name="_Toc520088027"/>
      <w:bookmarkStart w:id="849" w:name="_Toc523620662"/>
      <w:bookmarkStart w:id="850" w:name="_Toc38853815"/>
      <w:bookmarkStart w:id="851" w:name="_Toc122328571"/>
      <w:r>
        <w:rPr>
          <w:rStyle w:val="CharSectno"/>
        </w:rPr>
        <w:t>115</w:t>
      </w:r>
      <w:r>
        <w:rPr>
          <w:snapToGrid w:val="0"/>
        </w:rPr>
        <w:t>.</w:t>
      </w:r>
      <w:r>
        <w:rPr>
          <w:snapToGrid w:val="0"/>
        </w:rPr>
        <w:tab/>
        <w:t>Power to enter on land for geological etc., surveys</w:t>
      </w:r>
      <w:bookmarkEnd w:id="848"/>
      <w:bookmarkEnd w:id="849"/>
      <w:bookmarkEnd w:id="850"/>
      <w:bookmarkEnd w:id="851"/>
      <w:r>
        <w:rPr>
          <w:snapToGrid w:val="0"/>
        </w:rPr>
        <w:t xml:space="preserve"> </w:t>
      </w:r>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w:t>
      </w:r>
    </w:p>
    <w:p>
      <w:pPr>
        <w:pStyle w:val="Indenta"/>
        <w:rPr>
          <w:snapToGrid w:val="0"/>
        </w:rPr>
      </w:pPr>
      <w:r>
        <w:rPr>
          <w:snapToGrid w:val="0"/>
        </w:rPr>
        <w:tab/>
        <w:t>(b)</w:t>
      </w:r>
      <w:r>
        <w:rPr>
          <w:snapToGrid w:val="0"/>
        </w:rPr>
        <w:tab/>
        <w:t>extract and remove from the land any geological specimens or samples that in his opinion are necessary to the survey;</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in default of agreement as to the amount of compensation to be paid, the amount shall be assessed and settled by the warden under Part VII.</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pPr>
      <w:r>
        <w:tab/>
        <w:t xml:space="preserve">[Section 115 amended by No. 100 of 1985 s. 84.] </w:t>
      </w:r>
    </w:p>
    <w:p>
      <w:pPr>
        <w:pStyle w:val="Heading5"/>
        <w:rPr>
          <w:snapToGrid w:val="0"/>
        </w:rPr>
      </w:pPr>
      <w:bookmarkStart w:id="852" w:name="_Toc520088028"/>
      <w:bookmarkStart w:id="853" w:name="_Toc523620663"/>
      <w:bookmarkStart w:id="854" w:name="_Toc38853816"/>
      <w:bookmarkStart w:id="855" w:name="_Toc122328572"/>
      <w:r>
        <w:rPr>
          <w:rStyle w:val="CharSectno"/>
        </w:rPr>
        <w:t>115A</w:t>
      </w:r>
      <w:r>
        <w:rPr>
          <w:snapToGrid w:val="0"/>
        </w:rPr>
        <w:t xml:space="preserve">. </w:t>
      </w:r>
      <w:r>
        <w:rPr>
          <w:snapToGrid w:val="0"/>
        </w:rPr>
        <w:tab/>
        <w:t>Mineral exploration reports</w:t>
      </w:r>
      <w:bookmarkEnd w:id="852"/>
      <w:bookmarkEnd w:id="853"/>
      <w:bookmarkEnd w:id="854"/>
      <w:bookmarkEnd w:id="85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guidelines</w:t>
      </w:r>
      <w:r>
        <w:rPr>
          <w:b/>
        </w:rPr>
        <w:t>”</w:t>
      </w:r>
      <w:r>
        <w:t xml:space="preserve"> means guidelines published under the regulations;</w:t>
      </w:r>
    </w:p>
    <w:p>
      <w:pPr>
        <w:pStyle w:val="Defstart"/>
      </w:pPr>
      <w:r>
        <w:rPr>
          <w:b/>
        </w:rPr>
        <w:tab/>
        <w:t>“</w:t>
      </w:r>
      <w:r>
        <w:rPr>
          <w:rStyle w:val="CharDefText"/>
        </w:rPr>
        <w:t>mineral exploration report</w:t>
      </w:r>
      <w:r>
        <w:rPr>
          <w:b/>
        </w:rPr>
        <w:t>”</w:t>
      </w:r>
      <w:r>
        <w:t xml:space="preserve"> means a report containing records of the progress and results of —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r>
      <w:r>
        <w:tab/>
        <w:t>that have been carried out in search for minerals;</w:t>
      </w:r>
    </w:p>
    <w:p>
      <w:pPr>
        <w:pStyle w:val="Defstart"/>
      </w:pPr>
      <w:r>
        <w:rPr>
          <w:b/>
        </w:rPr>
        <w:tab/>
        <w:t>“</w:t>
      </w:r>
      <w:r>
        <w:rPr>
          <w:rStyle w:val="CharDefText"/>
        </w:rPr>
        <w:t>operations report</w:t>
      </w:r>
      <w:r>
        <w:rPr>
          <w:b/>
        </w:rPr>
        <w: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A mineral exploration report is to be filed with the Department at Perth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 xml:space="preserve">[Section 115A inserted by No. 58 of 1994 s. 45.] </w:t>
      </w:r>
    </w:p>
    <w:p>
      <w:pPr>
        <w:pStyle w:val="Heading5"/>
        <w:rPr>
          <w:snapToGrid w:val="0"/>
        </w:rPr>
      </w:pPr>
      <w:bookmarkStart w:id="856" w:name="_Toc520088029"/>
      <w:bookmarkStart w:id="857" w:name="_Toc523620664"/>
      <w:bookmarkStart w:id="858" w:name="_Toc38853817"/>
      <w:bookmarkStart w:id="859" w:name="_Toc122328573"/>
      <w:r>
        <w:rPr>
          <w:rStyle w:val="CharSectno"/>
        </w:rPr>
        <w:t>116</w:t>
      </w:r>
      <w:r>
        <w:rPr>
          <w:snapToGrid w:val="0"/>
        </w:rPr>
        <w:t>.</w:t>
      </w:r>
      <w:r>
        <w:rPr>
          <w:snapToGrid w:val="0"/>
        </w:rPr>
        <w:tab/>
        <w:t>Instrument of licence or lease</w:t>
      </w:r>
      <w:bookmarkEnd w:id="856"/>
      <w:bookmarkEnd w:id="857"/>
      <w:bookmarkEnd w:id="858"/>
      <w:bookmarkEnd w:id="859"/>
      <w:r>
        <w:rPr>
          <w:snapToGrid w:val="0"/>
        </w:rPr>
        <w:t xml:space="preserve"> </w:t>
      </w:r>
    </w:p>
    <w:p>
      <w:pPr>
        <w:pStyle w:val="Subsection"/>
        <w:rPr>
          <w:snapToGrid w:val="0"/>
        </w:rPr>
      </w:pPr>
      <w:r>
        <w:rPr>
          <w:snapToGrid w:val="0"/>
        </w:rPr>
        <w:tab/>
        <w:t>(1)</w:t>
      </w:r>
      <w:r>
        <w:rPr>
          <w:snapToGrid w:val="0"/>
        </w:rPr>
        <w:tab/>
        <w:t>The holder of a mining tenement granted pursuant to this Act shall be entitled 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applicant, or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Footnotesection"/>
      </w:pPr>
      <w:r>
        <w:tab/>
        <w:t xml:space="preserve">[Section 116 amended by No. 100 of 1985 s. 85.] </w:t>
      </w:r>
    </w:p>
    <w:p>
      <w:pPr>
        <w:pStyle w:val="Heading5"/>
        <w:rPr>
          <w:snapToGrid w:val="0"/>
        </w:rPr>
      </w:pPr>
      <w:bookmarkStart w:id="860" w:name="_Toc520088030"/>
      <w:bookmarkStart w:id="861" w:name="_Toc523620665"/>
      <w:bookmarkStart w:id="862" w:name="_Toc38853818"/>
      <w:bookmarkStart w:id="863" w:name="_Toc122328574"/>
      <w:r>
        <w:rPr>
          <w:rStyle w:val="CharSectno"/>
        </w:rPr>
        <w:t>117</w:t>
      </w:r>
      <w:r>
        <w:rPr>
          <w:snapToGrid w:val="0"/>
        </w:rPr>
        <w:t>.</w:t>
      </w:r>
      <w:r>
        <w:rPr>
          <w:snapToGrid w:val="0"/>
        </w:rPr>
        <w:tab/>
        <w:t>Mining tenements protected</w:t>
      </w:r>
      <w:bookmarkEnd w:id="860"/>
      <w:bookmarkEnd w:id="861"/>
      <w:bookmarkEnd w:id="862"/>
      <w:bookmarkEnd w:id="863"/>
      <w:r>
        <w:rPr>
          <w:snapToGrid w:val="0"/>
        </w:rPr>
        <w:t xml:space="preserve"> </w:t>
      </w:r>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pPr>
      <w:r>
        <w:tab/>
        <w:t xml:space="preserve">[Section 117 amended by No. 100 of 1985 s. 86; No. 37 of 1993 s. 12(2); No. 31 of 1997 s. 71(17) and (18).] </w:t>
      </w:r>
    </w:p>
    <w:p>
      <w:pPr>
        <w:pStyle w:val="Heading5"/>
        <w:rPr>
          <w:snapToGrid w:val="0"/>
        </w:rPr>
      </w:pPr>
      <w:bookmarkStart w:id="864" w:name="_Toc520088031"/>
      <w:bookmarkStart w:id="865" w:name="_Toc523620666"/>
      <w:bookmarkStart w:id="866" w:name="_Toc38853819"/>
      <w:bookmarkStart w:id="867" w:name="_Toc122328575"/>
      <w:r>
        <w:rPr>
          <w:rStyle w:val="CharSectno"/>
        </w:rPr>
        <w:t>118</w:t>
      </w:r>
      <w:r>
        <w:rPr>
          <w:snapToGrid w:val="0"/>
        </w:rPr>
        <w:t>.</w:t>
      </w:r>
      <w:r>
        <w:rPr>
          <w:snapToGrid w:val="0"/>
        </w:rPr>
        <w:tab/>
        <w:t>Notice of application to be given to lessee of pastoral lease</w:t>
      </w:r>
      <w:bookmarkEnd w:id="864"/>
      <w:bookmarkEnd w:id="865"/>
      <w:bookmarkEnd w:id="866"/>
      <w:bookmarkEnd w:id="867"/>
      <w:r>
        <w:rPr>
          <w:snapToGrid w:val="0"/>
        </w:rPr>
        <w:t xml:space="preserve"> </w:t>
      </w:r>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 xml:space="preserve">[Section 118 amended by No. 122 of 1982 s. 27; No 100 of 1985 s. 87; No. 22 of 1990 s. 36; No. 37 of 1993 s. 20; No. 31 of 1997 s. 141.] </w:t>
      </w:r>
    </w:p>
    <w:p>
      <w:pPr>
        <w:pStyle w:val="Heading5"/>
        <w:rPr>
          <w:snapToGrid w:val="0"/>
        </w:rPr>
      </w:pPr>
      <w:bookmarkStart w:id="868" w:name="_Toc520088032"/>
      <w:bookmarkStart w:id="869" w:name="_Toc523620667"/>
      <w:bookmarkStart w:id="870" w:name="_Toc38853820"/>
      <w:bookmarkStart w:id="871" w:name="_Toc122328576"/>
      <w:r>
        <w:rPr>
          <w:rStyle w:val="CharSectno"/>
        </w:rPr>
        <w:t>119</w:t>
      </w:r>
      <w:r>
        <w:rPr>
          <w:snapToGrid w:val="0"/>
        </w:rPr>
        <w:t>.</w:t>
      </w:r>
      <w:r>
        <w:rPr>
          <w:snapToGrid w:val="0"/>
        </w:rPr>
        <w:tab/>
        <w:t>Mining tenement may be sold, etc.</w:t>
      </w:r>
      <w:bookmarkEnd w:id="868"/>
      <w:bookmarkEnd w:id="869"/>
      <w:bookmarkEnd w:id="870"/>
      <w:bookmarkEnd w:id="871"/>
      <w:r>
        <w:rPr>
          <w:snapToGrid w:val="0"/>
        </w:rPr>
        <w:t xml:space="preserve"> </w:t>
      </w:r>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 xml:space="preserve">[Section 119 amended by No. 10 of 1982 s. 28; No. 37 of 1993 s. 27; No. 58 of 1994 s. 46; No. 59 of 2004 s. 116.] </w:t>
      </w:r>
    </w:p>
    <w:p>
      <w:pPr>
        <w:pStyle w:val="Heading5"/>
        <w:rPr>
          <w:snapToGrid w:val="0"/>
        </w:rPr>
      </w:pPr>
      <w:bookmarkStart w:id="872" w:name="_Toc520088033"/>
      <w:bookmarkStart w:id="873" w:name="_Toc523620668"/>
      <w:bookmarkStart w:id="874" w:name="_Toc38853821"/>
      <w:bookmarkStart w:id="875" w:name="_Toc122328577"/>
      <w:r>
        <w:rPr>
          <w:rStyle w:val="CharSectno"/>
        </w:rPr>
        <w:t>119A</w:t>
      </w:r>
      <w:r>
        <w:rPr>
          <w:snapToGrid w:val="0"/>
        </w:rPr>
        <w:t>.</w:t>
      </w:r>
      <w:r>
        <w:rPr>
          <w:snapToGrid w:val="0"/>
        </w:rPr>
        <w:tab/>
        <w:t>Mortgages of mining tenements</w:t>
      </w:r>
      <w:bookmarkEnd w:id="872"/>
      <w:bookmarkEnd w:id="873"/>
      <w:bookmarkEnd w:id="874"/>
      <w:bookmarkEnd w:id="875"/>
    </w:p>
    <w:p>
      <w:pPr>
        <w:pStyle w:val="Subsection"/>
        <w:spacing w:before="100"/>
        <w:rPr>
          <w:snapToGrid w:val="0"/>
        </w:rPr>
      </w:pPr>
      <w:r>
        <w:rPr>
          <w:snapToGrid w:val="0"/>
        </w:rPr>
        <w:tab/>
      </w:r>
      <w:r>
        <w:rPr>
          <w:snapToGrid w:val="0"/>
        </w:rPr>
        <w:tab/>
        <w:t>Regulations made under section 162 may require that except as is otherwise specifically provided by the mortgage entered into by the parties, a mortgage shall be deemed to contain prescribed provisions.</w:t>
      </w:r>
    </w:p>
    <w:p>
      <w:pPr>
        <w:pStyle w:val="Footnotesection"/>
        <w:spacing w:before="80"/>
        <w:ind w:left="890" w:hanging="890"/>
      </w:pPr>
      <w:r>
        <w:tab/>
        <w:t xml:space="preserve">[Section 119A inserted by No. 100 of 1985 s. 89.] </w:t>
      </w:r>
    </w:p>
    <w:p>
      <w:pPr>
        <w:pStyle w:val="Heading5"/>
        <w:spacing w:before="120"/>
        <w:rPr>
          <w:snapToGrid w:val="0"/>
        </w:rPr>
      </w:pPr>
      <w:bookmarkStart w:id="876" w:name="_Toc520088034"/>
      <w:bookmarkStart w:id="877" w:name="_Toc523620669"/>
      <w:bookmarkStart w:id="878" w:name="_Toc38853822"/>
      <w:bookmarkStart w:id="879" w:name="_Toc122328578"/>
      <w:r>
        <w:rPr>
          <w:rStyle w:val="CharSectno"/>
        </w:rPr>
        <w:t>120</w:t>
      </w:r>
      <w:r>
        <w:rPr>
          <w:snapToGrid w:val="0"/>
        </w:rPr>
        <w:t>.</w:t>
      </w:r>
      <w:r>
        <w:rPr>
          <w:snapToGrid w:val="0"/>
        </w:rPr>
        <w:tab/>
        <w:t>Town planning schemes and local laws to be considered but not to derogate from this Act</w:t>
      </w:r>
      <w:bookmarkEnd w:id="876"/>
      <w:bookmarkEnd w:id="877"/>
      <w:bookmarkEnd w:id="878"/>
      <w:bookmarkEnd w:id="879"/>
      <w:r>
        <w:rPr>
          <w:snapToGrid w:val="0"/>
        </w:rPr>
        <w:t xml:space="preserve"> </w:t>
      </w:r>
    </w:p>
    <w:p>
      <w:pPr>
        <w:pStyle w:val="Subsection"/>
        <w:spacing w:before="100"/>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town planning scheme in force under the </w:t>
      </w:r>
      <w:r>
        <w:rPr>
          <w:i/>
          <w:snapToGrid w:val="0"/>
          <w:spacing w:val="-4"/>
        </w:rPr>
        <w:t>Town Planning and Development Act 1928</w:t>
      </w:r>
      <w:r>
        <w:rPr>
          <w:snapToGrid w:val="0"/>
          <w:spacing w:val="-4"/>
        </w:rPr>
        <w:t xml:space="preserve"> or local laws in force under the </w:t>
      </w:r>
      <w:r>
        <w:rPr>
          <w:i/>
          <w:snapToGrid w:val="0"/>
          <w:spacing w:val="-4"/>
        </w:rPr>
        <w:t>Local Government Act 1995</w:t>
      </w:r>
      <w:r>
        <w:rPr>
          <w:snapToGrid w:val="0"/>
          <w:spacing w:val="-4"/>
        </w:rPr>
        <w:t xml:space="preserve"> affecting the use of the land concerned, but the provisions of any such scheme or local laws shall not operate to prohibit or affect the granting of a mining tenement or the carrying out of any mining operations authorised by this Act.</w:t>
      </w:r>
    </w:p>
    <w:p>
      <w:pPr>
        <w:pStyle w:val="Subsection"/>
        <w:spacing w:before="100"/>
        <w:rPr>
          <w:snapToGrid w:val="0"/>
        </w:rPr>
      </w:pPr>
      <w:r>
        <w:rPr>
          <w:snapToGrid w:val="0"/>
        </w:rPr>
        <w:tab/>
        <w:t>(2)</w:t>
      </w:r>
      <w:r>
        <w:rPr>
          <w:snapToGrid w:val="0"/>
        </w:rPr>
        <w:tab/>
        <w:t>Without affecting subsection (1), where —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has, in writing, informed the Minister and the Minister for the time being administering the </w:t>
      </w:r>
      <w:r>
        <w:rPr>
          <w:i/>
          <w:snapToGrid w:val="0"/>
        </w:rPr>
        <w:t>Town Planning and Development Act 1928</w:t>
      </w:r>
      <w:r>
        <w:rPr>
          <w:snapToGrid w:val="0"/>
        </w:rPr>
        <w:t>, that the mining lease or general purpose lease would, if granted, authorise the carrying on of mining operations contrary to the provisions of a town planning scheme or local laws referred to in subsection (1),</w:t>
      </w:r>
    </w:p>
    <w:p>
      <w:pPr>
        <w:pStyle w:val="Subsection"/>
        <w:spacing w:before="100"/>
        <w:rPr>
          <w:snapToGrid w:val="0"/>
        </w:rPr>
      </w:pPr>
      <w:r>
        <w:rPr>
          <w:snapToGrid w:val="0"/>
        </w:rPr>
        <w:tab/>
      </w:r>
      <w:r>
        <w:rPr>
          <w:snapToGrid w:val="0"/>
        </w:rPr>
        <w:tab/>
        <w:t xml:space="preserve">the Minister shall not dispose of the application until he has first consulted the Minister for the time being administering the </w:t>
      </w:r>
      <w:r>
        <w:rPr>
          <w:i/>
          <w:snapToGrid w:val="0"/>
        </w:rPr>
        <w:t>Town Planning and Development Act 1928</w:t>
      </w:r>
      <w:r>
        <w:rPr>
          <w:snapToGrid w:val="0"/>
        </w:rPr>
        <w:t xml:space="preserve"> and obtained his recommendation thereon.</w:t>
      </w:r>
    </w:p>
    <w:p>
      <w:pPr>
        <w:pStyle w:val="Footnotesection"/>
        <w:keepLines w:val="0"/>
        <w:spacing w:before="80"/>
        <w:ind w:left="890" w:hanging="890"/>
      </w:pPr>
      <w:r>
        <w:tab/>
        <w:t xml:space="preserve">[Section 120 amended by No. 58 of 1994 s. 47; No. 14 of 1996 s. 4; No. 24 of 2000 s. 26(2).] </w:t>
      </w:r>
    </w:p>
    <w:p>
      <w:pPr>
        <w:pStyle w:val="Heading2"/>
      </w:pPr>
      <w:bookmarkStart w:id="880" w:name="_Toc87427707"/>
      <w:bookmarkStart w:id="881" w:name="_Toc87851282"/>
      <w:bookmarkStart w:id="882" w:name="_Toc88295505"/>
      <w:bookmarkStart w:id="883" w:name="_Toc89519164"/>
      <w:bookmarkStart w:id="884" w:name="_Toc90869289"/>
      <w:bookmarkStart w:id="885" w:name="_Toc91408061"/>
      <w:bookmarkStart w:id="886" w:name="_Toc92863805"/>
      <w:bookmarkStart w:id="887" w:name="_Toc95015173"/>
      <w:bookmarkStart w:id="888" w:name="_Toc95106880"/>
      <w:bookmarkStart w:id="889" w:name="_Toc97018680"/>
      <w:bookmarkStart w:id="890" w:name="_Toc101693633"/>
      <w:bookmarkStart w:id="891" w:name="_Toc103130503"/>
      <w:bookmarkStart w:id="892" w:name="_Toc104711153"/>
      <w:bookmarkStart w:id="893" w:name="_Toc121560138"/>
      <w:bookmarkStart w:id="894" w:name="_Toc122328579"/>
      <w:r>
        <w:rPr>
          <w:rStyle w:val="CharPartNo"/>
        </w:rPr>
        <w:t>Part VI</w:t>
      </w:r>
      <w:r>
        <w:rPr>
          <w:rStyle w:val="CharDivNo"/>
        </w:rPr>
        <w:t> </w:t>
      </w:r>
      <w:r>
        <w:t>—</w:t>
      </w:r>
      <w:r>
        <w:rPr>
          <w:rStyle w:val="CharDivText"/>
        </w:rPr>
        <w:t> </w:t>
      </w:r>
      <w:r>
        <w:rPr>
          <w:rStyle w:val="CharPartText"/>
        </w:rPr>
        <w:t>Caveats</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r>
        <w:rPr>
          <w:rStyle w:val="CharPartText"/>
        </w:rPr>
        <w:t xml:space="preserve"> </w:t>
      </w:r>
    </w:p>
    <w:p>
      <w:pPr>
        <w:pStyle w:val="Heading5"/>
        <w:rPr>
          <w:snapToGrid w:val="0"/>
        </w:rPr>
      </w:pPr>
      <w:bookmarkStart w:id="895" w:name="_Toc520088035"/>
      <w:bookmarkStart w:id="896" w:name="_Toc523620670"/>
      <w:bookmarkStart w:id="897" w:name="_Toc38853823"/>
      <w:bookmarkStart w:id="898" w:name="_Toc122328580"/>
      <w:r>
        <w:rPr>
          <w:rStyle w:val="CharSectno"/>
        </w:rPr>
        <w:t>120A</w:t>
      </w:r>
      <w:r>
        <w:rPr>
          <w:snapToGrid w:val="0"/>
        </w:rPr>
        <w:t>.</w:t>
      </w:r>
      <w:r>
        <w:rPr>
          <w:snapToGrid w:val="0"/>
        </w:rPr>
        <w:tab/>
        <w:t>Certain surrenders not affected by this Part</w:t>
      </w:r>
      <w:bookmarkEnd w:id="895"/>
      <w:bookmarkEnd w:id="896"/>
      <w:bookmarkEnd w:id="897"/>
      <w:bookmarkEnd w:id="898"/>
      <w:r>
        <w:rPr>
          <w:snapToGrid w:val="0"/>
        </w:rPr>
        <w:t xml:space="preserve"> </w:t>
      </w:r>
    </w:p>
    <w:p>
      <w:pPr>
        <w:pStyle w:val="Subsection"/>
        <w:rPr>
          <w:snapToGrid w:val="0"/>
        </w:rPr>
      </w:pPr>
      <w:r>
        <w:rPr>
          <w:snapToGrid w:val="0"/>
        </w:rPr>
        <w:tab/>
        <w:t>(1)</w:t>
      </w:r>
      <w:r>
        <w:rPr>
          <w:snapToGrid w:val="0"/>
        </w:rPr>
        <w:tab/>
        <w:t>Nothing in this Part shall be taken to prevent the registration of a surrender under section 26A or 65 which affects the subject matter of a caveat.</w:t>
      </w:r>
    </w:p>
    <w:p>
      <w:pPr>
        <w:pStyle w:val="Subsection"/>
        <w:rPr>
          <w:snapToGrid w:val="0"/>
        </w:rPr>
      </w:pPr>
      <w:r>
        <w:rPr>
          <w:snapToGrid w:val="0"/>
        </w:rPr>
        <w:tab/>
        <w:t>(2)</w:t>
      </w:r>
      <w:r>
        <w:rPr>
          <w:snapToGrid w:val="0"/>
        </w:rPr>
        <w:tab/>
        <w:t>The notification requirement under section 122(1)(c) does not apply to an application for the registration of a surrender referred to in subsection (1), but notification of the registration of any such surrender shall be sent by or on behalf of the Minister in the prescribed manner to the relevant caveator.</w:t>
      </w:r>
    </w:p>
    <w:p>
      <w:pPr>
        <w:pStyle w:val="Footnotesection"/>
      </w:pPr>
      <w:r>
        <w:tab/>
        <w:t xml:space="preserve">[Section 120A inserted by No. 37 of 1993 s. 21.] </w:t>
      </w:r>
    </w:p>
    <w:p>
      <w:pPr>
        <w:pStyle w:val="Heading5"/>
        <w:rPr>
          <w:snapToGrid w:val="0"/>
        </w:rPr>
      </w:pPr>
      <w:bookmarkStart w:id="899" w:name="_Toc520088036"/>
      <w:bookmarkStart w:id="900" w:name="_Toc523620671"/>
      <w:bookmarkStart w:id="901" w:name="_Toc38853824"/>
      <w:bookmarkStart w:id="902" w:name="_Toc122328581"/>
      <w:r>
        <w:rPr>
          <w:rStyle w:val="CharSectno"/>
        </w:rPr>
        <w:t>121</w:t>
      </w:r>
      <w:r>
        <w:rPr>
          <w:snapToGrid w:val="0"/>
        </w:rPr>
        <w:t>.</w:t>
      </w:r>
      <w:r>
        <w:rPr>
          <w:snapToGrid w:val="0"/>
        </w:rPr>
        <w:tab/>
        <w:t>Lodging of caveats</w:t>
      </w:r>
      <w:bookmarkEnd w:id="899"/>
      <w:bookmarkEnd w:id="900"/>
      <w:bookmarkEnd w:id="901"/>
      <w:bookmarkEnd w:id="902"/>
      <w:r>
        <w:rPr>
          <w:snapToGrid w:val="0"/>
        </w:rPr>
        <w:t xml:space="preserve"> </w:t>
      </w:r>
    </w:p>
    <w:p>
      <w:pPr>
        <w:pStyle w:val="Subsection"/>
        <w:rPr>
          <w:snapToGrid w:val="0"/>
        </w:rPr>
      </w:pPr>
      <w:r>
        <w:rPr>
          <w:snapToGrid w:val="0"/>
        </w:rPr>
        <w:tab/>
        <w:t>(1)</w:t>
      </w:r>
      <w:r>
        <w:rPr>
          <w:snapToGrid w:val="0"/>
        </w:rPr>
        <w:tab/>
        <w:t>Any person claiming any interest in a mining tenement may lodge in the Department at Perth or in the office of the mining registrar for the mineral field or district thereof where the mining tenement is, a caveat that complies with this section forbidding the registration of any transfer or other instrument affecting the mining tenement or interest.</w:t>
      </w:r>
    </w:p>
    <w:p>
      <w:pPr>
        <w:pStyle w:val="Subsection"/>
        <w:rPr>
          <w:snapToGrid w:val="0"/>
        </w:rPr>
      </w:pPr>
      <w:r>
        <w:rPr>
          <w:snapToGrid w:val="0"/>
        </w:rPr>
        <w:tab/>
        <w:t>(2)</w:t>
      </w:r>
      <w:r>
        <w:rPr>
          <w:snapToGrid w:val="0"/>
        </w:rPr>
        <w:tab/>
        <w:t>A caveat lodged under this section — </w:t>
      </w:r>
    </w:p>
    <w:p>
      <w:pPr>
        <w:pStyle w:val="Indenta"/>
        <w:rPr>
          <w:snapToGrid w:val="0"/>
        </w:rPr>
      </w:pPr>
      <w:r>
        <w:rPr>
          <w:snapToGrid w:val="0"/>
        </w:rPr>
        <w:tab/>
        <w:t>(a)</w:t>
      </w:r>
      <w:r>
        <w:rPr>
          <w:snapToGrid w:val="0"/>
        </w:rPr>
        <w:tab/>
        <w:t>shall be in the prescribed form and shall be accompanied by the prescribed fee;</w:t>
      </w:r>
    </w:p>
    <w:p>
      <w:pPr>
        <w:pStyle w:val="Indenta"/>
        <w:rPr>
          <w:snapToGrid w:val="0"/>
        </w:rPr>
      </w:pPr>
      <w:r>
        <w:rPr>
          <w:snapToGrid w:val="0"/>
        </w:rPr>
        <w:tab/>
        <w:t>(b)</w:t>
      </w:r>
      <w:r>
        <w:rPr>
          <w:snapToGrid w:val="0"/>
        </w:rPr>
        <w:tab/>
        <w:t>shall state the full name and address of the caveator;</w:t>
      </w:r>
    </w:p>
    <w:p>
      <w:pPr>
        <w:pStyle w:val="Indenta"/>
        <w:rPr>
          <w:snapToGrid w:val="0"/>
        </w:rPr>
      </w:pPr>
      <w:r>
        <w:rPr>
          <w:snapToGrid w:val="0"/>
        </w:rPr>
        <w:tab/>
        <w:t>(c)</w:t>
      </w:r>
      <w:r>
        <w:rPr>
          <w:snapToGrid w:val="0"/>
        </w:rPr>
        <w:tab/>
        <w:t>shall be signed by the caveator or his agent; and</w:t>
      </w:r>
    </w:p>
    <w:p>
      <w:pPr>
        <w:pStyle w:val="Indenta"/>
        <w:rPr>
          <w:snapToGrid w:val="0"/>
        </w:rPr>
      </w:pPr>
      <w:r>
        <w:rPr>
          <w:snapToGrid w:val="0"/>
        </w:rPr>
        <w:tab/>
        <w:t>(d)</w:t>
      </w:r>
      <w:r>
        <w:rPr>
          <w:snapToGrid w:val="0"/>
        </w:rPr>
        <w:tab/>
        <w:t>shall give an address within the State for the service of notices and proceedings in relation to the caveat.</w:t>
      </w:r>
    </w:p>
    <w:p>
      <w:pPr>
        <w:pStyle w:val="Subsection"/>
        <w:keepNext/>
        <w:rPr>
          <w:snapToGrid w:val="0"/>
        </w:rPr>
      </w:pPr>
      <w:r>
        <w:rPr>
          <w:snapToGrid w:val="0"/>
        </w:rPr>
        <w:tab/>
        <w:t>(3)</w:t>
      </w:r>
      <w:r>
        <w:rPr>
          <w:snapToGrid w:val="0"/>
        </w:rPr>
        <w:tab/>
        <w:t>Upon the lodging of the caveat — </w:t>
      </w:r>
    </w:p>
    <w:p>
      <w:pPr>
        <w:pStyle w:val="Indenta"/>
        <w:rPr>
          <w:snapToGrid w:val="0"/>
        </w:rPr>
      </w:pPr>
      <w:r>
        <w:rPr>
          <w:snapToGrid w:val="0"/>
        </w:rPr>
        <w:tab/>
        <w:t>(a)</w:t>
      </w:r>
      <w:r>
        <w:rPr>
          <w:snapToGrid w:val="0"/>
        </w:rPr>
        <w:tab/>
        <w:t>there shall be entered a memorial or copy of the caveat in the register kept in accordance with the regulations; and</w:t>
      </w:r>
    </w:p>
    <w:p>
      <w:pPr>
        <w:pStyle w:val="Indenta"/>
        <w:rPr>
          <w:snapToGrid w:val="0"/>
        </w:rPr>
      </w:pPr>
      <w:r>
        <w:rPr>
          <w:snapToGrid w:val="0"/>
        </w:rPr>
        <w:tab/>
        <w:t>(b)</w:t>
      </w:r>
      <w:r>
        <w:rPr>
          <w:snapToGrid w:val="0"/>
        </w:rPr>
        <w:tab/>
        <w:t>there shall be sent by registered post or certified mail to the holder of the mining tenement affected by the caveat, notice that the caveat has been so lodged.</w:t>
      </w:r>
    </w:p>
    <w:p>
      <w:pPr>
        <w:pStyle w:val="Subsection"/>
        <w:rPr>
          <w:snapToGrid w:val="0"/>
        </w:rPr>
      </w:pPr>
      <w:r>
        <w:rPr>
          <w:snapToGrid w:val="0"/>
        </w:rPr>
        <w:tab/>
        <w:t>(4)</w:t>
      </w:r>
      <w:r>
        <w:rPr>
          <w:snapToGrid w:val="0"/>
        </w:rPr>
        <w:tab/>
        <w:t>Successive caveats shall not be so lodged by, or on behalf of, the same person in respect of the same subject matter except by leave of the warden.</w:t>
      </w:r>
    </w:p>
    <w:p>
      <w:pPr>
        <w:pStyle w:val="Footnotesection"/>
      </w:pPr>
      <w:r>
        <w:tab/>
        <w:t xml:space="preserve">[Section 121 amended by No. 100 of 1985 s. 91.] </w:t>
      </w:r>
    </w:p>
    <w:p>
      <w:pPr>
        <w:pStyle w:val="Heading5"/>
        <w:rPr>
          <w:snapToGrid w:val="0"/>
        </w:rPr>
      </w:pPr>
      <w:bookmarkStart w:id="903" w:name="_Toc520088037"/>
      <w:bookmarkStart w:id="904" w:name="_Toc523620672"/>
      <w:bookmarkStart w:id="905" w:name="_Toc38853825"/>
      <w:bookmarkStart w:id="906" w:name="_Toc122328582"/>
      <w:r>
        <w:rPr>
          <w:rStyle w:val="CharSectno"/>
        </w:rPr>
        <w:t>122</w:t>
      </w:r>
      <w:r>
        <w:rPr>
          <w:snapToGrid w:val="0"/>
        </w:rPr>
        <w:t>.</w:t>
      </w:r>
      <w:r>
        <w:rPr>
          <w:snapToGrid w:val="0"/>
        </w:rPr>
        <w:tab/>
        <w:t>Duration and effect of caveat</w:t>
      </w:r>
      <w:bookmarkEnd w:id="903"/>
      <w:bookmarkEnd w:id="904"/>
      <w:bookmarkEnd w:id="905"/>
      <w:bookmarkEnd w:id="906"/>
      <w:r>
        <w:rPr>
          <w:snapToGrid w:val="0"/>
        </w:rPr>
        <w:t xml:space="preserve"> </w:t>
      </w:r>
    </w:p>
    <w:p>
      <w:pPr>
        <w:pStyle w:val="Subsection"/>
        <w:rPr>
          <w:snapToGrid w:val="0"/>
        </w:rPr>
      </w:pPr>
      <w:r>
        <w:rPr>
          <w:snapToGrid w:val="0"/>
        </w:rPr>
        <w:tab/>
        <w:t>(1)</w:t>
      </w:r>
      <w:r>
        <w:rPr>
          <w:snapToGrid w:val="0"/>
        </w:rPr>
        <w:tab/>
        <w:t>Except as provided in this section, a caveat shall lapse and cease to have effect upon — </w:t>
      </w:r>
    </w:p>
    <w:p>
      <w:pPr>
        <w:pStyle w:val="Indenta"/>
        <w:rPr>
          <w:snapToGrid w:val="0"/>
        </w:rPr>
      </w:pPr>
      <w:r>
        <w:rPr>
          <w:snapToGrid w:val="0"/>
        </w:rPr>
        <w:tab/>
        <w:t>(a)</w:t>
      </w:r>
      <w:r>
        <w:rPr>
          <w:snapToGrid w:val="0"/>
        </w:rPr>
        <w:tab/>
        <w:t>the order of a warden for the removal thereof;</w:t>
      </w:r>
    </w:p>
    <w:p>
      <w:pPr>
        <w:pStyle w:val="Indenta"/>
        <w:rPr>
          <w:snapToGrid w:val="0"/>
        </w:rPr>
      </w:pPr>
      <w:r>
        <w:rPr>
          <w:snapToGrid w:val="0"/>
        </w:rPr>
        <w:tab/>
        <w:t>(b)</w:t>
      </w:r>
      <w:r>
        <w:rPr>
          <w:snapToGrid w:val="0"/>
        </w:rPr>
        <w:tab/>
        <w:t>the withdrawal thereof by the caveator or his agent;</w:t>
      </w:r>
    </w:p>
    <w:p>
      <w:pPr>
        <w:pStyle w:val="Indenta"/>
        <w:rPr>
          <w:snapToGrid w:val="0"/>
        </w:rPr>
      </w:pPr>
      <w:r>
        <w:rPr>
          <w:snapToGrid w:val="0"/>
        </w:rPr>
        <w:tab/>
        <w:t>(c)</w:t>
      </w:r>
      <w:r>
        <w:rPr>
          <w:snapToGrid w:val="0"/>
        </w:rPr>
        <w:tab/>
        <w:t>the expiration of a period of 14 days after notification that application has been made for the registration of a transfer or other instrument affecting the subject matter of the caveat, has been sent by or on behalf of the Minister by registered post or certified mail to the caveator at the address for service given in the caveat, unless within that period the warden otherwise orders.</w:t>
      </w:r>
    </w:p>
    <w:p>
      <w:pPr>
        <w:pStyle w:val="Subsection"/>
        <w:rPr>
          <w:snapToGrid w:val="0"/>
        </w:rPr>
      </w:pPr>
      <w:r>
        <w:rPr>
          <w:snapToGrid w:val="0"/>
        </w:rPr>
        <w:tab/>
        <w:t>(2)</w:t>
      </w:r>
      <w:r>
        <w:rPr>
          <w:snapToGrid w:val="0"/>
        </w:rPr>
        <w:tab/>
        <w:t>Where the holder of any mining tenement has entered into an agreement with any person relating to the sale of his interest therein, if the agreement so provides, either party to the agreement may lodge a caveat in accordance with this Part, together with a copy of the agreement, and the caveat shall remain in force for such term as may be specified in the agreement, unless sooner withdrawn by consent of the parties to the agreement, or removed by order of the warden.</w:t>
      </w:r>
    </w:p>
    <w:p>
      <w:pPr>
        <w:pStyle w:val="Subsection"/>
        <w:rPr>
          <w:snapToGrid w:val="0"/>
        </w:rPr>
      </w:pPr>
      <w:r>
        <w:rPr>
          <w:snapToGrid w:val="0"/>
        </w:rPr>
        <w:tab/>
        <w:t>(3)</w:t>
      </w:r>
      <w:r>
        <w:rPr>
          <w:snapToGrid w:val="0"/>
        </w:rPr>
        <w:tab/>
        <w:t>No transfer or other instrument affecting the subject matter of a caveat shall be registered while the caveat remains in force, except upon the order of the warden.</w:t>
      </w:r>
    </w:p>
    <w:p>
      <w:pPr>
        <w:pStyle w:val="Subsection"/>
        <w:rPr>
          <w:snapToGrid w:val="0"/>
        </w:rPr>
      </w:pPr>
      <w:r>
        <w:rPr>
          <w:snapToGrid w:val="0"/>
        </w:rPr>
        <w:tab/>
        <w:t>(4)</w:t>
      </w:r>
      <w:r>
        <w:rPr>
          <w:snapToGrid w:val="0"/>
        </w:rPr>
        <w:tab/>
        <w:t>When a caveat lapses and ceases to have effect under this section there shall be entered in the register kept in accordance with the regulations a memorial of the fact.</w:t>
      </w:r>
    </w:p>
    <w:p>
      <w:pPr>
        <w:pStyle w:val="Footnotesection"/>
      </w:pPr>
      <w:r>
        <w:tab/>
        <w:t xml:space="preserve">[Section 122 amended by No. 100 of 1985 s. 92.] </w:t>
      </w:r>
    </w:p>
    <w:p>
      <w:pPr>
        <w:pStyle w:val="Heading2"/>
      </w:pPr>
      <w:bookmarkStart w:id="907" w:name="_Toc87427711"/>
      <w:bookmarkStart w:id="908" w:name="_Toc87851286"/>
      <w:bookmarkStart w:id="909" w:name="_Toc88295509"/>
      <w:bookmarkStart w:id="910" w:name="_Toc89519168"/>
      <w:bookmarkStart w:id="911" w:name="_Toc90869293"/>
      <w:bookmarkStart w:id="912" w:name="_Toc91408065"/>
      <w:bookmarkStart w:id="913" w:name="_Toc92863809"/>
      <w:bookmarkStart w:id="914" w:name="_Toc95015177"/>
      <w:bookmarkStart w:id="915" w:name="_Toc95106884"/>
      <w:bookmarkStart w:id="916" w:name="_Toc97018684"/>
      <w:bookmarkStart w:id="917" w:name="_Toc101693637"/>
      <w:bookmarkStart w:id="918" w:name="_Toc103130507"/>
      <w:bookmarkStart w:id="919" w:name="_Toc104711157"/>
      <w:bookmarkStart w:id="920" w:name="_Toc121560142"/>
      <w:bookmarkStart w:id="921" w:name="_Toc122328583"/>
      <w:r>
        <w:rPr>
          <w:rStyle w:val="CharPartNo"/>
        </w:rPr>
        <w:t>Part VII</w:t>
      </w:r>
      <w:r>
        <w:rPr>
          <w:rStyle w:val="CharDivNo"/>
        </w:rPr>
        <w:t> </w:t>
      </w:r>
      <w:r>
        <w:t>—</w:t>
      </w:r>
      <w:r>
        <w:rPr>
          <w:rStyle w:val="CharDivText"/>
        </w:rPr>
        <w:t> </w:t>
      </w:r>
      <w:r>
        <w:rPr>
          <w:rStyle w:val="CharPartText"/>
        </w:rPr>
        <w:t>Compensation</w:t>
      </w:r>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r>
        <w:rPr>
          <w:rStyle w:val="CharPartText"/>
        </w:rPr>
        <w:t xml:space="preserve"> </w:t>
      </w:r>
    </w:p>
    <w:p>
      <w:pPr>
        <w:pStyle w:val="Heading5"/>
        <w:rPr>
          <w:snapToGrid w:val="0"/>
        </w:rPr>
      </w:pPr>
      <w:bookmarkStart w:id="922" w:name="_Toc520088038"/>
      <w:bookmarkStart w:id="923" w:name="_Toc523620673"/>
      <w:bookmarkStart w:id="924" w:name="_Toc38853826"/>
      <w:bookmarkStart w:id="925" w:name="_Toc122328584"/>
      <w:r>
        <w:rPr>
          <w:rStyle w:val="CharSectno"/>
        </w:rPr>
        <w:t>123</w:t>
      </w:r>
      <w:r>
        <w:rPr>
          <w:snapToGrid w:val="0"/>
        </w:rPr>
        <w:t>.</w:t>
      </w:r>
      <w:r>
        <w:rPr>
          <w:snapToGrid w:val="0"/>
        </w:rPr>
        <w:tab/>
        <w:t>Compensation in respect of mining</w:t>
      </w:r>
      <w:bookmarkEnd w:id="922"/>
      <w:bookmarkEnd w:id="923"/>
      <w:bookmarkEnd w:id="924"/>
      <w:bookmarkEnd w:id="925"/>
      <w:r>
        <w:rPr>
          <w:snapToGrid w:val="0"/>
        </w:rPr>
        <w:t xml:space="preserve"> </w:t>
      </w:r>
    </w:p>
    <w:p>
      <w:pPr>
        <w:pStyle w:val="Subsection"/>
        <w:rPr>
          <w:snapToGrid w:val="0"/>
        </w:rPr>
      </w:pPr>
      <w:r>
        <w:rPr>
          <w:snapToGrid w:val="0"/>
        </w:rPr>
        <w:tab/>
        <w:t>(1)</w:t>
      </w:r>
      <w:r>
        <w:rPr>
          <w:snapToGrid w:val="0"/>
        </w:rPr>
        <w:tab/>
        <w:t xml:space="preserve">On and after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 </w:t>
      </w:r>
    </w:p>
    <w:p>
      <w:pPr>
        <w:pStyle w:val="Indenta"/>
        <w:rPr>
          <w:snapToGrid w:val="0"/>
        </w:rPr>
      </w:pPr>
      <w:r>
        <w:rPr>
          <w:snapToGrid w:val="0"/>
        </w:rPr>
        <w:tab/>
        <w:t>(a)</w:t>
      </w:r>
      <w:r>
        <w:rPr>
          <w:snapToGrid w:val="0"/>
        </w:rPr>
        <w:tab/>
        <w:t>in consideration of permitting entry on to any land for mining purposes;</w:t>
      </w:r>
    </w:p>
    <w:p>
      <w:pPr>
        <w:pStyle w:val="Indenta"/>
        <w:rPr>
          <w:snapToGrid w:val="0"/>
        </w:rPr>
      </w:pPr>
      <w:r>
        <w:rPr>
          <w:snapToGrid w:val="0"/>
        </w:rPr>
        <w:tab/>
        <w:t>(b)</w:t>
      </w:r>
      <w:r>
        <w:rPr>
          <w:snapToGrid w:val="0"/>
        </w:rPr>
        <w:tab/>
        <w:t>in respect of the value of any mineral which is or may be in, on or under the surface of any land;</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b/>
          <w:snapToGrid w:val="0"/>
        </w:rPr>
        <w:t>“</w:t>
      </w:r>
      <w:r>
        <w:rPr>
          <w:rStyle w:val="CharDefText"/>
        </w:rPr>
        <w:t>mining</w:t>
      </w:r>
      <w:r>
        <w:rPr>
          <w:b/>
          <w:snapToGrid w:val="0"/>
        </w:rPr>
        <w:t>”</w:t>
      </w:r>
      <w:r>
        <w:rPr>
          <w:snapToGrid w:val="0"/>
        </w:rPr>
        <w:t xml:space="preserve"> shall be construed as including a reference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 </w:t>
      </w:r>
    </w:p>
    <w:p>
      <w:pPr>
        <w:pStyle w:val="Indenta"/>
        <w:rPr>
          <w:snapToGrid w:val="0"/>
        </w:rPr>
      </w:pPr>
      <w:r>
        <w:rPr>
          <w:snapToGrid w:val="0"/>
        </w:rPr>
        <w:tab/>
        <w:t>(a)</w:t>
      </w:r>
      <w:r>
        <w:rPr>
          <w:snapToGrid w:val="0"/>
        </w:rPr>
        <w:tab/>
        <w:t>if the owner or occupier, respectively, and the person liable for payment of the compensation so consent, may be determined by the warden, without requiring any formal proceedings to be taken, pursuant to a claim lodged at the office of the mining registrar and made in the prescribed manner; and</w:t>
      </w:r>
    </w:p>
    <w:p>
      <w:pPr>
        <w:pStyle w:val="Indenta"/>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12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 </w:t>
      </w:r>
    </w:p>
    <w:p>
      <w:pPr>
        <w:pStyle w:val="Indenta"/>
        <w:spacing w:before="60"/>
        <w:rPr>
          <w:snapToGrid w:val="0"/>
        </w:rPr>
      </w:pPr>
      <w:r>
        <w:rPr>
          <w:snapToGrid w:val="0"/>
        </w:rPr>
        <w:tab/>
        <w:t>(a)</w:t>
      </w:r>
      <w:r>
        <w:rPr>
          <w:snapToGrid w:val="0"/>
        </w:rPr>
        <w:tab/>
        <w:t xml:space="preserve">being deprived of the possession or use, or any particular use, of the natural surface of the land or any part of the land; </w:t>
      </w:r>
    </w:p>
    <w:p>
      <w:pPr>
        <w:pStyle w:val="Indenta"/>
        <w:spacing w:before="60"/>
        <w:rPr>
          <w:snapToGrid w:val="0"/>
        </w:rPr>
      </w:pPr>
      <w:r>
        <w:rPr>
          <w:snapToGrid w:val="0"/>
        </w:rPr>
        <w:tab/>
        <w:t>(b)</w:t>
      </w:r>
      <w:r>
        <w:rPr>
          <w:snapToGrid w:val="0"/>
        </w:rPr>
        <w:tab/>
        <w:t>damage to the natural surface of the land or any part of the land;</w:t>
      </w:r>
    </w:p>
    <w:p>
      <w:pPr>
        <w:pStyle w:val="Indenta"/>
        <w:spacing w:before="60"/>
        <w:rPr>
          <w:snapToGrid w:val="0"/>
        </w:rPr>
      </w:pPr>
      <w:r>
        <w:rPr>
          <w:snapToGrid w:val="0"/>
        </w:rPr>
        <w:tab/>
        <w:t>(c)</w:t>
      </w:r>
      <w:r>
        <w:rPr>
          <w:snapToGrid w:val="0"/>
        </w:rPr>
        <w:tab/>
        <w:t>severance of the land or any part of the land from other land of, or used by, that person;</w:t>
      </w:r>
    </w:p>
    <w:p>
      <w:pPr>
        <w:pStyle w:val="Indenta"/>
        <w:spacing w:before="60"/>
        <w:rPr>
          <w:snapToGrid w:val="0"/>
        </w:rPr>
      </w:pPr>
      <w:r>
        <w:rPr>
          <w:snapToGrid w:val="0"/>
        </w:rPr>
        <w:tab/>
        <w:t>(d)</w:t>
      </w:r>
      <w:r>
        <w:rPr>
          <w:snapToGrid w:val="0"/>
        </w:rPr>
        <w:tab/>
        <w:t>any loss or restriction of a right of way or other easement or right;</w:t>
      </w:r>
    </w:p>
    <w:p>
      <w:pPr>
        <w:pStyle w:val="Indenta"/>
        <w:spacing w:before="60"/>
        <w:rPr>
          <w:snapToGrid w:val="0"/>
        </w:rPr>
      </w:pPr>
      <w:r>
        <w:rPr>
          <w:snapToGrid w:val="0"/>
        </w:rPr>
        <w:tab/>
        <w:t>(e)</w:t>
      </w:r>
      <w:r>
        <w:rPr>
          <w:snapToGrid w:val="0"/>
        </w:rPr>
        <w:tab/>
        <w:t>the loss of, or damage to, improvements;</w:t>
      </w:r>
    </w:p>
    <w:p>
      <w:pPr>
        <w:pStyle w:val="Indenta"/>
        <w:spacing w:before="60"/>
        <w:rPr>
          <w:snapToGrid w:val="0"/>
        </w:rPr>
      </w:pPr>
      <w:r>
        <w:rPr>
          <w:snapToGrid w:val="0"/>
        </w:rPr>
        <w:tab/>
        <w:t>(f)</w:t>
      </w:r>
      <w:r>
        <w:rPr>
          <w:snapToGrid w:val="0"/>
        </w:rPr>
        <w:tab/>
        <w:t>social disruption;</w:t>
      </w:r>
    </w:p>
    <w:p>
      <w:pPr>
        <w:pStyle w:val="Indenta"/>
        <w:spacing w:before="6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spacing w:before="120"/>
        <w:rPr>
          <w:snapToGrid w:val="0"/>
        </w:rPr>
      </w:pPr>
      <w:r>
        <w:rPr>
          <w:snapToGrid w:val="0"/>
        </w:rPr>
        <w:tab/>
      </w:r>
      <w:r>
        <w:rPr>
          <w:snapToGrid w:val="0"/>
        </w:rPr>
        <w:tab/>
        <w:t>and where the use for mining purposes of aircraft over or in the vicinity of any land (whether or not private land) occasions damage that damage shall be deemed to have been occasioned by an entry on the land thereby affected.</w:t>
      </w:r>
    </w:p>
    <w:p>
      <w:pPr>
        <w:pStyle w:val="Subsection"/>
        <w:spacing w:before="120"/>
        <w:rPr>
          <w:snapToGrid w:val="0"/>
        </w:rPr>
      </w:pPr>
      <w:r>
        <w:rPr>
          <w:snapToGrid w:val="0"/>
        </w:rPr>
        <w:tab/>
        <w:t>(5)</w:t>
      </w:r>
      <w:r>
        <w:rPr>
          <w:snapToGrid w:val="0"/>
        </w:rPr>
        <w:tab/>
        <w:t>If any private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spacing w:before="120"/>
        <w:rPr>
          <w:snapToGrid w:val="0"/>
          <w:spacing w:val="-4"/>
        </w:rPr>
      </w:pPr>
      <w:r>
        <w:rPr>
          <w:snapToGrid w:val="0"/>
          <w:spacing w:val="-4"/>
        </w:rPr>
        <w:tab/>
        <w:t>(6)</w:t>
      </w:r>
      <w:r>
        <w:rPr>
          <w:snapToGrid w:val="0"/>
          <w:spacing w:val="-4"/>
        </w:rPr>
        <w:tab/>
        <w:t>Where mining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spacing w:before="120"/>
        <w:rPr>
          <w:snapToGrid w:val="0"/>
        </w:rPr>
      </w:pPr>
      <w:r>
        <w:rPr>
          <w:snapToGrid w:val="0"/>
        </w:rPr>
        <w:tab/>
        <w:t>(7)</w:t>
      </w:r>
      <w:r>
        <w:rPr>
          <w:snapToGrid w:val="0"/>
        </w:rPr>
        <w:tab/>
        <w:t>Subject to section 124, a person who holds any land — </w:t>
      </w:r>
    </w:p>
    <w:p>
      <w:pPr>
        <w:pStyle w:val="Indenta"/>
        <w:spacing w:before="60"/>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rPr>
          <w:snapToGrid w:val="0"/>
        </w:rPr>
      </w:pPr>
      <w:r>
        <w:rPr>
          <w:snapToGrid w:val="0"/>
        </w:rPr>
        <w:tab/>
      </w:r>
      <w:r>
        <w:rPr>
          <w:snapToGrid w:val="0"/>
        </w:rPr>
        <w:tab/>
        <w:t xml:space="preserve">(in this section called </w:t>
      </w:r>
      <w:r>
        <w:rPr>
          <w:b/>
          <w:snapToGrid w:val="0"/>
        </w:rPr>
        <w:t>“</w:t>
      </w:r>
      <w:r>
        <w:rPr>
          <w:rStyle w:val="CharDefText"/>
        </w:rPr>
        <w:t>the lessee</w:t>
      </w:r>
      <w:r>
        <w:rPr>
          <w:b/>
          <w:snapToGrid w:val="0"/>
        </w:rPr>
        <w:t>”</w:t>
      </w:r>
      <w:r>
        <w:rPr>
          <w:snapToGrid w:val="0"/>
        </w:rPr>
        <w:t>) is entitled to be compensated by the holder of that mining tenement for — </w:t>
      </w:r>
    </w:p>
    <w:p>
      <w:pPr>
        <w:pStyle w:val="Indenta"/>
        <w:rPr>
          <w:snapToGrid w:val="0"/>
        </w:rPr>
      </w:pPr>
      <w:r>
        <w:rPr>
          <w:snapToGrid w:val="0"/>
        </w:rPr>
        <w:tab/>
        <w:t>(c)</w:t>
      </w:r>
      <w:r>
        <w:rPr>
          <w:snapToGrid w:val="0"/>
        </w:rPr>
        <w:tab/>
        <w:t>subject to section 125, any damage to improvements on that land caused by the holder and for any loss —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A determination made by the warden’s court under subsection (3) is, for the purposes of section 147(1), a final determination of the warden’s court.</w:t>
      </w:r>
    </w:p>
    <w:p>
      <w:pPr>
        <w:pStyle w:val="Footnotesection"/>
        <w:keepLines w:val="0"/>
      </w:pPr>
      <w:r>
        <w:tab/>
        <w:t xml:space="preserve">[Section 123 amended by No. 69 of 1981 s. 27; No. 100 of 1985 s. 93; No. 105 of 1986 s. 17 and 18; No. 37 of 1993 s. 26; No. 54 of 1996 s. 23; No. 31 of 1997 s. 141.] </w:t>
      </w:r>
    </w:p>
    <w:p>
      <w:pPr>
        <w:pStyle w:val="Heading5"/>
        <w:rPr>
          <w:snapToGrid w:val="0"/>
        </w:rPr>
      </w:pPr>
      <w:bookmarkStart w:id="926" w:name="_Toc520088039"/>
      <w:bookmarkStart w:id="927" w:name="_Toc523620674"/>
      <w:bookmarkStart w:id="928" w:name="_Toc38853827"/>
      <w:bookmarkStart w:id="929" w:name="_Toc122328585"/>
      <w:r>
        <w:rPr>
          <w:rStyle w:val="CharSectno"/>
        </w:rPr>
        <w:t>124</w:t>
      </w:r>
      <w:r>
        <w:rPr>
          <w:snapToGrid w:val="0"/>
        </w:rPr>
        <w:t>.</w:t>
      </w:r>
      <w:r>
        <w:rPr>
          <w:snapToGrid w:val="0"/>
        </w:rPr>
        <w:tab/>
        <w:t>Powers of and matters to be considered and expected by warden’s court in determining compensation</w:t>
      </w:r>
      <w:bookmarkEnd w:id="926"/>
      <w:bookmarkEnd w:id="927"/>
      <w:bookmarkEnd w:id="928"/>
      <w:bookmarkEnd w:id="929"/>
      <w:r>
        <w:rPr>
          <w:snapToGrid w:val="0"/>
        </w:rPr>
        <w:t xml:space="preserve"> </w:t>
      </w:r>
    </w:p>
    <w:p>
      <w:pPr>
        <w:pStyle w:val="Subsection"/>
        <w:spacing w:before="220"/>
        <w:rPr>
          <w:snapToGrid w:val="0"/>
        </w:rPr>
      </w:pPr>
      <w:r>
        <w:rPr>
          <w:snapToGrid w:val="0"/>
        </w:rPr>
        <w:tab/>
        <w:t>(1)</w:t>
      </w:r>
      <w:r>
        <w:rPr>
          <w:snapToGrid w:val="0"/>
        </w:rPr>
        <w:tab/>
        <w:t>Without limiting or otherwise affecting the powers conferred on a warden’s court by this Act, a warden when considering matters relating to compensation under this Act, shall take into consideration — </w:t>
      </w:r>
    </w:p>
    <w:p>
      <w:pPr>
        <w:pStyle w:val="Indenta"/>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20"/>
        <w:rPr>
          <w:snapToGrid w:val="0"/>
        </w:rPr>
      </w:pPr>
      <w:r>
        <w:rPr>
          <w:snapToGrid w:val="0"/>
        </w:rPr>
        <w:tab/>
        <w:t>(2)</w:t>
      </w:r>
      <w:r>
        <w:rPr>
          <w:snapToGrid w:val="0"/>
        </w:rPr>
        <w:tab/>
        <w:t>Upon the hearing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20"/>
        <w:rPr>
          <w:snapToGrid w:val="0"/>
        </w:rPr>
      </w:pPr>
      <w:r>
        <w:rPr>
          <w:snapToGrid w:val="0"/>
        </w:rPr>
        <w:tab/>
        <w:t>(3)</w:t>
      </w:r>
      <w:r>
        <w:rPr>
          <w:snapToGrid w:val="0"/>
        </w:rPr>
        <w:tab/>
        <w:t>Before an order is made under subsection (2) consideration shall be given to the following matters — </w:t>
      </w:r>
    </w:p>
    <w:p>
      <w:pPr>
        <w:pStyle w:val="Indenta"/>
        <w:rPr>
          <w:snapToGrid w:val="0"/>
        </w:rPr>
      </w:pPr>
      <w:r>
        <w:rPr>
          <w:snapToGrid w:val="0"/>
        </w:rPr>
        <w:tab/>
        <w:t>(a)</w:t>
      </w:r>
      <w:r>
        <w:rPr>
          <w:snapToGrid w:val="0"/>
        </w:rPr>
        <w:tab/>
        <w:t>the geographical location of the land to which the claim for compensation relates and its environment;</w:t>
      </w:r>
    </w:p>
    <w:p>
      <w:pPr>
        <w:pStyle w:val="Indenta"/>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rPr>
          <w:snapToGrid w:val="0"/>
        </w:rPr>
      </w:pPr>
      <w:r>
        <w:rPr>
          <w:snapToGrid w:val="0"/>
        </w:rPr>
        <w:tab/>
        <w:t>(d)</w:t>
      </w:r>
      <w:r>
        <w:rPr>
          <w:snapToGrid w:val="0"/>
        </w:rPr>
        <w:tab/>
        <w:t>the practicability of restoring the surface of the land after such mining operations have ceased.</w:t>
      </w:r>
    </w:p>
    <w:p>
      <w:pPr>
        <w:pStyle w:val="Footnotesection"/>
        <w:keepLines w:val="0"/>
      </w:pPr>
      <w:r>
        <w:tab/>
        <w:t xml:space="preserve">[Section 124 amended by No. 69 of 1981 s. 28; No. 100 of 1985 s. 94.] </w:t>
      </w:r>
    </w:p>
    <w:p>
      <w:pPr>
        <w:pStyle w:val="Heading5"/>
        <w:rPr>
          <w:snapToGrid w:val="0"/>
        </w:rPr>
      </w:pPr>
      <w:bookmarkStart w:id="930" w:name="_Toc520088040"/>
      <w:bookmarkStart w:id="931" w:name="_Toc523620675"/>
      <w:bookmarkStart w:id="932" w:name="_Toc38853828"/>
      <w:bookmarkStart w:id="933" w:name="_Toc122328586"/>
      <w:r>
        <w:rPr>
          <w:rStyle w:val="CharSectno"/>
        </w:rPr>
        <w:t>125</w:t>
      </w:r>
      <w:r>
        <w:rPr>
          <w:snapToGrid w:val="0"/>
        </w:rPr>
        <w:t>.</w:t>
      </w:r>
      <w:r>
        <w:rPr>
          <w:snapToGrid w:val="0"/>
        </w:rPr>
        <w:tab/>
        <w:t>Limitation on compensation</w:t>
      </w:r>
      <w:bookmarkEnd w:id="930"/>
      <w:bookmarkEnd w:id="931"/>
      <w:bookmarkEnd w:id="932"/>
      <w:bookmarkEnd w:id="933"/>
      <w:r>
        <w:rPr>
          <w:snapToGrid w:val="0"/>
        </w:rPr>
        <w:t xml:space="preserve"> </w:t>
      </w:r>
    </w:p>
    <w:p>
      <w:pPr>
        <w:pStyle w:val="Subsection"/>
        <w:rPr>
          <w:snapToGrid w:val="0"/>
        </w:rPr>
      </w:pPr>
      <w:r>
        <w:rPr>
          <w:snapToGrid w:val="0"/>
        </w:rPr>
        <w:tab/>
      </w:r>
      <w:r>
        <w:rPr>
          <w:snapToGrid w:val="0"/>
        </w:rPr>
        <w:tab/>
        <w:t>Except where and then only to the extent agreed upon by the parties concerned or authorised by the warden’s court, compensation is not payable under this Part to a person who is “the lessee” of any land for the purposes of section 123(7) —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 xml:space="preserve">[Section 125 amended by No. 100 of 1985 s. 95; No. 105 of 1986 s. 19.] </w:t>
      </w:r>
    </w:p>
    <w:p>
      <w:pPr>
        <w:pStyle w:val="Heading5"/>
        <w:rPr>
          <w:snapToGrid w:val="0"/>
        </w:rPr>
      </w:pPr>
      <w:bookmarkStart w:id="934" w:name="_Toc520088041"/>
      <w:bookmarkStart w:id="935" w:name="_Toc523620676"/>
      <w:bookmarkStart w:id="936" w:name="_Toc38853829"/>
      <w:bookmarkStart w:id="937" w:name="_Toc122328587"/>
      <w:r>
        <w:rPr>
          <w:rStyle w:val="CharSectno"/>
        </w:rPr>
        <w:t>125A</w:t>
      </w:r>
      <w:r>
        <w:rPr>
          <w:snapToGrid w:val="0"/>
        </w:rPr>
        <w:t>.</w:t>
      </w:r>
      <w:r>
        <w:rPr>
          <w:snapToGrid w:val="0"/>
        </w:rPr>
        <w:tab/>
        <w:t>Liability for payment of compensation to native title holders</w:t>
      </w:r>
      <w:bookmarkEnd w:id="934"/>
      <w:bookmarkEnd w:id="935"/>
      <w:bookmarkEnd w:id="936"/>
      <w:bookmarkEnd w:id="937"/>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b/>
        </w:rPr>
        <w:t>“</w:t>
      </w:r>
      <w:r>
        <w:rPr>
          <w:rStyle w:val="CharDefText"/>
        </w:rPr>
        <w:t>grant</w:t>
      </w:r>
      <w:r>
        <w:rPr>
          <w:b/>
        </w:rPr>
        <w:t>”</w:t>
      </w:r>
      <w:r>
        <w:t xml:space="preserve"> includes extension or renewal;</w:t>
      </w:r>
    </w:p>
    <w:p>
      <w:pPr>
        <w:pStyle w:val="Defstart"/>
      </w:pPr>
      <w:r>
        <w:tab/>
      </w:r>
      <w:r>
        <w:rPr>
          <w:b/>
        </w:rPr>
        <w:t>“</w:t>
      </w:r>
      <w:r>
        <w:rPr>
          <w:rStyle w:val="CharDefText"/>
        </w:rPr>
        <w:t>native title holders</w:t>
      </w:r>
      <w:r>
        <w:rPr>
          <w:b/>
        </w:rPr>
        <w:t>”</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spacing w:before="120"/>
        <w:rPr>
          <w:snapToGrid w:val="0"/>
        </w:rPr>
      </w:pPr>
      <w:bookmarkStart w:id="938" w:name="_Toc520088042"/>
      <w:bookmarkStart w:id="939" w:name="_Toc523620677"/>
      <w:bookmarkStart w:id="940" w:name="_Toc38853830"/>
      <w:bookmarkStart w:id="941" w:name="_Toc122328588"/>
      <w:r>
        <w:rPr>
          <w:rStyle w:val="CharSectno"/>
        </w:rPr>
        <w:t>126</w:t>
      </w:r>
      <w:r>
        <w:rPr>
          <w:snapToGrid w:val="0"/>
        </w:rPr>
        <w:t>.</w:t>
      </w:r>
      <w:r>
        <w:rPr>
          <w:snapToGrid w:val="0"/>
        </w:rPr>
        <w:tab/>
        <w:t>Securities</w:t>
      </w:r>
      <w:bookmarkEnd w:id="938"/>
      <w:bookmarkEnd w:id="939"/>
      <w:bookmarkEnd w:id="940"/>
      <w:bookmarkEnd w:id="941"/>
      <w:r>
        <w:rPr>
          <w:snapToGrid w:val="0"/>
        </w:rPr>
        <w:t xml:space="preserve"> </w:t>
      </w:r>
    </w:p>
    <w:p>
      <w:pPr>
        <w:pStyle w:val="Subsection"/>
        <w:spacing w:before="100"/>
        <w:rPr>
          <w:snapToGrid w:val="0"/>
        </w:rPr>
      </w:pPr>
      <w:r>
        <w:rPr>
          <w:snapToGrid w:val="0"/>
        </w:rPr>
        <w:tab/>
        <w:t>(1)</w:t>
      </w:r>
      <w:r>
        <w:rPr>
          <w:snapToGrid w:val="0"/>
        </w:rPr>
        <w:tab/>
        <w:t>A security referred to in section 26, 52, 60, 70F or 84A — </w:t>
      </w:r>
    </w:p>
    <w:p>
      <w:pPr>
        <w:pStyle w:val="Indenta"/>
        <w:rPr>
          <w:snapToGrid w:val="0"/>
        </w:rPr>
      </w:pPr>
      <w:r>
        <w:rPr>
          <w:snapToGrid w:val="0"/>
        </w:rPr>
        <w:tab/>
        <w:t>(a)</w:t>
      </w:r>
      <w:r>
        <w:rPr>
          <w:snapToGrid w:val="0"/>
        </w:rPr>
        <w:tab/>
        <w:t xml:space="preserve">shall be for such amount — </w:t>
      </w:r>
    </w:p>
    <w:p>
      <w:pPr>
        <w:pStyle w:val="Indenti"/>
        <w:rPr>
          <w:snapToGrid w:val="0"/>
        </w:rPr>
      </w:pPr>
      <w:r>
        <w:rPr>
          <w:snapToGrid w:val="0"/>
        </w:rPr>
        <w:tab/>
        <w:t>(i)</w:t>
      </w:r>
      <w:r>
        <w:rPr>
          <w:snapToGrid w:val="0"/>
        </w:rPr>
        <w:tab/>
        <w:t>in the case of a security referred to in section 26, 52(1a), 60(1a), 70F or 84A, as the Minister in a particular case approves (including any variation of that amount under subsection (1a)); or</w:t>
      </w:r>
    </w:p>
    <w:p>
      <w:pPr>
        <w:pStyle w:val="Indenti"/>
        <w:rPr>
          <w:snapToGrid w:val="0"/>
        </w:rPr>
      </w:pPr>
      <w:r>
        <w:rPr>
          <w:snapToGrid w:val="0"/>
        </w:rPr>
        <w:tab/>
        <w:t>(ii)</w:t>
      </w:r>
      <w:r>
        <w:rPr>
          <w:snapToGrid w:val="0"/>
        </w:rPr>
        <w:tab/>
        <w:t>in the case of a security referred to in section 52(1) or 60(1), as is prescribed or as the Minister in a particular case approves;</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spacing w:before="100"/>
        <w:rPr>
          <w:snapToGrid w:val="0"/>
        </w:rPr>
      </w:pPr>
      <w:r>
        <w:rPr>
          <w:snapToGrid w:val="0"/>
        </w:rPr>
        <w:tab/>
        <w:t>(1a)</w:t>
      </w:r>
      <w:r>
        <w:rPr>
          <w:snapToGrid w:val="0"/>
        </w:rPr>
        <w:tab/>
        <w:t>The Minister may by instrument in writing vary an amount approved under subsection (1)(a)(i).</w:t>
      </w:r>
    </w:p>
    <w:p>
      <w:pPr>
        <w:pStyle w:val="Subsection"/>
        <w:spacing w:before="100"/>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spacing w:before="100"/>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 </w:t>
      </w:r>
    </w:p>
    <w:p>
      <w:pPr>
        <w:pStyle w:val="Indenta"/>
        <w:rPr>
          <w:snapToGrid w:val="0"/>
        </w:rPr>
      </w:pPr>
      <w:r>
        <w:rPr>
          <w:snapToGrid w:val="0"/>
        </w:rPr>
        <w:tab/>
        <w:t>(a)</w:t>
      </w:r>
      <w:r>
        <w:rPr>
          <w:snapToGrid w:val="0"/>
        </w:rPr>
        <w:tab/>
        <w:t>any extension of time or other concession;</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 xml:space="preserve">The Minister may discharge, in whole or in part, a security given under this section —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Footnotesection"/>
      </w:pPr>
      <w:r>
        <w:tab/>
        <w:t xml:space="preserve">[Section 126 amended by No. 100 of 1985 s. 96; No. 37 of 1993 s. 10(2); No. 17 of 1999 s. 19.] </w:t>
      </w:r>
    </w:p>
    <w:p>
      <w:pPr>
        <w:pStyle w:val="Heading2"/>
      </w:pPr>
      <w:bookmarkStart w:id="942" w:name="_Toc87427717"/>
      <w:bookmarkStart w:id="943" w:name="_Toc87851292"/>
      <w:bookmarkStart w:id="944" w:name="_Toc88295515"/>
      <w:bookmarkStart w:id="945" w:name="_Toc89519174"/>
      <w:bookmarkStart w:id="946" w:name="_Toc90869299"/>
      <w:bookmarkStart w:id="947" w:name="_Toc91408071"/>
      <w:bookmarkStart w:id="948" w:name="_Toc92863815"/>
      <w:bookmarkStart w:id="949" w:name="_Toc95015183"/>
      <w:bookmarkStart w:id="950" w:name="_Toc95106890"/>
      <w:bookmarkStart w:id="951" w:name="_Toc97018690"/>
      <w:bookmarkStart w:id="952" w:name="_Toc101693643"/>
      <w:bookmarkStart w:id="953" w:name="_Toc103130513"/>
      <w:bookmarkStart w:id="954" w:name="_Toc104711163"/>
      <w:bookmarkStart w:id="955" w:name="_Toc121560148"/>
      <w:bookmarkStart w:id="956" w:name="_Toc122328589"/>
      <w:r>
        <w:rPr>
          <w:rStyle w:val="CharPartNo"/>
        </w:rPr>
        <w:t>Part VIII</w:t>
      </w:r>
      <w:r>
        <w:rPr>
          <w:rStyle w:val="CharDivNo"/>
        </w:rPr>
        <w:t> </w:t>
      </w:r>
      <w:r>
        <w:t>—</w:t>
      </w:r>
      <w:r>
        <w:rPr>
          <w:rStyle w:val="CharDivText"/>
        </w:rPr>
        <w:t> </w:t>
      </w:r>
      <w:r>
        <w:rPr>
          <w:rStyle w:val="CharPartText"/>
        </w:rPr>
        <w:t>Administration of justice</w:t>
      </w:r>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r>
        <w:rPr>
          <w:rStyle w:val="CharPartText"/>
        </w:rPr>
        <w:t xml:space="preserve"> </w:t>
      </w:r>
    </w:p>
    <w:p>
      <w:pPr>
        <w:pStyle w:val="Heading5"/>
        <w:rPr>
          <w:snapToGrid w:val="0"/>
        </w:rPr>
      </w:pPr>
      <w:bookmarkStart w:id="957" w:name="_Toc520088043"/>
      <w:bookmarkStart w:id="958" w:name="_Toc523620678"/>
      <w:bookmarkStart w:id="959" w:name="_Toc38853831"/>
      <w:bookmarkStart w:id="960" w:name="_Toc122328590"/>
      <w:r>
        <w:rPr>
          <w:rStyle w:val="CharSectno"/>
        </w:rPr>
        <w:t>127</w:t>
      </w:r>
      <w:r>
        <w:rPr>
          <w:snapToGrid w:val="0"/>
        </w:rPr>
        <w:t>.</w:t>
      </w:r>
      <w:r>
        <w:rPr>
          <w:snapToGrid w:val="0"/>
        </w:rPr>
        <w:tab/>
        <w:t>Establishment of wardens’ courts</w:t>
      </w:r>
      <w:bookmarkEnd w:id="957"/>
      <w:bookmarkEnd w:id="958"/>
      <w:bookmarkEnd w:id="959"/>
      <w:bookmarkEnd w:id="960"/>
      <w:r>
        <w:rPr>
          <w:snapToGrid w:val="0"/>
        </w:rPr>
        <w:t xml:space="preserve"> </w:t>
      </w:r>
    </w:p>
    <w:p>
      <w:pPr>
        <w:pStyle w:val="Subsection"/>
        <w:rPr>
          <w:snapToGrid w:val="0"/>
        </w:rPr>
      </w:pPr>
      <w:r>
        <w:rPr>
          <w:snapToGrid w:val="0"/>
        </w:rPr>
        <w:tab/>
        <w:t>(1)</w:t>
      </w:r>
      <w:r>
        <w:rPr>
          <w:snapToGrid w:val="0"/>
        </w:rPr>
        <w:tab/>
        <w:t>The Governor may, by order in council —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Ednotesubsection"/>
      </w:pPr>
      <w:r>
        <w:tab/>
        <w:t>[(3)</w:t>
      </w:r>
      <w:r>
        <w:tab/>
        <w:t>repealed]</w:t>
      </w:r>
    </w:p>
    <w:p>
      <w:pPr>
        <w:pStyle w:val="Footnotesection"/>
      </w:pPr>
      <w:r>
        <w:tab/>
        <w:t xml:space="preserve">[Section 127 amended by No. 100 of 1985 s. 97; No. 59 of 2004 s. 116.] </w:t>
      </w:r>
    </w:p>
    <w:p>
      <w:pPr>
        <w:pStyle w:val="Heading5"/>
        <w:rPr>
          <w:snapToGrid w:val="0"/>
        </w:rPr>
      </w:pPr>
      <w:bookmarkStart w:id="961" w:name="_Toc520088044"/>
      <w:bookmarkStart w:id="962" w:name="_Toc523620679"/>
      <w:bookmarkStart w:id="963" w:name="_Toc38853832"/>
      <w:bookmarkStart w:id="964" w:name="_Toc122328591"/>
      <w:r>
        <w:rPr>
          <w:rStyle w:val="CharSectno"/>
        </w:rPr>
        <w:t>128</w:t>
      </w:r>
      <w:r>
        <w:rPr>
          <w:snapToGrid w:val="0"/>
        </w:rPr>
        <w:t>.</w:t>
      </w:r>
      <w:r>
        <w:rPr>
          <w:snapToGrid w:val="0"/>
        </w:rPr>
        <w:tab/>
        <w:t>Warden’s court to be court of record</w:t>
      </w:r>
      <w:bookmarkEnd w:id="961"/>
      <w:bookmarkEnd w:id="962"/>
      <w:bookmarkEnd w:id="963"/>
      <w:bookmarkEnd w:id="964"/>
      <w:r>
        <w:rPr>
          <w:snapToGrid w:val="0"/>
        </w:rPr>
        <w:t xml:space="preserve"> </w:t>
      </w:r>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965" w:name="_Toc520088045"/>
      <w:bookmarkStart w:id="966" w:name="_Toc523620680"/>
      <w:bookmarkStart w:id="967" w:name="_Toc38853833"/>
      <w:bookmarkStart w:id="968" w:name="_Toc122328592"/>
      <w:r>
        <w:rPr>
          <w:rStyle w:val="CharSectno"/>
        </w:rPr>
        <w:t>129</w:t>
      </w:r>
      <w:r>
        <w:rPr>
          <w:snapToGrid w:val="0"/>
        </w:rPr>
        <w:t>.</w:t>
      </w:r>
      <w:r>
        <w:rPr>
          <w:snapToGrid w:val="0"/>
        </w:rPr>
        <w:tab/>
        <w:t>Signing of process</w:t>
      </w:r>
      <w:bookmarkEnd w:id="965"/>
      <w:bookmarkEnd w:id="966"/>
      <w:bookmarkEnd w:id="967"/>
      <w:bookmarkEnd w:id="968"/>
      <w:r>
        <w:rPr>
          <w:snapToGrid w:val="0"/>
        </w:rPr>
        <w:t xml:space="preserve"> </w:t>
      </w:r>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969" w:name="_Toc520088046"/>
      <w:bookmarkStart w:id="970" w:name="_Toc523620681"/>
      <w:bookmarkStart w:id="971" w:name="_Toc38853834"/>
      <w:bookmarkStart w:id="972" w:name="_Toc122328593"/>
      <w:r>
        <w:rPr>
          <w:rStyle w:val="CharSectno"/>
        </w:rPr>
        <w:t>130</w:t>
      </w:r>
      <w:r>
        <w:rPr>
          <w:snapToGrid w:val="0"/>
        </w:rPr>
        <w:t>.</w:t>
      </w:r>
      <w:r>
        <w:rPr>
          <w:snapToGrid w:val="0"/>
        </w:rPr>
        <w:tab/>
        <w:t>Times for holding warden’s court</w:t>
      </w:r>
      <w:bookmarkEnd w:id="969"/>
      <w:bookmarkEnd w:id="970"/>
      <w:bookmarkEnd w:id="971"/>
      <w:bookmarkEnd w:id="972"/>
      <w:r>
        <w:rPr>
          <w:snapToGrid w:val="0"/>
        </w:rPr>
        <w:t xml:space="preserve"> </w:t>
      </w:r>
    </w:p>
    <w:p>
      <w:pPr>
        <w:pStyle w:val="Subsection"/>
        <w:rPr>
          <w:snapToGrid w:val="0"/>
        </w:rPr>
      </w:pPr>
      <w:r>
        <w:rPr>
          <w:snapToGrid w:val="0"/>
        </w:rPr>
        <w:tab/>
      </w:r>
      <w:r>
        <w:rPr>
          <w:snapToGrid w:val="0"/>
        </w:rPr>
        <w:tab/>
        <w:t>A warden’s court may be held before the warden at such times as the warden, from time to time, appoints.</w:t>
      </w:r>
    </w:p>
    <w:p>
      <w:pPr>
        <w:pStyle w:val="Heading5"/>
        <w:rPr>
          <w:snapToGrid w:val="0"/>
        </w:rPr>
      </w:pPr>
      <w:bookmarkStart w:id="973" w:name="_Toc520088047"/>
      <w:bookmarkStart w:id="974" w:name="_Toc523620682"/>
      <w:bookmarkStart w:id="975" w:name="_Toc38853835"/>
      <w:bookmarkStart w:id="976" w:name="_Toc122328594"/>
      <w:r>
        <w:rPr>
          <w:rStyle w:val="CharSectno"/>
        </w:rPr>
        <w:t>131</w:t>
      </w:r>
      <w:r>
        <w:rPr>
          <w:snapToGrid w:val="0"/>
        </w:rPr>
        <w:t>.</w:t>
      </w:r>
      <w:r>
        <w:rPr>
          <w:snapToGrid w:val="0"/>
        </w:rPr>
        <w:tab/>
        <w:t>Power of a warden to act in absence of warden usually presiding</w:t>
      </w:r>
      <w:bookmarkEnd w:id="973"/>
      <w:bookmarkEnd w:id="974"/>
      <w:bookmarkEnd w:id="975"/>
      <w:bookmarkEnd w:id="976"/>
      <w:r>
        <w:rPr>
          <w:snapToGrid w:val="0"/>
        </w:rPr>
        <w:t xml:space="preserve"> </w:t>
      </w:r>
    </w:p>
    <w:p>
      <w:pPr>
        <w:pStyle w:val="Subsection"/>
        <w:rPr>
          <w:snapToGrid w:val="0"/>
        </w:rPr>
      </w:pPr>
      <w:r>
        <w:rPr>
          <w:snapToGrid w:val="0"/>
        </w:rPr>
        <w:tab/>
      </w:r>
      <w:r>
        <w:rPr>
          <w:snapToGrid w:val="0"/>
        </w:rPr>
        <w:tab/>
        <w:t>Where the warden who usually presides in a warden’s court is for any reason unable to do so, any other warden, not being a person appointed under section 13(2), may act in his place and while so acting has all the powers, duties and authorities of the warden for whom he is acting.</w:t>
      </w:r>
    </w:p>
    <w:p>
      <w:pPr>
        <w:pStyle w:val="Footnotesection"/>
      </w:pPr>
      <w:r>
        <w:tab/>
        <w:t xml:space="preserve">[Section 131 amended by No. 100 of 1985 s. 98.] </w:t>
      </w:r>
    </w:p>
    <w:p>
      <w:pPr>
        <w:pStyle w:val="Heading5"/>
        <w:rPr>
          <w:snapToGrid w:val="0"/>
        </w:rPr>
      </w:pPr>
      <w:bookmarkStart w:id="977" w:name="_Toc520088048"/>
      <w:bookmarkStart w:id="978" w:name="_Toc523620683"/>
      <w:bookmarkStart w:id="979" w:name="_Toc38853836"/>
      <w:bookmarkStart w:id="980" w:name="_Toc122328595"/>
      <w:r>
        <w:rPr>
          <w:rStyle w:val="CharSectno"/>
        </w:rPr>
        <w:t>132</w:t>
      </w:r>
      <w:r>
        <w:rPr>
          <w:snapToGrid w:val="0"/>
        </w:rPr>
        <w:t>.</w:t>
      </w:r>
      <w:r>
        <w:rPr>
          <w:snapToGrid w:val="0"/>
        </w:rPr>
        <w:tab/>
        <w:t>Jurisdiction of warden’s court</w:t>
      </w:r>
      <w:bookmarkEnd w:id="977"/>
      <w:bookmarkEnd w:id="978"/>
      <w:bookmarkEnd w:id="979"/>
      <w:bookmarkEnd w:id="980"/>
      <w:r>
        <w:rPr>
          <w:snapToGrid w:val="0"/>
        </w:rPr>
        <w:t xml:space="preserve"> </w:t>
      </w:r>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and generally all rights claimed in, under or in relation to any mining tenement or purported mining tenement, or relating to any matter in respect of which jurisdiction is under any provision of this Act conferred upon either the warden’s court or the warden.</w:t>
      </w:r>
    </w:p>
    <w:p>
      <w:pPr>
        <w:pStyle w:val="Subsection"/>
        <w:rPr>
          <w:snapToGrid w:val="0"/>
        </w:rPr>
      </w:pPr>
      <w:r>
        <w:rPr>
          <w:snapToGrid w:val="0"/>
        </w:rPr>
        <w:tab/>
        <w:t>(2)</w:t>
      </w:r>
      <w:r>
        <w:rPr>
          <w:snapToGrid w:val="0"/>
        </w:rPr>
        <w:tab/>
        <w:t>Every warden’s court has jurisdiction throughout the State but all proceedings under this Act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Where a warden is satisfied that any action, suit or other proceeding pending in his court has been erroneously brought before his court, or could more conveniently be dealt with in another warden’s court, he may, notwithstanding subsection (2), order the mining registrar of his court —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Heading5"/>
      </w:pPr>
      <w:bookmarkStart w:id="981" w:name="_Toc122328596"/>
      <w:bookmarkStart w:id="982" w:name="_Toc520088050"/>
      <w:bookmarkStart w:id="983" w:name="_Toc523620685"/>
      <w:bookmarkStart w:id="984" w:name="_Toc38853838"/>
      <w:r>
        <w:rPr>
          <w:rStyle w:val="CharSectno"/>
        </w:rPr>
        <w:t>133</w:t>
      </w:r>
      <w:r>
        <w:t>.</w:t>
      </w:r>
      <w:r>
        <w:tab/>
        <w:t>Offences to be dealt with by magistrate</w:t>
      </w:r>
      <w:bookmarkEnd w:id="981"/>
    </w:p>
    <w:p>
      <w:pPr>
        <w:pStyle w:val="Subsection"/>
      </w:pPr>
      <w:r>
        <w:tab/>
      </w:r>
      <w:r>
        <w:tab/>
        <w:t>A court of summary jurisdiction dealing with an offence under this Act is to be constituted by a magistrate.</w:t>
      </w:r>
    </w:p>
    <w:p>
      <w:pPr>
        <w:pStyle w:val="Footnotesection"/>
      </w:pPr>
      <w:r>
        <w:tab/>
        <w:t xml:space="preserve">[Section 133 inserted by No. 59 of 2004 s. 114.] </w:t>
      </w:r>
    </w:p>
    <w:p>
      <w:pPr>
        <w:pStyle w:val="Heading5"/>
        <w:rPr>
          <w:snapToGrid w:val="0"/>
        </w:rPr>
      </w:pPr>
      <w:bookmarkStart w:id="985" w:name="_Toc122328597"/>
      <w:r>
        <w:rPr>
          <w:rStyle w:val="CharSectno"/>
        </w:rPr>
        <w:t>134</w:t>
      </w:r>
      <w:r>
        <w:rPr>
          <w:snapToGrid w:val="0"/>
        </w:rPr>
        <w:t>.</w:t>
      </w:r>
      <w:r>
        <w:rPr>
          <w:snapToGrid w:val="0"/>
        </w:rPr>
        <w:tab/>
        <w:t>Powers of warden’s court</w:t>
      </w:r>
      <w:bookmarkEnd w:id="982"/>
      <w:bookmarkEnd w:id="983"/>
      <w:bookmarkEnd w:id="984"/>
      <w:bookmarkEnd w:id="985"/>
      <w:r>
        <w:rPr>
          <w:snapToGrid w:val="0"/>
        </w:rPr>
        <w:t xml:space="preserve"> </w:t>
      </w:r>
    </w:p>
    <w:p>
      <w:pPr>
        <w:pStyle w:val="Subsection"/>
        <w:rPr>
          <w:snapToGrid w:val="0"/>
        </w:rPr>
      </w:pPr>
      <w:r>
        <w:rPr>
          <w:snapToGrid w:val="0"/>
        </w:rPr>
        <w:tab/>
        <w:t>(1)</w:t>
      </w:r>
      <w:r>
        <w:rPr>
          <w:snapToGrid w:val="0"/>
        </w:rPr>
        <w:tab/>
        <w:t>A warden’s court has power to make orders on all matters within its jurisdiction, for —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Indenta"/>
        <w:rPr>
          <w:snapToGrid w:val="0"/>
        </w:rPr>
      </w:pPr>
      <w:r>
        <w:rPr>
          <w:snapToGrid w:val="0"/>
        </w:rPr>
        <w:tab/>
        <w:t>(d)</w:t>
      </w:r>
      <w:r>
        <w:rPr>
          <w:snapToGrid w:val="0"/>
        </w:rPr>
        <w:tab/>
        <w:t>the determination of objections to applications;</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warden and the amount thereof may be determined by the warden or taxed, as the warden may direct but an order for the payment of the costs of another person shall not be made against an applicant or a person making an objection unless the warden is satisfied that the application or objection so made was frivolous or vexatious.</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the inspection of any land, mine or works by any specified person, and the taking of samples of any mineral or that a report thereon be made to the warden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or the warden, as the case may require, has and may exercise in relation to all matters relating to any civil proceeding under this Act the like powers and authorities as are conferred upon the Supreme Court or a Judge thereof.</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 xml:space="preserve">[Section 134 amended by No. 100 of 1985 s. 99; No. 37 of 1993 s. 12(2); No. 59 of 2004 s. 116.] </w:t>
      </w:r>
    </w:p>
    <w:p>
      <w:pPr>
        <w:pStyle w:val="Heading5"/>
        <w:rPr>
          <w:snapToGrid w:val="0"/>
        </w:rPr>
      </w:pPr>
      <w:bookmarkStart w:id="986" w:name="_Toc520088051"/>
      <w:bookmarkStart w:id="987" w:name="_Toc523620686"/>
      <w:bookmarkStart w:id="988" w:name="_Toc38853839"/>
      <w:bookmarkStart w:id="989" w:name="_Toc122328598"/>
      <w:r>
        <w:rPr>
          <w:rStyle w:val="CharSectno"/>
        </w:rPr>
        <w:t>135</w:t>
      </w:r>
      <w:r>
        <w:rPr>
          <w:snapToGrid w:val="0"/>
        </w:rPr>
        <w:t>.</w:t>
      </w:r>
      <w:r>
        <w:rPr>
          <w:snapToGrid w:val="0"/>
        </w:rPr>
        <w:tab/>
        <w:t>Summary determination by warden by consent</w:t>
      </w:r>
      <w:bookmarkEnd w:id="986"/>
      <w:bookmarkEnd w:id="987"/>
      <w:bookmarkEnd w:id="988"/>
      <w:bookmarkEnd w:id="989"/>
      <w:r>
        <w:rPr>
          <w:snapToGrid w:val="0"/>
        </w:rPr>
        <w:t xml:space="preserve"> </w:t>
      </w:r>
    </w:p>
    <w:p>
      <w:pPr>
        <w:pStyle w:val="Subsection"/>
        <w:rPr>
          <w:snapToGrid w:val="0"/>
        </w:rPr>
      </w:pPr>
      <w:r>
        <w:rPr>
          <w:snapToGrid w:val="0"/>
        </w:rPr>
        <w:tab/>
        <w:t>(1)</w:t>
      </w:r>
      <w:r>
        <w:rPr>
          <w:snapToGrid w:val="0"/>
        </w:rPr>
        <w:tab/>
        <w:t>Upon the request in writing of all parties to a dispute arising under this Act the warden, or in his absence the mining registrar if the parties so agree, may hear and determine the question in dispute, forthwith or at any time or place which he may appoint without requiring any formal proceedings to be taken.</w:t>
      </w:r>
    </w:p>
    <w:p>
      <w:pPr>
        <w:pStyle w:val="Subsection"/>
        <w:rPr>
          <w:snapToGrid w:val="0"/>
        </w:rPr>
      </w:pPr>
      <w:r>
        <w:rPr>
          <w:snapToGrid w:val="0"/>
        </w:rPr>
        <w:tab/>
        <w:t>(2)</w:t>
      </w:r>
      <w:r>
        <w:rPr>
          <w:snapToGrid w:val="0"/>
        </w:rPr>
        <w:tab/>
        <w:t>An order made by the warden or mining registrar in a case to which subsection (1) refers has the same force and effect as if made upon formal proceedings by a warden in a warden’s court, and the order is final and conclusive, and not subject to appeal.</w:t>
      </w:r>
    </w:p>
    <w:p>
      <w:pPr>
        <w:pStyle w:val="Subsection"/>
        <w:rPr>
          <w:snapToGrid w:val="0"/>
        </w:rPr>
      </w:pPr>
      <w:r>
        <w:rPr>
          <w:snapToGrid w:val="0"/>
        </w:rPr>
        <w:tab/>
        <w:t>(3)</w:t>
      </w:r>
      <w:r>
        <w:rPr>
          <w:snapToGrid w:val="0"/>
        </w:rPr>
        <w:tab/>
        <w:t>The warden or the mining registrar, as the case requires, shall keep a record, in a register kept for the purpose, of every matter determined under this section by him and of his decision thereon.</w:t>
      </w:r>
    </w:p>
    <w:p>
      <w:pPr>
        <w:pStyle w:val="Subsection"/>
        <w:rPr>
          <w:snapToGrid w:val="0"/>
        </w:rPr>
      </w:pPr>
      <w:r>
        <w:rPr>
          <w:snapToGrid w:val="0"/>
        </w:rPr>
        <w:tab/>
        <w:t>(4)</w:t>
      </w:r>
      <w:r>
        <w:rPr>
          <w:snapToGrid w:val="0"/>
        </w:rPr>
        <w:tab/>
        <w:t>A contested application for the grant of a mining tenement shall not be taken to be a dispute within the meaning of that term in subsection (1).</w:t>
      </w:r>
    </w:p>
    <w:p>
      <w:pPr>
        <w:pStyle w:val="Footnotesection"/>
      </w:pPr>
      <w:r>
        <w:tab/>
        <w:t xml:space="preserve">[Section 135 amended by No. 100 of 1985 s. 100.] </w:t>
      </w:r>
    </w:p>
    <w:p>
      <w:pPr>
        <w:pStyle w:val="Heading5"/>
        <w:rPr>
          <w:snapToGrid w:val="0"/>
        </w:rPr>
      </w:pPr>
      <w:bookmarkStart w:id="990" w:name="_Toc520088052"/>
      <w:bookmarkStart w:id="991" w:name="_Toc523620687"/>
      <w:bookmarkStart w:id="992" w:name="_Toc38853840"/>
      <w:bookmarkStart w:id="993" w:name="_Toc122328599"/>
      <w:r>
        <w:rPr>
          <w:rStyle w:val="CharSectno"/>
        </w:rPr>
        <w:t>136</w:t>
      </w:r>
      <w:r>
        <w:rPr>
          <w:snapToGrid w:val="0"/>
        </w:rPr>
        <w:t>.</w:t>
      </w:r>
      <w:r>
        <w:rPr>
          <w:snapToGrid w:val="0"/>
        </w:rPr>
        <w:tab/>
        <w:t>Practice and procedure in warden’s court</w:t>
      </w:r>
      <w:bookmarkEnd w:id="990"/>
      <w:bookmarkEnd w:id="991"/>
      <w:bookmarkEnd w:id="992"/>
      <w:bookmarkEnd w:id="993"/>
      <w:r>
        <w:rPr>
          <w:snapToGrid w:val="0"/>
        </w:rPr>
        <w:t xml:space="preserve"> </w:t>
      </w:r>
    </w:p>
    <w:p>
      <w:pPr>
        <w:pStyle w:val="Subsection"/>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pPr>
        <w:pStyle w:val="Footnotesection"/>
      </w:pPr>
      <w:r>
        <w:tab/>
        <w:t xml:space="preserve">[Section 136 amended by No. 105 of 1986 s. 21; No. 59 of 2004 s. 116.] </w:t>
      </w:r>
    </w:p>
    <w:p>
      <w:pPr>
        <w:pStyle w:val="Heading5"/>
        <w:rPr>
          <w:snapToGrid w:val="0"/>
        </w:rPr>
      </w:pPr>
      <w:bookmarkStart w:id="994" w:name="_Toc520088053"/>
      <w:bookmarkStart w:id="995" w:name="_Toc523620688"/>
      <w:bookmarkStart w:id="996" w:name="_Toc38853841"/>
      <w:bookmarkStart w:id="997" w:name="_Toc122328600"/>
      <w:r>
        <w:rPr>
          <w:rStyle w:val="CharSectno"/>
        </w:rPr>
        <w:t>137</w:t>
      </w:r>
      <w:r>
        <w:rPr>
          <w:snapToGrid w:val="0"/>
        </w:rPr>
        <w:t>.</w:t>
      </w:r>
      <w:r>
        <w:rPr>
          <w:snapToGrid w:val="0"/>
        </w:rPr>
        <w:tab/>
        <w:t>Records of evidence</w:t>
      </w:r>
      <w:bookmarkEnd w:id="994"/>
      <w:bookmarkEnd w:id="995"/>
      <w:bookmarkEnd w:id="996"/>
      <w:bookmarkEnd w:id="997"/>
      <w:r>
        <w:rPr>
          <w:snapToGrid w:val="0"/>
        </w:rPr>
        <w:t xml:space="preserve"> </w:t>
      </w:r>
    </w:p>
    <w:p>
      <w:pPr>
        <w:pStyle w:val="Subsection"/>
        <w:rPr>
          <w:snapToGrid w:val="0"/>
        </w:rPr>
      </w:pPr>
      <w:r>
        <w:rPr>
          <w:snapToGrid w:val="0"/>
        </w:rPr>
        <w:tab/>
        <w:t>(1)</w:t>
      </w:r>
      <w:r>
        <w:rPr>
          <w:snapToGrid w:val="0"/>
        </w:rPr>
        <w:tab/>
        <w:t>Where any party to any proceedings under this Act requests the warden so to do, the warden shall cause the evidence of all witnesses examined in the proceedings to be committed to writing as the evidence is taken.</w:t>
      </w:r>
    </w:p>
    <w:p>
      <w:pPr>
        <w:pStyle w:val="Subsection"/>
        <w:rPr>
          <w:snapToGrid w:val="0"/>
        </w:rPr>
      </w:pPr>
      <w:r>
        <w:rPr>
          <w:snapToGrid w:val="0"/>
        </w:rPr>
        <w:tab/>
        <w:t>(2)</w:t>
      </w:r>
      <w:r>
        <w:rPr>
          <w:snapToGrid w:val="0"/>
        </w:rPr>
        <w:tab/>
        <w:t>The evidence shall be read over to the witness at the conclusion of his examination, and the record of the evidence shall be signed by the warden and the witness.</w:t>
      </w:r>
    </w:p>
    <w:p>
      <w:pPr>
        <w:pStyle w:val="Subsection"/>
        <w:rPr>
          <w:snapToGrid w:val="0"/>
        </w:rPr>
      </w:pPr>
      <w:r>
        <w:rPr>
          <w:snapToGrid w:val="0"/>
        </w:rPr>
        <w:tab/>
        <w:t>(3)</w:t>
      </w:r>
      <w:r>
        <w:rPr>
          <w:snapToGrid w:val="0"/>
        </w:rPr>
        <w:tab/>
        <w:t>When a request is made under subsection (1) after the hearing of the proceedings has commenced, the request shall apply only to the evidence taken after the request has been made.</w:t>
      </w:r>
    </w:p>
    <w:p>
      <w:pPr>
        <w:pStyle w:val="Subsection"/>
        <w:rPr>
          <w:snapToGrid w:val="0"/>
        </w:rPr>
      </w:pPr>
      <w:r>
        <w:rPr>
          <w:snapToGrid w:val="0"/>
        </w:rPr>
        <w:tab/>
        <w:t>(4)</w:t>
      </w:r>
      <w:r>
        <w:rPr>
          <w:snapToGrid w:val="0"/>
        </w:rPr>
        <w:tab/>
        <w:t>Any party to any proceedings wherein the evidence of a witness has been recorded in accordance with this section, is entitled to obtain a copy thereof upon payment of the prescribed fee.</w:t>
      </w:r>
    </w:p>
    <w:p>
      <w:pPr>
        <w:pStyle w:val="Subsection"/>
        <w:rPr>
          <w:snapToGrid w:val="0"/>
        </w:rPr>
      </w:pPr>
      <w:r>
        <w:rPr>
          <w:snapToGrid w:val="0"/>
        </w:rPr>
        <w:tab/>
        <w:t>(5)</w:t>
      </w:r>
      <w:r>
        <w:rPr>
          <w:snapToGrid w:val="0"/>
        </w:rPr>
        <w:tab/>
        <w:t>Each order and decision of a warden’s court, and in any contested proceeding the reasons for the order made or decision given, shall be reduced to writing, and signed by the warden who made the order or gave the decision, and shall be recorded in a register kept for the purpose.</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 xml:space="preserve">[Section 137 amended by No. 100 of 1985 s. 101.] </w:t>
      </w:r>
    </w:p>
    <w:p>
      <w:pPr>
        <w:pStyle w:val="Heading5"/>
        <w:rPr>
          <w:snapToGrid w:val="0"/>
        </w:rPr>
      </w:pPr>
      <w:bookmarkStart w:id="998" w:name="_Toc520088054"/>
      <w:bookmarkStart w:id="999" w:name="_Toc523620689"/>
      <w:bookmarkStart w:id="1000" w:name="_Toc38853842"/>
      <w:bookmarkStart w:id="1001" w:name="_Toc122328601"/>
      <w:r>
        <w:rPr>
          <w:rStyle w:val="CharSectno"/>
        </w:rPr>
        <w:t>138</w:t>
      </w:r>
      <w:r>
        <w:rPr>
          <w:snapToGrid w:val="0"/>
        </w:rPr>
        <w:t>.</w:t>
      </w:r>
      <w:r>
        <w:rPr>
          <w:snapToGrid w:val="0"/>
        </w:rPr>
        <w:tab/>
        <w:t>Mode of trial</w:t>
      </w:r>
      <w:bookmarkEnd w:id="998"/>
      <w:bookmarkEnd w:id="999"/>
      <w:bookmarkEnd w:id="1000"/>
      <w:bookmarkEnd w:id="1001"/>
      <w:r>
        <w:rPr>
          <w:snapToGrid w:val="0"/>
        </w:rPr>
        <w:t xml:space="preserve"> </w:t>
      </w:r>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A warden may, of his own motion, at any time during the hearing of any proceedings in the warden’s court, call any expert witness to give evidence in relation to any technical matter arising in the course of those proceedings, but before doing so the warden shall give to each party to the proceedings reasonable notice of his intention so to do.</w:t>
      </w:r>
    </w:p>
    <w:p>
      <w:pPr>
        <w:pStyle w:val="Heading5"/>
        <w:rPr>
          <w:snapToGrid w:val="0"/>
        </w:rPr>
      </w:pPr>
      <w:bookmarkStart w:id="1002" w:name="_Toc520088055"/>
      <w:bookmarkStart w:id="1003" w:name="_Toc523620690"/>
      <w:bookmarkStart w:id="1004" w:name="_Toc38853843"/>
      <w:bookmarkStart w:id="1005" w:name="_Toc122328602"/>
      <w:r>
        <w:rPr>
          <w:rStyle w:val="CharSectno"/>
        </w:rPr>
        <w:t>139</w:t>
      </w:r>
      <w:r>
        <w:rPr>
          <w:snapToGrid w:val="0"/>
        </w:rPr>
        <w:t>.</w:t>
      </w:r>
      <w:r>
        <w:rPr>
          <w:snapToGrid w:val="0"/>
        </w:rPr>
        <w:tab/>
        <w:t>Contempt of court</w:t>
      </w:r>
      <w:bookmarkEnd w:id="1002"/>
      <w:bookmarkEnd w:id="1003"/>
      <w:bookmarkEnd w:id="1004"/>
      <w:bookmarkEnd w:id="1005"/>
      <w:r>
        <w:rPr>
          <w:snapToGrid w:val="0"/>
        </w:rPr>
        <w:t xml:space="preserve"> </w:t>
      </w:r>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 xml:space="preserve">[Section 139 amended by No. 22 of 1990 s. 38.] </w:t>
      </w:r>
    </w:p>
    <w:p>
      <w:pPr>
        <w:pStyle w:val="Heading5"/>
      </w:pPr>
      <w:bookmarkStart w:id="1006" w:name="_Toc122328603"/>
      <w:r>
        <w:rPr>
          <w:rStyle w:val="CharSectno"/>
        </w:rPr>
        <w:t>140</w:t>
      </w:r>
      <w:r>
        <w:t>.</w:t>
      </w:r>
      <w:r>
        <w:tab/>
        <w:t>Judgments, enforcement of</w:t>
      </w:r>
      <w:bookmarkEnd w:id="1006"/>
    </w:p>
    <w:p>
      <w:pPr>
        <w:pStyle w:val="Subsection"/>
      </w:pPr>
      <w:r>
        <w:tab/>
        <w:t>(1)</w:t>
      </w:r>
      <w:r>
        <w:tab/>
        <w:t xml:space="preserve">In this section — </w:t>
      </w:r>
    </w:p>
    <w:p>
      <w:pPr>
        <w:pStyle w:val="Defstart"/>
      </w:pPr>
      <w:r>
        <w:rPr>
          <w:b/>
        </w:rPr>
        <w:tab/>
        <w:t>“</w:t>
      </w:r>
      <w:r>
        <w:rPr>
          <w:rStyle w:val="CharDefText"/>
        </w:rPr>
        <w:t>judgment</w:t>
      </w:r>
      <w:r>
        <w:rPr>
          <w:b/>
        </w:rPr>
        <w: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 xml:space="preserve">[Section 140 inserted by No. 59 of 2004 s. 115.] </w:t>
      </w:r>
    </w:p>
    <w:p>
      <w:pPr>
        <w:pStyle w:val="Ednotesection"/>
      </w:pPr>
      <w:r>
        <w:t>[</w:t>
      </w:r>
      <w:r>
        <w:rPr>
          <w:b/>
        </w:rPr>
        <w:t>141.</w:t>
      </w:r>
      <w:r>
        <w:tab/>
      </w:r>
      <w:r>
        <w:tab/>
        <w:t>Repealed by No. 59 of 2004 s. 115.]</w:t>
      </w:r>
    </w:p>
    <w:p>
      <w:pPr>
        <w:pStyle w:val="Heading5"/>
        <w:rPr>
          <w:snapToGrid w:val="0"/>
        </w:rPr>
      </w:pPr>
      <w:bookmarkStart w:id="1007" w:name="_Toc520088058"/>
      <w:bookmarkStart w:id="1008" w:name="_Toc523620693"/>
      <w:bookmarkStart w:id="1009" w:name="_Toc38853846"/>
      <w:bookmarkStart w:id="1010" w:name="_Toc122328604"/>
      <w:r>
        <w:rPr>
          <w:rStyle w:val="CharSectno"/>
        </w:rPr>
        <w:t>142</w:t>
      </w:r>
      <w:r>
        <w:rPr>
          <w:snapToGrid w:val="0"/>
        </w:rPr>
        <w:t>.</w:t>
      </w:r>
      <w:r>
        <w:rPr>
          <w:snapToGrid w:val="0"/>
        </w:rPr>
        <w:tab/>
        <w:t>Informality and amendment</w:t>
      </w:r>
      <w:bookmarkEnd w:id="1007"/>
      <w:bookmarkEnd w:id="1008"/>
      <w:bookmarkEnd w:id="1009"/>
      <w:bookmarkEnd w:id="1010"/>
      <w:r>
        <w:rPr>
          <w:snapToGrid w:val="0"/>
        </w:rPr>
        <w:t xml:space="preserve"> </w:t>
      </w:r>
    </w:p>
    <w:p>
      <w:pPr>
        <w:pStyle w:val="Subsection"/>
        <w:rPr>
          <w:snapToGrid w:val="0"/>
        </w:rPr>
      </w:pPr>
      <w:r>
        <w:rPr>
          <w:snapToGrid w:val="0"/>
        </w:rPr>
        <w:tab/>
        <w:t>(1)</w:t>
      </w:r>
      <w:r>
        <w:rPr>
          <w:snapToGrid w:val="0"/>
        </w:rPr>
        <w:tab/>
        <w:t>No misnomer or inaccurate description of any person or place or any process or document in any proceedings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 under this Act shall be dismissed or vitiated by any informality, but a mining registrar and a warden respectively have power at any time to amend all defects and errors in any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spacing w:before="120"/>
        <w:rPr>
          <w:snapToGrid w:val="0"/>
        </w:rPr>
      </w:pPr>
      <w:r>
        <w:rPr>
          <w:snapToGrid w:val="0"/>
        </w:rPr>
        <w:tab/>
        <w:t>(5)</w:t>
      </w:r>
      <w:r>
        <w:rPr>
          <w:snapToGrid w:val="0"/>
        </w:rPr>
        <w:tab/>
        <w:t>Any amendments referred to in subsections (2) and (4) may be allowed upon such terms and conditions as to an adjournment of the proceedings or otherwise, as the mining registrar, or the warden, as the case may be, determines.</w:t>
      </w:r>
    </w:p>
    <w:p>
      <w:pPr>
        <w:pStyle w:val="Footnotesection"/>
      </w:pPr>
      <w:r>
        <w:tab/>
        <w:t xml:space="preserve">[Section 142 amended by No. 100 of 1985 s. 102.] </w:t>
      </w:r>
    </w:p>
    <w:p>
      <w:pPr>
        <w:pStyle w:val="Heading5"/>
        <w:spacing w:before="120"/>
        <w:rPr>
          <w:snapToGrid w:val="0"/>
        </w:rPr>
      </w:pPr>
      <w:bookmarkStart w:id="1011" w:name="_Toc520088059"/>
      <w:bookmarkStart w:id="1012" w:name="_Toc523620694"/>
      <w:bookmarkStart w:id="1013" w:name="_Toc38853847"/>
      <w:bookmarkStart w:id="1014" w:name="_Toc122328605"/>
      <w:r>
        <w:rPr>
          <w:rStyle w:val="CharSectno"/>
        </w:rPr>
        <w:t>143</w:t>
      </w:r>
      <w:r>
        <w:rPr>
          <w:snapToGrid w:val="0"/>
        </w:rPr>
        <w:t>.</w:t>
      </w:r>
      <w:r>
        <w:rPr>
          <w:snapToGrid w:val="0"/>
        </w:rPr>
        <w:tab/>
        <w:t>Notice of injunction affecting mining tenement to be notified</w:t>
      </w:r>
      <w:bookmarkEnd w:id="1011"/>
      <w:bookmarkEnd w:id="1012"/>
      <w:bookmarkEnd w:id="1013"/>
      <w:bookmarkEnd w:id="1014"/>
      <w:r>
        <w:rPr>
          <w:snapToGrid w:val="0"/>
        </w:rPr>
        <w:t xml:space="preserve"> </w:t>
      </w:r>
    </w:p>
    <w:p>
      <w:pPr>
        <w:pStyle w:val="Subsection"/>
        <w:spacing w:before="120"/>
        <w:rPr>
          <w:snapToGrid w:val="0"/>
        </w:rPr>
      </w:pPr>
      <w:r>
        <w:rPr>
          <w:snapToGrid w:val="0"/>
        </w:rPr>
        <w:tab/>
      </w:r>
      <w:r>
        <w:rPr>
          <w:snapToGrid w:val="0"/>
        </w:rPr>
        <w:tab/>
        <w:t>Where a warden grants any injunction with respect to any mining tenement, the warden shall notify forthwith the Director General of Mines of the fact that the injunction has been granted and of the particulars thereof, and on receipt of such notification an entry of the particulars shall be made in the register kept in accordance with the regulations against the mining tenement to which the injunction relates.</w:t>
      </w:r>
    </w:p>
    <w:p>
      <w:pPr>
        <w:pStyle w:val="Footnotesection"/>
      </w:pPr>
      <w:r>
        <w:tab/>
        <w:t xml:space="preserve">[Section 143 amended by No. 100 of 1985 s. 103; No. 105 of 1986 s. 22.] </w:t>
      </w:r>
    </w:p>
    <w:p>
      <w:pPr>
        <w:pStyle w:val="Heading5"/>
        <w:rPr>
          <w:snapToGrid w:val="0"/>
        </w:rPr>
      </w:pPr>
      <w:bookmarkStart w:id="1015" w:name="_Toc520088060"/>
      <w:bookmarkStart w:id="1016" w:name="_Toc523620695"/>
      <w:bookmarkStart w:id="1017" w:name="_Toc38853848"/>
      <w:bookmarkStart w:id="1018" w:name="_Toc122328606"/>
      <w:r>
        <w:rPr>
          <w:rStyle w:val="CharSectno"/>
        </w:rPr>
        <w:t>144</w:t>
      </w:r>
      <w:r>
        <w:rPr>
          <w:snapToGrid w:val="0"/>
        </w:rPr>
        <w:t>.</w:t>
      </w:r>
      <w:r>
        <w:rPr>
          <w:snapToGrid w:val="0"/>
        </w:rPr>
        <w:tab/>
        <w:t>Persons before whom affidavits may be sworn</w:t>
      </w:r>
      <w:bookmarkEnd w:id="1015"/>
      <w:bookmarkEnd w:id="1016"/>
      <w:bookmarkEnd w:id="1017"/>
      <w:bookmarkEnd w:id="1018"/>
      <w:r>
        <w:rPr>
          <w:snapToGrid w:val="0"/>
        </w:rPr>
        <w:t xml:space="preserve"> </w:t>
      </w:r>
    </w:p>
    <w:p>
      <w:pPr>
        <w:pStyle w:val="Subsection"/>
        <w:rPr>
          <w:snapToGrid w:val="0"/>
        </w:rPr>
      </w:pPr>
      <w:r>
        <w:rPr>
          <w:snapToGrid w:val="0"/>
        </w:rPr>
        <w:tab/>
      </w:r>
      <w:r>
        <w:rPr>
          <w:snapToGrid w:val="0"/>
        </w:rPr>
        <w:tab/>
        <w:t>An affidavit to be used in a warden’s court or before a warden or a mining registrar may be sworn before — </w:t>
      </w:r>
    </w:p>
    <w:p>
      <w:pPr>
        <w:pStyle w:val="Indenta"/>
        <w:rPr>
          <w:snapToGrid w:val="0"/>
        </w:rPr>
      </w:pPr>
      <w:r>
        <w:rPr>
          <w:snapToGrid w:val="0"/>
        </w:rPr>
        <w:tab/>
        <w:t>(a)</w:t>
      </w:r>
      <w:r>
        <w:rPr>
          <w:snapToGrid w:val="0"/>
        </w:rPr>
        <w:tab/>
        <w:t>a commissioner for taking affidavits in the Supreme Court;</w:t>
      </w:r>
    </w:p>
    <w:p>
      <w:pPr>
        <w:pStyle w:val="Indenta"/>
        <w:rPr>
          <w:snapToGrid w:val="0"/>
        </w:rPr>
      </w:pPr>
      <w:r>
        <w:rPr>
          <w:snapToGrid w:val="0"/>
        </w:rPr>
        <w:tab/>
        <w:t>(b)</w:t>
      </w:r>
      <w:r>
        <w:rPr>
          <w:snapToGrid w:val="0"/>
        </w:rPr>
        <w:tab/>
        <w:t>a warden;</w:t>
      </w:r>
    </w:p>
    <w:p>
      <w:pPr>
        <w:pStyle w:val="Indenta"/>
        <w:rPr>
          <w:snapToGrid w:val="0"/>
        </w:rPr>
      </w:pPr>
      <w:r>
        <w:rPr>
          <w:snapToGrid w:val="0"/>
        </w:rPr>
        <w:tab/>
        <w:t>(c)</w:t>
      </w:r>
      <w:r>
        <w:rPr>
          <w:snapToGrid w:val="0"/>
        </w:rPr>
        <w:tab/>
        <w:t>a mining registrar;</w:t>
      </w:r>
    </w:p>
    <w:p>
      <w:pPr>
        <w:pStyle w:val="Indenta"/>
        <w:rPr>
          <w:snapToGrid w:val="0"/>
        </w:rPr>
      </w:pPr>
      <w:r>
        <w:rPr>
          <w:snapToGrid w:val="0"/>
        </w:rPr>
        <w:tab/>
        <w:t>(d)</w:t>
      </w:r>
      <w:r>
        <w:rPr>
          <w:snapToGrid w:val="0"/>
        </w:rPr>
        <w:tab/>
        <w:t>a Justice of the Peace; or</w:t>
      </w:r>
    </w:p>
    <w:p>
      <w:pPr>
        <w:pStyle w:val="Indenta"/>
        <w:rPr>
          <w:snapToGrid w:val="0"/>
        </w:rPr>
      </w:pPr>
      <w:r>
        <w:rPr>
          <w:snapToGrid w:val="0"/>
        </w:rPr>
        <w:tab/>
        <w:t>(e)</w:t>
      </w:r>
      <w:r>
        <w:rPr>
          <w:snapToGrid w:val="0"/>
        </w:rPr>
        <w:tab/>
        <w:t>the holder or holders for the time being of a prescribed office or class of office in the Department.</w:t>
      </w:r>
    </w:p>
    <w:p>
      <w:pPr>
        <w:pStyle w:val="Footnotesection"/>
        <w:keepLines w:val="0"/>
      </w:pPr>
      <w:r>
        <w:tab/>
        <w:t xml:space="preserve">[Section 144 inserted by No. 37 of 1993 s. 22; amended by No. 58 of 1994 s. 48.] </w:t>
      </w:r>
    </w:p>
    <w:p>
      <w:pPr>
        <w:pStyle w:val="Heading5"/>
        <w:rPr>
          <w:snapToGrid w:val="0"/>
        </w:rPr>
      </w:pPr>
      <w:bookmarkStart w:id="1019" w:name="_Toc520088061"/>
      <w:bookmarkStart w:id="1020" w:name="_Toc523620696"/>
      <w:bookmarkStart w:id="1021" w:name="_Toc38853849"/>
      <w:bookmarkStart w:id="1022" w:name="_Toc122328607"/>
      <w:r>
        <w:rPr>
          <w:rStyle w:val="CharSectno"/>
        </w:rPr>
        <w:t>145</w:t>
      </w:r>
      <w:r>
        <w:rPr>
          <w:snapToGrid w:val="0"/>
        </w:rPr>
        <w:t>.</w:t>
      </w:r>
      <w:r>
        <w:rPr>
          <w:snapToGrid w:val="0"/>
        </w:rPr>
        <w:tab/>
        <w:t>Proof of judgment, order or decision of warden</w:t>
      </w:r>
      <w:bookmarkEnd w:id="1019"/>
      <w:bookmarkEnd w:id="1020"/>
      <w:bookmarkEnd w:id="1021"/>
      <w:bookmarkEnd w:id="1022"/>
      <w:r>
        <w:rPr>
          <w:snapToGrid w:val="0"/>
        </w:rPr>
        <w:t xml:space="preserve"> </w:t>
      </w:r>
    </w:p>
    <w:p>
      <w:pPr>
        <w:pStyle w:val="Subsection"/>
        <w:rPr>
          <w:snapToGrid w:val="0"/>
        </w:rPr>
      </w:pPr>
      <w:r>
        <w:rPr>
          <w:snapToGrid w:val="0"/>
        </w:rPr>
        <w:tab/>
      </w:r>
      <w:r>
        <w:rPr>
          <w:snapToGrid w:val="0"/>
        </w:rPr>
        <w:tab/>
        <w:t>A document purporting to be a copy of a judgment, order or decision of a warden, or any document filed by, or any entry in a register kept in accordance with the regulations and certified by the Minister, the warden or the mining registrar, as the case requires, as a true copy thereof shall be admitted in all courts as evidence of the judgment, order, decision, document or entry and the signature of the Minister, warden and every mining registrar shall be judicially noticed.</w:t>
      </w:r>
    </w:p>
    <w:p>
      <w:pPr>
        <w:pStyle w:val="Heading5"/>
        <w:rPr>
          <w:snapToGrid w:val="0"/>
        </w:rPr>
      </w:pPr>
      <w:bookmarkStart w:id="1023" w:name="_Toc520088062"/>
      <w:bookmarkStart w:id="1024" w:name="_Toc523620697"/>
      <w:bookmarkStart w:id="1025" w:name="_Toc38853850"/>
      <w:bookmarkStart w:id="1026" w:name="_Toc122328608"/>
      <w:r>
        <w:rPr>
          <w:rStyle w:val="CharSectno"/>
        </w:rPr>
        <w:t>146</w:t>
      </w:r>
      <w:r>
        <w:rPr>
          <w:snapToGrid w:val="0"/>
        </w:rPr>
        <w:t>.</w:t>
      </w:r>
      <w:r>
        <w:rPr>
          <w:snapToGrid w:val="0"/>
        </w:rPr>
        <w:tab/>
        <w:t>Reservation of questions of law: hearing and determination thereof</w:t>
      </w:r>
      <w:bookmarkEnd w:id="1023"/>
      <w:bookmarkEnd w:id="1024"/>
      <w:bookmarkEnd w:id="1025"/>
      <w:bookmarkEnd w:id="1026"/>
      <w:r>
        <w:rPr>
          <w:snapToGrid w:val="0"/>
        </w:rPr>
        <w:t xml:space="preserve"> </w:t>
      </w:r>
    </w:p>
    <w:p>
      <w:pPr>
        <w:pStyle w:val="Subsection"/>
        <w:rPr>
          <w:snapToGrid w:val="0"/>
        </w:rPr>
      </w:pPr>
      <w:r>
        <w:rPr>
          <w:snapToGrid w:val="0"/>
        </w:rPr>
        <w:tab/>
        <w:t>(1)</w:t>
      </w:r>
      <w:r>
        <w:rPr>
          <w:snapToGrid w:val="0"/>
        </w:rPr>
        <w:tab/>
        <w:t>The warden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The question of law shall be submitted to the Supreme Court in the form of a special case stated by the warden and transmitted by him to the Principal Registrar of the Supreme Court.</w:t>
      </w:r>
    </w:p>
    <w:p>
      <w:pPr>
        <w:pStyle w:val="Subsection"/>
        <w:rPr>
          <w:snapToGrid w:val="0"/>
        </w:rPr>
      </w:pPr>
      <w:r>
        <w:rPr>
          <w:snapToGrid w:val="0"/>
        </w:rPr>
        <w:tab/>
        <w:t>(3)</w:t>
      </w:r>
      <w:r>
        <w:rPr>
          <w:snapToGrid w:val="0"/>
        </w:rPr>
        <w:tab/>
        <w:t>The Principal Registrar of the Supreme Court shall set down the case for consideration by a Judge, and shall forthwith notify the warden of the time and place appointed therefor.</w:t>
      </w:r>
    </w:p>
    <w:p>
      <w:pPr>
        <w:pStyle w:val="Subsection"/>
        <w:rPr>
          <w:snapToGrid w:val="0"/>
        </w:rPr>
      </w:pPr>
      <w:r>
        <w:rPr>
          <w:snapToGrid w:val="0"/>
        </w:rPr>
        <w:tab/>
        <w:t>(4)</w:t>
      </w:r>
      <w:r>
        <w:rPr>
          <w:snapToGrid w:val="0"/>
        </w:rPr>
        <w:tab/>
        <w:t>The warden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 </w:t>
      </w:r>
    </w:p>
    <w:p>
      <w:pPr>
        <w:pStyle w:val="Indenta"/>
        <w:rPr>
          <w:snapToGrid w:val="0"/>
        </w:rPr>
      </w:pPr>
      <w:r>
        <w:rPr>
          <w:snapToGrid w:val="0"/>
        </w:rPr>
        <w:tab/>
        <w:t>(a)</w:t>
      </w:r>
      <w:r>
        <w:rPr>
          <w:snapToGrid w:val="0"/>
        </w:rPr>
        <w:tab/>
        <w:t>remit the case to the warden for amendment;</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Every such direction or opinion of the Court of Appeal or the Judge, shall be transmitted by the Principal Registrar of the Supreme Court to the warden who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 warden, on the application of any party to the proceedings in relation to which the question of law is to be or was so submitted, may make such order for — </w:t>
      </w:r>
    </w:p>
    <w:p>
      <w:pPr>
        <w:pStyle w:val="Indenta"/>
        <w:rPr>
          <w:snapToGrid w:val="0"/>
        </w:rPr>
      </w:pPr>
      <w:r>
        <w:rPr>
          <w:snapToGrid w:val="0"/>
        </w:rPr>
        <w:tab/>
        <w:t>(a)</w:t>
      </w:r>
      <w:r>
        <w:rPr>
          <w:snapToGrid w:val="0"/>
        </w:rPr>
        <w:tab/>
        <w:t>an injunction;</w:t>
      </w:r>
    </w:p>
    <w:p>
      <w:pPr>
        <w:pStyle w:val="Indenta"/>
        <w:rPr>
          <w:snapToGrid w:val="0"/>
        </w:rPr>
      </w:pPr>
      <w:r>
        <w:rPr>
          <w:snapToGrid w:val="0"/>
        </w:rPr>
        <w:tab/>
        <w:t>(b)</w:t>
      </w:r>
      <w:r>
        <w:rPr>
          <w:snapToGrid w:val="0"/>
        </w:rPr>
        <w:tab/>
        <w:t>the appointment of a receiver;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he thinks fit and on such terms or conditions as he thinks fit.</w:t>
      </w:r>
    </w:p>
    <w:p>
      <w:pPr>
        <w:pStyle w:val="Footnotesection"/>
      </w:pPr>
      <w:r>
        <w:tab/>
        <w:t xml:space="preserve">[Section 146 amended by No. 100 of 1985 s. 104; No. 45 of 2004 s. 37.] </w:t>
      </w:r>
    </w:p>
    <w:p>
      <w:pPr>
        <w:pStyle w:val="Heading5"/>
        <w:rPr>
          <w:snapToGrid w:val="0"/>
        </w:rPr>
      </w:pPr>
      <w:bookmarkStart w:id="1027" w:name="_Toc520088063"/>
      <w:bookmarkStart w:id="1028" w:name="_Toc523620698"/>
      <w:bookmarkStart w:id="1029" w:name="_Toc38853851"/>
      <w:bookmarkStart w:id="1030" w:name="_Toc122328609"/>
      <w:r>
        <w:rPr>
          <w:rStyle w:val="CharSectno"/>
        </w:rPr>
        <w:t>147</w:t>
      </w:r>
      <w:r>
        <w:rPr>
          <w:snapToGrid w:val="0"/>
        </w:rPr>
        <w:t>.</w:t>
      </w:r>
      <w:r>
        <w:rPr>
          <w:snapToGrid w:val="0"/>
        </w:rPr>
        <w:tab/>
        <w:t>Appeal to the Supreme Court</w:t>
      </w:r>
      <w:bookmarkEnd w:id="1027"/>
      <w:bookmarkEnd w:id="1028"/>
      <w:bookmarkEnd w:id="1029"/>
      <w:bookmarkEnd w:id="1030"/>
      <w:r>
        <w:rPr>
          <w:snapToGrid w:val="0"/>
        </w:rPr>
        <w:t xml:space="preserve"> </w:t>
      </w:r>
    </w:p>
    <w:p>
      <w:pPr>
        <w:pStyle w:val="Subsection"/>
        <w:rPr>
          <w:snapToGrid w:val="0"/>
        </w:rPr>
      </w:pPr>
      <w:r>
        <w:rPr>
          <w:snapToGrid w:val="0"/>
        </w:rPr>
        <w:tab/>
        <w:t>(1)</w:t>
      </w:r>
      <w:r>
        <w:rPr>
          <w:snapToGrid w:val="0"/>
        </w:rPr>
        <w:tab/>
        <w:t>Except as provided in section 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warden and upon the respondent or his solicitor and shall set forth the grounds upon which the appeal is made.</w:t>
      </w:r>
    </w:p>
    <w:p>
      <w:pPr>
        <w:pStyle w:val="Subsection"/>
        <w:rPr>
          <w:snapToGrid w:val="0"/>
        </w:rPr>
      </w:pPr>
      <w:r>
        <w:rPr>
          <w:snapToGrid w:val="0"/>
        </w:rPr>
        <w:tab/>
        <w:t>(4)</w:t>
      </w:r>
      <w:r>
        <w:rPr>
          <w:snapToGrid w:val="0"/>
        </w:rPr>
        <w:tab/>
        <w:t>The appellant shall when filing the notice of appeal, lodge with the warden a sum of $150 as security for or towards the costs of the appeal.</w:t>
      </w:r>
    </w:p>
    <w:p>
      <w:pPr>
        <w:pStyle w:val="Subsection"/>
        <w:rPr>
          <w:snapToGrid w:val="0"/>
        </w:rPr>
      </w:pPr>
      <w:r>
        <w:rPr>
          <w:snapToGrid w:val="0"/>
        </w:rPr>
        <w:tab/>
        <w:t>(5)</w:t>
      </w:r>
      <w:r>
        <w:rPr>
          <w:snapToGrid w:val="0"/>
        </w:rPr>
        <w:tab/>
        <w:t>The sum lodged pursuant to subsection (4) — </w:t>
      </w:r>
    </w:p>
    <w:p>
      <w:pPr>
        <w:pStyle w:val="Indenta"/>
        <w:rPr>
          <w:snapToGrid w:val="0"/>
        </w:rPr>
      </w:pPr>
      <w:r>
        <w:rPr>
          <w:snapToGrid w:val="0"/>
        </w:rPr>
        <w:tab/>
        <w:t>(a)</w:t>
      </w:r>
      <w:r>
        <w:rPr>
          <w:snapToGrid w:val="0"/>
        </w:rPr>
        <w:tab/>
        <w:t>shall be held by the warden until the appeal is determined, withdrawn or abandoned; and</w:t>
      </w:r>
    </w:p>
    <w:p>
      <w:pPr>
        <w:pStyle w:val="Indenta"/>
        <w:rPr>
          <w:snapToGrid w:val="0"/>
        </w:rPr>
      </w:pPr>
      <w:r>
        <w:rPr>
          <w:snapToGrid w:val="0"/>
        </w:rPr>
        <w:tab/>
        <w:t>(b)</w:t>
      </w:r>
      <w:r>
        <w:rPr>
          <w:snapToGrid w:val="0"/>
        </w:rPr>
        <w:tab/>
        <w:t>shall be applied by the warden in or towards payment of any costs to which the respondent may be entitled,</w:t>
      </w:r>
    </w:p>
    <w:p>
      <w:pPr>
        <w:pStyle w:val="Subsection"/>
        <w:rPr>
          <w:snapToGrid w:val="0"/>
        </w:rPr>
      </w:pPr>
      <w:r>
        <w:rPr>
          <w:snapToGrid w:val="0"/>
        </w:rPr>
        <w:tab/>
      </w:r>
      <w:r>
        <w:rPr>
          <w:snapToGrid w:val="0"/>
        </w:rPr>
        <w:tab/>
        <w:t>and if any balance of the sum remains in his hands it shall be refunded to the appellant.</w:t>
      </w:r>
    </w:p>
    <w:p>
      <w:pPr>
        <w:pStyle w:val="Subsection"/>
        <w:rPr>
          <w:snapToGrid w:val="0"/>
        </w:rPr>
      </w:pPr>
      <w:r>
        <w:rPr>
          <w:snapToGrid w:val="0"/>
        </w:rPr>
        <w:tab/>
        <w:t>(6)</w:t>
      </w:r>
      <w:r>
        <w:rPr>
          <w:snapToGrid w:val="0"/>
        </w:rPr>
        <w:tab/>
        <w:t>A notice of appeal filed under this section does not operate as a stay of proceedings, but the warden, on the application of any party to the proceedings, may make such order for the stay of proceedings, for an injunction or for the appointment of a receiver, and for the giving of security as he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Heading5"/>
        <w:rPr>
          <w:snapToGrid w:val="0"/>
        </w:rPr>
      </w:pPr>
      <w:bookmarkStart w:id="1031" w:name="_Toc520088064"/>
      <w:bookmarkStart w:id="1032" w:name="_Toc523620699"/>
      <w:bookmarkStart w:id="1033" w:name="_Toc38853852"/>
      <w:bookmarkStart w:id="1034" w:name="_Toc122328610"/>
      <w:r>
        <w:rPr>
          <w:rStyle w:val="CharSectno"/>
        </w:rPr>
        <w:t>148</w:t>
      </w:r>
      <w:r>
        <w:rPr>
          <w:snapToGrid w:val="0"/>
        </w:rPr>
        <w:t>.</w:t>
      </w:r>
      <w:r>
        <w:rPr>
          <w:snapToGrid w:val="0"/>
        </w:rPr>
        <w:tab/>
        <w:t>Procedure on appeal</w:t>
      </w:r>
      <w:bookmarkEnd w:id="1031"/>
      <w:bookmarkEnd w:id="1032"/>
      <w:bookmarkEnd w:id="1033"/>
      <w:bookmarkEnd w:id="1034"/>
      <w:r>
        <w:rPr>
          <w:snapToGrid w:val="0"/>
        </w:rPr>
        <w:t xml:space="preserve"> </w:t>
      </w:r>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Upon notice in the prescribed form being filed in the warden’s court pursuant to section 147(2) and served upon the warden, the warden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The Principal Registrar of the Supreme Court shall notify forthwith the result of each appeal to the warden and the warden —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 xml:space="preserve">[Section 148 amended by No. 100 of 1985 s. 105.] </w:t>
      </w:r>
    </w:p>
    <w:p>
      <w:pPr>
        <w:pStyle w:val="Heading5"/>
        <w:rPr>
          <w:snapToGrid w:val="0"/>
        </w:rPr>
      </w:pPr>
      <w:bookmarkStart w:id="1035" w:name="_Toc520088065"/>
      <w:bookmarkStart w:id="1036" w:name="_Toc523620700"/>
      <w:bookmarkStart w:id="1037" w:name="_Toc38853853"/>
      <w:bookmarkStart w:id="1038" w:name="_Toc122328611"/>
      <w:r>
        <w:rPr>
          <w:rStyle w:val="CharSectno"/>
        </w:rPr>
        <w:t>149</w:t>
      </w:r>
      <w:r>
        <w:rPr>
          <w:snapToGrid w:val="0"/>
        </w:rPr>
        <w:t>.</w:t>
      </w:r>
      <w:r>
        <w:rPr>
          <w:snapToGrid w:val="0"/>
        </w:rPr>
        <w:tab/>
        <w:t>Power of Supreme Court on appeal</w:t>
      </w:r>
      <w:bookmarkEnd w:id="1035"/>
      <w:bookmarkEnd w:id="1036"/>
      <w:bookmarkEnd w:id="1037"/>
      <w:bookmarkEnd w:id="1038"/>
      <w:r>
        <w:rPr>
          <w:snapToGrid w:val="0"/>
        </w:rPr>
        <w:t xml:space="preserve"> </w:t>
      </w:r>
    </w:p>
    <w:p>
      <w:pPr>
        <w:pStyle w:val="Subsection"/>
        <w:rPr>
          <w:snapToGrid w:val="0"/>
        </w:rPr>
      </w:pPr>
      <w:r>
        <w:rPr>
          <w:snapToGrid w:val="0"/>
        </w:rPr>
        <w:tab/>
      </w:r>
      <w:r>
        <w:rPr>
          <w:snapToGrid w:val="0"/>
        </w:rPr>
        <w:tab/>
        <w:t>Upon the hearing of any appeal under this Act the Supreme Court — </w:t>
      </w:r>
    </w:p>
    <w:p>
      <w:pPr>
        <w:pStyle w:val="Indenta"/>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w:t>
      </w:r>
    </w:p>
    <w:p>
      <w:pPr>
        <w:pStyle w:val="Indenta"/>
        <w:rPr>
          <w:snapToGrid w:val="0"/>
        </w:rPr>
      </w:pPr>
      <w:r>
        <w:rPr>
          <w:snapToGrid w:val="0"/>
        </w:rPr>
        <w:tab/>
        <w:t>(b)</w:t>
      </w:r>
      <w:r>
        <w:rPr>
          <w:snapToGrid w:val="0"/>
        </w:rPr>
        <w:tab/>
        <w:t>may confirm the order, determination or decision in respect of which the appeal is made and may dismiss the appeal;</w:t>
      </w:r>
    </w:p>
    <w:p>
      <w:pPr>
        <w:pStyle w:val="Indenta"/>
        <w:rPr>
          <w:snapToGrid w:val="0"/>
        </w:rPr>
      </w:pPr>
      <w:r>
        <w:rPr>
          <w:snapToGrid w:val="0"/>
        </w:rPr>
        <w:tab/>
        <w:t>(c)</w:t>
      </w:r>
      <w:r>
        <w:rPr>
          <w:snapToGrid w:val="0"/>
        </w:rPr>
        <w:tab/>
        <w:t>may reverse, modify or vary such order, determination, or decision and may make such order in lieu thereof as it may think just;</w:t>
      </w:r>
    </w:p>
    <w:p>
      <w:pPr>
        <w:pStyle w:val="Indenta"/>
        <w:rPr>
          <w:snapToGrid w:val="0"/>
        </w:rPr>
      </w:pPr>
      <w:r>
        <w:rPr>
          <w:snapToGrid w:val="0"/>
        </w:rPr>
        <w:tab/>
        <w:t>(d)</w:t>
      </w:r>
      <w:r>
        <w:rPr>
          <w:snapToGrid w:val="0"/>
        </w:rPr>
        <w:tab/>
        <w:t>may direct any issue to be tried in such manner, and at such time and place as it may think fit;</w:t>
      </w:r>
    </w:p>
    <w:p>
      <w:pPr>
        <w:pStyle w:val="Indenta"/>
        <w:rPr>
          <w:snapToGrid w:val="0"/>
        </w:rPr>
      </w:pPr>
      <w:r>
        <w:rPr>
          <w:snapToGrid w:val="0"/>
        </w:rPr>
        <w:tab/>
        <w:t>(e)</w:t>
      </w:r>
      <w:r>
        <w:rPr>
          <w:snapToGrid w:val="0"/>
        </w:rPr>
        <w:tab/>
        <w:t>may remit any case to the warden’s court to be reheard;</w:t>
      </w:r>
    </w:p>
    <w:p>
      <w:pPr>
        <w:pStyle w:val="Indenta"/>
        <w:rPr>
          <w:snapToGrid w:val="0"/>
        </w:rPr>
      </w:pPr>
      <w:r>
        <w:rPr>
          <w:snapToGrid w:val="0"/>
        </w:rPr>
        <w:tab/>
        <w:t>(f)</w:t>
      </w:r>
      <w:r>
        <w:rPr>
          <w:snapToGrid w:val="0"/>
        </w:rPr>
        <w:tab/>
        <w:t>may make any order or give any direction consequential upon or necessitated by the order that it may think necessary; and</w:t>
      </w:r>
    </w:p>
    <w:p>
      <w:pPr>
        <w:pStyle w:val="Indenta"/>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1039" w:name="_Toc520088066"/>
      <w:bookmarkStart w:id="1040" w:name="_Toc523620701"/>
      <w:bookmarkStart w:id="1041" w:name="_Toc38853854"/>
      <w:bookmarkStart w:id="1042" w:name="_Toc122328612"/>
      <w:r>
        <w:rPr>
          <w:rStyle w:val="CharSectno"/>
        </w:rPr>
        <w:t>150</w:t>
      </w:r>
      <w:r>
        <w:rPr>
          <w:snapToGrid w:val="0"/>
        </w:rPr>
        <w:t>.</w:t>
      </w:r>
      <w:r>
        <w:rPr>
          <w:snapToGrid w:val="0"/>
        </w:rPr>
        <w:tab/>
        <w:t>Withdrawal or failure to prosecute appeal</w:t>
      </w:r>
      <w:bookmarkEnd w:id="1039"/>
      <w:bookmarkEnd w:id="1040"/>
      <w:bookmarkEnd w:id="1041"/>
      <w:bookmarkEnd w:id="1042"/>
      <w:r>
        <w:rPr>
          <w:snapToGrid w:val="0"/>
        </w:rPr>
        <w:t xml:space="preserve"> </w:t>
      </w:r>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1043" w:name="_Toc520088067"/>
      <w:bookmarkStart w:id="1044" w:name="_Toc523620702"/>
      <w:bookmarkStart w:id="1045" w:name="_Toc38853855"/>
      <w:bookmarkStart w:id="1046" w:name="_Toc122328613"/>
      <w:r>
        <w:rPr>
          <w:rStyle w:val="CharSectno"/>
        </w:rPr>
        <w:t>151</w:t>
      </w:r>
      <w:r>
        <w:rPr>
          <w:snapToGrid w:val="0"/>
        </w:rPr>
        <w:t>.</w:t>
      </w:r>
      <w:r>
        <w:rPr>
          <w:snapToGrid w:val="0"/>
        </w:rPr>
        <w:tab/>
        <w:t>Limitation of right of appeal</w:t>
      </w:r>
      <w:bookmarkEnd w:id="1043"/>
      <w:bookmarkEnd w:id="1044"/>
      <w:bookmarkEnd w:id="1045"/>
      <w:bookmarkEnd w:id="1046"/>
      <w:r>
        <w:rPr>
          <w:snapToGrid w:val="0"/>
        </w:rPr>
        <w:t xml:space="preserve"> </w:t>
      </w:r>
    </w:p>
    <w:p>
      <w:pPr>
        <w:pStyle w:val="Subsection"/>
        <w:rPr>
          <w:snapToGrid w:val="0"/>
        </w:rPr>
      </w:pPr>
      <w:r>
        <w:rPr>
          <w:snapToGrid w:val="0"/>
        </w:rPr>
        <w:tab/>
      </w:r>
      <w:r>
        <w:rPr>
          <w:snapToGrid w:val="0"/>
        </w:rPr>
        <w:tab/>
        <w:t>There shall be no right of appeal under this Part — </w:t>
      </w:r>
    </w:p>
    <w:p>
      <w:pPr>
        <w:pStyle w:val="Indenta"/>
        <w:rPr>
          <w:snapToGrid w:val="0"/>
        </w:rPr>
      </w:pPr>
      <w:r>
        <w:rPr>
          <w:snapToGrid w:val="0"/>
        </w:rPr>
        <w:tab/>
        <w:t>(a)</w:t>
      </w:r>
      <w:r>
        <w:rPr>
          <w:snapToGrid w:val="0"/>
        </w:rPr>
        <w:tab/>
        <w:t>where at or before the hearing of any proceedings in the warden’s court the parties thereto have agreed by a memorandum in writing lodged in the warden’s office, that the decision of the warden’s court therein shall be final;</w:t>
      </w:r>
    </w:p>
    <w:p>
      <w:pPr>
        <w:pStyle w:val="Indenta"/>
        <w:rPr>
          <w:snapToGrid w:val="0"/>
        </w:rPr>
      </w:pPr>
      <w:r>
        <w:rPr>
          <w:snapToGrid w:val="0"/>
        </w:rPr>
        <w:tab/>
        <w:t>(b)</w:t>
      </w:r>
      <w:r>
        <w:rPr>
          <w:snapToGrid w:val="0"/>
        </w:rPr>
        <w:tab/>
        <w:t>in respect of any decision, order or recommendation of the warden, the mining registrar or the Minister upon any application for a mining tenement, the forfeiture thereof, or exemption from expenditure or other conditions;</w:t>
      </w:r>
    </w:p>
    <w:p>
      <w:pPr>
        <w:pStyle w:val="Indenta"/>
        <w:rPr>
          <w:snapToGrid w:val="0"/>
        </w:rPr>
      </w:pPr>
      <w:r>
        <w:rPr>
          <w:snapToGrid w:val="0"/>
        </w:rPr>
        <w:tab/>
        <w:t>(c)</w:t>
      </w:r>
      <w:r>
        <w:rPr>
          <w:snapToGrid w:val="0"/>
        </w:rPr>
        <w:tab/>
        <w:t>in respect of any matter in which it is provided by this Act that the determination of a warden or mining registrar is final and conclusive and not subject to appeal.</w:t>
      </w:r>
    </w:p>
    <w:p>
      <w:pPr>
        <w:pStyle w:val="Footnotesection"/>
      </w:pPr>
      <w:r>
        <w:tab/>
        <w:t xml:space="preserve">[Section 151 amended by No. 58 of 1994 s. 49.] </w:t>
      </w:r>
    </w:p>
    <w:p>
      <w:pPr>
        <w:pStyle w:val="Heading2"/>
      </w:pPr>
      <w:bookmarkStart w:id="1047" w:name="_Toc87427743"/>
      <w:bookmarkStart w:id="1048" w:name="_Toc87851318"/>
      <w:bookmarkStart w:id="1049" w:name="_Toc88295541"/>
      <w:bookmarkStart w:id="1050" w:name="_Toc89519200"/>
      <w:bookmarkStart w:id="1051" w:name="_Toc90869325"/>
      <w:bookmarkStart w:id="1052" w:name="_Toc91408097"/>
      <w:bookmarkStart w:id="1053" w:name="_Toc92863841"/>
      <w:bookmarkStart w:id="1054" w:name="_Toc95015209"/>
      <w:bookmarkStart w:id="1055" w:name="_Toc95106916"/>
      <w:bookmarkStart w:id="1056" w:name="_Toc97018716"/>
      <w:bookmarkStart w:id="1057" w:name="_Toc101693671"/>
      <w:bookmarkStart w:id="1058" w:name="_Toc103130538"/>
      <w:bookmarkStart w:id="1059" w:name="_Toc104711188"/>
      <w:bookmarkStart w:id="1060" w:name="_Toc121560173"/>
      <w:bookmarkStart w:id="1061" w:name="_Toc122328614"/>
      <w:r>
        <w:rPr>
          <w:rStyle w:val="CharPartNo"/>
        </w:rPr>
        <w:t>Part IX</w:t>
      </w:r>
      <w:r>
        <w:rPr>
          <w:rStyle w:val="CharDivNo"/>
        </w:rPr>
        <w:t> </w:t>
      </w:r>
      <w:r>
        <w:t>—</w:t>
      </w:r>
      <w:r>
        <w:rPr>
          <w:rStyle w:val="CharDivText"/>
        </w:rPr>
        <w:t> </w:t>
      </w:r>
      <w:r>
        <w:rPr>
          <w:rStyle w:val="CharPartText"/>
        </w:rPr>
        <w:t>Miscellaneous and regulations</w:t>
      </w:r>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r>
        <w:rPr>
          <w:rStyle w:val="CharPartText"/>
        </w:rPr>
        <w:t xml:space="preserve"> </w:t>
      </w:r>
    </w:p>
    <w:p>
      <w:pPr>
        <w:pStyle w:val="Heading5"/>
        <w:rPr>
          <w:snapToGrid w:val="0"/>
        </w:rPr>
      </w:pPr>
      <w:bookmarkStart w:id="1062" w:name="_Toc520088068"/>
      <w:bookmarkStart w:id="1063" w:name="_Toc523620703"/>
      <w:bookmarkStart w:id="1064" w:name="_Toc38853856"/>
      <w:bookmarkStart w:id="1065" w:name="_Toc122328615"/>
      <w:r>
        <w:rPr>
          <w:rStyle w:val="CharSectno"/>
        </w:rPr>
        <w:t>152</w:t>
      </w:r>
      <w:r>
        <w:rPr>
          <w:snapToGrid w:val="0"/>
        </w:rPr>
        <w:t>.</w:t>
      </w:r>
      <w:r>
        <w:rPr>
          <w:snapToGrid w:val="0"/>
        </w:rPr>
        <w:tab/>
        <w:t>Police to assist warden</w:t>
      </w:r>
      <w:bookmarkEnd w:id="1062"/>
      <w:bookmarkEnd w:id="1063"/>
      <w:bookmarkEnd w:id="1064"/>
      <w:bookmarkEnd w:id="1065"/>
      <w:r>
        <w:rPr>
          <w:snapToGrid w:val="0"/>
        </w:rPr>
        <w:t xml:space="preserve"> </w:t>
      </w:r>
    </w:p>
    <w:p>
      <w:pPr>
        <w:pStyle w:val="Subsection"/>
        <w:rPr>
          <w:snapToGrid w:val="0"/>
        </w:rPr>
      </w:pPr>
      <w:r>
        <w:rPr>
          <w:snapToGrid w:val="0"/>
        </w:rPr>
        <w:tab/>
      </w:r>
      <w:r>
        <w:rPr>
          <w:snapToGrid w:val="0"/>
        </w:rPr>
        <w:tab/>
        <w:t xml:space="preserve">All members of the Police Force of the State shall, when required by the warden so to do, act in aid of the warden in the exercise and discharge by him of his powers, functions and duties under this Act. </w:t>
      </w:r>
    </w:p>
    <w:p>
      <w:pPr>
        <w:pStyle w:val="Heading5"/>
        <w:rPr>
          <w:snapToGrid w:val="0"/>
        </w:rPr>
      </w:pPr>
      <w:bookmarkStart w:id="1066" w:name="_Toc520088069"/>
      <w:bookmarkStart w:id="1067" w:name="_Toc523620704"/>
      <w:bookmarkStart w:id="1068" w:name="_Toc38853857"/>
      <w:bookmarkStart w:id="1069" w:name="_Toc122328616"/>
      <w:r>
        <w:rPr>
          <w:rStyle w:val="CharSectno"/>
        </w:rPr>
        <w:t>153</w:t>
      </w:r>
      <w:r>
        <w:rPr>
          <w:snapToGrid w:val="0"/>
        </w:rPr>
        <w:t>.</w:t>
      </w:r>
      <w:r>
        <w:rPr>
          <w:snapToGrid w:val="0"/>
        </w:rPr>
        <w:tab/>
        <w:t>Minor capable of being sued and of suing</w:t>
      </w:r>
      <w:bookmarkEnd w:id="1066"/>
      <w:bookmarkEnd w:id="1067"/>
      <w:bookmarkEnd w:id="1068"/>
      <w:bookmarkEnd w:id="1069"/>
      <w:r>
        <w:rPr>
          <w:snapToGrid w:val="0"/>
        </w:rPr>
        <w:t xml:space="preserve"> </w:t>
      </w:r>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1070" w:name="_Toc520088070"/>
      <w:bookmarkStart w:id="1071" w:name="_Toc523620705"/>
      <w:bookmarkStart w:id="1072" w:name="_Toc38853858"/>
      <w:bookmarkStart w:id="1073" w:name="_Toc122328617"/>
      <w:r>
        <w:rPr>
          <w:rStyle w:val="CharSectno"/>
        </w:rPr>
        <w:t>154</w:t>
      </w:r>
      <w:r>
        <w:rPr>
          <w:snapToGrid w:val="0"/>
        </w:rPr>
        <w:t>.</w:t>
      </w:r>
      <w:r>
        <w:rPr>
          <w:snapToGrid w:val="0"/>
        </w:rPr>
        <w:tab/>
        <w:t>General penalty</w:t>
      </w:r>
      <w:bookmarkEnd w:id="1070"/>
      <w:bookmarkEnd w:id="1071"/>
      <w:bookmarkEnd w:id="1072"/>
      <w:bookmarkEnd w:id="1073"/>
      <w:r>
        <w:rPr>
          <w:snapToGrid w:val="0"/>
        </w:rPr>
        <w:t xml:space="preserve"> </w:t>
      </w:r>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$10 000</w:t>
      </w:r>
      <w:r>
        <w:rPr>
          <w:snapToGrid w:val="0"/>
        </w:rPr>
        <w:t xml:space="preserve"> and if the offence is a continuing one, to a fine not exceeding </w:t>
      </w:r>
      <w:r>
        <w:t>$1 000</w:t>
      </w:r>
      <w:r>
        <w:rPr>
          <w:snapToGrid w:val="0"/>
        </w:rPr>
        <w:t xml:space="preserve"> 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 xml:space="preserve">[Section 154 amended by No. 100 of 1985 s. 106; No. 22 of 1990 s. 38; No. 78 of 1995 s. 147; No. 15 of 2002 s. 28.] </w:t>
      </w:r>
    </w:p>
    <w:p>
      <w:pPr>
        <w:pStyle w:val="Heading5"/>
        <w:rPr>
          <w:snapToGrid w:val="0"/>
        </w:rPr>
      </w:pPr>
      <w:bookmarkStart w:id="1074" w:name="_Toc520088071"/>
      <w:bookmarkStart w:id="1075" w:name="_Toc523620706"/>
      <w:bookmarkStart w:id="1076" w:name="_Toc38853859"/>
      <w:bookmarkStart w:id="1077" w:name="_Toc122328618"/>
      <w:r>
        <w:rPr>
          <w:rStyle w:val="CharSectno"/>
        </w:rPr>
        <w:t>155</w:t>
      </w:r>
      <w:r>
        <w:rPr>
          <w:snapToGrid w:val="0"/>
        </w:rPr>
        <w:t>.</w:t>
      </w:r>
      <w:r>
        <w:rPr>
          <w:snapToGrid w:val="0"/>
        </w:rPr>
        <w:tab/>
        <w:t>Offence of mining without authority</w:t>
      </w:r>
      <w:bookmarkEnd w:id="1074"/>
      <w:bookmarkEnd w:id="1075"/>
      <w:bookmarkEnd w:id="1076"/>
      <w:bookmarkEnd w:id="1077"/>
      <w:r>
        <w:rPr>
          <w:snapToGrid w:val="0"/>
        </w:rPr>
        <w:t xml:space="preserve"> </w:t>
      </w:r>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rPr>
          <w:snapToGrid w:val="0"/>
        </w:rPr>
      </w:pPr>
      <w:r>
        <w:rPr>
          <w:snapToGrid w:val="0"/>
        </w:rPr>
        <w:tab/>
        <w:t xml:space="preserve">Penalty: </w:t>
      </w:r>
      <w:r>
        <w:t xml:space="preserve">$100 000 </w:t>
      </w:r>
      <w:r>
        <w:rPr>
          <w:snapToGrid w:val="0"/>
        </w:rPr>
        <w:t xml:space="preserve">and if the offence is a continuing one, to a further fine of </w:t>
      </w:r>
      <w:r>
        <w:t>$10 000</w:t>
      </w:r>
      <w:r>
        <w:rPr>
          <w:snapToGrid w:val="0"/>
        </w:rPr>
        <w:t xml:space="preserve"> for every day or part of a day during which the offence has continued.</w:t>
      </w:r>
    </w:p>
    <w:p>
      <w:pPr>
        <w:pStyle w:val="Subsection"/>
        <w:rPr>
          <w:snapToGrid w:val="0"/>
          <w:spacing w:val="-4"/>
        </w:rPr>
      </w:pPr>
      <w:r>
        <w:rPr>
          <w:snapToGrid w:val="0"/>
          <w:spacing w:val="-4"/>
        </w:rPr>
        <w:tab/>
        <w:t>(2)</w:t>
      </w:r>
      <w:r>
        <w:rPr>
          <w:snapToGrid w:val="0"/>
          <w:spacing w:val="-4"/>
        </w:rPr>
        <w:tab/>
        <w:t>Subsection (1) does not apply in respect of mining operations carried on on any private land with the consent of the owner of the land if he is the owner of the mineral being mined on the land.</w:t>
      </w:r>
    </w:p>
    <w:p>
      <w:pPr>
        <w:pStyle w:val="Subsection"/>
        <w:rPr>
          <w:snapToGrid w:val="0"/>
          <w:spacing w:val="-4"/>
        </w:rPr>
      </w:pPr>
      <w:r>
        <w:rPr>
          <w:snapToGrid w:val="0"/>
          <w:spacing w:val="-4"/>
        </w:rPr>
        <w:tab/>
        <w:t>(3)</w:t>
      </w:r>
      <w:r>
        <w:rPr>
          <w:snapToGrid w:val="0"/>
          <w:spacing w:val="-4"/>
        </w:rPr>
        <w:tab/>
        <w:t>A person who is convicted of an offence under this section is not thereby relieved from any other obligation or liability that he may have incurred by reason of having carried on unauthorised mining.</w:t>
      </w:r>
    </w:p>
    <w:p>
      <w:pPr>
        <w:pStyle w:val="Subsection"/>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pPr>
      <w:r>
        <w:tab/>
        <w:t xml:space="preserve">[Section 155 amended by No. 100 of 1985 s. 107; No. 105 of 1986 s. 23; No. 22 of 1990 s. 38; No. 78 of 1995 s. 147; No. 15 of 2002 s. 28.] </w:t>
      </w:r>
    </w:p>
    <w:p>
      <w:pPr>
        <w:pStyle w:val="Heading5"/>
        <w:rPr>
          <w:snapToGrid w:val="0"/>
        </w:rPr>
      </w:pPr>
      <w:bookmarkStart w:id="1078" w:name="_Toc520088072"/>
      <w:bookmarkStart w:id="1079" w:name="_Toc523620707"/>
      <w:bookmarkStart w:id="1080" w:name="_Toc38853860"/>
      <w:bookmarkStart w:id="1081" w:name="_Toc122328619"/>
      <w:r>
        <w:rPr>
          <w:rStyle w:val="CharSectno"/>
        </w:rPr>
        <w:t>155A</w:t>
      </w:r>
      <w:r>
        <w:rPr>
          <w:snapToGrid w:val="0"/>
        </w:rPr>
        <w:t>.</w:t>
      </w:r>
      <w:r>
        <w:rPr>
          <w:snapToGrid w:val="0"/>
        </w:rPr>
        <w:tab/>
        <w:t>Aerial survey work</w:t>
      </w:r>
      <w:bookmarkEnd w:id="1078"/>
      <w:bookmarkEnd w:id="1079"/>
      <w:bookmarkEnd w:id="1080"/>
      <w:bookmarkEnd w:id="1081"/>
      <w:r>
        <w:rPr>
          <w:snapToGrid w:val="0"/>
        </w:rPr>
        <w:t xml:space="preserve"> </w:t>
      </w:r>
    </w:p>
    <w:p>
      <w:pPr>
        <w:pStyle w:val="Subsection"/>
        <w:spacing w:before="100"/>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pPr>
      <w:r>
        <w:tab/>
        <w:t xml:space="preserve">[Section 155A inserted by No. 58 of 1994 s. 50.] </w:t>
      </w:r>
    </w:p>
    <w:p>
      <w:pPr>
        <w:pStyle w:val="Heading5"/>
        <w:spacing w:before="120"/>
        <w:rPr>
          <w:snapToGrid w:val="0"/>
        </w:rPr>
      </w:pPr>
      <w:bookmarkStart w:id="1082" w:name="_Toc520088073"/>
      <w:bookmarkStart w:id="1083" w:name="_Toc523620708"/>
      <w:bookmarkStart w:id="1084" w:name="_Toc38853861"/>
      <w:bookmarkStart w:id="1085" w:name="_Toc122328620"/>
      <w:r>
        <w:rPr>
          <w:rStyle w:val="CharSectno"/>
        </w:rPr>
        <w:t>156</w:t>
      </w:r>
      <w:r>
        <w:rPr>
          <w:snapToGrid w:val="0"/>
        </w:rPr>
        <w:t>.</w:t>
      </w:r>
      <w:r>
        <w:rPr>
          <w:snapToGrid w:val="0"/>
        </w:rPr>
        <w:tab/>
        <w:t>Offences</w:t>
      </w:r>
      <w:bookmarkEnd w:id="1082"/>
      <w:bookmarkEnd w:id="1083"/>
      <w:bookmarkEnd w:id="1084"/>
      <w:bookmarkEnd w:id="1085"/>
      <w:r>
        <w:rPr>
          <w:snapToGrid w:val="0"/>
        </w:rPr>
        <w:t xml:space="preserve"> </w:t>
      </w:r>
    </w:p>
    <w:p>
      <w:pPr>
        <w:pStyle w:val="Subsection"/>
        <w:spacing w:before="10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w:t>
      </w:r>
    </w:p>
    <w:p>
      <w:pPr>
        <w:pStyle w:val="Indenta"/>
        <w:rPr>
          <w:snapToGrid w:val="0"/>
        </w:rPr>
      </w:pPr>
      <w:r>
        <w:rPr>
          <w:snapToGrid w:val="0"/>
        </w:rPr>
        <w:tab/>
        <w:t>(b)</w:t>
      </w:r>
      <w:r>
        <w:rPr>
          <w:snapToGrid w:val="0"/>
        </w:rPr>
        <w:tab/>
        <w:t>assaults, obstructs, resists or insults — </w:t>
      </w:r>
    </w:p>
    <w:p>
      <w:pPr>
        <w:pStyle w:val="Indenti"/>
        <w:rPr>
          <w:snapToGrid w:val="0"/>
        </w:rPr>
      </w:pPr>
      <w:r>
        <w:rPr>
          <w:snapToGrid w:val="0"/>
        </w:rPr>
        <w:tab/>
        <w:t>(i)</w:t>
      </w:r>
      <w:r>
        <w:rPr>
          <w:snapToGrid w:val="0"/>
        </w:rPr>
        <w:tab/>
        <w:t>any warden or acting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spacing w:before="100"/>
        <w:rPr>
          <w:snapToGrid w:val="0"/>
        </w:rPr>
      </w:pPr>
      <w:r>
        <w:rPr>
          <w:snapToGrid w:val="0"/>
        </w:rPr>
        <w:tab/>
      </w:r>
      <w:r>
        <w:rPr>
          <w:snapToGrid w:val="0"/>
        </w:rPr>
        <w:tab/>
        <w:t>commits an offence against this Act.</w:t>
      </w:r>
    </w:p>
    <w:p>
      <w:pPr>
        <w:pStyle w:val="Subsection"/>
        <w:spacing w:before="100"/>
      </w:pPr>
      <w:r>
        <w:tab/>
        <w:t>(2)</w:t>
      </w:r>
      <w:r>
        <w:tab/>
        <w:t xml:space="preserve">Subsection (1)(a) does not apply to a person who removes a mineral in </w:t>
      </w:r>
      <w:r>
        <w:rPr>
          <w:snapToGrid w:val="0"/>
        </w:rPr>
        <w:t>the</w:t>
      </w:r>
      <w:r>
        <w:t xml:space="preserve"> exercise of the authorisation conferred by section 20(2)(c).</w:t>
      </w:r>
    </w:p>
    <w:p>
      <w:pPr>
        <w:pStyle w:val="Footnotesection"/>
      </w:pPr>
      <w:r>
        <w:tab/>
        <w:t xml:space="preserve">[Section 156 amended by No. 122 of 1982 s. 28; No. 100 of 1985 s. 108; No. 63 of 2000 s. 6.] </w:t>
      </w:r>
    </w:p>
    <w:p>
      <w:pPr>
        <w:pStyle w:val="Heading5"/>
        <w:rPr>
          <w:snapToGrid w:val="0"/>
        </w:rPr>
      </w:pPr>
      <w:bookmarkStart w:id="1086" w:name="_Toc520088074"/>
      <w:bookmarkStart w:id="1087" w:name="_Toc523620709"/>
      <w:bookmarkStart w:id="1088" w:name="_Toc38853862"/>
      <w:bookmarkStart w:id="1089" w:name="_Toc122328621"/>
      <w:r>
        <w:rPr>
          <w:rStyle w:val="CharSectno"/>
        </w:rPr>
        <w:t>157</w:t>
      </w:r>
      <w:r>
        <w:rPr>
          <w:snapToGrid w:val="0"/>
        </w:rPr>
        <w:t>.</w:t>
      </w:r>
      <w:r>
        <w:rPr>
          <w:snapToGrid w:val="0"/>
        </w:rPr>
        <w:tab/>
        <w:t>Obstruction of persons authorised to mine under this Act</w:t>
      </w:r>
      <w:bookmarkEnd w:id="1086"/>
      <w:bookmarkEnd w:id="1087"/>
      <w:bookmarkEnd w:id="1088"/>
      <w:bookmarkEnd w:id="1089"/>
      <w:r>
        <w:rPr>
          <w:snapToGrid w:val="0"/>
        </w:rPr>
        <w:t xml:space="preserve"> </w:t>
      </w:r>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 xml:space="preserve">[Section 157 amended by No. 22 of 1990 s. 38; No. 15 of 2002 s. 28.] </w:t>
      </w:r>
    </w:p>
    <w:p>
      <w:pPr>
        <w:pStyle w:val="Heading5"/>
        <w:rPr>
          <w:snapToGrid w:val="0"/>
        </w:rPr>
      </w:pPr>
      <w:bookmarkStart w:id="1090" w:name="_Toc520088075"/>
      <w:bookmarkStart w:id="1091" w:name="_Toc523620710"/>
      <w:bookmarkStart w:id="1092" w:name="_Toc38853863"/>
      <w:bookmarkStart w:id="1093" w:name="_Toc122328622"/>
      <w:r>
        <w:rPr>
          <w:rStyle w:val="CharSectno"/>
        </w:rPr>
        <w:t>158</w:t>
      </w:r>
      <w:r>
        <w:rPr>
          <w:snapToGrid w:val="0"/>
        </w:rPr>
        <w:t>.</w:t>
      </w:r>
      <w:r>
        <w:rPr>
          <w:snapToGrid w:val="0"/>
        </w:rPr>
        <w:tab/>
        <w:t>Power to require information as to right to mine</w:t>
      </w:r>
      <w:bookmarkEnd w:id="1090"/>
      <w:bookmarkEnd w:id="1091"/>
      <w:bookmarkEnd w:id="1092"/>
      <w:bookmarkEnd w:id="1093"/>
      <w:r>
        <w:rPr>
          <w:snapToGrid w:val="0"/>
        </w:rPr>
        <w:t xml:space="preserve"> </w:t>
      </w:r>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upon request made under subsection (1) refuses or fails to comply with the request;</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 xml:space="preserve">[Section 158 inserted by No. 105 of 1986 s. 24; amended by No. 22 of 1990 s. 38.] </w:t>
      </w:r>
    </w:p>
    <w:p>
      <w:pPr>
        <w:pStyle w:val="Heading5"/>
        <w:rPr>
          <w:snapToGrid w:val="0"/>
        </w:rPr>
      </w:pPr>
      <w:bookmarkStart w:id="1094" w:name="_Toc520088076"/>
      <w:bookmarkStart w:id="1095" w:name="_Toc523620711"/>
      <w:bookmarkStart w:id="1096" w:name="_Toc38853864"/>
      <w:bookmarkStart w:id="1097" w:name="_Toc122328623"/>
      <w:r>
        <w:rPr>
          <w:rStyle w:val="CharSectno"/>
        </w:rPr>
        <w:t>159</w:t>
      </w:r>
      <w:r>
        <w:rPr>
          <w:snapToGrid w:val="0"/>
        </w:rPr>
        <w:t>.</w:t>
      </w:r>
      <w:r>
        <w:rPr>
          <w:snapToGrid w:val="0"/>
        </w:rPr>
        <w:tab/>
        <w:t>Disputes between licensees and other persons</w:t>
      </w:r>
      <w:bookmarkEnd w:id="1094"/>
      <w:bookmarkEnd w:id="1095"/>
      <w:bookmarkEnd w:id="1096"/>
      <w:bookmarkEnd w:id="1097"/>
      <w:r>
        <w:rPr>
          <w:snapToGrid w:val="0"/>
        </w:rPr>
        <w:t xml:space="preserve"> </w:t>
      </w:r>
    </w:p>
    <w:p>
      <w:pPr>
        <w:pStyle w:val="Subsection"/>
        <w:rPr>
          <w:snapToGrid w:val="0"/>
        </w:rPr>
      </w:pPr>
      <w:r>
        <w:rPr>
          <w:snapToGrid w:val="0"/>
        </w:rPr>
        <w:tab/>
        <w:t>(1)</w:t>
      </w:r>
      <w:r>
        <w:rPr>
          <w:snapToGrid w:val="0"/>
        </w:rPr>
        <w:tab/>
        <w:t xml:space="preserve">Where a dispute arises between a licensee or permittee under the </w:t>
      </w:r>
      <w:r>
        <w:rPr>
          <w:i/>
          <w:snapToGrid w:val="0"/>
        </w:rPr>
        <w:t>Petroleum Act 1967</w:t>
      </w:r>
      <w:r>
        <w:rPr>
          <w:snapToGrid w:val="0"/>
        </w:rPr>
        <w:t xml:space="preserve"> 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Heading5"/>
        <w:rPr>
          <w:snapToGrid w:val="0"/>
        </w:rPr>
      </w:pPr>
      <w:bookmarkStart w:id="1098" w:name="_Toc520088077"/>
      <w:bookmarkStart w:id="1099" w:name="_Toc523620712"/>
      <w:bookmarkStart w:id="1100" w:name="_Toc38853865"/>
      <w:bookmarkStart w:id="1101" w:name="_Toc122328624"/>
      <w:r>
        <w:rPr>
          <w:rStyle w:val="CharSectno"/>
        </w:rPr>
        <w:t>160</w:t>
      </w:r>
      <w:r>
        <w:rPr>
          <w:snapToGrid w:val="0"/>
        </w:rPr>
        <w:t>.</w:t>
      </w:r>
      <w:r>
        <w:rPr>
          <w:snapToGrid w:val="0"/>
        </w:rPr>
        <w:tab/>
        <w:t>Saving of civil remedies</w:t>
      </w:r>
      <w:bookmarkEnd w:id="1098"/>
      <w:bookmarkEnd w:id="1099"/>
      <w:bookmarkEnd w:id="1100"/>
      <w:bookmarkEnd w:id="1101"/>
      <w:r>
        <w:rPr>
          <w:snapToGrid w:val="0"/>
        </w:rPr>
        <w:t xml:space="preserve"> </w:t>
      </w:r>
    </w:p>
    <w:p>
      <w:pPr>
        <w:pStyle w:val="Subsection"/>
        <w:rPr>
          <w:snapToGrid w:val="0"/>
        </w:rPr>
      </w:pPr>
      <w:r>
        <w:rPr>
          <w:snapToGrid w:val="0"/>
        </w:rPr>
        <w:tab/>
        <w:t>(1)</w:t>
      </w:r>
      <w:r>
        <w:rPr>
          <w:snapToGrid w:val="0"/>
        </w:rPr>
        <w:tab/>
      </w:r>
      <w:r>
        <w:t>Subject to section 20C,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w:t>
      </w:r>
    </w:p>
    <w:p>
      <w:pPr>
        <w:pStyle w:val="Heading5"/>
        <w:rPr>
          <w:snapToGrid w:val="0"/>
        </w:rPr>
      </w:pPr>
      <w:bookmarkStart w:id="1102" w:name="_Toc520088078"/>
      <w:bookmarkStart w:id="1103" w:name="_Toc523620713"/>
      <w:bookmarkStart w:id="1104" w:name="_Toc38853866"/>
      <w:bookmarkStart w:id="1105" w:name="_Toc122328625"/>
      <w:r>
        <w:rPr>
          <w:rStyle w:val="CharSectno"/>
        </w:rPr>
        <w:t>160A</w:t>
      </w:r>
      <w:r>
        <w:rPr>
          <w:snapToGrid w:val="0"/>
        </w:rPr>
        <w:t>.</w:t>
      </w:r>
      <w:r>
        <w:rPr>
          <w:snapToGrid w:val="0"/>
        </w:rPr>
        <w:tab/>
        <w:t>Immunity of Minister and officials</w:t>
      </w:r>
      <w:bookmarkEnd w:id="1102"/>
      <w:bookmarkEnd w:id="1103"/>
      <w:bookmarkEnd w:id="1104"/>
      <w:bookmarkEnd w:id="1105"/>
    </w:p>
    <w:p>
      <w:pPr>
        <w:pStyle w:val="Subsection"/>
        <w:rPr>
          <w:snapToGrid w:val="0"/>
        </w:rPr>
      </w:pPr>
      <w:r>
        <w:rPr>
          <w:snapToGrid w:val="0"/>
        </w:rPr>
        <w:tab/>
      </w:r>
      <w:r>
        <w:rPr>
          <w:snapToGrid w:val="0"/>
        </w:rPr>
        <w:tab/>
        <w:t>No liability shall attach to the Minister, a warden or any official of the Department, any authorised person under this Act or any person acting with the authority or on the direction of the Minister, a warden or the Director General of Mines in good faith and in the exercise or purported exercise of a power or in the discharge or purported discharge of a duty under this Act.</w:t>
      </w:r>
    </w:p>
    <w:p>
      <w:pPr>
        <w:pStyle w:val="Footnotesection"/>
      </w:pPr>
      <w:r>
        <w:tab/>
        <w:t xml:space="preserve">[Section 160A inserted by No. 105 of 1986 s. 25; amended by No. 42 of 1999 s. 8.] </w:t>
      </w:r>
    </w:p>
    <w:p>
      <w:pPr>
        <w:pStyle w:val="Heading5"/>
        <w:rPr>
          <w:snapToGrid w:val="0"/>
        </w:rPr>
      </w:pPr>
      <w:bookmarkStart w:id="1106" w:name="_Toc520088079"/>
      <w:bookmarkStart w:id="1107" w:name="_Toc523620714"/>
      <w:bookmarkStart w:id="1108" w:name="_Toc38853867"/>
      <w:bookmarkStart w:id="1109" w:name="_Toc122328626"/>
      <w:r>
        <w:rPr>
          <w:rStyle w:val="CharSectno"/>
        </w:rPr>
        <w:t>160B</w:t>
      </w:r>
      <w:r>
        <w:rPr>
          <w:snapToGrid w:val="0"/>
        </w:rPr>
        <w:t>.</w:t>
      </w:r>
      <w:r>
        <w:rPr>
          <w:snapToGrid w:val="0"/>
        </w:rPr>
        <w:tab/>
        <w:t>Time limit for prosecution action</w:t>
      </w:r>
      <w:bookmarkEnd w:id="1106"/>
      <w:bookmarkEnd w:id="1107"/>
      <w:bookmarkEnd w:id="1108"/>
      <w:bookmarkEnd w:id="1109"/>
      <w:r>
        <w:rPr>
          <w:snapToGrid w:val="0"/>
        </w:rPr>
        <w:t xml:space="preserve"> </w:t>
      </w:r>
    </w:p>
    <w:p>
      <w:pPr>
        <w:pStyle w:val="Subsection"/>
        <w:rPr>
          <w:snapToGrid w:val="0"/>
        </w:rPr>
      </w:pPr>
      <w:r>
        <w:rPr>
          <w:snapToGrid w:val="0"/>
        </w:rPr>
        <w:tab/>
      </w:r>
      <w:r>
        <w:rPr>
          <w:snapToGrid w:val="0"/>
        </w:rPr>
        <w:tab/>
        <w:t>A prosecution for an offence against this Act may be commenced at any time within one year after the date on which the offence is alleged to have been committed.</w:t>
      </w:r>
    </w:p>
    <w:p>
      <w:pPr>
        <w:pStyle w:val="Footnotesection"/>
      </w:pPr>
      <w:r>
        <w:tab/>
        <w:t xml:space="preserve">[Section 160B inserted by No. 22 of 1990 s. 37.] </w:t>
      </w:r>
    </w:p>
    <w:p>
      <w:pPr>
        <w:pStyle w:val="Heading5"/>
        <w:rPr>
          <w:snapToGrid w:val="0"/>
        </w:rPr>
      </w:pPr>
      <w:bookmarkStart w:id="1110" w:name="_Toc520088080"/>
      <w:bookmarkStart w:id="1111" w:name="_Toc523620715"/>
      <w:bookmarkStart w:id="1112" w:name="_Toc38853868"/>
      <w:bookmarkStart w:id="1113" w:name="_Toc122328627"/>
      <w:r>
        <w:rPr>
          <w:rStyle w:val="CharSectno"/>
        </w:rPr>
        <w:t>161</w:t>
      </w:r>
      <w:r>
        <w:rPr>
          <w:snapToGrid w:val="0"/>
        </w:rPr>
        <w:t>.</w:t>
      </w:r>
      <w:r>
        <w:rPr>
          <w:snapToGrid w:val="0"/>
        </w:rPr>
        <w:tab/>
        <w:t>Evidentiary provisions</w:t>
      </w:r>
      <w:bookmarkEnd w:id="1110"/>
      <w:bookmarkEnd w:id="1111"/>
      <w:bookmarkEnd w:id="1112"/>
      <w:bookmarkEnd w:id="1113"/>
      <w:r>
        <w:rPr>
          <w:snapToGrid w:val="0"/>
        </w:rPr>
        <w:t xml:space="preserve"> </w:t>
      </w:r>
    </w:p>
    <w:p>
      <w:pPr>
        <w:pStyle w:val="Subsection"/>
        <w:rPr>
          <w:snapToGrid w:val="0"/>
        </w:rPr>
      </w:pPr>
      <w:r>
        <w:rPr>
          <w:snapToGrid w:val="0"/>
        </w:rPr>
        <w:tab/>
        <w:t>(1)</w:t>
      </w:r>
      <w:r>
        <w:rPr>
          <w:snapToGrid w:val="0"/>
        </w:rPr>
        <w:tab/>
        <w:t>In any proceedings for an offence against this Act, an averment in the charge that any land referred to therein is land —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mining registrar as a correct copy of an extract from the register kept in accordance with the regulations is evidence of the matter contained in that document.</w:t>
      </w:r>
    </w:p>
    <w:p>
      <w:pPr>
        <w:pStyle w:val="Footnotesection"/>
      </w:pPr>
      <w:r>
        <w:tab/>
        <w:t xml:space="preserve">[Section 161 amended by No. 122 of 1982 s. 29; No. 37 of 1993 s. 23; No. 5 of 1997 s. 41(2); No. 84 of 2004 s. 80.] </w:t>
      </w:r>
    </w:p>
    <w:p>
      <w:pPr>
        <w:pStyle w:val="Heading5"/>
        <w:rPr>
          <w:snapToGrid w:val="0"/>
        </w:rPr>
      </w:pPr>
      <w:bookmarkStart w:id="1114" w:name="_Toc520088081"/>
      <w:bookmarkStart w:id="1115" w:name="_Toc523620716"/>
      <w:bookmarkStart w:id="1116" w:name="_Toc38853869"/>
      <w:bookmarkStart w:id="1117" w:name="_Toc122328628"/>
      <w:r>
        <w:rPr>
          <w:rStyle w:val="CharSectno"/>
        </w:rPr>
        <w:t>162</w:t>
      </w:r>
      <w:r>
        <w:rPr>
          <w:snapToGrid w:val="0"/>
        </w:rPr>
        <w:t>.</w:t>
      </w:r>
      <w:r>
        <w:rPr>
          <w:snapToGrid w:val="0"/>
        </w:rPr>
        <w:tab/>
        <w:t>Regulations</w:t>
      </w:r>
      <w:bookmarkEnd w:id="1114"/>
      <w:bookmarkEnd w:id="1115"/>
      <w:bookmarkEnd w:id="1116"/>
      <w:bookmarkEnd w:id="1117"/>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20A, including without limitation —</w:t>
      </w:r>
    </w:p>
    <w:p>
      <w:pPr>
        <w:pStyle w:val="Indenti"/>
      </w:pPr>
      <w:r>
        <w:tab/>
        <w:t>(i)</w:t>
      </w:r>
      <w:r>
        <w:tab/>
        <w:t>the persons or class of persons to whom notice of the issue of permits is to be given;</w:t>
      </w:r>
    </w:p>
    <w:p>
      <w:pPr>
        <w:pStyle w:val="Indenti"/>
      </w:pPr>
      <w:r>
        <w:tab/>
        <w:t>(ii)</w:t>
      </w:r>
      <w:r>
        <w:tab/>
        <w:t>the operation, duration and surrender of permits;</w:t>
      </w:r>
    </w:p>
    <w:p>
      <w:pPr>
        <w:pStyle w:val="Indenti"/>
      </w:pPr>
      <w:r>
        <w:tab/>
        <w:t>(iii)</w:t>
      </w:r>
      <w:r>
        <w:tab/>
        <w:t>the maximum number of permits that may be in force at any time in respect of an exploration licence;</w:t>
      </w:r>
    </w:p>
    <w:p>
      <w:pPr>
        <w:pStyle w:val="Indenti"/>
      </w:pPr>
      <w:r>
        <w:tab/>
        <w:t>(iv)</w:t>
      </w:r>
      <w:r>
        <w:tab/>
        <w:t>the conditions that may be imposed on permits and the variation or cancellation of such conditions;</w:t>
      </w:r>
    </w:p>
    <w:p>
      <w:pPr>
        <w:pStyle w:val="Indenti"/>
      </w:pPr>
      <w:r>
        <w:tab/>
        <w:t>(v)</w:t>
      </w:r>
      <w:r>
        <w:tab/>
        <w:t>the powers of the Minister, in cases of breach of conditions referred to in section 20A(5) or (6) or in other prescribed circumstances —</w:t>
      </w:r>
    </w:p>
    <w:p>
      <w:pPr>
        <w:pStyle w:val="IndentI0"/>
      </w:pPr>
      <w:r>
        <w:tab/>
        <w:t>(I)</w:t>
      </w:r>
      <w:r>
        <w:tab/>
        <w:t>to impose on holders of permits monetary penalties not exceeding the prescribed amount;</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t>(vi)</w:t>
      </w:r>
      <w:r>
        <w:tab/>
        <w:t>the procedure to be followed before the exercise of a power referred to in subparagraph (v);</w:t>
      </w:r>
    </w:p>
    <w:p>
      <w:pPr>
        <w:pStyle w:val="Indenti"/>
      </w:pPr>
      <w:r>
        <w:tab/>
        <w:t>(vii)</w:t>
      </w:r>
      <w:r>
        <w:tab/>
        <w:t>the recovery of penalties referred to in subparagraph (v)(I);</w:t>
      </w:r>
    </w:p>
    <w:p>
      <w:pPr>
        <w:pStyle w:val="Indenti"/>
      </w:pPr>
      <w:r>
        <w:tab/>
        <w:t>(viii)</w:t>
      </w:r>
      <w:r>
        <w:tab/>
        <w:t>the prohibition of the use of hand tools of a prescribed kind;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 and records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 </w:t>
      </w:r>
    </w:p>
    <w:p>
      <w:pPr>
        <w:pStyle w:val="Indenti"/>
        <w:rPr>
          <w:snapToGrid w:val="0"/>
        </w:rPr>
      </w:pPr>
      <w:r>
        <w:rPr>
          <w:snapToGrid w:val="0"/>
        </w:rPr>
        <w:tab/>
        <w:t>(i)</w:t>
      </w:r>
      <w:r>
        <w:rPr>
          <w:snapToGrid w:val="0"/>
        </w:rPr>
        <w:tab/>
        <w:t xml:space="preserve">requiring that surveying to be carried out by a surveyor (in this paragraph referred to as </w:t>
      </w:r>
      <w:r>
        <w:rPr>
          <w:b/>
          <w:snapToGrid w:val="0"/>
        </w:rPr>
        <w:t>“</w:t>
      </w:r>
      <w:r>
        <w:rPr>
          <w:rStyle w:val="CharDefText"/>
        </w:rPr>
        <w:t>the approved surveyor</w:t>
      </w:r>
      <w:r>
        <w:rPr>
          <w:b/>
          <w:snapToGrid w:val="0"/>
        </w:rPr>
        <w:t>”</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warden’s court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 surveys with the Department;</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the registration of mining tenements and documents affecting them, the keeping by prescribed persons of a register of mining tenements and any register to be kept by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by </w:t>
      </w:r>
      <w:r>
        <w:t xml:space="preserve">legal costs determination (as defined in the </w:t>
      </w:r>
      <w:r>
        <w:rPr>
          <w:i/>
        </w:rPr>
        <w:t>Legal Practice Act 2003</w:t>
      </w:r>
      <w:r>
        <w:t xml:space="preserve">) </w:t>
      </w:r>
      <w:r>
        <w:rPr>
          <w:snapToGrid w:val="0"/>
        </w:rPr>
        <w:t>and of appeals therefrom and the allowances to witnesses in those courts;</w:t>
      </w:r>
    </w:p>
    <w:p>
      <w:pPr>
        <w:pStyle w:val="Indenta"/>
        <w:rPr>
          <w:snapToGrid w:val="0"/>
        </w:rPr>
      </w:pPr>
      <w:r>
        <w:rPr>
          <w:snapToGrid w:val="0"/>
        </w:rPr>
        <w:tab/>
        <w:t>(s)</w:t>
      </w:r>
      <w:r>
        <w:rPr>
          <w:snapToGrid w:val="0"/>
        </w:rPr>
        <w:tab/>
        <w:t>regulate matters in connection with partnerships in mining;</w:t>
      </w:r>
    </w:p>
    <w:p>
      <w:pPr>
        <w:pStyle w:val="Indenta"/>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regulating the way in which drill cores obtained from mining tenements are to be stored and dealt with and imposing restrictions on the disposal or destruction of them;</w:t>
      </w:r>
    </w:p>
    <w:p>
      <w:pPr>
        <w:pStyle w:val="Indenta"/>
        <w:rPr>
          <w:snapToGrid w:val="0"/>
        </w:rPr>
      </w:pPr>
      <w:r>
        <w:rPr>
          <w:snapToGrid w:val="0"/>
        </w:rPr>
        <w:tab/>
        <w:t>(v)</w:t>
      </w:r>
      <w:r>
        <w:rPr>
          <w:snapToGrid w:val="0"/>
        </w:rPr>
        <w:tab/>
        <w:t>providing for the reporting of prescribed information as to aerial photography for mineral exploration and providing for the keeping of a register of such information;</w:t>
      </w:r>
    </w:p>
    <w:p>
      <w:pPr>
        <w:pStyle w:val="Indenta"/>
        <w:rPr>
          <w:snapToGrid w:val="0"/>
        </w:rPr>
      </w:pPr>
      <w:r>
        <w:rPr>
          <w:snapToGrid w:val="0"/>
        </w:rPr>
        <w:tab/>
        <w:t>(w)</w:t>
      </w:r>
      <w:r>
        <w:rPr>
          <w:snapToGrid w:val="0"/>
        </w:rPr>
        <w:tab/>
        <w:t>providing for the publication of guidelines in relation to mineral exploration reports referred to in section 115A;</w:t>
      </w:r>
    </w:p>
    <w:p>
      <w:pPr>
        <w:pStyle w:val="Indenta"/>
        <w:rPr>
          <w:snapToGrid w:val="0"/>
        </w:rPr>
      </w:pPr>
      <w:r>
        <w:rPr>
          <w:snapToGrid w:val="0"/>
        </w:rPr>
        <w:tab/>
        <w:t>(x)</w:t>
      </w:r>
      <w:r>
        <w:rPr>
          <w:snapToGrid w:val="0"/>
        </w:rPr>
        <w:tab/>
        <w:t>authorising and regulating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prescribing and regulating the responsibilities of the holders of mining tenements as to authorising, or obtaining authorisation for, the release of information contained in applications or reports under this Act.</w:t>
      </w:r>
    </w:p>
    <w:p>
      <w:pPr>
        <w:pStyle w:val="Subsection"/>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Ednotesubsection"/>
      </w:pPr>
      <w:r>
        <w:tab/>
        <w:t>[(4)</w:t>
      </w:r>
      <w:r>
        <w:tab/>
        <w:t>repealed]</w:t>
      </w:r>
    </w:p>
    <w:p>
      <w:pPr>
        <w:pStyle w:val="Subsection"/>
        <w:rPr>
          <w:snapToGrid w:val="0"/>
        </w:rPr>
      </w:pPr>
      <w:r>
        <w:rPr>
          <w:snapToGrid w:val="0"/>
        </w:rPr>
        <w:tab/>
        <w:t>(5)</w:t>
      </w:r>
      <w:r>
        <w:rPr>
          <w:snapToGrid w:val="0"/>
        </w:rPr>
        <w:tab/>
        <w:t>A regulation may require any matter or thing to be verified by statutory declaration.</w:t>
      </w:r>
    </w:p>
    <w:p>
      <w:pPr>
        <w:pStyle w:val="Footnotesection"/>
      </w:pPr>
      <w:r>
        <w:tab/>
        <w:t xml:space="preserve">[Section 162 amended by No. 52 of 1983 s. 6; No. 100 of 1985 s. 109; No. 105 of 1986 s. 26; No. 65 of 1987 s. 40; No. 22 of 1990 s. 38; No. 37 of 1993 s. 24 and 28(1); No. 58 of 1994 s. 51; No. 49 of 2000 s. 86; No. 63 of 2000 s. 8; No. 15 of 2002 s. 28; No. 65 of 2003 s. 52.] </w:t>
      </w:r>
    </w:p>
    <w:p>
      <w:pPr>
        <w:pStyle w:val="Ednotesection"/>
      </w:pPr>
      <w:r>
        <w:t xml:space="preserve">[First Schedule omitted under the Reprints Act 1984 s. 7(4)(e).] </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1118" w:name="_Toc38853870"/>
      <w:bookmarkStart w:id="1119" w:name="_Toc121560188"/>
      <w:bookmarkStart w:id="1120" w:name="_Toc122328629"/>
      <w:r>
        <w:rPr>
          <w:rStyle w:val="CharSchNo"/>
        </w:rPr>
        <w:t>Second Schedule</w:t>
      </w:r>
      <w:bookmarkEnd w:id="1118"/>
      <w:bookmarkEnd w:id="1119"/>
      <w:bookmarkEnd w:id="1120"/>
    </w:p>
    <w:p>
      <w:pPr>
        <w:pStyle w:val="yShoulderClause"/>
        <w:rPr>
          <w:snapToGrid w:val="0"/>
        </w:rPr>
      </w:pPr>
      <w:r>
        <w:rPr>
          <w:snapToGrid w:val="0"/>
        </w:rPr>
        <w:t>[S. 4.]</w:t>
      </w:r>
    </w:p>
    <w:p>
      <w:pPr>
        <w:pStyle w:val="yMiscellaneousHeading"/>
        <w:rPr>
          <w:b/>
          <w:snapToGrid w:val="0"/>
          <w:sz w:val="26"/>
        </w:rPr>
      </w:pPr>
      <w:r>
        <w:rPr>
          <w:b/>
          <w:snapToGrid w:val="0"/>
          <w:sz w:val="26"/>
        </w:rPr>
        <w:t>Transitional provisions</w:t>
      </w:r>
    </w:p>
    <w:p>
      <w:pPr>
        <w:pStyle w:val="yHeading5"/>
        <w:spacing w:before="120"/>
        <w:outlineLvl w:val="9"/>
        <w:rPr>
          <w:snapToGrid w:val="0"/>
        </w:rPr>
      </w:pPr>
      <w:bookmarkStart w:id="1121" w:name="_Toc523620717"/>
      <w:bookmarkStart w:id="1122" w:name="_Toc38853871"/>
      <w:bookmarkStart w:id="1123" w:name="_Toc122328630"/>
      <w:r>
        <w:rPr>
          <w:snapToGrid w:val="0"/>
        </w:rPr>
        <w:t>1.</w:t>
      </w:r>
      <w:r>
        <w:rPr>
          <w:snapToGrid w:val="0"/>
        </w:rPr>
        <w:tab/>
        <w:t>Continuation of certain temporary reserves and rights of occupancy</w:t>
      </w:r>
      <w:bookmarkEnd w:id="1121"/>
      <w:bookmarkEnd w:id="1122"/>
      <w:bookmarkEnd w:id="1123"/>
      <w:r>
        <w:rPr>
          <w:snapToGrid w:val="0"/>
        </w:rPr>
        <w:t xml:space="preserve"> </w:t>
      </w:r>
    </w:p>
    <w:p>
      <w:pPr>
        <w:pStyle w:val="ySubsection"/>
        <w:spacing w:before="120"/>
        <w:rPr>
          <w:snapToGrid w:val="0"/>
        </w:rPr>
      </w:pPr>
      <w:r>
        <w:rPr>
          <w:snapToGrid w:val="0"/>
        </w:rPr>
        <w:tab/>
        <w:t>(1)</w:t>
      </w:r>
      <w:r>
        <w:rPr>
          <w:snapToGrid w:val="0"/>
        </w:rPr>
        <w:tab/>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spacing w:before="120"/>
        <w:rPr>
          <w:snapToGrid w:val="0"/>
          <w:spacing w:val="-4"/>
        </w:rPr>
      </w:pPr>
      <w:r>
        <w:rPr>
          <w:snapToGrid w:val="0"/>
          <w:spacing w:val="-4"/>
        </w:rPr>
        <w:tab/>
        <w:t>(2)</w:t>
      </w:r>
      <w:r>
        <w:rPr>
          <w:snapToGrid w:val="0"/>
          <w:spacing w:val="-4"/>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 </w:t>
      </w:r>
    </w:p>
    <w:p>
      <w:pPr>
        <w:pStyle w:val="yIndenta"/>
        <w:rPr>
          <w:snapToGrid w:val="0"/>
        </w:rPr>
      </w:pPr>
      <w:r>
        <w:rPr>
          <w:snapToGrid w:val="0"/>
        </w:rPr>
        <w:tab/>
        <w:t>(a)</w:t>
      </w:r>
      <w:r>
        <w:rPr>
          <w:snapToGrid w:val="0"/>
        </w:rPr>
        <w:tab/>
        <w:t>the date on which such authority or right would have expired under the terms and conditions upon which it was granted; or</w:t>
      </w:r>
    </w:p>
    <w:p>
      <w:pPr>
        <w:pStyle w:val="yIndenta"/>
        <w:rPr>
          <w:snapToGrid w:val="0"/>
        </w:rPr>
      </w:pPr>
      <w:r>
        <w:rPr>
          <w:snapToGrid w:val="0"/>
        </w:rPr>
        <w:tab/>
        <w:t>(b)</w:t>
      </w:r>
      <w:r>
        <w:rPr>
          <w:snapToGrid w:val="0"/>
        </w:rPr>
        <w:tab/>
        <w:t>6 months after the commencing date,</w:t>
      </w:r>
    </w:p>
    <w:p>
      <w:pPr>
        <w:pStyle w:val="ySubsection"/>
        <w:spacing w:before="120"/>
        <w:rPr>
          <w:snapToGrid w:val="0"/>
        </w:rPr>
      </w:pPr>
      <w:r>
        <w:rPr>
          <w:snapToGrid w:val="0"/>
        </w:rPr>
        <w:tab/>
      </w:r>
      <w:r>
        <w:rPr>
          <w:snapToGrid w:val="0"/>
        </w:rPr>
        <w:tab/>
        <w:t>whichever date is the later.</w:t>
      </w:r>
    </w:p>
    <w:p>
      <w:pPr>
        <w:pStyle w:val="ySubsection"/>
        <w:spacing w:before="120"/>
        <w:rPr>
          <w:snapToGrid w:val="0"/>
        </w:rPr>
      </w:pPr>
      <w:r>
        <w:rPr>
          <w:snapToGrid w:val="0"/>
        </w:rPr>
        <w:tab/>
        <w:t>(3)</w:t>
      </w:r>
      <w:r>
        <w:rPr>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spacing w:before="120"/>
        <w:rPr>
          <w:snapToGrid w:val="0"/>
        </w:rPr>
      </w:pPr>
      <w:r>
        <w:rPr>
          <w:snapToGrid w:val="0"/>
        </w:rPr>
        <w:tab/>
        <w:t>(4)</w:t>
      </w:r>
      <w:r>
        <w:rPr>
          <w:snapToGrid w:val="0"/>
        </w:rPr>
        <w:tab/>
        <w:t>Notwithstanding anything in this Act, the Minister shall, on receiving an application made under subclause (3) or (5) and on being satisfied that the applicant has complied with the terms and conditions referred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spacing w:before="120"/>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spacing w:before="120"/>
        <w:rPr>
          <w:snapToGrid w:val="0"/>
        </w:rPr>
      </w:pPr>
      <w:r>
        <w:rPr>
          <w:snapToGrid w:val="0"/>
        </w:rPr>
        <w:tab/>
        <w:t>(6)</w:t>
      </w:r>
      <w:r>
        <w:rPr>
          <w:snapToGrid w:val="0"/>
        </w:rPr>
        <w:tab/>
        <w:t>Section 105A does not apply and never has applied to an application for a mining tenement under this Act in respect of any land —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120"/>
        <w:rPr>
          <w:snapToGrid w:val="0"/>
        </w:rPr>
      </w:pPr>
      <w:r>
        <w:rPr>
          <w:snapToGrid w:val="0"/>
        </w:rPr>
        <w:tab/>
      </w:r>
      <w:r>
        <w:rPr>
          <w:snapToGrid w:val="0"/>
        </w:rPr>
        <w:tab/>
        <w:t>at the time when that application is or was made.</w:t>
      </w:r>
    </w:p>
    <w:p>
      <w:pPr>
        <w:pStyle w:val="yHeading5"/>
        <w:spacing w:before="120"/>
        <w:outlineLvl w:val="9"/>
        <w:rPr>
          <w:snapToGrid w:val="0"/>
        </w:rPr>
      </w:pPr>
      <w:bookmarkStart w:id="1124" w:name="_Toc523620718"/>
      <w:bookmarkStart w:id="1125" w:name="_Toc38853872"/>
      <w:bookmarkStart w:id="1126" w:name="_Toc122328631"/>
      <w:r>
        <w:rPr>
          <w:snapToGrid w:val="0"/>
        </w:rPr>
        <w:t>2.</w:t>
      </w:r>
      <w:r>
        <w:rPr>
          <w:snapToGrid w:val="0"/>
        </w:rPr>
        <w:tab/>
        <w:t>Certain gold mining leases, coal mining leases and mineral leases to become mining leases</w:t>
      </w:r>
      <w:bookmarkEnd w:id="1124"/>
      <w:bookmarkEnd w:id="1125"/>
      <w:bookmarkEnd w:id="1126"/>
      <w:r>
        <w:rPr>
          <w:snapToGrid w:val="0"/>
        </w:rPr>
        <w:t xml:space="preserve"> </w:t>
      </w:r>
    </w:p>
    <w:p>
      <w:pPr>
        <w:pStyle w:val="ySubsection"/>
        <w:spacing w:before="12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Heading5"/>
        <w:outlineLvl w:val="9"/>
        <w:rPr>
          <w:snapToGrid w:val="0"/>
        </w:rPr>
      </w:pPr>
      <w:bookmarkStart w:id="1127" w:name="_Toc523620719"/>
      <w:bookmarkStart w:id="1128" w:name="_Toc38853873"/>
      <w:bookmarkStart w:id="1129" w:name="_Toc122328632"/>
      <w:r>
        <w:rPr>
          <w:snapToGrid w:val="0"/>
        </w:rPr>
        <w:t>3.</w:t>
      </w:r>
      <w:r>
        <w:rPr>
          <w:snapToGrid w:val="0"/>
        </w:rPr>
        <w:tab/>
        <w:t>Rights conferred on holders of certain mineral claims and dredging claims</w:t>
      </w:r>
      <w:bookmarkEnd w:id="1127"/>
      <w:bookmarkEnd w:id="1128"/>
      <w:bookmarkEnd w:id="1129"/>
      <w:r>
        <w:rPr>
          <w:snapToGrid w:val="0"/>
        </w:rPr>
        <w:t xml:space="preserve"> </w:t>
      </w:r>
    </w:p>
    <w:p>
      <w:pPr>
        <w:pStyle w:val="ySubsection"/>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Heading5"/>
        <w:outlineLvl w:val="9"/>
        <w:rPr>
          <w:snapToGrid w:val="0"/>
        </w:rPr>
      </w:pPr>
      <w:bookmarkStart w:id="1130" w:name="_Toc523620720"/>
      <w:bookmarkStart w:id="1131" w:name="_Toc38853874"/>
      <w:bookmarkStart w:id="1132" w:name="_Toc122328633"/>
      <w:r>
        <w:rPr>
          <w:snapToGrid w:val="0"/>
        </w:rPr>
        <w:t>4.</w:t>
      </w:r>
      <w:r>
        <w:rPr>
          <w:snapToGrid w:val="0"/>
        </w:rPr>
        <w:tab/>
        <w:t>Rights conferred on holders of certain miners’ homestead leases, residential leases, residence areas, business areas and garden areas</w:t>
      </w:r>
      <w:bookmarkEnd w:id="1130"/>
      <w:bookmarkEnd w:id="1131"/>
      <w:bookmarkEnd w:id="1132"/>
      <w:r>
        <w:rPr>
          <w:snapToGrid w:val="0"/>
        </w:rPr>
        <w:t xml:space="preserve"> </w:t>
      </w:r>
    </w:p>
    <w:p>
      <w:pPr>
        <w:pStyle w:val="ySubsection"/>
        <w:rPr>
          <w:snapToGrid w:val="0"/>
        </w:rPr>
      </w:pPr>
      <w:r>
        <w:rPr>
          <w:snapToGrid w:val="0"/>
        </w:rPr>
        <w:tab/>
      </w:r>
      <w:r>
        <w:rPr>
          <w:snapToGrid w:val="0"/>
        </w:rPr>
        <w:tab/>
        <w:t>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w:t>
      </w:r>
      <w:r>
        <w:rPr>
          <w:snapToGrid w:val="0"/>
          <w:vertAlign w:val="superscript"/>
        </w:rPr>
        <w:t xml:space="preserve"> 6</w:t>
      </w:r>
      <w:r>
        <w:rPr>
          <w:snapToGrid w:val="0"/>
        </w:rPr>
        <w:t xml:space="preserve"> and on the Minister for Mines</w:t>
      </w:r>
      <w:r>
        <w:rPr>
          <w:snapToGrid w:val="0"/>
          <w:vertAlign w:val="superscript"/>
        </w:rPr>
        <w:t xml:space="preserve"> 6</w:t>
      </w:r>
      <w:r>
        <w:rPr>
          <w:snapToGrid w:val="0"/>
        </w:rPr>
        <w:t xml:space="preserve">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w:t>
      </w:r>
      <w:r>
        <w:rPr>
          <w:snapToGrid w:val="0"/>
          <w:vertAlign w:val="superscript"/>
        </w:rPr>
        <w:t xml:space="preserve"> 6</w:t>
      </w:r>
      <w:r>
        <w:rPr>
          <w:snapToGrid w:val="0"/>
        </w:rPr>
        <w:t xml:space="preserve"> issuing a certificate to that effect to the Minister for Lands, the Minister for Lands may grant under the </w:t>
      </w:r>
      <w:r>
        <w:rPr>
          <w:i/>
          <w:snapToGrid w:val="0"/>
        </w:rPr>
        <w:t>Land Act 1933</w:t>
      </w:r>
      <w:r>
        <w:rPr>
          <w:snapToGrid w:val="0"/>
          <w:vertAlign w:val="superscript"/>
        </w:rPr>
        <w:t xml:space="preserve"> 7</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vertAlign w:val="superscript"/>
        </w:rPr>
        <w:t xml:space="preserve"> 7</w:t>
      </w:r>
      <w:r>
        <w:rPr>
          <w:snapToGrid w:val="0"/>
        </w:rPr>
        <w:t xml:space="preserve"> shall be read and construed with such modifications as are necessary and, without limiting the generality thereof, shall be read and construed with the following particular modifications — </w:t>
      </w:r>
    </w:p>
    <w:p>
      <w:pPr>
        <w:pStyle w:val="yIndenta"/>
        <w:rPr>
          <w:snapToGrid w:val="0"/>
        </w:rPr>
      </w:pPr>
      <w:r>
        <w:rPr>
          <w:snapToGrid w:val="0"/>
        </w:rPr>
        <w:tab/>
        <w:t>(a)</w:t>
      </w:r>
      <w:r>
        <w:rPr>
          <w:snapToGrid w:val="0"/>
        </w:rPr>
        <w:tab/>
        <w:t>the substitution for subsection (2) of section 45A of the following subsection — </w:t>
      </w:r>
    </w:p>
    <w:p>
      <w:pPr>
        <w:pStyle w:val="MiscOpen"/>
        <w:tabs>
          <w:tab w:val="clear" w:pos="893"/>
          <w:tab w:val="left" w:pos="2268"/>
        </w:tabs>
        <w:ind w:left="1701"/>
        <w:rPr>
          <w:snapToGrid w:val="0"/>
        </w:rPr>
      </w:pPr>
      <w:r>
        <w:rPr>
          <w:snapToGrid w:val="0"/>
        </w:rPr>
        <w:t>“</w:t>
      </w:r>
    </w:p>
    <w:p>
      <w:pPr>
        <w:pStyle w:val="MiscellaneousBody"/>
        <w:tabs>
          <w:tab w:val="left" w:pos="2268"/>
          <w:tab w:val="left" w:pos="2835"/>
        </w:tabs>
        <w:ind w:left="2835" w:right="575"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vertAlign w:val="superscript"/>
        </w:rPr>
        <w:t xml:space="preserve"> 7</w:t>
      </w:r>
      <w:r>
        <w:rPr>
          <w:snapToGrid w:val="0"/>
        </w:rPr>
        <w:t xml:space="preserve"> notwithstanding the land has not been declared open for selection under that Part.</w:t>
      </w:r>
    </w:p>
    <w:p>
      <w:pPr>
        <w:pStyle w:val="yHeading5"/>
        <w:outlineLvl w:val="9"/>
        <w:rPr>
          <w:snapToGrid w:val="0"/>
        </w:rPr>
      </w:pPr>
      <w:bookmarkStart w:id="1133" w:name="_Toc523620721"/>
      <w:bookmarkStart w:id="1134" w:name="_Toc38853875"/>
      <w:bookmarkStart w:id="1135" w:name="_Toc122328634"/>
      <w:r>
        <w:rPr>
          <w:snapToGrid w:val="0"/>
        </w:rPr>
        <w:t>5.</w:t>
      </w:r>
      <w:r>
        <w:rPr>
          <w:snapToGrid w:val="0"/>
        </w:rPr>
        <w:tab/>
        <w:t>Continuation of mining tenements held by virtue of miners’ rights</w:t>
      </w:r>
      <w:bookmarkEnd w:id="1133"/>
      <w:bookmarkEnd w:id="1134"/>
      <w:bookmarkEnd w:id="1135"/>
      <w:r>
        <w:rPr>
          <w:snapToGrid w:val="0"/>
        </w:rPr>
        <w:t xml:space="preserve"> </w:t>
      </w:r>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Heading5"/>
        <w:outlineLvl w:val="9"/>
        <w:rPr>
          <w:snapToGrid w:val="0"/>
        </w:rPr>
      </w:pPr>
      <w:bookmarkStart w:id="1136" w:name="_Toc523620722"/>
      <w:bookmarkStart w:id="1137" w:name="_Toc38853876"/>
      <w:bookmarkStart w:id="1138" w:name="_Toc122328635"/>
      <w:r>
        <w:rPr>
          <w:snapToGrid w:val="0"/>
        </w:rPr>
        <w:t>6.</w:t>
      </w:r>
      <w:r>
        <w:rPr>
          <w:snapToGrid w:val="0"/>
        </w:rPr>
        <w:tab/>
        <w:t>Temporary continuation of certain machinery areas, tailings areas, quarrying areas and water rights</w:t>
      </w:r>
      <w:bookmarkEnd w:id="1136"/>
      <w:bookmarkEnd w:id="1137"/>
      <w:bookmarkEnd w:id="1138"/>
      <w:r>
        <w:rPr>
          <w:snapToGrid w:val="0"/>
        </w:rPr>
        <w:t xml:space="preserve"> </w:t>
      </w:r>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Heading5"/>
        <w:outlineLvl w:val="9"/>
        <w:rPr>
          <w:snapToGrid w:val="0"/>
        </w:rPr>
      </w:pPr>
      <w:bookmarkStart w:id="1139" w:name="_Toc523620723"/>
      <w:bookmarkStart w:id="1140" w:name="_Toc38853877"/>
      <w:bookmarkStart w:id="1141" w:name="_Toc122328636"/>
      <w:r>
        <w:rPr>
          <w:snapToGrid w:val="0"/>
        </w:rPr>
        <w:t>7.</w:t>
      </w:r>
      <w:r>
        <w:rPr>
          <w:snapToGrid w:val="0"/>
        </w:rPr>
        <w:tab/>
        <w:t>Continuation of certain licences</w:t>
      </w:r>
      <w:bookmarkEnd w:id="1139"/>
      <w:bookmarkEnd w:id="1140"/>
      <w:bookmarkEnd w:id="1141"/>
      <w:r>
        <w:rPr>
          <w:snapToGrid w:val="0"/>
        </w:rPr>
        <w:t xml:space="preserve"> </w:t>
      </w:r>
    </w:p>
    <w:p>
      <w:pPr>
        <w:pStyle w:val="ySubsection"/>
        <w:keepNext/>
        <w:rPr>
          <w:snapToGrid w:val="0"/>
        </w:rPr>
      </w:pPr>
      <w:r>
        <w:rPr>
          <w:snapToGrid w:val="0"/>
        </w:rPr>
        <w:tab/>
        <w:t>(1)</w:t>
      </w:r>
      <w:r>
        <w:rPr>
          <w:snapToGrid w:val="0"/>
        </w:rPr>
        <w:tab/>
        <w:t>A licence which was —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 </w:t>
      </w:r>
    </w:p>
    <w:p>
      <w:pPr>
        <w:pStyle w:val="yIndenta"/>
        <w:rPr>
          <w:snapToGrid w:val="0"/>
        </w:rPr>
      </w:pPr>
      <w:r>
        <w:rPr>
          <w:snapToGrid w:val="0"/>
        </w:rPr>
        <w:tab/>
        <w:t>(a)</w:t>
      </w:r>
      <w:r>
        <w:rPr>
          <w:snapToGrid w:val="0"/>
        </w:rPr>
        <w:tab/>
        <w:t>to treat tailings upon the land;</w:t>
      </w:r>
    </w:p>
    <w:p>
      <w:pPr>
        <w:pStyle w:val="yIndenta"/>
        <w:rPr>
          <w:snapToGrid w:val="0"/>
        </w:rPr>
      </w:pPr>
      <w:r>
        <w:rPr>
          <w:snapToGrid w:val="0"/>
        </w:rPr>
        <w:tab/>
        <w:t>(b)</w:t>
      </w:r>
      <w:r>
        <w:rPr>
          <w:snapToGrid w:val="0"/>
        </w:rPr>
        <w:tab/>
        <w:t>to remove, and treat, tailings from the land;</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Heading5"/>
        <w:outlineLvl w:val="9"/>
        <w:rPr>
          <w:snapToGrid w:val="0"/>
        </w:rPr>
      </w:pPr>
      <w:bookmarkStart w:id="1142" w:name="_Toc523620724"/>
      <w:bookmarkStart w:id="1143" w:name="_Toc38853878"/>
      <w:bookmarkStart w:id="1144" w:name="_Toc122328637"/>
      <w:r>
        <w:rPr>
          <w:snapToGrid w:val="0"/>
        </w:rPr>
        <w:t>8.</w:t>
      </w:r>
      <w:r>
        <w:rPr>
          <w:snapToGrid w:val="0"/>
        </w:rPr>
        <w:tab/>
        <w:t>Disposal of pending applications for mining tenements</w:t>
      </w:r>
      <w:bookmarkEnd w:id="1142"/>
      <w:bookmarkEnd w:id="1143"/>
      <w:bookmarkEnd w:id="1144"/>
      <w:r>
        <w:rPr>
          <w:snapToGrid w:val="0"/>
        </w:rPr>
        <w:t xml:space="preserve"> </w:t>
      </w:r>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 </w:t>
      </w:r>
    </w:p>
    <w:p>
      <w:pPr>
        <w:pStyle w:val="yIndenta"/>
        <w:rPr>
          <w:snapToGrid w:val="0"/>
        </w:rPr>
      </w:pPr>
      <w:r>
        <w:rPr>
          <w:snapToGrid w:val="0"/>
        </w:rPr>
        <w:tab/>
        <w:t>(a)</w:t>
      </w:r>
      <w:r>
        <w:rPr>
          <w:snapToGrid w:val="0"/>
        </w:rPr>
        <w:tab/>
        <w:t>a miner’s homestead lease;</w:t>
      </w:r>
    </w:p>
    <w:p>
      <w:pPr>
        <w:pStyle w:val="yIndenta"/>
        <w:rPr>
          <w:snapToGrid w:val="0"/>
        </w:rPr>
      </w:pPr>
      <w:r>
        <w:rPr>
          <w:snapToGrid w:val="0"/>
        </w:rPr>
        <w:tab/>
        <w:t>(b)</w:t>
      </w:r>
      <w:r>
        <w:rPr>
          <w:snapToGrid w:val="0"/>
        </w:rPr>
        <w:tab/>
        <w:t>a residential lease;</w:t>
      </w:r>
    </w:p>
    <w:p>
      <w:pPr>
        <w:pStyle w:val="yIndenta"/>
        <w:rPr>
          <w:snapToGrid w:val="0"/>
        </w:rPr>
      </w:pPr>
      <w:r>
        <w:rPr>
          <w:snapToGrid w:val="0"/>
        </w:rPr>
        <w:tab/>
        <w:t>(c)</w:t>
      </w:r>
      <w:r>
        <w:rPr>
          <w:snapToGrid w:val="0"/>
        </w:rPr>
        <w:tab/>
        <w:t>a residence area;</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 </w:t>
      </w:r>
    </w:p>
    <w:p>
      <w:pPr>
        <w:pStyle w:val="yIndenta"/>
        <w:rPr>
          <w:snapToGrid w:val="0"/>
        </w:rPr>
      </w:pPr>
      <w:r>
        <w:rPr>
          <w:snapToGrid w:val="0"/>
        </w:rPr>
        <w:tab/>
        <w:t>(a)</w:t>
      </w:r>
      <w:r>
        <w:rPr>
          <w:snapToGrid w:val="0"/>
        </w:rPr>
        <w:tab/>
        <w:t>the mining tenement is, subject to paragraph (b), deemed for the purposes of this Schedule to have been granted under the repealed Act;</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Heading5"/>
        <w:outlineLvl w:val="9"/>
        <w:rPr>
          <w:snapToGrid w:val="0"/>
        </w:rPr>
      </w:pPr>
      <w:bookmarkStart w:id="1145" w:name="_Toc523620725"/>
      <w:bookmarkStart w:id="1146" w:name="_Toc38853879"/>
      <w:bookmarkStart w:id="1147" w:name="_Toc122328638"/>
      <w:r>
        <w:rPr>
          <w:snapToGrid w:val="0"/>
        </w:rPr>
        <w:t>9.</w:t>
      </w:r>
      <w:r>
        <w:rPr>
          <w:snapToGrid w:val="0"/>
        </w:rPr>
        <w:tab/>
        <w:t>Rights of holders of certain prospecting areas</w:t>
      </w:r>
      <w:bookmarkEnd w:id="1145"/>
      <w:bookmarkEnd w:id="1146"/>
      <w:bookmarkEnd w:id="1147"/>
      <w:r>
        <w:rPr>
          <w:snapToGrid w:val="0"/>
        </w:rPr>
        <w:t xml:space="preserve"> </w:t>
      </w:r>
    </w:p>
    <w:p>
      <w:pPr>
        <w:pStyle w:val="ySubsection"/>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Heading5"/>
        <w:outlineLvl w:val="9"/>
        <w:rPr>
          <w:snapToGrid w:val="0"/>
        </w:rPr>
      </w:pPr>
      <w:bookmarkStart w:id="1148" w:name="_Toc523620726"/>
      <w:bookmarkStart w:id="1149" w:name="_Toc38853880"/>
      <w:bookmarkStart w:id="1150" w:name="_Toc122328639"/>
      <w:r>
        <w:rPr>
          <w:snapToGrid w:val="0"/>
        </w:rPr>
        <w:t>10.</w:t>
      </w:r>
      <w:r>
        <w:rPr>
          <w:snapToGrid w:val="0"/>
        </w:rPr>
        <w:tab/>
        <w:t>Transitional provisions relating to mortgages</w:t>
      </w:r>
      <w:bookmarkEnd w:id="1148"/>
      <w:bookmarkEnd w:id="1149"/>
      <w:bookmarkEnd w:id="1150"/>
      <w:r>
        <w:rPr>
          <w:snapToGrid w:val="0"/>
        </w:rPr>
        <w:t xml:space="preserve"> </w:t>
      </w:r>
    </w:p>
    <w:p>
      <w:pPr>
        <w:pStyle w:val="ySubsection"/>
        <w:rPr>
          <w:snapToGrid w:val="0"/>
        </w:rPr>
      </w:pPr>
      <w:r>
        <w:rPr>
          <w:snapToGrid w:val="0"/>
        </w:rPr>
        <w:tab/>
        <w:t>(1)</w:t>
      </w:r>
      <w:r>
        <w:rPr>
          <w:snapToGrid w:val="0"/>
        </w:rPr>
        <w:tab/>
        <w:t>Subject to subclause (2), if — </w:t>
      </w:r>
    </w:p>
    <w:p>
      <w:pPr>
        <w:pStyle w:val="yIndenta"/>
        <w:rPr>
          <w:snapToGrid w:val="0"/>
        </w:rPr>
      </w:pPr>
      <w:r>
        <w:rPr>
          <w:snapToGrid w:val="0"/>
        </w:rPr>
        <w:tab/>
        <w:t>(a)</w:t>
      </w:r>
      <w:r>
        <w:rPr>
          <w:snapToGrid w:val="0"/>
        </w:rPr>
        <w:tab/>
        <w:t xml:space="preserve">a mining tenement (in this subclause and in subclause (2) referred to as the </w:t>
      </w:r>
      <w:r>
        <w:rPr>
          <w:b/>
          <w:snapToGrid w:val="0"/>
        </w:rPr>
        <w:t>“</w:t>
      </w:r>
      <w:r>
        <w:rPr>
          <w:rStyle w:val="CharDefText"/>
        </w:rPr>
        <w:t>new mining tenement</w:t>
      </w:r>
      <w:r>
        <w:rPr>
          <w:b/>
          <w:snapToGrid w:val="0"/>
        </w:rPr>
        <w:t>”</w:t>
      </w:r>
      <w:r>
        <w:rPr>
          <w:snapToGrid w:val="0"/>
        </w:rPr>
        <w:t xml:space="preserve">) is granted under this Schedule or section 5(3) in place of one or more mining tenements (in this subclause and in subclause (2) referred to as the </w:t>
      </w:r>
      <w:r>
        <w:rPr>
          <w:b/>
          <w:snapToGrid w:val="0"/>
        </w:rPr>
        <w:t>“</w:t>
      </w:r>
      <w:r>
        <w:rPr>
          <w:rStyle w:val="CharDefText"/>
        </w:rPr>
        <w:t>old mining tenement</w:t>
      </w:r>
      <w:r>
        <w:rPr>
          <w:b/>
          <w:snapToGrid w:val="0"/>
        </w:rPr>
        <w:t>”</w:t>
      </w:r>
      <w:r>
        <w:rPr>
          <w:snapToGrid w:val="0"/>
        </w:rPr>
        <w:t xml:space="preserve"> or the </w:t>
      </w:r>
      <w:r>
        <w:rPr>
          <w:b/>
          <w:snapToGrid w:val="0"/>
        </w:rPr>
        <w:t>“</w:t>
      </w:r>
      <w:r>
        <w:rPr>
          <w:rStyle w:val="CharDefText"/>
        </w:rPr>
        <w:t>old mining tenements</w:t>
      </w:r>
      <w:r>
        <w:rPr>
          <w:b/>
          <w:snapToGrid w:val="0"/>
        </w:rPr>
        <w:t>”</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Minerals and Energy</w:t>
      </w:r>
      <w:r>
        <w:rPr>
          <w:snapToGrid w:val="0"/>
          <w:vertAlign w:val="superscript"/>
        </w:rPr>
        <w:t xml:space="preserve"> 8</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Minerals and Energy</w:t>
      </w:r>
      <w:r>
        <w:rPr>
          <w:snapToGrid w:val="0"/>
          <w:vertAlign w:val="superscript"/>
        </w:rPr>
        <w:t xml:space="preserve"> 8</w:t>
      </w:r>
      <w:r>
        <w:rPr>
          <w:snapToGrid w:val="0"/>
        </w:rPr>
        <w:t>, in the order in which they appeared so registered immediately before their expiry and they shall have priority accordingly.</w:t>
      </w:r>
    </w:p>
    <w:p>
      <w:pPr>
        <w:pStyle w:val="ySubsection"/>
        <w:rPr>
          <w:snapToGrid w:val="0"/>
        </w:rPr>
      </w:pPr>
      <w:r>
        <w:rPr>
          <w:snapToGrid w:val="0"/>
        </w:rPr>
        <w:tab/>
        <w:t>(3)</w:t>
      </w:r>
      <w:r>
        <w:rPr>
          <w:snapToGrid w:val="0"/>
        </w:rPr>
        <w:tab/>
        <w:t xml:space="preserve">The holder of a mining tenement under the repealed Act (in this subclause called </w:t>
      </w:r>
      <w:r>
        <w:rPr>
          <w:b/>
          <w:snapToGrid w:val="0"/>
        </w:rPr>
        <w:t>“</w:t>
      </w:r>
      <w:r>
        <w:rPr>
          <w:rStyle w:val="CharDefText"/>
        </w:rPr>
        <w:t>the old mining tenement</w:t>
      </w:r>
      <w:r>
        <w:rPr>
          <w:b/>
          <w:snapToGrid w:val="0"/>
        </w:rPr>
        <w:t>”</w:t>
      </w:r>
      <w:r>
        <w:rPr>
          <w:snapToGrid w:val="0"/>
        </w:rPr>
        <w:t xml:space="preserve">) who is empowered by this Schedule or by section 5(3) to apply for a mining tenement under this Act (in this subclause called </w:t>
      </w:r>
      <w:r>
        <w:rPr>
          <w:b/>
          <w:snapToGrid w:val="0"/>
        </w:rPr>
        <w:t>“</w:t>
      </w:r>
      <w:r>
        <w:rPr>
          <w:rStyle w:val="CharDefText"/>
        </w:rPr>
        <w:t>the new mining tenement</w:t>
      </w:r>
      <w:r>
        <w:rPr>
          <w:b/>
          <w:snapToGrid w:val="0"/>
        </w:rPr>
        <w: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rPr>
          <w:snapToGrid w:val="0"/>
        </w:rPr>
      </w:pPr>
      <w:r>
        <w:rPr>
          <w:snapToGrid w:val="0"/>
        </w:rPr>
        <w:tab/>
        <w:t>(5)</w:t>
      </w:r>
      <w:r>
        <w:rPr>
          <w:snapToGrid w:val="0"/>
        </w:rPr>
        <w:tab/>
        <w:t>An encumbrance, not being a mortgage, on a mineral claim or dredging claim —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Heading5"/>
        <w:outlineLvl w:val="9"/>
        <w:rPr>
          <w:snapToGrid w:val="0"/>
        </w:rPr>
      </w:pPr>
      <w:bookmarkStart w:id="1151" w:name="_Toc523620727"/>
      <w:bookmarkStart w:id="1152" w:name="_Toc38853881"/>
      <w:bookmarkStart w:id="1153" w:name="_Toc122328640"/>
      <w:r>
        <w:rPr>
          <w:snapToGrid w:val="0"/>
        </w:rPr>
        <w:t>11.</w:t>
      </w:r>
      <w:r>
        <w:rPr>
          <w:snapToGrid w:val="0"/>
        </w:rPr>
        <w:tab/>
        <w:t>Officers</w:t>
      </w:r>
      <w:bookmarkEnd w:id="1151"/>
      <w:bookmarkEnd w:id="1152"/>
      <w:bookmarkEnd w:id="1153"/>
      <w:r>
        <w:rPr>
          <w:snapToGrid w:val="0"/>
        </w:rPr>
        <w:t xml:space="preserve"> </w:t>
      </w:r>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Heading5"/>
        <w:outlineLvl w:val="9"/>
        <w:rPr>
          <w:snapToGrid w:val="0"/>
        </w:rPr>
      </w:pPr>
      <w:bookmarkStart w:id="1154" w:name="_Toc523620728"/>
      <w:bookmarkStart w:id="1155" w:name="_Toc38853882"/>
      <w:bookmarkStart w:id="1156" w:name="_Toc122328641"/>
      <w:r>
        <w:rPr>
          <w:snapToGrid w:val="0"/>
        </w:rPr>
        <w:t>12.</w:t>
      </w:r>
      <w:r>
        <w:rPr>
          <w:snapToGrid w:val="0"/>
        </w:rPr>
        <w:tab/>
        <w:t>Warden’s courts and warden’s offices</w:t>
      </w:r>
      <w:bookmarkEnd w:id="1154"/>
      <w:bookmarkEnd w:id="1155"/>
      <w:bookmarkEnd w:id="1156"/>
      <w:r>
        <w:rPr>
          <w:snapToGrid w:val="0"/>
        </w:rPr>
        <w:t xml:space="preserve"> </w:t>
      </w:r>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Heading5"/>
        <w:outlineLvl w:val="9"/>
        <w:rPr>
          <w:snapToGrid w:val="0"/>
        </w:rPr>
      </w:pPr>
      <w:bookmarkStart w:id="1157" w:name="_Toc523620729"/>
      <w:bookmarkStart w:id="1158" w:name="_Toc38853883"/>
      <w:bookmarkStart w:id="1159" w:name="_Toc122328642"/>
      <w:r>
        <w:rPr>
          <w:snapToGrid w:val="0"/>
        </w:rPr>
        <w:t>13.</w:t>
      </w:r>
      <w:r>
        <w:rPr>
          <w:snapToGrid w:val="0"/>
        </w:rPr>
        <w:tab/>
        <w:t>Lodging of certain applications</w:t>
      </w:r>
      <w:bookmarkEnd w:id="1157"/>
      <w:bookmarkEnd w:id="1158"/>
      <w:bookmarkEnd w:id="1159"/>
      <w:r>
        <w:rPr>
          <w:snapToGrid w:val="0"/>
        </w:rPr>
        <w:t xml:space="preserve"> </w:t>
      </w:r>
    </w:p>
    <w:p>
      <w:pPr>
        <w:pStyle w:val="ySubsection"/>
        <w:rPr>
          <w:snapToGrid w:val="0"/>
        </w:rPr>
      </w:pPr>
      <w:r>
        <w:rPr>
          <w:snapToGrid w:val="0"/>
        </w:rPr>
        <w:tab/>
      </w:r>
      <w:r>
        <w:rPr>
          <w:snapToGrid w:val="0"/>
        </w:rPr>
        <w:tab/>
        <w:t>A person making an application for a mining tenement to the Minister under this Schedule or section 5(3) shall lodge that application at the office of the mining registrar.</w:t>
      </w:r>
    </w:p>
    <w:p>
      <w:pPr>
        <w:pStyle w:val="yHeading5"/>
        <w:outlineLvl w:val="9"/>
        <w:rPr>
          <w:snapToGrid w:val="0"/>
        </w:rPr>
      </w:pPr>
      <w:bookmarkStart w:id="1160" w:name="_Toc523620730"/>
      <w:bookmarkStart w:id="1161" w:name="_Toc38853884"/>
      <w:bookmarkStart w:id="1162" w:name="_Toc122328643"/>
      <w:r>
        <w:rPr>
          <w:snapToGrid w:val="0"/>
        </w:rPr>
        <w:t>13A.</w:t>
      </w:r>
      <w:r>
        <w:rPr>
          <w:snapToGrid w:val="0"/>
        </w:rPr>
        <w:tab/>
        <w:t>Consents to follow the land</w:t>
      </w:r>
      <w:bookmarkEnd w:id="1160"/>
      <w:bookmarkEnd w:id="1161"/>
      <w:bookmarkEnd w:id="1162"/>
      <w:r>
        <w:rPr>
          <w:snapToGrid w:val="0"/>
        </w:rPr>
        <w:t xml:space="preserve"> </w:t>
      </w:r>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Heading5"/>
        <w:spacing w:before="120"/>
        <w:outlineLvl w:val="9"/>
        <w:rPr>
          <w:snapToGrid w:val="0"/>
        </w:rPr>
      </w:pPr>
      <w:bookmarkStart w:id="1163" w:name="_Toc523620731"/>
      <w:bookmarkStart w:id="1164" w:name="_Toc38853885"/>
      <w:bookmarkStart w:id="1165" w:name="_Toc122328644"/>
      <w:r>
        <w:rPr>
          <w:snapToGrid w:val="0"/>
        </w:rPr>
        <w:t>14.</w:t>
      </w:r>
      <w:r>
        <w:rPr>
          <w:snapToGrid w:val="0"/>
        </w:rPr>
        <w:tab/>
        <w:t>References to repealed Act</w:t>
      </w:r>
      <w:bookmarkEnd w:id="1163"/>
      <w:bookmarkEnd w:id="1164"/>
      <w:bookmarkEnd w:id="1165"/>
      <w:r>
        <w:rPr>
          <w:snapToGrid w:val="0"/>
        </w:rPr>
        <w:t xml:space="preserve"> </w:t>
      </w:r>
    </w:p>
    <w:p>
      <w:pPr>
        <w:pStyle w:val="ySubsection"/>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Heading5"/>
        <w:spacing w:before="120"/>
        <w:outlineLvl w:val="9"/>
        <w:rPr>
          <w:snapToGrid w:val="0"/>
        </w:rPr>
      </w:pPr>
      <w:bookmarkStart w:id="1166" w:name="_Toc523620732"/>
      <w:bookmarkStart w:id="1167" w:name="_Toc38853886"/>
      <w:bookmarkStart w:id="1168" w:name="_Toc122328645"/>
      <w:r>
        <w:rPr>
          <w:snapToGrid w:val="0"/>
        </w:rPr>
        <w:t>15.</w:t>
      </w:r>
      <w:r>
        <w:rPr>
          <w:snapToGrid w:val="0"/>
        </w:rPr>
        <w:tab/>
        <w:t>Prevention of anomalies during transitional period</w:t>
      </w:r>
      <w:bookmarkEnd w:id="1166"/>
      <w:bookmarkEnd w:id="1167"/>
      <w:bookmarkEnd w:id="1168"/>
      <w:r>
        <w:rPr>
          <w:snapToGrid w:val="0"/>
        </w:rPr>
        <w:t xml:space="preserve"> </w:t>
      </w:r>
    </w:p>
    <w:p>
      <w:pPr>
        <w:pStyle w:val="ySubsection"/>
        <w:rPr>
          <w:snapToGrid w:val="0"/>
        </w:rPr>
      </w:pPr>
      <w:r>
        <w:rPr>
          <w:snapToGrid w:val="0"/>
        </w:rPr>
        <w:tab/>
      </w:r>
      <w:r>
        <w:rPr>
          <w:snapToGrid w:val="0"/>
        </w:rPr>
        <w:tab/>
        <w:t>If any difficulty arises with respect to the foregoing transitional provisions in this Schedule the Governor may by Order in Council —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[Second Schedule inserted by No. 69 of 1981 s. 29; amended by No. 122 of 1982 s. 30; No. 100 of 1985 s. 110; No. 105 of 1986 s. 27; No. 126 of 1987 s. 124; No. 37 of 1993 s. 25 and 26; modified in Gazette 18 Dec 1981 p. 5274; 16 Jul 1982 p. 2829; 15 May 1987 p. 2161</w:t>
      </w:r>
      <w:r>
        <w:noBreakHyphen/>
        <w:t xml:space="preserve">2; 20 Nov 1987 p. 4239.] </w:t>
      </w:r>
    </w:p>
    <w:p>
      <w:pPr>
        <w:pStyle w:val="yScheduleHeading"/>
      </w:pPr>
      <w:bookmarkStart w:id="1169" w:name="_Toc38853887"/>
      <w:bookmarkStart w:id="1170" w:name="_Toc121560205"/>
      <w:bookmarkStart w:id="1171" w:name="_Toc122328646"/>
      <w:r>
        <w:rPr>
          <w:rStyle w:val="CharSchNo"/>
        </w:rPr>
        <w:t>Third Schedule</w:t>
      </w:r>
      <w:bookmarkEnd w:id="1169"/>
      <w:bookmarkEnd w:id="1170"/>
      <w:bookmarkEnd w:id="1171"/>
    </w:p>
    <w:p>
      <w:pPr>
        <w:pStyle w:val="yShoulderClause"/>
        <w:rPr>
          <w:snapToGrid w:val="0"/>
        </w:rPr>
      </w:pPr>
      <w:r>
        <w:rPr>
          <w:snapToGrid w:val="0"/>
        </w:rPr>
        <w:t>[S. 27.]</w:t>
      </w:r>
    </w:p>
    <w:p>
      <w:pPr>
        <w:pStyle w:val="ySubsection"/>
        <w:tabs>
          <w:tab w:val="clear" w:pos="595"/>
          <w:tab w:val="clear" w:pos="879"/>
        </w:tabs>
        <w:ind w:left="0" w:firstLine="0"/>
        <w:rPr>
          <w:snapToGrid w:val="0"/>
        </w:rPr>
      </w:pPr>
      <w:r>
        <w:rPr>
          <w:snapToGrid w:val="0"/>
        </w:rPr>
        <w:t>East Locations 36, 41, 48, 51, 53, 55, 57, 59, 32, 35, 39, 40, 42, 44, 45, 50, 37, 61, 62.</w:t>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1172" w:name="_Toc87427776"/>
      <w:bookmarkStart w:id="1173" w:name="_Toc87851351"/>
      <w:bookmarkStart w:id="1174" w:name="_Toc88295574"/>
      <w:bookmarkStart w:id="1175" w:name="_Toc89519233"/>
      <w:bookmarkStart w:id="1176" w:name="_Toc90869358"/>
      <w:bookmarkStart w:id="1177" w:name="_Toc91408130"/>
      <w:bookmarkStart w:id="1178" w:name="_Toc92863874"/>
      <w:bookmarkStart w:id="1179" w:name="_Toc95015242"/>
      <w:bookmarkStart w:id="1180" w:name="_Toc95106949"/>
      <w:bookmarkStart w:id="1181" w:name="_Toc97018749"/>
      <w:bookmarkStart w:id="1182" w:name="_Toc101693704"/>
      <w:bookmarkStart w:id="1183" w:name="_Toc103130571"/>
      <w:bookmarkStart w:id="1184" w:name="_Toc104711221"/>
      <w:bookmarkStart w:id="1185" w:name="_Toc121560206"/>
      <w:bookmarkStart w:id="1186" w:name="_Toc122328647"/>
      <w:r>
        <w:t>Notes</w:t>
      </w:r>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p>
    <w:p>
      <w:pPr>
        <w:pStyle w:val="nSubsection"/>
        <w:rPr>
          <w:snapToGrid w:val="0"/>
        </w:rPr>
      </w:pPr>
      <w:r>
        <w:rPr>
          <w:snapToGrid w:val="0"/>
          <w:vertAlign w:val="superscript"/>
        </w:rPr>
        <w:t>1</w:t>
      </w:r>
      <w:r>
        <w:rPr>
          <w:snapToGrid w:val="0"/>
        </w:rPr>
        <w:tab/>
        <w:t xml:space="preserve">This is a compilation of the </w:t>
      </w:r>
      <w:r>
        <w:rPr>
          <w:i/>
          <w:snapToGrid w:val="0"/>
        </w:rPr>
        <w:t>Mining Act 1978</w:t>
      </w:r>
      <w:r>
        <w:rPr>
          <w:snapToGrid w:val="0"/>
        </w:rPr>
        <w:t xml:space="preserve"> and includes the amendments made by the other written laws referred to in the following table </w:t>
      </w:r>
      <w:r>
        <w:rPr>
          <w:snapToGrid w:val="0"/>
          <w:vertAlign w:val="superscript"/>
        </w:rPr>
        <w:t>1a</w:t>
      </w:r>
      <w:r>
        <w:rPr>
          <w:snapToGrid w:val="0"/>
        </w:rPr>
        <w:t>. The table also includes information about any reprint.</w:t>
      </w:r>
    </w:p>
    <w:p>
      <w:pPr>
        <w:pStyle w:val="nHeading3"/>
        <w:rPr>
          <w:snapToGrid w:val="0"/>
        </w:rPr>
      </w:pPr>
      <w:bookmarkStart w:id="1187" w:name="_Toc38853888"/>
      <w:bookmarkStart w:id="1188" w:name="_Toc122328648"/>
      <w:r>
        <w:rPr>
          <w:snapToGrid w:val="0"/>
        </w:rPr>
        <w:t>Compilation table</w:t>
      </w:r>
      <w:bookmarkEnd w:id="1187"/>
      <w:bookmarkEnd w:id="1188"/>
    </w:p>
    <w:tbl>
      <w:tblPr>
        <w:tblW w:w="7088" w:type="dxa"/>
        <w:tblInd w:w="56" w:type="dxa"/>
        <w:tblLayout w:type="fixed"/>
        <w:tblCellMar>
          <w:left w:w="56" w:type="dxa"/>
          <w:right w:w="56" w:type="dxa"/>
        </w:tblCellMar>
        <w:tblLook w:val="0000" w:firstRow="0" w:lastRow="0" w:firstColumn="0" w:lastColumn="0" w:noHBand="0" w:noVBand="0"/>
      </w:tblPr>
      <w:tblGrid>
        <w:gridCol w:w="2240"/>
        <w:gridCol w:w="28"/>
        <w:gridCol w:w="1106"/>
        <w:gridCol w:w="28"/>
        <w:gridCol w:w="1106"/>
        <w:gridCol w:w="28"/>
        <w:gridCol w:w="2552"/>
      </w:tblGrid>
      <w:tr>
        <w:trPr>
          <w:cantSplit/>
          <w:tblHeader/>
        </w:trPr>
        <w:tc>
          <w:tcPr>
            <w:tcW w:w="2240"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Assent</w:t>
            </w:r>
          </w:p>
        </w:tc>
        <w:tc>
          <w:tcPr>
            <w:tcW w:w="2580" w:type="dxa"/>
            <w:gridSpan w:val="2"/>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40" w:type="dxa"/>
          </w:tcPr>
          <w:p>
            <w:pPr>
              <w:pStyle w:val="nTable"/>
              <w:spacing w:before="120"/>
              <w:ind w:right="113"/>
              <w:rPr>
                <w:sz w:val="19"/>
              </w:rPr>
            </w:pPr>
            <w:r>
              <w:rPr>
                <w:i/>
                <w:sz w:val="19"/>
              </w:rPr>
              <w:t>Mining Act 1978</w:t>
            </w:r>
          </w:p>
        </w:tc>
        <w:tc>
          <w:tcPr>
            <w:tcW w:w="1134" w:type="dxa"/>
            <w:gridSpan w:val="2"/>
          </w:tcPr>
          <w:p>
            <w:pPr>
              <w:pStyle w:val="nTable"/>
              <w:spacing w:before="120"/>
              <w:rPr>
                <w:sz w:val="19"/>
              </w:rPr>
            </w:pPr>
            <w:r>
              <w:rPr>
                <w:sz w:val="19"/>
              </w:rPr>
              <w:t>107 of 1978</w:t>
            </w:r>
          </w:p>
        </w:tc>
        <w:tc>
          <w:tcPr>
            <w:tcW w:w="1134" w:type="dxa"/>
            <w:gridSpan w:val="2"/>
          </w:tcPr>
          <w:p>
            <w:pPr>
              <w:pStyle w:val="nTable"/>
              <w:spacing w:before="120"/>
              <w:rPr>
                <w:sz w:val="19"/>
              </w:rPr>
            </w:pPr>
            <w:r>
              <w:rPr>
                <w:sz w:val="19"/>
              </w:rPr>
              <w:t>8 Dec 1978</w:t>
            </w:r>
          </w:p>
        </w:tc>
        <w:tc>
          <w:tcPr>
            <w:tcW w:w="2580" w:type="dxa"/>
            <w:gridSpan w:val="2"/>
          </w:tcPr>
          <w:p>
            <w:pPr>
              <w:pStyle w:val="nTable"/>
              <w:spacing w:before="120"/>
              <w:rPr>
                <w:sz w:val="19"/>
              </w:rPr>
            </w:pPr>
            <w:r>
              <w:rPr>
                <w:sz w:val="19"/>
              </w:rPr>
              <w:t xml:space="preserve">Long title, heading to Pt. I, s. 1 and 2, heading to, and cl. 3 of, the Second Sch: 8 Dec 1978 (see s. 2(1)); </w:t>
            </w:r>
            <w:r>
              <w:rPr>
                <w:sz w:val="19"/>
              </w:rPr>
              <w:br/>
              <w:t xml:space="preserve">balance: 1 Jan 1982 (see s. 2(2) and </w:t>
            </w:r>
            <w:r>
              <w:rPr>
                <w:i/>
                <w:sz w:val="19"/>
              </w:rPr>
              <w:t>Gazette</w:t>
            </w:r>
            <w:r>
              <w:rPr>
                <w:sz w:val="19"/>
              </w:rPr>
              <w:t xml:space="preserve"> 11 Dec 1981 p. 5085)</w:t>
            </w:r>
          </w:p>
        </w:tc>
      </w:tr>
      <w:tr>
        <w:trPr>
          <w:cantSplit/>
        </w:trPr>
        <w:tc>
          <w:tcPr>
            <w:tcW w:w="2240" w:type="dxa"/>
          </w:tcPr>
          <w:p>
            <w:pPr>
              <w:pStyle w:val="nTable"/>
              <w:spacing w:before="120"/>
              <w:ind w:right="113"/>
              <w:rPr>
                <w:sz w:val="19"/>
              </w:rPr>
            </w:pPr>
            <w:r>
              <w:rPr>
                <w:i/>
                <w:sz w:val="19"/>
              </w:rPr>
              <w:t xml:space="preserve">Acts Amendment (Mining) Act 1981 </w:t>
            </w:r>
            <w:r>
              <w:rPr>
                <w:sz w:val="19"/>
              </w:rPr>
              <w:t>Pt. II</w:t>
            </w:r>
          </w:p>
        </w:tc>
        <w:tc>
          <w:tcPr>
            <w:tcW w:w="1134" w:type="dxa"/>
            <w:gridSpan w:val="2"/>
          </w:tcPr>
          <w:p>
            <w:pPr>
              <w:pStyle w:val="nTable"/>
              <w:spacing w:before="120"/>
              <w:rPr>
                <w:sz w:val="19"/>
              </w:rPr>
            </w:pPr>
            <w:r>
              <w:rPr>
                <w:sz w:val="19"/>
              </w:rPr>
              <w:t>69 of 1981</w:t>
            </w:r>
          </w:p>
        </w:tc>
        <w:tc>
          <w:tcPr>
            <w:tcW w:w="1134" w:type="dxa"/>
            <w:gridSpan w:val="2"/>
          </w:tcPr>
          <w:p>
            <w:pPr>
              <w:pStyle w:val="nTable"/>
              <w:spacing w:before="120"/>
              <w:rPr>
                <w:sz w:val="19"/>
              </w:rPr>
            </w:pPr>
            <w:r>
              <w:rPr>
                <w:sz w:val="19"/>
              </w:rPr>
              <w:t>30 Oct 1981</w:t>
            </w:r>
          </w:p>
        </w:tc>
        <w:tc>
          <w:tcPr>
            <w:tcW w:w="2580" w:type="dxa"/>
            <w:gridSpan w:val="2"/>
          </w:tcPr>
          <w:p>
            <w:pPr>
              <w:pStyle w:val="nTable"/>
              <w:spacing w:before="120"/>
              <w:rPr>
                <w:sz w:val="19"/>
              </w:rPr>
            </w:pPr>
            <w:r>
              <w:rPr>
                <w:sz w:val="19"/>
              </w:rPr>
              <w:t>30 Oct 1981</w:t>
            </w:r>
          </w:p>
        </w:tc>
      </w:tr>
      <w:tr>
        <w:trPr>
          <w:cantSplit/>
        </w:trPr>
        <w:tc>
          <w:tcPr>
            <w:tcW w:w="7088" w:type="dxa"/>
            <w:gridSpan w:val="7"/>
          </w:tcPr>
          <w:p>
            <w:pPr>
              <w:pStyle w:val="nTable"/>
              <w:spacing w:before="120"/>
              <w:rPr>
                <w:sz w:val="19"/>
              </w:rPr>
            </w:pPr>
            <w:r>
              <w:rPr>
                <w:b/>
                <w:sz w:val="19"/>
              </w:rPr>
              <w:t xml:space="preserve">Reprint of the </w:t>
            </w:r>
            <w:r>
              <w:rPr>
                <w:b/>
                <w:i/>
                <w:sz w:val="19"/>
              </w:rPr>
              <w:t>Mining Act 1978</w:t>
            </w:r>
            <w:r>
              <w:rPr>
                <w:b/>
                <w:sz w:val="19"/>
              </w:rPr>
              <w:t xml:space="preserve"> approved 11 Dec 1981</w:t>
            </w:r>
            <w:r>
              <w:rPr>
                <w:sz w:val="19"/>
              </w:rPr>
              <w:t xml:space="preserve"> (includes amendments listed above)</w:t>
            </w:r>
          </w:p>
        </w:tc>
      </w:tr>
      <w:tr>
        <w:trPr>
          <w:cantSplit/>
        </w:trPr>
        <w:tc>
          <w:tcPr>
            <w:tcW w:w="4508" w:type="dxa"/>
            <w:gridSpan w:val="5"/>
          </w:tcPr>
          <w:p>
            <w:pPr>
              <w:pStyle w:val="nTable"/>
              <w:spacing w:before="120"/>
            </w:pPr>
            <w:r>
              <w:rPr>
                <w:i/>
                <w:sz w:val="19"/>
              </w:rPr>
              <w:t>Mining (Anomalies Prevention) Order 1981</w:t>
            </w:r>
            <w:r>
              <w:rPr>
                <w:sz w:val="19"/>
              </w:rPr>
              <w:t xml:space="preserve"> </w:t>
            </w:r>
            <w:r>
              <w:rPr>
                <w:sz w:val="19"/>
              </w:rPr>
              <w:br/>
              <w:t xml:space="preserve">(see </w:t>
            </w:r>
            <w:r>
              <w:rPr>
                <w:i/>
                <w:sz w:val="19"/>
              </w:rPr>
              <w:t>Gazette</w:t>
            </w:r>
            <w:r>
              <w:rPr>
                <w:sz w:val="19"/>
              </w:rPr>
              <w:t xml:space="preserve"> 18</w:t>
            </w:r>
            <w:r>
              <w:t> Dec 1981 p. 5274)</w:t>
            </w:r>
          </w:p>
        </w:tc>
        <w:tc>
          <w:tcPr>
            <w:tcW w:w="2580" w:type="dxa"/>
            <w:gridSpan w:val="2"/>
          </w:tcPr>
          <w:p>
            <w:pPr>
              <w:pStyle w:val="nTable"/>
              <w:spacing w:before="120"/>
              <w:rPr>
                <w:sz w:val="19"/>
              </w:rPr>
            </w:pPr>
            <w:r>
              <w:rPr>
                <w:sz w:val="19"/>
              </w:rPr>
              <w:t>1 Jan 1982 (see cl. 3)</w:t>
            </w:r>
          </w:p>
        </w:tc>
      </w:tr>
      <w:tr>
        <w:trPr>
          <w:cantSplit/>
        </w:trPr>
        <w:tc>
          <w:tcPr>
            <w:tcW w:w="2240" w:type="dxa"/>
          </w:tcPr>
          <w:p>
            <w:pPr>
              <w:pStyle w:val="nTable"/>
              <w:spacing w:before="120"/>
              <w:ind w:right="113"/>
              <w:rPr>
                <w:sz w:val="19"/>
              </w:rPr>
            </w:pPr>
            <w:r>
              <w:rPr>
                <w:i/>
                <w:sz w:val="19"/>
              </w:rPr>
              <w:t xml:space="preserve">Companies (Consequential Amendments) Act 1982 </w:t>
            </w:r>
            <w:r>
              <w:rPr>
                <w:sz w:val="19"/>
              </w:rPr>
              <w:t>s. 28</w:t>
            </w:r>
          </w:p>
        </w:tc>
        <w:tc>
          <w:tcPr>
            <w:tcW w:w="1134" w:type="dxa"/>
            <w:gridSpan w:val="2"/>
          </w:tcPr>
          <w:p>
            <w:pPr>
              <w:pStyle w:val="nTable"/>
              <w:spacing w:before="120"/>
              <w:rPr>
                <w:sz w:val="19"/>
              </w:rPr>
            </w:pPr>
            <w:r>
              <w:rPr>
                <w:sz w:val="19"/>
              </w:rPr>
              <w:t>10 of 1982</w:t>
            </w:r>
          </w:p>
        </w:tc>
        <w:tc>
          <w:tcPr>
            <w:tcW w:w="1134" w:type="dxa"/>
            <w:gridSpan w:val="2"/>
          </w:tcPr>
          <w:p>
            <w:pPr>
              <w:pStyle w:val="nTable"/>
              <w:spacing w:before="120"/>
              <w:rPr>
                <w:sz w:val="19"/>
              </w:rPr>
            </w:pPr>
            <w:r>
              <w:rPr>
                <w:sz w:val="19"/>
              </w:rPr>
              <w:t>14 May 1982</w:t>
            </w:r>
          </w:p>
        </w:tc>
        <w:tc>
          <w:tcPr>
            <w:tcW w:w="2580" w:type="dxa"/>
            <w:gridSpan w:val="2"/>
          </w:tcPr>
          <w:p>
            <w:pPr>
              <w:pStyle w:val="nTable"/>
              <w:spacing w:before="120"/>
              <w:rPr>
                <w:sz w:val="19"/>
              </w:rPr>
            </w:pPr>
            <w:r>
              <w:rPr>
                <w:sz w:val="19"/>
              </w:rPr>
              <w:t xml:space="preserve">1 Jul 1982 (see s. 2(1) and </w:t>
            </w:r>
            <w:r>
              <w:rPr>
                <w:i/>
                <w:sz w:val="19"/>
              </w:rPr>
              <w:t>Gazette</w:t>
            </w:r>
            <w:r>
              <w:rPr>
                <w:sz w:val="19"/>
              </w:rPr>
              <w:t xml:space="preserve"> 25 June 1982 p. 2079)</w:t>
            </w:r>
          </w:p>
        </w:tc>
      </w:tr>
      <w:tr>
        <w:trPr>
          <w:cantSplit/>
        </w:trPr>
        <w:tc>
          <w:tcPr>
            <w:tcW w:w="4508" w:type="dxa"/>
            <w:gridSpan w:val="5"/>
          </w:tcPr>
          <w:p>
            <w:pPr>
              <w:pStyle w:val="nTable"/>
              <w:spacing w:before="120"/>
            </w:pPr>
            <w:r>
              <w:rPr>
                <w:i/>
                <w:sz w:val="19"/>
              </w:rPr>
              <w:t>Mining (Anomalies Prevention) Order 1982</w:t>
            </w:r>
            <w:r>
              <w:rPr>
                <w:sz w:val="19"/>
              </w:rPr>
              <w:t xml:space="preserve"> </w:t>
            </w:r>
            <w:r>
              <w:rPr>
                <w:sz w:val="19"/>
              </w:rPr>
              <w:br/>
              <w:t xml:space="preserve">(see </w:t>
            </w:r>
            <w:r>
              <w:rPr>
                <w:i/>
                <w:sz w:val="19"/>
              </w:rPr>
              <w:t>Gazette</w:t>
            </w:r>
            <w:r>
              <w:rPr>
                <w:sz w:val="19"/>
              </w:rPr>
              <w:t xml:space="preserve"> 16</w:t>
            </w:r>
            <w:r>
              <w:t> Jul 1982 p. 2829)</w:t>
            </w:r>
          </w:p>
        </w:tc>
        <w:tc>
          <w:tcPr>
            <w:tcW w:w="2580" w:type="dxa"/>
            <w:gridSpan w:val="2"/>
          </w:tcPr>
          <w:p>
            <w:pPr>
              <w:pStyle w:val="nTable"/>
              <w:spacing w:before="120"/>
              <w:rPr>
                <w:sz w:val="19"/>
              </w:rPr>
            </w:pPr>
            <w:r>
              <w:rPr>
                <w:sz w:val="19"/>
              </w:rPr>
              <w:t>16 Jul 1982</w:t>
            </w:r>
          </w:p>
        </w:tc>
      </w:tr>
      <w:tr>
        <w:trPr>
          <w:cantSplit/>
        </w:trPr>
        <w:tc>
          <w:tcPr>
            <w:tcW w:w="2240" w:type="dxa"/>
          </w:tcPr>
          <w:p>
            <w:pPr>
              <w:pStyle w:val="nTable"/>
              <w:spacing w:before="120"/>
              <w:ind w:right="113"/>
              <w:rPr>
                <w:sz w:val="19"/>
              </w:rPr>
            </w:pPr>
            <w:r>
              <w:rPr>
                <w:i/>
                <w:sz w:val="19"/>
              </w:rPr>
              <w:t xml:space="preserve">Acts Amendment (Mining) Act 1982 </w:t>
            </w:r>
            <w:r>
              <w:rPr>
                <w:sz w:val="19"/>
              </w:rPr>
              <w:t>Pt. II</w:t>
            </w:r>
          </w:p>
        </w:tc>
        <w:tc>
          <w:tcPr>
            <w:tcW w:w="1134" w:type="dxa"/>
            <w:gridSpan w:val="2"/>
          </w:tcPr>
          <w:p>
            <w:pPr>
              <w:pStyle w:val="nTable"/>
              <w:spacing w:before="120"/>
              <w:rPr>
                <w:sz w:val="19"/>
              </w:rPr>
            </w:pPr>
            <w:r>
              <w:rPr>
                <w:sz w:val="19"/>
              </w:rPr>
              <w:t>122 of 1982</w:t>
            </w:r>
          </w:p>
        </w:tc>
        <w:tc>
          <w:tcPr>
            <w:tcW w:w="1134" w:type="dxa"/>
            <w:gridSpan w:val="2"/>
          </w:tcPr>
          <w:p>
            <w:pPr>
              <w:pStyle w:val="nTable"/>
              <w:spacing w:before="120"/>
              <w:rPr>
                <w:sz w:val="19"/>
              </w:rPr>
            </w:pPr>
            <w:r>
              <w:rPr>
                <w:sz w:val="19"/>
              </w:rPr>
              <w:t>10 Dec 1982</w:t>
            </w:r>
          </w:p>
        </w:tc>
        <w:tc>
          <w:tcPr>
            <w:tcW w:w="2580" w:type="dxa"/>
            <w:gridSpan w:val="2"/>
          </w:tcPr>
          <w:p>
            <w:pPr>
              <w:pStyle w:val="nTable"/>
              <w:spacing w:before="120"/>
              <w:rPr>
                <w:sz w:val="19"/>
              </w:rPr>
            </w:pPr>
            <w:r>
              <w:rPr>
                <w:sz w:val="19"/>
              </w:rPr>
              <w:t>s. 30(d): deemed operative 1 Jan 1982 (see s. 2(2)); balance of Pt. II: 10 Dec 1982 (see s. 2(1))</w:t>
            </w:r>
          </w:p>
        </w:tc>
      </w:tr>
      <w:tr>
        <w:trPr>
          <w:cantSplit/>
        </w:trPr>
        <w:tc>
          <w:tcPr>
            <w:tcW w:w="2240" w:type="dxa"/>
          </w:tcPr>
          <w:p>
            <w:pPr>
              <w:pStyle w:val="nTable"/>
              <w:spacing w:before="120"/>
              <w:ind w:right="113"/>
              <w:rPr>
                <w:sz w:val="19"/>
              </w:rPr>
            </w:pPr>
            <w:r>
              <w:rPr>
                <w:i/>
                <w:sz w:val="19"/>
              </w:rPr>
              <w:t>Mining Amendment Act 1983</w:t>
            </w:r>
          </w:p>
        </w:tc>
        <w:tc>
          <w:tcPr>
            <w:tcW w:w="1134" w:type="dxa"/>
            <w:gridSpan w:val="2"/>
          </w:tcPr>
          <w:p>
            <w:pPr>
              <w:pStyle w:val="nTable"/>
              <w:spacing w:before="120"/>
              <w:rPr>
                <w:sz w:val="19"/>
              </w:rPr>
            </w:pPr>
            <w:r>
              <w:rPr>
                <w:sz w:val="19"/>
              </w:rPr>
              <w:t>52 of 1983</w:t>
            </w:r>
          </w:p>
        </w:tc>
        <w:tc>
          <w:tcPr>
            <w:tcW w:w="1134" w:type="dxa"/>
            <w:gridSpan w:val="2"/>
          </w:tcPr>
          <w:p>
            <w:pPr>
              <w:pStyle w:val="nTable"/>
              <w:spacing w:before="120"/>
              <w:rPr>
                <w:sz w:val="19"/>
              </w:rPr>
            </w:pPr>
            <w:r>
              <w:rPr>
                <w:sz w:val="19"/>
              </w:rPr>
              <w:t>13 Dec 1983</w:t>
            </w:r>
          </w:p>
        </w:tc>
        <w:tc>
          <w:tcPr>
            <w:tcW w:w="2580" w:type="dxa"/>
            <w:gridSpan w:val="2"/>
          </w:tcPr>
          <w:p>
            <w:pPr>
              <w:pStyle w:val="nTable"/>
              <w:spacing w:before="120"/>
              <w:rPr>
                <w:sz w:val="19"/>
              </w:rPr>
            </w:pPr>
            <w:r>
              <w:rPr>
                <w:sz w:val="19"/>
              </w:rPr>
              <w:t>1 Jan 1984 (see s. 2 and </w:t>
            </w:r>
            <w:r>
              <w:rPr>
                <w:i/>
                <w:sz w:val="19"/>
              </w:rPr>
              <w:t>Gazette</w:t>
            </w:r>
            <w:r>
              <w:rPr>
                <w:sz w:val="19"/>
              </w:rPr>
              <w:t xml:space="preserve"> 23 Dec 1983 p. 4934)</w:t>
            </w:r>
          </w:p>
        </w:tc>
      </w:tr>
      <w:tr>
        <w:trPr>
          <w:cantSplit/>
        </w:trPr>
        <w:tc>
          <w:tcPr>
            <w:tcW w:w="2240" w:type="dxa"/>
          </w:tcPr>
          <w:p>
            <w:pPr>
              <w:pStyle w:val="nTable"/>
              <w:spacing w:before="120"/>
              <w:ind w:right="113"/>
              <w:rPr>
                <w:sz w:val="19"/>
                <w:vertAlign w:val="superscript"/>
              </w:rPr>
            </w:pPr>
            <w:r>
              <w:rPr>
                <w:i/>
                <w:sz w:val="19"/>
              </w:rPr>
              <w:t>Mining Amendment Act 1985</w:t>
            </w:r>
            <w:r>
              <w:rPr>
                <w:i/>
                <w:sz w:val="19"/>
                <w:vertAlign w:val="superscript"/>
              </w:rPr>
              <w:t> </w:t>
            </w:r>
            <w:r>
              <w:rPr>
                <w:sz w:val="19"/>
                <w:vertAlign w:val="superscript"/>
              </w:rPr>
              <w:t>9</w:t>
            </w:r>
          </w:p>
        </w:tc>
        <w:tc>
          <w:tcPr>
            <w:tcW w:w="1134" w:type="dxa"/>
            <w:gridSpan w:val="2"/>
          </w:tcPr>
          <w:p>
            <w:pPr>
              <w:pStyle w:val="nTable"/>
              <w:spacing w:before="120"/>
              <w:rPr>
                <w:sz w:val="19"/>
              </w:rPr>
            </w:pPr>
            <w:r>
              <w:rPr>
                <w:sz w:val="19"/>
              </w:rPr>
              <w:t>100 of 1985 (as amended by No. 105 of 1986 Pt. II and by No. 22 of 1990 s. 39)</w:t>
            </w:r>
          </w:p>
        </w:tc>
        <w:tc>
          <w:tcPr>
            <w:tcW w:w="1134" w:type="dxa"/>
            <w:gridSpan w:val="2"/>
          </w:tcPr>
          <w:p>
            <w:pPr>
              <w:pStyle w:val="nTable"/>
              <w:spacing w:before="120"/>
              <w:rPr>
                <w:sz w:val="19"/>
              </w:rPr>
            </w:pPr>
            <w:r>
              <w:rPr>
                <w:sz w:val="19"/>
              </w:rPr>
              <w:t>4 Dec 1985</w:t>
            </w:r>
          </w:p>
        </w:tc>
        <w:tc>
          <w:tcPr>
            <w:tcW w:w="2580" w:type="dxa"/>
            <w:gridSpan w:val="2"/>
          </w:tcPr>
          <w:p>
            <w:pPr>
              <w:pStyle w:val="nTable"/>
              <w:spacing w:before="120"/>
              <w:rPr>
                <w:sz w:val="19"/>
              </w:rPr>
            </w:pPr>
            <w:r>
              <w:rPr>
                <w:sz w:val="19"/>
              </w:rPr>
              <w:t>s. 31, 34, 38, 59, 63, 68, 69</w:t>
            </w:r>
            <w:r>
              <w:rPr>
                <w:sz w:val="19"/>
              </w:rPr>
              <w:noBreakHyphen/>
              <w:t>71, 77</w:t>
            </w:r>
            <w:r>
              <w:rPr>
                <w:sz w:val="19"/>
              </w:rPr>
              <w:noBreakHyphen/>
              <w:t>80 and 96: 16 Oct 1987 (see s.</w:t>
            </w:r>
            <w:r>
              <w:rPr>
                <w:sz w:val="20"/>
              </w:rPr>
              <w:t xml:space="preserve"> 2 and </w:t>
            </w:r>
            <w:r>
              <w:rPr>
                <w:i/>
                <w:sz w:val="19"/>
              </w:rPr>
              <w:t>Gazette</w:t>
            </w:r>
            <w:r>
              <w:rPr>
                <w:sz w:val="19"/>
              </w:rPr>
              <w:t xml:space="preserve"> 16 Oct 1987 p. 3884);</w:t>
            </w:r>
            <w:r>
              <w:rPr>
                <w:sz w:val="19"/>
              </w:rPr>
              <w:br/>
              <w:t xml:space="preserve">balance: 31 Jan 1986 (see s. 2 and </w:t>
            </w:r>
            <w:r>
              <w:rPr>
                <w:i/>
                <w:sz w:val="19"/>
              </w:rPr>
              <w:t>Gazette</w:t>
            </w:r>
            <w:r>
              <w:rPr>
                <w:sz w:val="19"/>
              </w:rPr>
              <w:t xml:space="preserve"> 31 Jan 1986 p. 320)</w:t>
            </w:r>
          </w:p>
        </w:tc>
      </w:tr>
      <w:tr>
        <w:trPr>
          <w:cantSplit/>
        </w:trPr>
        <w:tc>
          <w:tcPr>
            <w:tcW w:w="2240" w:type="dxa"/>
          </w:tcPr>
          <w:p>
            <w:pPr>
              <w:pStyle w:val="nTable"/>
              <w:spacing w:before="120"/>
              <w:ind w:right="113"/>
              <w:rPr>
                <w:sz w:val="19"/>
              </w:rPr>
            </w:pPr>
            <w:r>
              <w:rPr>
                <w:i/>
                <w:sz w:val="19"/>
              </w:rPr>
              <w:t xml:space="preserve">Mining (Validation and Amendment) Act 1986 </w:t>
            </w:r>
            <w:r>
              <w:rPr>
                <w:sz w:val="19"/>
              </w:rPr>
              <w:t>Pt. III</w:t>
            </w:r>
          </w:p>
        </w:tc>
        <w:tc>
          <w:tcPr>
            <w:tcW w:w="1134" w:type="dxa"/>
            <w:gridSpan w:val="2"/>
          </w:tcPr>
          <w:p>
            <w:pPr>
              <w:pStyle w:val="nTable"/>
              <w:spacing w:before="120"/>
              <w:rPr>
                <w:sz w:val="19"/>
              </w:rPr>
            </w:pPr>
            <w:r>
              <w:rPr>
                <w:sz w:val="19"/>
              </w:rPr>
              <w:t>1 of 1986</w:t>
            </w:r>
          </w:p>
        </w:tc>
        <w:tc>
          <w:tcPr>
            <w:tcW w:w="1134" w:type="dxa"/>
            <w:gridSpan w:val="2"/>
          </w:tcPr>
          <w:p>
            <w:pPr>
              <w:pStyle w:val="nTable"/>
              <w:spacing w:before="120"/>
              <w:rPr>
                <w:sz w:val="19"/>
              </w:rPr>
            </w:pPr>
            <w:r>
              <w:rPr>
                <w:sz w:val="19"/>
              </w:rPr>
              <w:t>26 Jun 1986</w:t>
            </w:r>
          </w:p>
        </w:tc>
        <w:tc>
          <w:tcPr>
            <w:tcW w:w="2580" w:type="dxa"/>
            <w:gridSpan w:val="2"/>
          </w:tcPr>
          <w:p>
            <w:pPr>
              <w:pStyle w:val="nTable"/>
              <w:spacing w:before="120"/>
              <w:rPr>
                <w:sz w:val="19"/>
              </w:rPr>
            </w:pPr>
            <w:r>
              <w:rPr>
                <w:sz w:val="19"/>
              </w:rPr>
              <w:t>26 Jun 1986 (see s. 2)</w:t>
            </w:r>
          </w:p>
        </w:tc>
      </w:tr>
      <w:tr>
        <w:trPr>
          <w:cantSplit/>
        </w:trPr>
        <w:tc>
          <w:tcPr>
            <w:tcW w:w="2240" w:type="dxa"/>
          </w:tcPr>
          <w:p>
            <w:pPr>
              <w:pStyle w:val="nTable"/>
              <w:spacing w:before="120"/>
              <w:ind w:right="113"/>
              <w:rPr>
                <w:sz w:val="19"/>
              </w:rPr>
            </w:pPr>
            <w:r>
              <w:rPr>
                <w:i/>
                <w:sz w:val="19"/>
              </w:rPr>
              <w:t xml:space="preserve">Acts Amendment and Repeal (Environmental Protection) Act 1986 </w:t>
            </w:r>
            <w:r>
              <w:rPr>
                <w:sz w:val="19"/>
              </w:rPr>
              <w:t>Pt. IV</w:t>
            </w:r>
          </w:p>
        </w:tc>
        <w:tc>
          <w:tcPr>
            <w:tcW w:w="1134" w:type="dxa"/>
            <w:gridSpan w:val="2"/>
          </w:tcPr>
          <w:p>
            <w:pPr>
              <w:pStyle w:val="nTable"/>
              <w:spacing w:before="120"/>
              <w:rPr>
                <w:sz w:val="19"/>
              </w:rPr>
            </w:pPr>
            <w:r>
              <w:rPr>
                <w:sz w:val="19"/>
              </w:rPr>
              <w:t>77 of 1986</w:t>
            </w:r>
          </w:p>
        </w:tc>
        <w:tc>
          <w:tcPr>
            <w:tcW w:w="1134" w:type="dxa"/>
            <w:gridSpan w:val="2"/>
          </w:tcPr>
          <w:p>
            <w:pPr>
              <w:pStyle w:val="nTable"/>
              <w:spacing w:before="120"/>
              <w:rPr>
                <w:sz w:val="19"/>
              </w:rPr>
            </w:pPr>
            <w:r>
              <w:rPr>
                <w:sz w:val="19"/>
              </w:rPr>
              <w:t>4 Dec 1986</w:t>
            </w:r>
          </w:p>
        </w:tc>
        <w:tc>
          <w:tcPr>
            <w:tcW w:w="2580" w:type="dxa"/>
            <w:gridSpan w:val="2"/>
          </w:tcPr>
          <w:p>
            <w:pPr>
              <w:pStyle w:val="nTable"/>
              <w:spacing w:before="120"/>
              <w:rPr>
                <w:sz w:val="19"/>
              </w:rPr>
            </w:pPr>
            <w:r>
              <w:rPr>
                <w:sz w:val="19"/>
              </w:rPr>
              <w:t>20 Feb 1987 (see s. 2 and </w:t>
            </w:r>
            <w:r>
              <w:rPr>
                <w:i/>
                <w:sz w:val="19"/>
              </w:rPr>
              <w:t>Gazette</w:t>
            </w:r>
            <w:r>
              <w:rPr>
                <w:sz w:val="19"/>
              </w:rPr>
              <w:t xml:space="preserve"> 20 Feb 1987 p. 440)</w:t>
            </w:r>
          </w:p>
        </w:tc>
      </w:tr>
      <w:tr>
        <w:trPr>
          <w:cantSplit/>
        </w:trPr>
        <w:tc>
          <w:tcPr>
            <w:tcW w:w="2240" w:type="dxa"/>
          </w:tcPr>
          <w:p>
            <w:pPr>
              <w:pStyle w:val="nTable"/>
              <w:spacing w:before="120"/>
              <w:ind w:right="113"/>
              <w:rPr>
                <w:sz w:val="19"/>
              </w:rPr>
            </w:pPr>
            <w:r>
              <w:rPr>
                <w:i/>
                <w:sz w:val="19"/>
              </w:rPr>
              <w:t>Mining Amendment Act 1986</w:t>
            </w:r>
          </w:p>
        </w:tc>
        <w:tc>
          <w:tcPr>
            <w:tcW w:w="1134" w:type="dxa"/>
            <w:gridSpan w:val="2"/>
          </w:tcPr>
          <w:p>
            <w:pPr>
              <w:pStyle w:val="nTable"/>
              <w:spacing w:before="120"/>
              <w:rPr>
                <w:sz w:val="19"/>
              </w:rPr>
            </w:pPr>
            <w:r>
              <w:rPr>
                <w:sz w:val="19"/>
              </w:rPr>
              <w:t>105 of 1986</w:t>
            </w:r>
          </w:p>
        </w:tc>
        <w:tc>
          <w:tcPr>
            <w:tcW w:w="1134" w:type="dxa"/>
            <w:gridSpan w:val="2"/>
          </w:tcPr>
          <w:p>
            <w:pPr>
              <w:pStyle w:val="nTable"/>
              <w:spacing w:before="120"/>
              <w:rPr>
                <w:sz w:val="19"/>
              </w:rPr>
            </w:pPr>
            <w:r>
              <w:rPr>
                <w:sz w:val="19"/>
              </w:rPr>
              <w:t>12 Dec 1986</w:t>
            </w:r>
          </w:p>
        </w:tc>
        <w:tc>
          <w:tcPr>
            <w:tcW w:w="2580" w:type="dxa"/>
            <w:gridSpan w:val="2"/>
          </w:tcPr>
          <w:p>
            <w:pPr>
              <w:pStyle w:val="nTable"/>
              <w:spacing w:before="120"/>
              <w:rPr>
                <w:sz w:val="19"/>
              </w:rPr>
            </w:pPr>
            <w:r>
              <w:rPr>
                <w:sz w:val="19"/>
              </w:rPr>
              <w:t>9 Jan 1987 (see s. 2 and </w:t>
            </w:r>
            <w:r>
              <w:rPr>
                <w:i/>
                <w:sz w:val="19"/>
              </w:rPr>
              <w:t>Gazette</w:t>
            </w:r>
            <w:r>
              <w:rPr>
                <w:sz w:val="19"/>
              </w:rPr>
              <w:t xml:space="preserve"> 9 Jan 1987 p. 18)</w:t>
            </w:r>
          </w:p>
        </w:tc>
      </w:tr>
      <w:tr>
        <w:trPr>
          <w:cantSplit/>
        </w:trPr>
        <w:tc>
          <w:tcPr>
            <w:tcW w:w="4508" w:type="dxa"/>
            <w:gridSpan w:val="5"/>
          </w:tcPr>
          <w:p>
            <w:pPr>
              <w:pStyle w:val="nTable"/>
              <w:spacing w:before="120"/>
            </w:pPr>
            <w:r>
              <w:rPr>
                <w:i/>
                <w:sz w:val="19"/>
              </w:rPr>
              <w:t>Mining (Transitional Provisions) (Anomalies Prevention) Order 1987</w:t>
            </w:r>
            <w:r>
              <w:rPr>
                <w:sz w:val="19"/>
              </w:rPr>
              <w:t xml:space="preserve"> (see </w:t>
            </w:r>
            <w:r>
              <w:rPr>
                <w:i/>
                <w:sz w:val="19"/>
              </w:rPr>
              <w:t>Gazette</w:t>
            </w:r>
            <w:r>
              <w:rPr>
                <w:sz w:val="19"/>
              </w:rPr>
              <w:t xml:space="preserve"> 15 May 1987 p. 2161-2)</w:t>
            </w:r>
          </w:p>
        </w:tc>
        <w:tc>
          <w:tcPr>
            <w:tcW w:w="2580" w:type="dxa"/>
            <w:gridSpan w:val="2"/>
          </w:tcPr>
          <w:p>
            <w:pPr>
              <w:pStyle w:val="nTable"/>
              <w:spacing w:before="120"/>
              <w:rPr>
                <w:sz w:val="19"/>
              </w:rPr>
            </w:pPr>
            <w:r>
              <w:rPr>
                <w:sz w:val="19"/>
              </w:rPr>
              <w:t>15 May 1987</w:t>
            </w:r>
          </w:p>
        </w:tc>
      </w:tr>
      <w:tr>
        <w:trPr>
          <w:cantSplit/>
        </w:trPr>
        <w:tc>
          <w:tcPr>
            <w:tcW w:w="2240" w:type="dxa"/>
          </w:tcPr>
          <w:p>
            <w:pPr>
              <w:pStyle w:val="nTable"/>
              <w:spacing w:before="120"/>
              <w:ind w:right="113"/>
              <w:rPr>
                <w:sz w:val="19"/>
              </w:rPr>
            </w:pPr>
            <w:r>
              <w:rPr>
                <w:i/>
                <w:sz w:val="19"/>
              </w:rPr>
              <w:t>Mining Amendment Act 1987</w:t>
            </w:r>
          </w:p>
        </w:tc>
        <w:tc>
          <w:tcPr>
            <w:tcW w:w="1134" w:type="dxa"/>
            <w:gridSpan w:val="2"/>
          </w:tcPr>
          <w:p>
            <w:pPr>
              <w:pStyle w:val="nTable"/>
              <w:spacing w:before="120"/>
              <w:rPr>
                <w:sz w:val="19"/>
              </w:rPr>
            </w:pPr>
            <w:r>
              <w:rPr>
                <w:sz w:val="19"/>
              </w:rPr>
              <w:t>12 of 1987</w:t>
            </w:r>
          </w:p>
        </w:tc>
        <w:tc>
          <w:tcPr>
            <w:tcW w:w="1134" w:type="dxa"/>
            <w:gridSpan w:val="2"/>
          </w:tcPr>
          <w:p>
            <w:pPr>
              <w:pStyle w:val="nTable"/>
              <w:spacing w:before="120"/>
              <w:rPr>
                <w:sz w:val="19"/>
              </w:rPr>
            </w:pPr>
            <w:r>
              <w:rPr>
                <w:sz w:val="19"/>
              </w:rPr>
              <w:t>16 Jun 1987</w:t>
            </w:r>
          </w:p>
        </w:tc>
        <w:tc>
          <w:tcPr>
            <w:tcW w:w="2580" w:type="dxa"/>
            <w:gridSpan w:val="2"/>
          </w:tcPr>
          <w:p>
            <w:pPr>
              <w:pStyle w:val="nTable"/>
              <w:spacing w:before="120"/>
              <w:rPr>
                <w:sz w:val="19"/>
              </w:rPr>
            </w:pPr>
            <w:r>
              <w:rPr>
                <w:sz w:val="19"/>
              </w:rPr>
              <w:t>26 Jun 1987 (see s. 3 and </w:t>
            </w:r>
            <w:r>
              <w:rPr>
                <w:i/>
                <w:sz w:val="19"/>
              </w:rPr>
              <w:t>Gazette</w:t>
            </w:r>
            <w:r>
              <w:rPr>
                <w:sz w:val="19"/>
              </w:rPr>
              <w:t xml:space="preserve"> 26 Jun 1987 p. 2447)</w:t>
            </w:r>
          </w:p>
        </w:tc>
      </w:tr>
      <w:tr>
        <w:trPr>
          <w:cantSplit/>
        </w:trPr>
        <w:tc>
          <w:tcPr>
            <w:tcW w:w="4508" w:type="dxa"/>
            <w:gridSpan w:val="5"/>
          </w:tcPr>
          <w:p>
            <w:pPr>
              <w:pStyle w:val="nTable"/>
              <w:spacing w:before="120"/>
            </w:pPr>
            <w:r>
              <w:rPr>
                <w:i/>
                <w:sz w:val="19"/>
              </w:rPr>
              <w:t>Mining (Transitional Provisions) (Anomalies Prevention) Order (No. 2) 1987</w:t>
            </w:r>
            <w:r>
              <w:rPr>
                <w:sz w:val="19"/>
              </w:rPr>
              <w:t xml:space="preserve"> (see </w:t>
            </w:r>
            <w:r>
              <w:rPr>
                <w:i/>
                <w:sz w:val="19"/>
              </w:rPr>
              <w:t>Gazette</w:t>
            </w:r>
            <w:r>
              <w:rPr>
                <w:sz w:val="19"/>
              </w:rPr>
              <w:t xml:space="preserve"> 20 Nov 1987 p. 4239)</w:t>
            </w:r>
          </w:p>
        </w:tc>
        <w:tc>
          <w:tcPr>
            <w:tcW w:w="2580" w:type="dxa"/>
            <w:gridSpan w:val="2"/>
          </w:tcPr>
          <w:p>
            <w:pPr>
              <w:pStyle w:val="nTable"/>
              <w:spacing w:before="120"/>
              <w:rPr>
                <w:sz w:val="19"/>
              </w:rPr>
            </w:pPr>
            <w:r>
              <w:rPr>
                <w:sz w:val="19"/>
              </w:rPr>
              <w:t>20 Nov 1987</w:t>
            </w:r>
          </w:p>
        </w:tc>
      </w:tr>
      <w:tr>
        <w:trPr>
          <w:cantSplit/>
        </w:trPr>
        <w:tc>
          <w:tcPr>
            <w:tcW w:w="2240" w:type="dxa"/>
          </w:tcPr>
          <w:p>
            <w:pPr>
              <w:pStyle w:val="nTable"/>
              <w:spacing w:before="120"/>
              <w:ind w:right="113"/>
              <w:rPr>
                <w:sz w:val="19"/>
              </w:rPr>
            </w:pPr>
            <w:r>
              <w:rPr>
                <w:i/>
                <w:sz w:val="19"/>
              </w:rPr>
              <w:t xml:space="preserve">Acts Amendment (Legal Practitioners, Costs and Taxation) Act 1987 </w:t>
            </w:r>
            <w:r>
              <w:rPr>
                <w:sz w:val="19"/>
              </w:rPr>
              <w:t>Pt. XIII</w:t>
            </w:r>
          </w:p>
        </w:tc>
        <w:tc>
          <w:tcPr>
            <w:tcW w:w="1134" w:type="dxa"/>
            <w:gridSpan w:val="2"/>
          </w:tcPr>
          <w:p>
            <w:pPr>
              <w:pStyle w:val="nTable"/>
              <w:spacing w:before="120"/>
              <w:rPr>
                <w:sz w:val="19"/>
              </w:rPr>
            </w:pPr>
            <w:r>
              <w:rPr>
                <w:sz w:val="19"/>
              </w:rPr>
              <w:t>65 of 1987</w:t>
            </w:r>
          </w:p>
        </w:tc>
        <w:tc>
          <w:tcPr>
            <w:tcW w:w="1134" w:type="dxa"/>
            <w:gridSpan w:val="2"/>
          </w:tcPr>
          <w:p>
            <w:pPr>
              <w:pStyle w:val="nTable"/>
              <w:spacing w:before="120"/>
              <w:rPr>
                <w:sz w:val="19"/>
              </w:rPr>
            </w:pPr>
            <w:r>
              <w:rPr>
                <w:sz w:val="19"/>
              </w:rPr>
              <w:t>1 Dec 1987</w:t>
            </w:r>
          </w:p>
        </w:tc>
        <w:tc>
          <w:tcPr>
            <w:tcW w:w="2580" w:type="dxa"/>
            <w:gridSpan w:val="2"/>
          </w:tcPr>
          <w:p>
            <w:pPr>
              <w:pStyle w:val="nTable"/>
              <w:spacing w:before="120"/>
              <w:rPr>
                <w:sz w:val="19"/>
              </w:rPr>
            </w:pPr>
            <w:r>
              <w:rPr>
                <w:sz w:val="19"/>
              </w:rPr>
              <w:t xml:space="preserve">12 Feb 1988 (see s. 2(2) and </w:t>
            </w:r>
            <w:r>
              <w:rPr>
                <w:i/>
                <w:sz w:val="19"/>
              </w:rPr>
              <w:t>Gazette</w:t>
            </w:r>
            <w:r>
              <w:rPr>
                <w:sz w:val="19"/>
              </w:rPr>
              <w:t xml:space="preserve"> 12 Feb 1988 p. 397)</w:t>
            </w:r>
          </w:p>
        </w:tc>
      </w:tr>
      <w:tr>
        <w:trPr>
          <w:cantSplit/>
        </w:trPr>
        <w:tc>
          <w:tcPr>
            <w:tcW w:w="2240" w:type="dxa"/>
          </w:tcPr>
          <w:p>
            <w:pPr>
              <w:pStyle w:val="nTable"/>
              <w:keepNext/>
              <w:keepLines/>
              <w:spacing w:before="120"/>
              <w:ind w:right="113"/>
              <w:rPr>
                <w:sz w:val="19"/>
              </w:rPr>
            </w:pPr>
            <w:r>
              <w:rPr>
                <w:i/>
                <w:sz w:val="19"/>
              </w:rPr>
              <w:t>Acts Amendment (Public Service) Act 1987</w:t>
            </w:r>
            <w:r>
              <w:rPr>
                <w:sz w:val="19"/>
              </w:rPr>
              <w:t xml:space="preserve"> s. 32</w:t>
            </w:r>
          </w:p>
        </w:tc>
        <w:tc>
          <w:tcPr>
            <w:tcW w:w="1134" w:type="dxa"/>
            <w:gridSpan w:val="2"/>
          </w:tcPr>
          <w:p>
            <w:pPr>
              <w:pStyle w:val="nTable"/>
              <w:keepNext/>
              <w:keepLines/>
              <w:spacing w:before="120"/>
              <w:rPr>
                <w:sz w:val="19"/>
              </w:rPr>
            </w:pPr>
            <w:r>
              <w:rPr>
                <w:sz w:val="19"/>
              </w:rPr>
              <w:t>113 of 1987</w:t>
            </w:r>
          </w:p>
        </w:tc>
        <w:tc>
          <w:tcPr>
            <w:tcW w:w="1134" w:type="dxa"/>
            <w:gridSpan w:val="2"/>
          </w:tcPr>
          <w:p>
            <w:pPr>
              <w:pStyle w:val="nTable"/>
              <w:keepNext/>
              <w:keepLines/>
              <w:spacing w:before="120"/>
              <w:rPr>
                <w:sz w:val="19"/>
              </w:rPr>
            </w:pPr>
            <w:r>
              <w:rPr>
                <w:sz w:val="19"/>
              </w:rPr>
              <w:t>31 Dec 1987</w:t>
            </w:r>
          </w:p>
        </w:tc>
        <w:tc>
          <w:tcPr>
            <w:tcW w:w="2580" w:type="dxa"/>
            <w:gridSpan w:val="2"/>
          </w:tcPr>
          <w:p>
            <w:pPr>
              <w:pStyle w:val="nTable"/>
              <w:spacing w:before="120"/>
              <w:rPr>
                <w:sz w:val="19"/>
              </w:rPr>
            </w:pPr>
            <w:r>
              <w:rPr>
                <w:sz w:val="19"/>
              </w:rPr>
              <w:t>16 Mar 1988 (see s. 2 and </w:t>
            </w:r>
            <w:r>
              <w:rPr>
                <w:i/>
                <w:sz w:val="19"/>
              </w:rPr>
              <w:t>Gazette</w:t>
            </w:r>
            <w:r>
              <w:rPr>
                <w:sz w:val="19"/>
              </w:rPr>
              <w:t xml:space="preserve"> 16 Mar 1988 p. 813)</w:t>
            </w:r>
          </w:p>
        </w:tc>
      </w:tr>
      <w:tr>
        <w:trPr>
          <w:cantSplit/>
        </w:trPr>
        <w:tc>
          <w:tcPr>
            <w:tcW w:w="2240" w:type="dxa"/>
          </w:tcPr>
          <w:p>
            <w:pPr>
              <w:pStyle w:val="nTable"/>
              <w:spacing w:before="120"/>
              <w:ind w:right="113"/>
              <w:rPr>
                <w:sz w:val="19"/>
              </w:rPr>
            </w:pPr>
            <w:r>
              <w:rPr>
                <w:i/>
                <w:sz w:val="19"/>
              </w:rPr>
              <w:t xml:space="preserve">Acts Amendment (Land Administration) Act 1987 </w:t>
            </w:r>
            <w:r>
              <w:rPr>
                <w:sz w:val="19"/>
              </w:rPr>
              <w:t>Pt. XVIII</w:t>
            </w:r>
          </w:p>
        </w:tc>
        <w:tc>
          <w:tcPr>
            <w:tcW w:w="1134" w:type="dxa"/>
            <w:gridSpan w:val="2"/>
          </w:tcPr>
          <w:p>
            <w:pPr>
              <w:pStyle w:val="nTable"/>
              <w:spacing w:before="120"/>
              <w:rPr>
                <w:sz w:val="19"/>
              </w:rPr>
            </w:pPr>
            <w:r>
              <w:rPr>
                <w:sz w:val="19"/>
              </w:rPr>
              <w:t>126 of 1987</w:t>
            </w:r>
          </w:p>
        </w:tc>
        <w:tc>
          <w:tcPr>
            <w:tcW w:w="1134" w:type="dxa"/>
            <w:gridSpan w:val="2"/>
          </w:tcPr>
          <w:p>
            <w:pPr>
              <w:pStyle w:val="nTable"/>
              <w:spacing w:before="120"/>
              <w:rPr>
                <w:sz w:val="19"/>
              </w:rPr>
            </w:pPr>
            <w:r>
              <w:rPr>
                <w:sz w:val="19"/>
              </w:rPr>
              <w:t>31 Dec 1987</w:t>
            </w:r>
          </w:p>
        </w:tc>
        <w:tc>
          <w:tcPr>
            <w:tcW w:w="2580" w:type="dxa"/>
            <w:gridSpan w:val="2"/>
          </w:tcPr>
          <w:p>
            <w:pPr>
              <w:pStyle w:val="nTable"/>
              <w:spacing w:before="120"/>
              <w:rPr>
                <w:sz w:val="19"/>
              </w:rPr>
            </w:pPr>
            <w:r>
              <w:rPr>
                <w:sz w:val="19"/>
              </w:rPr>
              <w:t xml:space="preserve">16 Sep 1988 (see s. 2 and </w:t>
            </w:r>
            <w:r>
              <w:rPr>
                <w:i/>
                <w:sz w:val="19"/>
              </w:rPr>
              <w:t>Gazette</w:t>
            </w:r>
            <w:r>
              <w:rPr>
                <w:sz w:val="19"/>
              </w:rPr>
              <w:t xml:space="preserve"> 16 Sep 1988 p. 3637)</w:t>
            </w:r>
          </w:p>
        </w:tc>
      </w:tr>
      <w:tr>
        <w:trPr>
          <w:cantSplit/>
        </w:trPr>
        <w:tc>
          <w:tcPr>
            <w:tcW w:w="7088" w:type="dxa"/>
            <w:gridSpan w:val="7"/>
          </w:tcPr>
          <w:p>
            <w:pPr>
              <w:pStyle w:val="nTable"/>
              <w:spacing w:before="120"/>
            </w:pPr>
            <w:r>
              <w:rPr>
                <w:b/>
                <w:sz w:val="19"/>
              </w:rPr>
              <w:t xml:space="preserve">Reprint of the </w:t>
            </w:r>
            <w:r>
              <w:rPr>
                <w:b/>
                <w:i/>
                <w:sz w:val="19"/>
              </w:rPr>
              <w:t>Mining Act 1978</w:t>
            </w:r>
            <w:r>
              <w:rPr>
                <w:b/>
                <w:sz w:val="19"/>
              </w:rPr>
              <w:t xml:space="preserve"> as at 1 Aug 1988</w:t>
            </w:r>
            <w:r>
              <w:rPr>
                <w:sz w:val="19"/>
              </w:rPr>
              <w:t xml:space="preserve"> (includes amendments listed above except those in the </w:t>
            </w:r>
            <w:r>
              <w:rPr>
                <w:i/>
                <w:sz w:val="19"/>
              </w:rPr>
              <w:t>Acts Amendment (Land Administration) Act 1987</w:t>
            </w:r>
            <w:r>
              <w:rPr>
                <w:sz w:val="19"/>
              </w:rPr>
              <w:t xml:space="preserve">, Pt. XVIII) (Corrigenda to reprint in </w:t>
            </w:r>
            <w:r>
              <w:rPr>
                <w:i/>
                <w:sz w:val="19"/>
              </w:rPr>
              <w:t>Gazette</w:t>
            </w:r>
            <w:r>
              <w:rPr>
                <w:sz w:val="19"/>
              </w:rPr>
              <w:t xml:space="preserve"> 23 Sep 1988 p. 3922 and </w:t>
            </w:r>
            <w:r>
              <w:rPr>
                <w:i/>
                <w:sz w:val="19"/>
              </w:rPr>
              <w:t xml:space="preserve">Gazette </w:t>
            </w:r>
            <w:r>
              <w:t>21 Jul 1989 p. 2213)</w:t>
            </w:r>
          </w:p>
        </w:tc>
      </w:tr>
      <w:tr>
        <w:trPr>
          <w:cantSplit/>
        </w:trPr>
        <w:tc>
          <w:tcPr>
            <w:tcW w:w="2240" w:type="dxa"/>
          </w:tcPr>
          <w:p>
            <w:pPr>
              <w:pStyle w:val="nTable"/>
              <w:spacing w:before="120"/>
              <w:ind w:right="113"/>
              <w:rPr>
                <w:sz w:val="19"/>
              </w:rPr>
            </w:pPr>
            <w:r>
              <w:rPr>
                <w:i/>
                <w:sz w:val="19"/>
              </w:rPr>
              <w:t>Mining Amendment Act 1990</w:t>
            </w:r>
            <w:r>
              <w:rPr>
                <w:sz w:val="19"/>
                <w:vertAlign w:val="superscript"/>
              </w:rPr>
              <w:t> 10</w:t>
            </w:r>
          </w:p>
        </w:tc>
        <w:tc>
          <w:tcPr>
            <w:tcW w:w="1134" w:type="dxa"/>
            <w:gridSpan w:val="2"/>
          </w:tcPr>
          <w:p>
            <w:pPr>
              <w:pStyle w:val="nTable"/>
              <w:spacing w:before="120"/>
              <w:rPr>
                <w:sz w:val="19"/>
              </w:rPr>
            </w:pPr>
            <w:r>
              <w:rPr>
                <w:sz w:val="19"/>
              </w:rPr>
              <w:t>22 of 1990 (as amended by No. 37 of 1993 s. 30(1) and (2) and by No. 58 of 1994 s. 52)</w:t>
            </w:r>
          </w:p>
        </w:tc>
        <w:tc>
          <w:tcPr>
            <w:tcW w:w="1134" w:type="dxa"/>
            <w:gridSpan w:val="2"/>
          </w:tcPr>
          <w:p>
            <w:pPr>
              <w:pStyle w:val="nTable"/>
              <w:spacing w:before="120"/>
              <w:rPr>
                <w:sz w:val="19"/>
              </w:rPr>
            </w:pPr>
            <w:r>
              <w:rPr>
                <w:sz w:val="19"/>
              </w:rPr>
              <w:t>28 Aug 1990</w:t>
            </w:r>
          </w:p>
        </w:tc>
        <w:tc>
          <w:tcPr>
            <w:tcW w:w="2580" w:type="dxa"/>
            <w:gridSpan w:val="2"/>
          </w:tcPr>
          <w:p>
            <w:pPr>
              <w:pStyle w:val="nTable"/>
              <w:spacing w:before="120"/>
              <w:rPr>
                <w:sz w:val="19"/>
              </w:rPr>
            </w:pPr>
            <w:r>
              <w:rPr>
                <w:sz w:val="19"/>
              </w:rPr>
              <w:t>28 Jun 1991 (see s. 2 and </w:t>
            </w:r>
            <w:r>
              <w:rPr>
                <w:i/>
                <w:sz w:val="19"/>
              </w:rPr>
              <w:t>Gazette</w:t>
            </w:r>
            <w:r>
              <w:rPr>
                <w:sz w:val="19"/>
              </w:rPr>
              <w:t xml:space="preserve"> 28 Jun 1991 p. 3101)</w:t>
            </w:r>
          </w:p>
        </w:tc>
      </w:tr>
      <w:tr>
        <w:trPr>
          <w:cantSplit/>
        </w:trPr>
        <w:tc>
          <w:tcPr>
            <w:tcW w:w="2240" w:type="dxa"/>
          </w:tcPr>
          <w:p>
            <w:pPr>
              <w:pStyle w:val="nTable"/>
              <w:spacing w:before="120"/>
              <w:ind w:right="113"/>
              <w:rPr>
                <w:sz w:val="19"/>
              </w:rPr>
            </w:pPr>
            <w:r>
              <w:rPr>
                <w:i/>
                <w:sz w:val="19"/>
              </w:rPr>
              <w:t xml:space="preserve">Conservation and Land Management Amendment Act 1991 </w:t>
            </w:r>
            <w:r>
              <w:rPr>
                <w:sz w:val="19"/>
              </w:rPr>
              <w:t>s. 57</w:t>
            </w:r>
          </w:p>
        </w:tc>
        <w:tc>
          <w:tcPr>
            <w:tcW w:w="1134" w:type="dxa"/>
            <w:gridSpan w:val="2"/>
          </w:tcPr>
          <w:p>
            <w:pPr>
              <w:pStyle w:val="nTable"/>
              <w:spacing w:before="120"/>
              <w:rPr>
                <w:sz w:val="19"/>
              </w:rPr>
            </w:pPr>
            <w:r>
              <w:rPr>
                <w:sz w:val="19"/>
              </w:rPr>
              <w:t>20 of 1991</w:t>
            </w:r>
          </w:p>
        </w:tc>
        <w:tc>
          <w:tcPr>
            <w:tcW w:w="1134" w:type="dxa"/>
            <w:gridSpan w:val="2"/>
          </w:tcPr>
          <w:p>
            <w:pPr>
              <w:pStyle w:val="nTable"/>
              <w:spacing w:before="120"/>
              <w:rPr>
                <w:sz w:val="19"/>
              </w:rPr>
            </w:pPr>
            <w:r>
              <w:rPr>
                <w:sz w:val="19"/>
              </w:rPr>
              <w:t>25 Jun 1991</w:t>
            </w:r>
          </w:p>
        </w:tc>
        <w:tc>
          <w:tcPr>
            <w:tcW w:w="2580" w:type="dxa"/>
            <w:gridSpan w:val="2"/>
          </w:tcPr>
          <w:p>
            <w:pPr>
              <w:pStyle w:val="nTable"/>
              <w:spacing w:before="120"/>
              <w:rPr>
                <w:sz w:val="19"/>
              </w:rPr>
            </w:pPr>
            <w:r>
              <w:rPr>
                <w:sz w:val="19"/>
              </w:rPr>
              <w:t>23 Aug 1991 (see s. 2 and </w:t>
            </w:r>
            <w:r>
              <w:rPr>
                <w:i/>
                <w:sz w:val="19"/>
              </w:rPr>
              <w:t>Gazette</w:t>
            </w:r>
            <w:r>
              <w:rPr>
                <w:sz w:val="19"/>
              </w:rPr>
              <w:t xml:space="preserve"> 23 Aug 1991 p. 4353)</w:t>
            </w:r>
          </w:p>
        </w:tc>
      </w:tr>
      <w:tr>
        <w:trPr>
          <w:cantSplit/>
        </w:trPr>
        <w:tc>
          <w:tcPr>
            <w:tcW w:w="2240" w:type="dxa"/>
          </w:tcPr>
          <w:p>
            <w:pPr>
              <w:pStyle w:val="nTable"/>
              <w:spacing w:before="120"/>
              <w:ind w:right="113"/>
              <w:rPr>
                <w:sz w:val="19"/>
              </w:rPr>
            </w:pPr>
            <w:r>
              <w:rPr>
                <w:i/>
                <w:sz w:val="19"/>
              </w:rPr>
              <w:t>Western Australian Land Authority Act 1992</w:t>
            </w:r>
            <w:r>
              <w:rPr>
                <w:sz w:val="19"/>
              </w:rPr>
              <w:t xml:space="preserve"> s. 49</w:t>
            </w:r>
          </w:p>
        </w:tc>
        <w:tc>
          <w:tcPr>
            <w:tcW w:w="1134" w:type="dxa"/>
            <w:gridSpan w:val="2"/>
          </w:tcPr>
          <w:p>
            <w:pPr>
              <w:pStyle w:val="nTable"/>
              <w:spacing w:before="120"/>
              <w:rPr>
                <w:sz w:val="19"/>
              </w:rPr>
            </w:pPr>
            <w:r>
              <w:rPr>
                <w:sz w:val="19"/>
              </w:rPr>
              <w:t>35 of 1992</w:t>
            </w:r>
          </w:p>
        </w:tc>
        <w:tc>
          <w:tcPr>
            <w:tcW w:w="1134" w:type="dxa"/>
            <w:gridSpan w:val="2"/>
          </w:tcPr>
          <w:p>
            <w:pPr>
              <w:pStyle w:val="nTable"/>
              <w:spacing w:before="120"/>
              <w:rPr>
                <w:sz w:val="19"/>
              </w:rPr>
            </w:pPr>
            <w:r>
              <w:rPr>
                <w:sz w:val="19"/>
              </w:rPr>
              <w:t>23 Jun 1992</w:t>
            </w:r>
          </w:p>
        </w:tc>
        <w:tc>
          <w:tcPr>
            <w:tcW w:w="2580" w:type="dxa"/>
            <w:gridSpan w:val="2"/>
          </w:tcPr>
          <w:p>
            <w:pPr>
              <w:pStyle w:val="nTable"/>
              <w:spacing w:before="120"/>
              <w:rPr>
                <w:sz w:val="19"/>
              </w:rPr>
            </w:pPr>
            <w:r>
              <w:rPr>
                <w:sz w:val="19"/>
              </w:rPr>
              <w:t xml:space="preserve">1 Jul 1992 (see s. 2(2) and </w:t>
            </w:r>
            <w:r>
              <w:rPr>
                <w:i/>
                <w:sz w:val="19"/>
              </w:rPr>
              <w:t>Gazette</w:t>
            </w:r>
            <w:r>
              <w:rPr>
                <w:sz w:val="19"/>
              </w:rPr>
              <w:t xml:space="preserve"> 30 Jun 1992 p. 2869)</w:t>
            </w:r>
          </w:p>
        </w:tc>
      </w:tr>
      <w:tr>
        <w:trPr>
          <w:cantSplit/>
        </w:trPr>
        <w:tc>
          <w:tcPr>
            <w:tcW w:w="2240" w:type="dxa"/>
          </w:tcPr>
          <w:p>
            <w:pPr>
              <w:pStyle w:val="nTable"/>
              <w:spacing w:before="120"/>
              <w:ind w:right="113"/>
              <w:rPr>
                <w:sz w:val="19"/>
              </w:rPr>
            </w:pPr>
            <w:r>
              <w:rPr>
                <w:i/>
                <w:sz w:val="19"/>
              </w:rPr>
              <w:t>Land (Titles and Traditional Usage) Act 1993</w:t>
            </w:r>
            <w:r>
              <w:rPr>
                <w:sz w:val="19"/>
              </w:rPr>
              <w:t xml:space="preserve"> s. 45</w:t>
            </w:r>
          </w:p>
        </w:tc>
        <w:tc>
          <w:tcPr>
            <w:tcW w:w="1134" w:type="dxa"/>
            <w:gridSpan w:val="2"/>
          </w:tcPr>
          <w:p>
            <w:pPr>
              <w:pStyle w:val="nTable"/>
              <w:spacing w:before="120"/>
              <w:rPr>
                <w:sz w:val="19"/>
              </w:rPr>
            </w:pPr>
            <w:r>
              <w:rPr>
                <w:sz w:val="19"/>
              </w:rPr>
              <w:t>21 of 1993</w:t>
            </w:r>
          </w:p>
        </w:tc>
        <w:tc>
          <w:tcPr>
            <w:tcW w:w="1134" w:type="dxa"/>
            <w:gridSpan w:val="2"/>
          </w:tcPr>
          <w:p>
            <w:pPr>
              <w:pStyle w:val="nTable"/>
              <w:spacing w:before="120"/>
              <w:rPr>
                <w:sz w:val="19"/>
              </w:rPr>
            </w:pPr>
            <w:r>
              <w:rPr>
                <w:sz w:val="19"/>
              </w:rPr>
              <w:t>2 Dec 1993</w:t>
            </w:r>
          </w:p>
        </w:tc>
        <w:tc>
          <w:tcPr>
            <w:tcW w:w="2580" w:type="dxa"/>
            <w:gridSpan w:val="2"/>
          </w:tcPr>
          <w:p>
            <w:pPr>
              <w:pStyle w:val="nTable"/>
              <w:spacing w:before="120"/>
              <w:rPr>
                <w:sz w:val="19"/>
              </w:rPr>
            </w:pPr>
            <w:r>
              <w:rPr>
                <w:sz w:val="19"/>
              </w:rPr>
              <w:t>2 Dec 1993 (see s. 2)</w:t>
            </w:r>
          </w:p>
        </w:tc>
      </w:tr>
      <w:tr>
        <w:trPr>
          <w:cantSplit/>
        </w:trPr>
        <w:tc>
          <w:tcPr>
            <w:tcW w:w="2240" w:type="dxa"/>
          </w:tcPr>
          <w:p>
            <w:pPr>
              <w:pStyle w:val="nTable"/>
              <w:keepNext/>
              <w:keepLines/>
              <w:spacing w:before="120"/>
              <w:ind w:right="113"/>
              <w:rPr>
                <w:sz w:val="19"/>
              </w:rPr>
            </w:pPr>
            <w:r>
              <w:rPr>
                <w:i/>
                <w:sz w:val="19"/>
              </w:rPr>
              <w:t>Mining Amendment Act 1993</w:t>
            </w:r>
            <w:r>
              <w:rPr>
                <w:sz w:val="19"/>
                <w:vertAlign w:val="superscript"/>
              </w:rPr>
              <w:t> 11</w:t>
            </w:r>
          </w:p>
        </w:tc>
        <w:tc>
          <w:tcPr>
            <w:tcW w:w="1134" w:type="dxa"/>
            <w:gridSpan w:val="2"/>
          </w:tcPr>
          <w:p>
            <w:pPr>
              <w:pStyle w:val="nTable"/>
              <w:keepNext/>
              <w:keepLines/>
              <w:spacing w:before="120"/>
              <w:rPr>
                <w:sz w:val="19"/>
              </w:rPr>
            </w:pPr>
            <w:r>
              <w:rPr>
                <w:sz w:val="19"/>
              </w:rPr>
              <w:t>37 of 1993</w:t>
            </w:r>
          </w:p>
        </w:tc>
        <w:tc>
          <w:tcPr>
            <w:tcW w:w="1134" w:type="dxa"/>
            <w:gridSpan w:val="2"/>
          </w:tcPr>
          <w:p>
            <w:pPr>
              <w:pStyle w:val="nTable"/>
              <w:keepNext/>
              <w:keepLines/>
              <w:spacing w:before="120"/>
              <w:rPr>
                <w:sz w:val="19"/>
              </w:rPr>
            </w:pPr>
            <w:r>
              <w:rPr>
                <w:sz w:val="19"/>
              </w:rPr>
              <w:t>16 Dec 1993</w:t>
            </w:r>
          </w:p>
        </w:tc>
        <w:tc>
          <w:tcPr>
            <w:tcW w:w="2580" w:type="dxa"/>
            <w:gridSpan w:val="2"/>
          </w:tcPr>
          <w:p>
            <w:pPr>
              <w:pStyle w:val="nTable"/>
              <w:spacing w:before="120"/>
              <w:rPr>
                <w:sz w:val="19"/>
              </w:rPr>
            </w:pPr>
            <w:r>
              <w:rPr>
                <w:sz w:val="19"/>
              </w:rPr>
              <w:t xml:space="preserve">Pt. 2: 1 Jul 1994 (see s. 2(1) and </w:t>
            </w:r>
            <w:r>
              <w:rPr>
                <w:i/>
                <w:sz w:val="19"/>
              </w:rPr>
              <w:t>Gazette</w:t>
            </w:r>
            <w:r>
              <w:rPr>
                <w:sz w:val="19"/>
              </w:rPr>
              <w:t xml:space="preserve"> 24 Jun 1994 p. 2819);</w:t>
            </w:r>
            <w:r>
              <w:rPr>
                <w:sz w:val="19"/>
              </w:rPr>
              <w:br/>
              <w:t>Pt. 3: deemed operative 28 Jun 1991 (see s. 2(2));</w:t>
            </w:r>
            <w:r>
              <w:rPr>
                <w:sz w:val="19"/>
              </w:rPr>
              <w:br/>
              <w:t>balance: 16 Dec 1993</w:t>
            </w:r>
          </w:p>
        </w:tc>
      </w:tr>
      <w:tr>
        <w:trPr>
          <w:cantSplit/>
        </w:trPr>
        <w:tc>
          <w:tcPr>
            <w:tcW w:w="2240" w:type="dxa"/>
          </w:tcPr>
          <w:p>
            <w:pPr>
              <w:pStyle w:val="nTable"/>
              <w:spacing w:before="120"/>
              <w:ind w:right="113"/>
              <w:rPr>
                <w:sz w:val="19"/>
              </w:rPr>
            </w:pPr>
            <w:r>
              <w:rPr>
                <w:i/>
                <w:sz w:val="19"/>
              </w:rPr>
              <w:t>Acts Amendment (Public Sector Management) Act 1994</w:t>
            </w:r>
            <w:r>
              <w:rPr>
                <w:sz w:val="19"/>
              </w:rPr>
              <w:t xml:space="preserve"> s. 19</w:t>
            </w:r>
          </w:p>
        </w:tc>
        <w:tc>
          <w:tcPr>
            <w:tcW w:w="1134" w:type="dxa"/>
            <w:gridSpan w:val="2"/>
          </w:tcPr>
          <w:p>
            <w:pPr>
              <w:pStyle w:val="nTable"/>
              <w:spacing w:before="120"/>
              <w:rPr>
                <w:sz w:val="19"/>
              </w:rPr>
            </w:pPr>
            <w:r>
              <w:rPr>
                <w:sz w:val="19"/>
              </w:rPr>
              <w:t>32 of 1994</w:t>
            </w:r>
          </w:p>
        </w:tc>
        <w:tc>
          <w:tcPr>
            <w:tcW w:w="1134" w:type="dxa"/>
            <w:gridSpan w:val="2"/>
          </w:tcPr>
          <w:p>
            <w:pPr>
              <w:pStyle w:val="nTable"/>
              <w:spacing w:before="120"/>
              <w:rPr>
                <w:sz w:val="19"/>
              </w:rPr>
            </w:pPr>
            <w:r>
              <w:rPr>
                <w:sz w:val="19"/>
              </w:rPr>
              <w:t>29 Jun 1994</w:t>
            </w:r>
          </w:p>
        </w:tc>
        <w:tc>
          <w:tcPr>
            <w:tcW w:w="2580" w:type="dxa"/>
            <w:gridSpan w:val="2"/>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40" w:type="dxa"/>
          </w:tcPr>
          <w:p>
            <w:pPr>
              <w:pStyle w:val="nTable"/>
              <w:spacing w:before="120"/>
              <w:ind w:right="113"/>
              <w:rPr>
                <w:i/>
                <w:sz w:val="19"/>
              </w:rPr>
            </w:pPr>
            <w:r>
              <w:rPr>
                <w:i/>
                <w:sz w:val="19"/>
              </w:rPr>
              <w:t>Mining Amendment Act 1994</w:t>
            </w:r>
            <w:r>
              <w:rPr>
                <w:sz w:val="19"/>
                <w:vertAlign w:val="superscript"/>
              </w:rPr>
              <w:t> 13</w:t>
            </w:r>
          </w:p>
        </w:tc>
        <w:tc>
          <w:tcPr>
            <w:tcW w:w="1134" w:type="dxa"/>
            <w:gridSpan w:val="2"/>
          </w:tcPr>
          <w:p>
            <w:pPr>
              <w:pStyle w:val="nTable"/>
              <w:spacing w:before="120"/>
              <w:rPr>
                <w:sz w:val="19"/>
              </w:rPr>
            </w:pPr>
            <w:r>
              <w:rPr>
                <w:sz w:val="19"/>
              </w:rPr>
              <w:t>58 of 1994 (as amended by No. 52 of 1995 Pt. 6; No. 74 of 2003 s. 85)</w:t>
            </w:r>
          </w:p>
        </w:tc>
        <w:tc>
          <w:tcPr>
            <w:tcW w:w="1134" w:type="dxa"/>
            <w:gridSpan w:val="2"/>
          </w:tcPr>
          <w:p>
            <w:pPr>
              <w:pStyle w:val="nTable"/>
              <w:spacing w:before="120"/>
              <w:rPr>
                <w:sz w:val="19"/>
              </w:rPr>
            </w:pPr>
            <w:r>
              <w:rPr>
                <w:sz w:val="19"/>
              </w:rPr>
              <w:t>2 Nov 1994</w:t>
            </w:r>
          </w:p>
        </w:tc>
        <w:tc>
          <w:tcPr>
            <w:tcW w:w="2580" w:type="dxa"/>
            <w:gridSpan w:val="2"/>
          </w:tcPr>
          <w:p>
            <w:pPr>
              <w:pStyle w:val="nTable"/>
              <w:spacing w:before="120"/>
              <w:rPr>
                <w:sz w:val="19"/>
              </w:rPr>
            </w:pPr>
            <w:r>
              <w:rPr>
                <w:sz w:val="19"/>
              </w:rPr>
              <w:t xml:space="preserve">Pt. 2 (except s. 5) and s. 52: 14 Oct 1995 (see s. 2(2) and </w:t>
            </w:r>
            <w:r>
              <w:rPr>
                <w:i/>
                <w:sz w:val="19"/>
              </w:rPr>
              <w:t>Gazette</w:t>
            </w:r>
            <w:r>
              <w:rPr>
                <w:sz w:val="19"/>
              </w:rPr>
              <w:t xml:space="preserve"> 13 Oct 1995 p. 4797 and Printer’s correction to proclamation in </w:t>
            </w:r>
            <w:r>
              <w:rPr>
                <w:i/>
                <w:sz w:val="19"/>
              </w:rPr>
              <w:t>Gazette</w:t>
            </w:r>
            <w:r>
              <w:rPr>
                <w:sz w:val="19"/>
              </w:rPr>
              <w:t xml:space="preserve"> 24 Oct 1995 p. 4917); balance (except s. 5): 2 Nov 1994 (see s. 2(1));</w:t>
            </w:r>
            <w:r>
              <w:rPr>
                <w:sz w:val="19"/>
              </w:rPr>
              <w:br/>
              <w:t>s. 5 repealed by No. 74 of 2003 s. 85</w:t>
            </w:r>
          </w:p>
        </w:tc>
      </w:tr>
      <w:tr>
        <w:trPr>
          <w:cantSplit/>
        </w:trPr>
        <w:tc>
          <w:tcPr>
            <w:tcW w:w="2240" w:type="dxa"/>
          </w:tcPr>
          <w:p>
            <w:pPr>
              <w:pStyle w:val="nTable"/>
              <w:keepNext/>
              <w:keepLines/>
              <w:spacing w:before="120"/>
              <w:ind w:right="113"/>
              <w:rPr>
                <w:sz w:val="19"/>
              </w:rPr>
            </w:pPr>
            <w:r>
              <w:rPr>
                <w:i/>
                <w:sz w:val="19"/>
              </w:rPr>
              <w:t>Statutes (Repeals and Minor Amendments) Act 1994</w:t>
            </w:r>
            <w:r>
              <w:rPr>
                <w:sz w:val="19"/>
              </w:rPr>
              <w:t xml:space="preserve"> s. 4</w:t>
            </w:r>
          </w:p>
        </w:tc>
        <w:tc>
          <w:tcPr>
            <w:tcW w:w="1134" w:type="dxa"/>
            <w:gridSpan w:val="2"/>
          </w:tcPr>
          <w:p>
            <w:pPr>
              <w:pStyle w:val="nTable"/>
              <w:keepNext/>
              <w:keepLines/>
              <w:spacing w:before="120"/>
              <w:rPr>
                <w:sz w:val="19"/>
              </w:rPr>
            </w:pPr>
            <w:r>
              <w:rPr>
                <w:sz w:val="19"/>
              </w:rPr>
              <w:t>73 of 1994</w:t>
            </w:r>
          </w:p>
        </w:tc>
        <w:tc>
          <w:tcPr>
            <w:tcW w:w="1134" w:type="dxa"/>
            <w:gridSpan w:val="2"/>
          </w:tcPr>
          <w:p>
            <w:pPr>
              <w:pStyle w:val="nTable"/>
              <w:keepNext/>
              <w:keepLines/>
              <w:spacing w:before="120"/>
              <w:rPr>
                <w:sz w:val="19"/>
              </w:rPr>
            </w:pPr>
            <w:r>
              <w:rPr>
                <w:sz w:val="19"/>
              </w:rPr>
              <w:t>9 Dec 1994</w:t>
            </w:r>
          </w:p>
        </w:tc>
        <w:tc>
          <w:tcPr>
            <w:tcW w:w="2580" w:type="dxa"/>
            <w:gridSpan w:val="2"/>
          </w:tcPr>
          <w:p>
            <w:pPr>
              <w:pStyle w:val="nTable"/>
              <w:keepNext/>
              <w:keepLines/>
              <w:spacing w:before="120"/>
              <w:rPr>
                <w:sz w:val="19"/>
              </w:rPr>
            </w:pPr>
            <w:r>
              <w:rPr>
                <w:sz w:val="19"/>
              </w:rPr>
              <w:t>9 Dec 1994 (see s. 2)</w:t>
            </w:r>
          </w:p>
        </w:tc>
      </w:tr>
      <w:tr>
        <w:trPr>
          <w:cantSplit/>
        </w:trPr>
        <w:tc>
          <w:tcPr>
            <w:tcW w:w="2240" w:type="dxa"/>
          </w:tcPr>
          <w:p>
            <w:pPr>
              <w:pStyle w:val="nTable"/>
              <w:spacing w:before="120"/>
              <w:ind w:right="113"/>
              <w:rPr>
                <w:sz w:val="19"/>
              </w:rPr>
            </w:pPr>
            <w:r>
              <w:rPr>
                <w:i/>
                <w:sz w:val="19"/>
              </w:rPr>
              <w:t>Acts Amendment and Repeal (Native Title) Act 1995</w:t>
            </w:r>
            <w:r>
              <w:rPr>
                <w:sz w:val="19"/>
              </w:rPr>
              <w:t xml:space="preserve"> Pt. 5</w:t>
            </w:r>
          </w:p>
        </w:tc>
        <w:tc>
          <w:tcPr>
            <w:tcW w:w="1134" w:type="dxa"/>
            <w:gridSpan w:val="2"/>
          </w:tcPr>
          <w:p>
            <w:pPr>
              <w:pStyle w:val="nTable"/>
              <w:spacing w:before="120"/>
              <w:rPr>
                <w:sz w:val="19"/>
              </w:rPr>
            </w:pPr>
            <w:r>
              <w:rPr>
                <w:sz w:val="19"/>
              </w:rPr>
              <w:t>52 of 1995</w:t>
            </w:r>
          </w:p>
        </w:tc>
        <w:tc>
          <w:tcPr>
            <w:tcW w:w="1134" w:type="dxa"/>
            <w:gridSpan w:val="2"/>
          </w:tcPr>
          <w:p>
            <w:pPr>
              <w:pStyle w:val="nTable"/>
              <w:spacing w:before="120"/>
              <w:rPr>
                <w:sz w:val="19"/>
              </w:rPr>
            </w:pPr>
            <w:r>
              <w:rPr>
                <w:sz w:val="19"/>
              </w:rPr>
              <w:t>24 Nov 1995</w:t>
            </w:r>
          </w:p>
        </w:tc>
        <w:tc>
          <w:tcPr>
            <w:tcW w:w="2580" w:type="dxa"/>
            <w:gridSpan w:val="2"/>
          </w:tcPr>
          <w:p>
            <w:pPr>
              <w:pStyle w:val="nTable"/>
              <w:spacing w:before="120"/>
              <w:rPr>
                <w:sz w:val="19"/>
              </w:rPr>
            </w:pPr>
            <w:r>
              <w:rPr>
                <w:sz w:val="19"/>
              </w:rPr>
              <w:t>9 Dec 1995 (see s. 2 and </w:t>
            </w:r>
            <w:r>
              <w:rPr>
                <w:i/>
                <w:sz w:val="19"/>
              </w:rPr>
              <w:t>Gazette</w:t>
            </w:r>
            <w:r>
              <w:rPr>
                <w:sz w:val="19"/>
              </w:rPr>
              <w:t xml:space="preserve"> 8 Dec 1995 p. 5935)</w:t>
            </w:r>
          </w:p>
        </w:tc>
      </w:tr>
      <w:tr>
        <w:trPr>
          <w:cantSplit/>
        </w:trPr>
        <w:tc>
          <w:tcPr>
            <w:tcW w:w="2240" w:type="dxa"/>
          </w:tcPr>
          <w:p>
            <w:pPr>
              <w:pStyle w:val="nTable"/>
              <w:spacing w:before="120"/>
              <w:ind w:right="113"/>
              <w:rPr>
                <w:sz w:val="19"/>
              </w:rPr>
            </w:pPr>
            <w:r>
              <w:rPr>
                <w:i/>
                <w:sz w:val="19"/>
              </w:rPr>
              <w:t>Water Agencies Restructure (Transitional and Consequential Provisions) Act 1995</w:t>
            </w:r>
            <w:r>
              <w:rPr>
                <w:sz w:val="19"/>
              </w:rPr>
              <w:t xml:space="preserve"> Pt. 13</w:t>
            </w:r>
          </w:p>
        </w:tc>
        <w:tc>
          <w:tcPr>
            <w:tcW w:w="1134" w:type="dxa"/>
            <w:gridSpan w:val="2"/>
          </w:tcPr>
          <w:p>
            <w:pPr>
              <w:pStyle w:val="nTable"/>
              <w:spacing w:before="120"/>
              <w:rPr>
                <w:sz w:val="19"/>
              </w:rPr>
            </w:pPr>
            <w:r>
              <w:rPr>
                <w:sz w:val="19"/>
              </w:rPr>
              <w:t>73 of 1995</w:t>
            </w:r>
          </w:p>
        </w:tc>
        <w:tc>
          <w:tcPr>
            <w:tcW w:w="1134" w:type="dxa"/>
            <w:gridSpan w:val="2"/>
          </w:tcPr>
          <w:p>
            <w:pPr>
              <w:pStyle w:val="nTable"/>
              <w:spacing w:before="120"/>
              <w:rPr>
                <w:sz w:val="19"/>
              </w:rPr>
            </w:pPr>
            <w:r>
              <w:rPr>
                <w:sz w:val="19"/>
              </w:rPr>
              <w:t>27 Dec 1995</w:t>
            </w:r>
          </w:p>
        </w:tc>
        <w:tc>
          <w:tcPr>
            <w:tcW w:w="2580" w:type="dxa"/>
            <w:gridSpan w:val="2"/>
          </w:tcPr>
          <w:p>
            <w:pPr>
              <w:pStyle w:val="nTable"/>
              <w:spacing w:before="120"/>
              <w:rPr>
                <w:sz w:val="19"/>
              </w:rPr>
            </w:pPr>
            <w:r>
              <w:rPr>
                <w:sz w:val="19"/>
              </w:rPr>
              <w:t xml:space="preserve">1 Jan 1996 (see s. 2(2) and </w:t>
            </w:r>
            <w:r>
              <w:rPr>
                <w:i/>
                <w:sz w:val="19"/>
              </w:rPr>
              <w:t>Gazette</w:t>
            </w:r>
            <w:r>
              <w:rPr>
                <w:sz w:val="19"/>
              </w:rPr>
              <w:t xml:space="preserve"> 29 Dec 1995 p. 6291)</w:t>
            </w:r>
          </w:p>
        </w:tc>
      </w:tr>
      <w:tr>
        <w:trPr>
          <w:cantSplit/>
        </w:trPr>
        <w:tc>
          <w:tcPr>
            <w:tcW w:w="2240" w:type="dxa"/>
          </w:tcPr>
          <w:p>
            <w:pPr>
              <w:pStyle w:val="nTable"/>
              <w:spacing w:before="120"/>
              <w:ind w:right="113"/>
              <w:rPr>
                <w:sz w:val="19"/>
              </w:rPr>
            </w:pPr>
            <w:r>
              <w:rPr>
                <w:i/>
                <w:sz w:val="19"/>
              </w:rPr>
              <w:t>Sentencing (Consequential Provisions) Act 1995</w:t>
            </w:r>
            <w:r>
              <w:rPr>
                <w:sz w:val="19"/>
              </w:rPr>
              <w:t xml:space="preserve"> Pt. 88</w:t>
            </w:r>
          </w:p>
        </w:tc>
        <w:tc>
          <w:tcPr>
            <w:tcW w:w="1134" w:type="dxa"/>
            <w:gridSpan w:val="2"/>
          </w:tcPr>
          <w:p>
            <w:pPr>
              <w:pStyle w:val="nTable"/>
              <w:spacing w:before="120"/>
              <w:rPr>
                <w:sz w:val="19"/>
              </w:rPr>
            </w:pPr>
            <w:r>
              <w:rPr>
                <w:sz w:val="19"/>
              </w:rPr>
              <w:t>78 of 1995</w:t>
            </w:r>
          </w:p>
        </w:tc>
        <w:tc>
          <w:tcPr>
            <w:tcW w:w="1134" w:type="dxa"/>
            <w:gridSpan w:val="2"/>
          </w:tcPr>
          <w:p>
            <w:pPr>
              <w:pStyle w:val="nTable"/>
              <w:spacing w:before="120"/>
              <w:rPr>
                <w:sz w:val="19"/>
              </w:rPr>
            </w:pPr>
            <w:r>
              <w:rPr>
                <w:sz w:val="19"/>
              </w:rPr>
              <w:t>16 Jan 1996</w:t>
            </w:r>
          </w:p>
        </w:tc>
        <w:tc>
          <w:tcPr>
            <w:tcW w:w="2580" w:type="dxa"/>
            <w:gridSpan w:val="2"/>
          </w:tcPr>
          <w:p>
            <w:pPr>
              <w:pStyle w:val="nTable"/>
              <w:spacing w:before="120"/>
              <w:rPr>
                <w:sz w:val="19"/>
              </w:rPr>
            </w:pPr>
            <w:r>
              <w:rPr>
                <w:sz w:val="19"/>
              </w:rPr>
              <w:t>4 Nov 1996 (see s. 2 and </w:t>
            </w:r>
            <w:r>
              <w:rPr>
                <w:i/>
                <w:sz w:val="19"/>
              </w:rPr>
              <w:t>Gazette</w:t>
            </w:r>
            <w:r>
              <w:rPr>
                <w:sz w:val="19"/>
              </w:rPr>
              <w:t xml:space="preserve"> 25 Oct 1996 p. 5632)</w:t>
            </w:r>
          </w:p>
        </w:tc>
      </w:tr>
      <w:tr>
        <w:trPr>
          <w:cantSplit/>
        </w:trPr>
        <w:tc>
          <w:tcPr>
            <w:tcW w:w="7088" w:type="dxa"/>
            <w:gridSpan w:val="7"/>
          </w:tcPr>
          <w:p>
            <w:pPr>
              <w:pStyle w:val="nTable"/>
              <w:spacing w:before="120"/>
              <w:rPr>
                <w:sz w:val="19"/>
              </w:rPr>
            </w:pPr>
            <w:r>
              <w:rPr>
                <w:b/>
                <w:sz w:val="19"/>
              </w:rPr>
              <w:t xml:space="preserve">Reprint of the </w:t>
            </w:r>
            <w:r>
              <w:rPr>
                <w:b/>
                <w:i/>
                <w:sz w:val="19"/>
              </w:rPr>
              <w:t>Mining Act 1978</w:t>
            </w:r>
            <w:r>
              <w:rPr>
                <w:b/>
                <w:sz w:val="19"/>
              </w:rPr>
              <w:t xml:space="preserve"> as at 27 Feb 1996</w:t>
            </w:r>
            <w:r>
              <w:rPr>
                <w:sz w:val="19"/>
              </w:rPr>
              <w:t xml:space="preserve"> (includes amendments listed above except those in the </w:t>
            </w:r>
            <w:r>
              <w:rPr>
                <w:i/>
                <w:sz w:val="19"/>
              </w:rPr>
              <w:t>Sentencing (Consequential Provisions) Act 1995</w:t>
            </w:r>
            <w:r>
              <w:rPr>
                <w:sz w:val="19"/>
              </w:rPr>
              <w:t xml:space="preserve">) </w:t>
            </w:r>
            <w:r>
              <w:rPr>
                <w:sz w:val="19"/>
              </w:rPr>
              <w:br/>
              <w:t xml:space="preserve">(Correction to reprint in </w:t>
            </w:r>
            <w:r>
              <w:rPr>
                <w:i/>
                <w:sz w:val="19"/>
              </w:rPr>
              <w:t>Gazette</w:t>
            </w:r>
            <w:r>
              <w:rPr>
                <w:sz w:val="19"/>
              </w:rPr>
              <w:t xml:space="preserve"> 19 Apr 1996 p. 1739)</w:t>
            </w:r>
          </w:p>
        </w:tc>
      </w:tr>
      <w:tr>
        <w:trPr>
          <w:cantSplit/>
        </w:trPr>
        <w:tc>
          <w:tcPr>
            <w:tcW w:w="2240" w:type="dxa"/>
          </w:tcPr>
          <w:p>
            <w:pPr>
              <w:pStyle w:val="nTable"/>
              <w:spacing w:before="120"/>
              <w:ind w:right="113"/>
              <w:rPr>
                <w:sz w:val="19"/>
              </w:rPr>
            </w:pPr>
            <w:r>
              <w:rPr>
                <w:i/>
                <w:sz w:val="19"/>
              </w:rPr>
              <w:t>Local Government (Consequential Amendments) Act 1996</w:t>
            </w:r>
            <w:r>
              <w:rPr>
                <w:sz w:val="19"/>
              </w:rPr>
              <w:t xml:space="preserve"> s. 4</w:t>
            </w:r>
          </w:p>
        </w:tc>
        <w:tc>
          <w:tcPr>
            <w:tcW w:w="1134" w:type="dxa"/>
            <w:gridSpan w:val="2"/>
          </w:tcPr>
          <w:p>
            <w:pPr>
              <w:pStyle w:val="nTable"/>
              <w:spacing w:before="120"/>
              <w:rPr>
                <w:sz w:val="19"/>
              </w:rPr>
            </w:pPr>
            <w:r>
              <w:rPr>
                <w:sz w:val="19"/>
              </w:rPr>
              <w:t>14 of 1996</w:t>
            </w:r>
          </w:p>
        </w:tc>
        <w:tc>
          <w:tcPr>
            <w:tcW w:w="1134" w:type="dxa"/>
            <w:gridSpan w:val="2"/>
          </w:tcPr>
          <w:p>
            <w:pPr>
              <w:pStyle w:val="nTable"/>
              <w:spacing w:before="120"/>
              <w:rPr>
                <w:sz w:val="19"/>
              </w:rPr>
            </w:pPr>
            <w:r>
              <w:rPr>
                <w:sz w:val="19"/>
              </w:rPr>
              <w:t>28 Jun 1996</w:t>
            </w:r>
          </w:p>
        </w:tc>
        <w:tc>
          <w:tcPr>
            <w:tcW w:w="2580" w:type="dxa"/>
            <w:gridSpan w:val="2"/>
          </w:tcPr>
          <w:p>
            <w:pPr>
              <w:pStyle w:val="nTable"/>
              <w:spacing w:before="120"/>
              <w:rPr>
                <w:sz w:val="19"/>
              </w:rPr>
            </w:pPr>
            <w:r>
              <w:rPr>
                <w:sz w:val="19"/>
              </w:rPr>
              <w:t>1 Jul 1996 (see s. 2)</w:t>
            </w:r>
          </w:p>
        </w:tc>
      </w:tr>
      <w:tr>
        <w:trPr>
          <w:cantSplit/>
        </w:trPr>
        <w:tc>
          <w:tcPr>
            <w:tcW w:w="2240" w:type="dxa"/>
          </w:tcPr>
          <w:p>
            <w:pPr>
              <w:pStyle w:val="nTable"/>
              <w:spacing w:before="120"/>
              <w:ind w:right="113"/>
              <w:rPr>
                <w:sz w:val="19"/>
              </w:rPr>
            </w:pPr>
            <w:r>
              <w:rPr>
                <w:i/>
                <w:sz w:val="19"/>
              </w:rPr>
              <w:t>Mining Amendment Act 1996</w:t>
            </w:r>
            <w:r>
              <w:rPr>
                <w:sz w:val="19"/>
                <w:vertAlign w:val="superscript"/>
              </w:rPr>
              <w:t> 1a, 14</w:t>
            </w:r>
          </w:p>
        </w:tc>
        <w:tc>
          <w:tcPr>
            <w:tcW w:w="1134" w:type="dxa"/>
            <w:gridSpan w:val="2"/>
          </w:tcPr>
          <w:p>
            <w:pPr>
              <w:pStyle w:val="nTable"/>
              <w:spacing w:before="120"/>
              <w:rPr>
                <w:sz w:val="19"/>
              </w:rPr>
            </w:pPr>
            <w:r>
              <w:rPr>
                <w:sz w:val="19"/>
              </w:rPr>
              <w:t>54 of 1996</w:t>
            </w:r>
          </w:p>
        </w:tc>
        <w:tc>
          <w:tcPr>
            <w:tcW w:w="1134" w:type="dxa"/>
            <w:gridSpan w:val="2"/>
          </w:tcPr>
          <w:p>
            <w:pPr>
              <w:pStyle w:val="nTable"/>
              <w:spacing w:before="120"/>
              <w:rPr>
                <w:sz w:val="19"/>
              </w:rPr>
            </w:pPr>
            <w:r>
              <w:rPr>
                <w:sz w:val="19"/>
              </w:rPr>
              <w:t>11 Nov 1996</w:t>
            </w:r>
          </w:p>
        </w:tc>
        <w:tc>
          <w:tcPr>
            <w:tcW w:w="2580" w:type="dxa"/>
            <w:gridSpan w:val="2"/>
          </w:tcPr>
          <w:p>
            <w:pPr>
              <w:pStyle w:val="nTable"/>
              <w:spacing w:before="120"/>
              <w:rPr>
                <w:sz w:val="19"/>
                <w:vertAlign w:val="superscript"/>
              </w:rPr>
            </w:pPr>
            <w:r>
              <w:rPr>
                <w:sz w:val="19"/>
              </w:rPr>
              <w:t xml:space="preserve">s. 5, 7, 10, 13 and 23: 7 Dec 1996 (see s. 2 and </w:t>
            </w:r>
            <w:r>
              <w:rPr>
                <w:i/>
                <w:sz w:val="19"/>
              </w:rPr>
              <w:t>Gazette</w:t>
            </w:r>
            <w:r>
              <w:rPr>
                <w:sz w:val="19"/>
              </w:rPr>
              <w:t xml:space="preserve"> 6 Dec 1996 p. 6699);</w:t>
            </w:r>
            <w:r>
              <w:rPr>
                <w:sz w:val="19"/>
              </w:rPr>
              <w:br/>
              <w:t>balance to be proclaimed</w:t>
            </w:r>
          </w:p>
        </w:tc>
      </w:tr>
      <w:tr>
        <w:trPr>
          <w:cantSplit/>
        </w:trPr>
        <w:tc>
          <w:tcPr>
            <w:tcW w:w="2240" w:type="dxa"/>
          </w:tcPr>
          <w:p>
            <w:pPr>
              <w:pStyle w:val="nTable"/>
              <w:spacing w:before="120"/>
              <w:ind w:right="113"/>
              <w:rPr>
                <w:sz w:val="19"/>
              </w:rPr>
            </w:pPr>
            <w:r>
              <w:rPr>
                <w:i/>
                <w:sz w:val="19"/>
              </w:rPr>
              <w:t>Acts Amendment (Marine Reserves) Act 1997</w:t>
            </w:r>
            <w:r>
              <w:rPr>
                <w:sz w:val="19"/>
              </w:rPr>
              <w:t xml:space="preserve"> Pt. 3</w:t>
            </w:r>
          </w:p>
        </w:tc>
        <w:tc>
          <w:tcPr>
            <w:tcW w:w="1134" w:type="dxa"/>
            <w:gridSpan w:val="2"/>
          </w:tcPr>
          <w:p>
            <w:pPr>
              <w:pStyle w:val="nTable"/>
              <w:spacing w:before="120"/>
              <w:rPr>
                <w:sz w:val="19"/>
              </w:rPr>
            </w:pPr>
            <w:r>
              <w:rPr>
                <w:sz w:val="19"/>
              </w:rPr>
              <w:t>5 of 1997</w:t>
            </w:r>
          </w:p>
        </w:tc>
        <w:tc>
          <w:tcPr>
            <w:tcW w:w="1134" w:type="dxa"/>
            <w:gridSpan w:val="2"/>
          </w:tcPr>
          <w:p>
            <w:pPr>
              <w:pStyle w:val="nTable"/>
              <w:spacing w:before="120"/>
              <w:rPr>
                <w:sz w:val="19"/>
              </w:rPr>
            </w:pPr>
            <w:r>
              <w:rPr>
                <w:sz w:val="19"/>
              </w:rPr>
              <w:t>10 Jun 1997</w:t>
            </w:r>
          </w:p>
        </w:tc>
        <w:tc>
          <w:tcPr>
            <w:tcW w:w="2580" w:type="dxa"/>
            <w:gridSpan w:val="2"/>
          </w:tcPr>
          <w:p>
            <w:pPr>
              <w:pStyle w:val="nTable"/>
              <w:spacing w:before="120"/>
              <w:rPr>
                <w:sz w:val="19"/>
              </w:rPr>
            </w:pPr>
            <w:r>
              <w:rPr>
                <w:sz w:val="19"/>
              </w:rPr>
              <w:t>29 Aug 1997 (see s. 2 and </w:t>
            </w:r>
            <w:r>
              <w:rPr>
                <w:i/>
                <w:sz w:val="19"/>
              </w:rPr>
              <w:t>Gazette</w:t>
            </w:r>
            <w:r>
              <w:rPr>
                <w:sz w:val="19"/>
              </w:rPr>
              <w:t xml:space="preserve"> 29 Aug 1997 p. 4867)</w:t>
            </w:r>
          </w:p>
        </w:tc>
      </w:tr>
      <w:tr>
        <w:trPr>
          <w:cantSplit/>
        </w:trPr>
        <w:tc>
          <w:tcPr>
            <w:tcW w:w="2240" w:type="dxa"/>
          </w:tcPr>
          <w:p>
            <w:pPr>
              <w:pStyle w:val="nTable"/>
              <w:spacing w:before="120"/>
              <w:ind w:right="113"/>
              <w:rPr>
                <w:sz w:val="19"/>
              </w:rPr>
            </w:pPr>
            <w:r>
              <w:rPr>
                <w:i/>
                <w:sz w:val="19"/>
              </w:rPr>
              <w:t xml:space="preserve">Acts Amendment (Land Administration) Act 1997 </w:t>
            </w:r>
            <w:r>
              <w:rPr>
                <w:sz w:val="19"/>
              </w:rPr>
              <w:t>Pt. 44 and s. 141</w:t>
            </w:r>
          </w:p>
        </w:tc>
        <w:tc>
          <w:tcPr>
            <w:tcW w:w="1134" w:type="dxa"/>
            <w:gridSpan w:val="2"/>
          </w:tcPr>
          <w:p>
            <w:pPr>
              <w:pStyle w:val="nTable"/>
              <w:spacing w:before="120"/>
              <w:rPr>
                <w:sz w:val="19"/>
              </w:rPr>
            </w:pPr>
            <w:r>
              <w:rPr>
                <w:sz w:val="19"/>
              </w:rPr>
              <w:t>31 of 1997</w:t>
            </w:r>
          </w:p>
        </w:tc>
        <w:tc>
          <w:tcPr>
            <w:tcW w:w="1134" w:type="dxa"/>
            <w:gridSpan w:val="2"/>
          </w:tcPr>
          <w:p>
            <w:pPr>
              <w:pStyle w:val="nTable"/>
              <w:spacing w:before="120"/>
              <w:rPr>
                <w:sz w:val="19"/>
              </w:rPr>
            </w:pPr>
            <w:r>
              <w:rPr>
                <w:sz w:val="19"/>
              </w:rPr>
              <w:t>3 Oct 1997</w:t>
            </w:r>
          </w:p>
        </w:tc>
        <w:tc>
          <w:tcPr>
            <w:tcW w:w="2580" w:type="dxa"/>
            <w:gridSpan w:val="2"/>
          </w:tcPr>
          <w:p>
            <w:pPr>
              <w:pStyle w:val="nTable"/>
              <w:spacing w:before="120"/>
              <w:rPr>
                <w:sz w:val="19"/>
              </w:rPr>
            </w:pPr>
            <w:r>
              <w:rPr>
                <w:sz w:val="19"/>
              </w:rPr>
              <w:t>30 Mar 1998 (see s. 2 and </w:t>
            </w:r>
            <w:r>
              <w:rPr>
                <w:i/>
                <w:sz w:val="19"/>
              </w:rPr>
              <w:t>Gazette</w:t>
            </w:r>
            <w:r>
              <w:rPr>
                <w:sz w:val="19"/>
              </w:rPr>
              <w:t xml:space="preserve"> 27 Mar 1998 p. 1765)</w:t>
            </w:r>
          </w:p>
        </w:tc>
      </w:tr>
      <w:tr>
        <w:trPr>
          <w:cantSplit/>
        </w:trPr>
        <w:tc>
          <w:tcPr>
            <w:tcW w:w="2240" w:type="dxa"/>
          </w:tcPr>
          <w:p>
            <w:pPr>
              <w:pStyle w:val="nTable"/>
              <w:spacing w:before="120"/>
              <w:ind w:right="113"/>
              <w:rPr>
                <w:sz w:val="19"/>
              </w:rPr>
            </w:pPr>
            <w:r>
              <w:rPr>
                <w:i/>
                <w:sz w:val="19"/>
              </w:rPr>
              <w:t>Statutes (Repeals and Minor Amendments) Act 1997</w:t>
            </w:r>
            <w:r>
              <w:rPr>
                <w:sz w:val="19"/>
              </w:rPr>
              <w:t xml:space="preserve"> s. 89</w:t>
            </w:r>
          </w:p>
        </w:tc>
        <w:tc>
          <w:tcPr>
            <w:tcW w:w="1134" w:type="dxa"/>
            <w:gridSpan w:val="2"/>
          </w:tcPr>
          <w:p>
            <w:pPr>
              <w:pStyle w:val="nTable"/>
              <w:spacing w:before="120"/>
              <w:rPr>
                <w:sz w:val="19"/>
              </w:rPr>
            </w:pPr>
            <w:r>
              <w:rPr>
                <w:sz w:val="19"/>
              </w:rPr>
              <w:t>57 of 1997</w:t>
            </w:r>
          </w:p>
        </w:tc>
        <w:tc>
          <w:tcPr>
            <w:tcW w:w="1134" w:type="dxa"/>
            <w:gridSpan w:val="2"/>
          </w:tcPr>
          <w:p>
            <w:pPr>
              <w:pStyle w:val="nTable"/>
              <w:spacing w:before="120"/>
              <w:rPr>
                <w:sz w:val="19"/>
              </w:rPr>
            </w:pPr>
            <w:r>
              <w:rPr>
                <w:sz w:val="19"/>
              </w:rPr>
              <w:t>15 Dec 1997</w:t>
            </w:r>
          </w:p>
        </w:tc>
        <w:tc>
          <w:tcPr>
            <w:tcW w:w="2580" w:type="dxa"/>
            <w:gridSpan w:val="2"/>
          </w:tcPr>
          <w:p>
            <w:pPr>
              <w:pStyle w:val="nTable"/>
              <w:spacing w:before="120"/>
              <w:rPr>
                <w:sz w:val="19"/>
              </w:rPr>
            </w:pPr>
            <w:r>
              <w:rPr>
                <w:sz w:val="19"/>
              </w:rPr>
              <w:t>15 Dec 1997 (see s. 2(1))</w:t>
            </w:r>
          </w:p>
        </w:tc>
      </w:tr>
      <w:tr>
        <w:trPr>
          <w:cantSplit/>
        </w:trPr>
        <w:tc>
          <w:tcPr>
            <w:tcW w:w="2240" w:type="dxa"/>
          </w:tcPr>
          <w:p>
            <w:pPr>
              <w:pStyle w:val="nTable"/>
              <w:spacing w:before="120"/>
              <w:ind w:right="113"/>
              <w:rPr>
                <w:sz w:val="19"/>
              </w:rPr>
            </w:pPr>
            <w:r>
              <w:rPr>
                <w:i/>
                <w:sz w:val="19"/>
              </w:rPr>
              <w:t>Statutes (Repeals and Minor Amendments) Act (No. 2) 1998</w:t>
            </w:r>
            <w:r>
              <w:rPr>
                <w:sz w:val="19"/>
              </w:rPr>
              <w:t xml:space="preserve"> s. 52</w:t>
            </w:r>
          </w:p>
        </w:tc>
        <w:tc>
          <w:tcPr>
            <w:tcW w:w="1134" w:type="dxa"/>
            <w:gridSpan w:val="2"/>
          </w:tcPr>
          <w:p>
            <w:pPr>
              <w:pStyle w:val="nTable"/>
              <w:spacing w:before="120"/>
              <w:rPr>
                <w:sz w:val="19"/>
              </w:rPr>
            </w:pPr>
            <w:r>
              <w:rPr>
                <w:sz w:val="19"/>
              </w:rPr>
              <w:t>10 of 1998</w:t>
            </w:r>
          </w:p>
        </w:tc>
        <w:tc>
          <w:tcPr>
            <w:tcW w:w="1134" w:type="dxa"/>
            <w:gridSpan w:val="2"/>
          </w:tcPr>
          <w:p>
            <w:pPr>
              <w:pStyle w:val="nTable"/>
              <w:spacing w:before="120"/>
              <w:rPr>
                <w:sz w:val="19"/>
              </w:rPr>
            </w:pPr>
            <w:r>
              <w:rPr>
                <w:sz w:val="19"/>
              </w:rPr>
              <w:t>30 Apr 1998</w:t>
            </w:r>
          </w:p>
        </w:tc>
        <w:tc>
          <w:tcPr>
            <w:tcW w:w="2580" w:type="dxa"/>
            <w:gridSpan w:val="2"/>
          </w:tcPr>
          <w:p>
            <w:pPr>
              <w:pStyle w:val="nTable"/>
              <w:spacing w:before="120"/>
              <w:rPr>
                <w:sz w:val="19"/>
              </w:rPr>
            </w:pPr>
            <w:r>
              <w:rPr>
                <w:sz w:val="19"/>
              </w:rPr>
              <w:t>30 Apr 1998 (see s. 2(1))</w:t>
            </w:r>
          </w:p>
        </w:tc>
      </w:tr>
      <w:tr>
        <w:trPr>
          <w:cantSplit/>
        </w:trPr>
        <w:tc>
          <w:tcPr>
            <w:tcW w:w="2240" w:type="dxa"/>
          </w:tcPr>
          <w:p>
            <w:pPr>
              <w:pStyle w:val="nTable"/>
              <w:spacing w:before="120"/>
              <w:ind w:right="113"/>
              <w:rPr>
                <w:sz w:val="19"/>
              </w:rPr>
            </w:pPr>
            <w:r>
              <w:rPr>
                <w:i/>
                <w:sz w:val="19"/>
              </w:rPr>
              <w:t>Mining Amendment Act 1998</w:t>
            </w:r>
            <w:r>
              <w:rPr>
                <w:sz w:val="19"/>
                <w:vertAlign w:val="superscript"/>
              </w:rPr>
              <w:t> 15</w:t>
            </w:r>
          </w:p>
        </w:tc>
        <w:tc>
          <w:tcPr>
            <w:tcW w:w="1134" w:type="dxa"/>
            <w:gridSpan w:val="2"/>
          </w:tcPr>
          <w:p>
            <w:pPr>
              <w:pStyle w:val="nTable"/>
              <w:spacing w:before="120"/>
              <w:rPr>
                <w:sz w:val="19"/>
              </w:rPr>
            </w:pPr>
            <w:r>
              <w:rPr>
                <w:sz w:val="19"/>
              </w:rPr>
              <w:t>35 of 1998</w:t>
            </w:r>
          </w:p>
        </w:tc>
        <w:tc>
          <w:tcPr>
            <w:tcW w:w="1134" w:type="dxa"/>
            <w:gridSpan w:val="2"/>
          </w:tcPr>
          <w:p>
            <w:pPr>
              <w:pStyle w:val="nTable"/>
              <w:spacing w:before="120"/>
              <w:rPr>
                <w:sz w:val="19"/>
              </w:rPr>
            </w:pPr>
            <w:r>
              <w:rPr>
                <w:sz w:val="19"/>
              </w:rPr>
              <w:t>6 Jul 1998</w:t>
            </w:r>
          </w:p>
        </w:tc>
        <w:tc>
          <w:tcPr>
            <w:tcW w:w="2580" w:type="dxa"/>
            <w:gridSpan w:val="2"/>
          </w:tcPr>
          <w:p>
            <w:pPr>
              <w:pStyle w:val="nTable"/>
              <w:spacing w:before="120"/>
              <w:rPr>
                <w:sz w:val="19"/>
              </w:rPr>
            </w:pPr>
            <w:r>
              <w:rPr>
                <w:sz w:val="19"/>
              </w:rPr>
              <w:t>6 Jul 1998 (see s. 2)</w:t>
            </w:r>
          </w:p>
        </w:tc>
      </w:tr>
      <w:tr>
        <w:trPr>
          <w:cantSplit/>
        </w:trPr>
        <w:tc>
          <w:tcPr>
            <w:tcW w:w="2240" w:type="dxa"/>
          </w:tcPr>
          <w:p>
            <w:pPr>
              <w:pStyle w:val="nTable"/>
              <w:spacing w:before="120"/>
              <w:ind w:right="113"/>
              <w:rPr>
                <w:sz w:val="19"/>
              </w:rPr>
            </w:pPr>
            <w:r>
              <w:rPr>
                <w:i/>
                <w:sz w:val="19"/>
              </w:rPr>
              <w:t>Acts Amendment (Land Administration, Mining and Petroleum) Act 1998</w:t>
            </w:r>
            <w:r>
              <w:rPr>
                <w:sz w:val="19"/>
              </w:rPr>
              <w:br/>
              <w:t>Pt. 3</w:t>
            </w:r>
          </w:p>
        </w:tc>
        <w:tc>
          <w:tcPr>
            <w:tcW w:w="1134" w:type="dxa"/>
            <w:gridSpan w:val="2"/>
          </w:tcPr>
          <w:p>
            <w:pPr>
              <w:pStyle w:val="nTable"/>
              <w:spacing w:before="120"/>
              <w:rPr>
                <w:sz w:val="19"/>
              </w:rPr>
            </w:pPr>
            <w:r>
              <w:rPr>
                <w:sz w:val="19"/>
              </w:rPr>
              <w:t>61 of 1998</w:t>
            </w:r>
          </w:p>
        </w:tc>
        <w:tc>
          <w:tcPr>
            <w:tcW w:w="1134" w:type="dxa"/>
            <w:gridSpan w:val="2"/>
          </w:tcPr>
          <w:p>
            <w:pPr>
              <w:pStyle w:val="nTable"/>
              <w:spacing w:before="120"/>
              <w:rPr>
                <w:sz w:val="19"/>
              </w:rPr>
            </w:pPr>
            <w:r>
              <w:rPr>
                <w:sz w:val="19"/>
              </w:rPr>
              <w:t>11 Jan 1999</w:t>
            </w:r>
          </w:p>
        </w:tc>
        <w:tc>
          <w:tcPr>
            <w:tcW w:w="2580" w:type="dxa"/>
            <w:gridSpan w:val="2"/>
          </w:tcPr>
          <w:p>
            <w:pPr>
              <w:pStyle w:val="nTable"/>
              <w:spacing w:before="120"/>
              <w:rPr>
                <w:sz w:val="19"/>
              </w:rPr>
            </w:pPr>
            <w:r>
              <w:rPr>
                <w:sz w:val="19"/>
              </w:rPr>
              <w:t>11 Jan 1999 (see s. 2(1))</w:t>
            </w:r>
          </w:p>
        </w:tc>
      </w:tr>
      <w:tr>
        <w:trPr>
          <w:cantSplit/>
        </w:trPr>
        <w:tc>
          <w:tcPr>
            <w:tcW w:w="2240" w:type="dxa"/>
          </w:tcPr>
          <w:p>
            <w:pPr>
              <w:pStyle w:val="nTable"/>
              <w:spacing w:before="120"/>
              <w:ind w:right="113"/>
              <w:rPr>
                <w:sz w:val="19"/>
              </w:rPr>
            </w:pPr>
            <w:r>
              <w:rPr>
                <w:i/>
                <w:sz w:val="19"/>
              </w:rPr>
              <w:t>Acts Amendment (Mining and Petroleum) Act 1999</w:t>
            </w:r>
            <w:r>
              <w:rPr>
                <w:sz w:val="19"/>
              </w:rPr>
              <w:br/>
              <w:t>Pt. 2</w:t>
            </w:r>
          </w:p>
        </w:tc>
        <w:tc>
          <w:tcPr>
            <w:tcW w:w="1134" w:type="dxa"/>
            <w:gridSpan w:val="2"/>
          </w:tcPr>
          <w:p>
            <w:pPr>
              <w:pStyle w:val="nTable"/>
              <w:spacing w:before="120"/>
              <w:rPr>
                <w:sz w:val="19"/>
              </w:rPr>
            </w:pPr>
            <w:r>
              <w:rPr>
                <w:sz w:val="19"/>
              </w:rPr>
              <w:t>17 of 1999</w:t>
            </w:r>
          </w:p>
        </w:tc>
        <w:tc>
          <w:tcPr>
            <w:tcW w:w="1134" w:type="dxa"/>
            <w:gridSpan w:val="2"/>
          </w:tcPr>
          <w:p>
            <w:pPr>
              <w:pStyle w:val="nTable"/>
              <w:spacing w:before="120"/>
              <w:rPr>
                <w:sz w:val="19"/>
              </w:rPr>
            </w:pPr>
            <w:r>
              <w:rPr>
                <w:sz w:val="19"/>
              </w:rPr>
              <w:t>15 Jun 1999</w:t>
            </w:r>
          </w:p>
        </w:tc>
        <w:tc>
          <w:tcPr>
            <w:tcW w:w="2580" w:type="dxa"/>
            <w:gridSpan w:val="2"/>
          </w:tcPr>
          <w:p>
            <w:pPr>
              <w:pStyle w:val="nTable"/>
              <w:spacing w:before="120"/>
              <w:rPr>
                <w:sz w:val="19"/>
              </w:rPr>
            </w:pPr>
            <w:r>
              <w:rPr>
                <w:sz w:val="19"/>
              </w:rPr>
              <w:t xml:space="preserve">24 Jul 1999 (see s. 2 and </w:t>
            </w:r>
            <w:r>
              <w:rPr>
                <w:i/>
                <w:sz w:val="19"/>
              </w:rPr>
              <w:t>Gazette</w:t>
            </w:r>
            <w:r>
              <w:rPr>
                <w:sz w:val="19"/>
              </w:rPr>
              <w:t xml:space="preserve"> 23 Jul 1999 p. 3385)</w:t>
            </w:r>
          </w:p>
        </w:tc>
      </w:tr>
      <w:tr>
        <w:trPr>
          <w:cantSplit/>
        </w:trPr>
        <w:tc>
          <w:tcPr>
            <w:tcW w:w="7088" w:type="dxa"/>
            <w:gridSpan w:val="7"/>
          </w:tcPr>
          <w:p>
            <w:pPr>
              <w:pStyle w:val="nTable"/>
              <w:spacing w:before="120"/>
              <w:rPr>
                <w:sz w:val="19"/>
              </w:rPr>
            </w:pPr>
            <w:r>
              <w:rPr>
                <w:b/>
                <w:sz w:val="19"/>
              </w:rPr>
              <w:t xml:space="preserve">Reprint of the </w:t>
            </w:r>
            <w:r>
              <w:rPr>
                <w:b/>
                <w:i/>
                <w:sz w:val="19"/>
              </w:rPr>
              <w:t>Mining Act 1978</w:t>
            </w:r>
            <w:r>
              <w:rPr>
                <w:b/>
                <w:sz w:val="19"/>
              </w:rPr>
              <w:t xml:space="preserve"> as at 26 Jul 1999</w:t>
            </w:r>
            <w:r>
              <w:rPr>
                <w:sz w:val="19"/>
              </w:rPr>
              <w:t xml:space="preserve"> (includes amendments listed above except those in the </w:t>
            </w:r>
            <w:r>
              <w:rPr>
                <w:i/>
                <w:sz w:val="19"/>
              </w:rPr>
              <w:t>Mining Amendment Act 1994</w:t>
            </w:r>
            <w:r>
              <w:rPr>
                <w:sz w:val="19"/>
              </w:rPr>
              <w:t xml:space="preserve"> s. 5 and the </w:t>
            </w:r>
            <w:r>
              <w:rPr>
                <w:i/>
                <w:sz w:val="19"/>
              </w:rPr>
              <w:t>Mining Amendment Act 1996</w:t>
            </w:r>
            <w:r>
              <w:rPr>
                <w:sz w:val="19"/>
              </w:rPr>
              <w:t xml:space="preserve"> s. 1-4, 6, 8, 9 11, 12 and 14-22)</w:t>
            </w:r>
          </w:p>
        </w:tc>
      </w:tr>
      <w:tr>
        <w:trPr>
          <w:cantSplit/>
        </w:trPr>
        <w:tc>
          <w:tcPr>
            <w:tcW w:w="2240" w:type="dxa"/>
          </w:tcPr>
          <w:p>
            <w:pPr>
              <w:pStyle w:val="nTable"/>
              <w:keepNext/>
              <w:keepLines/>
              <w:spacing w:before="120"/>
              <w:ind w:right="113"/>
              <w:rPr>
                <w:sz w:val="19"/>
              </w:rPr>
            </w:pPr>
            <w:r>
              <w:rPr>
                <w:i/>
                <w:sz w:val="19"/>
              </w:rPr>
              <w:t>Acts Amendment (Police Immunity) Act 1999</w:t>
            </w:r>
            <w:r>
              <w:rPr>
                <w:sz w:val="19"/>
              </w:rPr>
              <w:t xml:space="preserve"> s. 8</w:t>
            </w:r>
          </w:p>
        </w:tc>
        <w:tc>
          <w:tcPr>
            <w:tcW w:w="1134" w:type="dxa"/>
            <w:gridSpan w:val="2"/>
          </w:tcPr>
          <w:p>
            <w:pPr>
              <w:pStyle w:val="nTable"/>
              <w:keepNext/>
              <w:keepLines/>
              <w:spacing w:before="120" w:after="60"/>
              <w:rPr>
                <w:sz w:val="19"/>
              </w:rPr>
            </w:pPr>
            <w:r>
              <w:rPr>
                <w:sz w:val="19"/>
              </w:rPr>
              <w:t>42 of 1999</w:t>
            </w:r>
          </w:p>
        </w:tc>
        <w:tc>
          <w:tcPr>
            <w:tcW w:w="1134" w:type="dxa"/>
            <w:gridSpan w:val="2"/>
          </w:tcPr>
          <w:p>
            <w:pPr>
              <w:pStyle w:val="nTable"/>
              <w:keepNext/>
              <w:keepLines/>
              <w:spacing w:before="120"/>
              <w:rPr>
                <w:sz w:val="19"/>
              </w:rPr>
            </w:pPr>
            <w:r>
              <w:rPr>
                <w:sz w:val="19"/>
              </w:rPr>
              <w:t>25 Nov 1999</w:t>
            </w:r>
          </w:p>
        </w:tc>
        <w:tc>
          <w:tcPr>
            <w:tcW w:w="2580" w:type="dxa"/>
            <w:gridSpan w:val="2"/>
          </w:tcPr>
          <w:p>
            <w:pPr>
              <w:pStyle w:val="nTable"/>
              <w:keepNext/>
              <w:keepLines/>
              <w:spacing w:before="120"/>
              <w:rPr>
                <w:sz w:val="19"/>
              </w:rPr>
            </w:pPr>
            <w:r>
              <w:rPr>
                <w:sz w:val="19"/>
              </w:rPr>
              <w:t>25 Nov 1999 (see s. 2)</w:t>
            </w:r>
          </w:p>
        </w:tc>
      </w:tr>
      <w:tr>
        <w:trPr>
          <w:cantSplit/>
        </w:trPr>
        <w:tc>
          <w:tcPr>
            <w:tcW w:w="2240" w:type="dxa"/>
          </w:tcPr>
          <w:p>
            <w:pPr>
              <w:pStyle w:val="nTable"/>
              <w:keepNext/>
              <w:keepLines/>
              <w:spacing w:before="120"/>
              <w:ind w:right="113"/>
              <w:rPr>
                <w:sz w:val="19"/>
              </w:rPr>
            </w:pPr>
            <w:r>
              <w:rPr>
                <w:i/>
                <w:sz w:val="19"/>
              </w:rPr>
              <w:t>Statutes (Repeals and Minor Amendments) Act 2000</w:t>
            </w:r>
            <w:r>
              <w:rPr>
                <w:sz w:val="19"/>
              </w:rPr>
              <w:t xml:space="preserve"> s. 26</w:t>
            </w:r>
          </w:p>
        </w:tc>
        <w:tc>
          <w:tcPr>
            <w:tcW w:w="1134" w:type="dxa"/>
            <w:gridSpan w:val="2"/>
          </w:tcPr>
          <w:p>
            <w:pPr>
              <w:pStyle w:val="nTable"/>
              <w:keepNext/>
              <w:keepLines/>
              <w:spacing w:before="120"/>
              <w:rPr>
                <w:sz w:val="19"/>
              </w:rPr>
            </w:pPr>
            <w:r>
              <w:rPr>
                <w:sz w:val="19"/>
              </w:rPr>
              <w:t>24 of 2000</w:t>
            </w:r>
          </w:p>
        </w:tc>
        <w:tc>
          <w:tcPr>
            <w:tcW w:w="1134" w:type="dxa"/>
            <w:gridSpan w:val="2"/>
          </w:tcPr>
          <w:p>
            <w:pPr>
              <w:pStyle w:val="nTable"/>
              <w:keepNext/>
              <w:keepLines/>
              <w:spacing w:before="120"/>
              <w:rPr>
                <w:sz w:val="19"/>
              </w:rPr>
            </w:pPr>
            <w:r>
              <w:rPr>
                <w:sz w:val="19"/>
              </w:rPr>
              <w:t>4 Jul 2000</w:t>
            </w:r>
          </w:p>
        </w:tc>
        <w:tc>
          <w:tcPr>
            <w:tcW w:w="2580" w:type="dxa"/>
            <w:gridSpan w:val="2"/>
          </w:tcPr>
          <w:p>
            <w:pPr>
              <w:pStyle w:val="nTable"/>
              <w:keepNext/>
              <w:keepLines/>
              <w:spacing w:before="120"/>
              <w:rPr>
                <w:sz w:val="19"/>
              </w:rPr>
            </w:pPr>
            <w:r>
              <w:rPr>
                <w:sz w:val="19"/>
              </w:rPr>
              <w:t>4 Jul 2000 (see s. 2)</w:t>
            </w:r>
          </w:p>
        </w:tc>
      </w:tr>
      <w:tr>
        <w:trPr>
          <w:cantSplit/>
        </w:trPr>
        <w:tc>
          <w:tcPr>
            <w:tcW w:w="2240" w:type="dxa"/>
          </w:tcPr>
          <w:p>
            <w:pPr>
              <w:pStyle w:val="nTable"/>
              <w:spacing w:before="120"/>
              <w:ind w:right="113"/>
              <w:rPr>
                <w:sz w:val="19"/>
              </w:rPr>
            </w:pPr>
            <w:r>
              <w:rPr>
                <w:i/>
                <w:sz w:val="19"/>
              </w:rPr>
              <w:t xml:space="preserve">Rights in Water and Irrigation Amendment Act 2000 </w:t>
            </w:r>
            <w:r>
              <w:rPr>
                <w:sz w:val="19"/>
              </w:rPr>
              <w:t>s. 86</w:t>
            </w:r>
          </w:p>
        </w:tc>
        <w:tc>
          <w:tcPr>
            <w:tcW w:w="1134" w:type="dxa"/>
            <w:gridSpan w:val="2"/>
          </w:tcPr>
          <w:p>
            <w:pPr>
              <w:pStyle w:val="nTable"/>
              <w:spacing w:before="120"/>
              <w:rPr>
                <w:sz w:val="19"/>
              </w:rPr>
            </w:pPr>
            <w:r>
              <w:rPr>
                <w:sz w:val="19"/>
              </w:rPr>
              <w:t>49 of 2000</w:t>
            </w:r>
          </w:p>
        </w:tc>
        <w:tc>
          <w:tcPr>
            <w:tcW w:w="1134" w:type="dxa"/>
            <w:gridSpan w:val="2"/>
          </w:tcPr>
          <w:p>
            <w:pPr>
              <w:pStyle w:val="nTable"/>
              <w:spacing w:before="120"/>
              <w:rPr>
                <w:sz w:val="19"/>
              </w:rPr>
            </w:pPr>
            <w:r>
              <w:rPr>
                <w:sz w:val="19"/>
              </w:rPr>
              <w:t>28 Nov 2000</w:t>
            </w:r>
          </w:p>
        </w:tc>
        <w:tc>
          <w:tcPr>
            <w:tcW w:w="2580" w:type="dxa"/>
            <w:gridSpan w:val="2"/>
          </w:tcPr>
          <w:p>
            <w:pPr>
              <w:pStyle w:val="nTable"/>
              <w:spacing w:before="120"/>
              <w:rPr>
                <w:sz w:val="19"/>
              </w:rPr>
            </w:pPr>
            <w:r>
              <w:rPr>
                <w:sz w:val="19"/>
              </w:rPr>
              <w:t xml:space="preserve">10 Jan 2001 (see s. 2 and </w:t>
            </w:r>
            <w:r>
              <w:rPr>
                <w:i/>
                <w:sz w:val="19"/>
              </w:rPr>
              <w:t xml:space="preserve">Gazette </w:t>
            </w:r>
            <w:r>
              <w:rPr>
                <w:sz w:val="19"/>
              </w:rPr>
              <w:t>10 Jan 2001 p. 163)</w:t>
            </w:r>
          </w:p>
        </w:tc>
      </w:tr>
      <w:tr>
        <w:trPr>
          <w:cantSplit/>
        </w:trPr>
        <w:tc>
          <w:tcPr>
            <w:tcW w:w="2240" w:type="dxa"/>
          </w:tcPr>
          <w:p>
            <w:pPr>
              <w:pStyle w:val="nTable"/>
              <w:spacing w:before="120"/>
              <w:ind w:right="113"/>
              <w:rPr>
                <w:sz w:val="19"/>
              </w:rPr>
            </w:pPr>
            <w:r>
              <w:rPr>
                <w:i/>
                <w:sz w:val="19"/>
              </w:rPr>
              <w:t xml:space="preserve">Acts Amendment (Australian Datum) Act 2000 </w:t>
            </w:r>
            <w:r>
              <w:rPr>
                <w:sz w:val="19"/>
              </w:rPr>
              <w:t>s. 5</w:t>
            </w:r>
          </w:p>
        </w:tc>
        <w:tc>
          <w:tcPr>
            <w:tcW w:w="1134" w:type="dxa"/>
            <w:gridSpan w:val="2"/>
          </w:tcPr>
          <w:p>
            <w:pPr>
              <w:pStyle w:val="nTable"/>
              <w:spacing w:before="120"/>
              <w:rPr>
                <w:sz w:val="19"/>
              </w:rPr>
            </w:pPr>
            <w:r>
              <w:rPr>
                <w:sz w:val="19"/>
              </w:rPr>
              <w:t>54 of 2000</w:t>
            </w:r>
          </w:p>
        </w:tc>
        <w:tc>
          <w:tcPr>
            <w:tcW w:w="1134" w:type="dxa"/>
            <w:gridSpan w:val="2"/>
          </w:tcPr>
          <w:p>
            <w:pPr>
              <w:pStyle w:val="nTable"/>
              <w:spacing w:before="120"/>
              <w:rPr>
                <w:sz w:val="19"/>
              </w:rPr>
            </w:pPr>
            <w:r>
              <w:rPr>
                <w:sz w:val="19"/>
              </w:rPr>
              <w:t>28 Nov 2000</w:t>
            </w:r>
          </w:p>
        </w:tc>
        <w:tc>
          <w:tcPr>
            <w:tcW w:w="2580" w:type="dxa"/>
            <w:gridSpan w:val="2"/>
          </w:tcPr>
          <w:p>
            <w:pPr>
              <w:pStyle w:val="nTable"/>
              <w:spacing w:before="120"/>
              <w:rPr>
                <w:sz w:val="19"/>
              </w:rPr>
            </w:pPr>
            <w:r>
              <w:rPr>
                <w:sz w:val="19"/>
              </w:rPr>
              <w:t>16 Dec 2000 (see s. 2 and </w:t>
            </w:r>
            <w:r>
              <w:rPr>
                <w:i/>
                <w:sz w:val="19"/>
              </w:rPr>
              <w:t>Gazette</w:t>
            </w:r>
            <w:r>
              <w:rPr>
                <w:sz w:val="19"/>
              </w:rPr>
              <w:t xml:space="preserve"> 15 Dec 2000 p. 7201)</w:t>
            </w:r>
          </w:p>
        </w:tc>
      </w:tr>
      <w:tr>
        <w:trPr>
          <w:cantSplit/>
        </w:trPr>
        <w:tc>
          <w:tcPr>
            <w:tcW w:w="2240" w:type="dxa"/>
          </w:tcPr>
          <w:p>
            <w:pPr>
              <w:pStyle w:val="nTable"/>
              <w:spacing w:before="120"/>
              <w:ind w:right="113"/>
              <w:rPr>
                <w:i/>
                <w:sz w:val="19"/>
              </w:rPr>
            </w:pPr>
            <w:r>
              <w:rPr>
                <w:i/>
                <w:sz w:val="19"/>
              </w:rPr>
              <w:t>Mining Amendment Act 2000</w:t>
            </w:r>
          </w:p>
        </w:tc>
        <w:tc>
          <w:tcPr>
            <w:tcW w:w="1134" w:type="dxa"/>
            <w:gridSpan w:val="2"/>
          </w:tcPr>
          <w:p>
            <w:pPr>
              <w:pStyle w:val="nTable"/>
              <w:spacing w:before="120"/>
              <w:rPr>
                <w:sz w:val="19"/>
              </w:rPr>
            </w:pPr>
            <w:r>
              <w:rPr>
                <w:sz w:val="19"/>
              </w:rPr>
              <w:t>63 of 2000</w:t>
            </w:r>
          </w:p>
        </w:tc>
        <w:tc>
          <w:tcPr>
            <w:tcW w:w="1134" w:type="dxa"/>
            <w:gridSpan w:val="2"/>
          </w:tcPr>
          <w:p>
            <w:pPr>
              <w:pStyle w:val="nTable"/>
              <w:spacing w:before="120"/>
              <w:rPr>
                <w:sz w:val="19"/>
              </w:rPr>
            </w:pPr>
            <w:r>
              <w:rPr>
                <w:sz w:val="19"/>
              </w:rPr>
              <w:t>4 Dec 2000</w:t>
            </w:r>
          </w:p>
        </w:tc>
        <w:tc>
          <w:tcPr>
            <w:tcW w:w="2580" w:type="dxa"/>
            <w:gridSpan w:val="2"/>
          </w:tcPr>
          <w:p>
            <w:pPr>
              <w:pStyle w:val="nTable"/>
              <w:spacing w:before="120"/>
              <w:rPr>
                <w:sz w:val="19"/>
              </w:rPr>
            </w:pPr>
            <w:r>
              <w:rPr>
                <w:sz w:val="19"/>
              </w:rPr>
              <w:t xml:space="preserve">3 Feb 2001 (see s. 2 and </w:t>
            </w:r>
            <w:r>
              <w:rPr>
                <w:i/>
                <w:sz w:val="19"/>
              </w:rPr>
              <w:t>Gazette</w:t>
            </w:r>
            <w:r>
              <w:rPr>
                <w:sz w:val="19"/>
              </w:rPr>
              <w:t xml:space="preserve"> 2 Feb 2001 p. 697)</w:t>
            </w:r>
          </w:p>
        </w:tc>
      </w:tr>
      <w:tr>
        <w:trPr>
          <w:cantSplit/>
        </w:trPr>
        <w:tc>
          <w:tcPr>
            <w:tcW w:w="2240" w:type="dxa"/>
          </w:tcPr>
          <w:p>
            <w:pPr>
              <w:pStyle w:val="nTable"/>
              <w:spacing w:before="120"/>
              <w:ind w:right="113"/>
              <w:rPr>
                <w:i/>
                <w:sz w:val="19"/>
              </w:rPr>
            </w:pPr>
            <w:r>
              <w:rPr>
                <w:i/>
                <w:sz w:val="19"/>
              </w:rPr>
              <w:t>Corporations (Consequential Amendments) Act 2001</w:t>
            </w:r>
            <w:r>
              <w:rPr>
                <w:sz w:val="19"/>
              </w:rPr>
              <w:t xml:space="preserve"> Pt. 39</w:t>
            </w:r>
          </w:p>
        </w:tc>
        <w:tc>
          <w:tcPr>
            <w:tcW w:w="1134" w:type="dxa"/>
            <w:gridSpan w:val="2"/>
          </w:tcPr>
          <w:p>
            <w:pPr>
              <w:pStyle w:val="nTable"/>
              <w:spacing w:before="120"/>
              <w:rPr>
                <w:sz w:val="19"/>
              </w:rPr>
            </w:pPr>
            <w:r>
              <w:rPr>
                <w:sz w:val="19"/>
              </w:rPr>
              <w:t>10 of 2001</w:t>
            </w:r>
          </w:p>
        </w:tc>
        <w:tc>
          <w:tcPr>
            <w:tcW w:w="1134" w:type="dxa"/>
            <w:gridSpan w:val="2"/>
          </w:tcPr>
          <w:p>
            <w:pPr>
              <w:pStyle w:val="nTable"/>
              <w:spacing w:before="120"/>
              <w:rPr>
                <w:sz w:val="19"/>
              </w:rPr>
            </w:pPr>
            <w:r>
              <w:rPr>
                <w:sz w:val="19"/>
              </w:rPr>
              <w:t>28 Jun 2001</w:t>
            </w:r>
          </w:p>
        </w:tc>
        <w:tc>
          <w:tcPr>
            <w:tcW w:w="2580" w:type="dxa"/>
            <w:gridSpan w:val="2"/>
          </w:tcPr>
          <w:p>
            <w:pPr>
              <w:pStyle w:val="nTable"/>
              <w:spacing w:before="120"/>
              <w:ind w:right="113"/>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40" w:type="dxa"/>
          </w:tcPr>
          <w:p>
            <w:pPr>
              <w:pStyle w:val="nTable"/>
              <w:spacing w:before="120"/>
              <w:ind w:right="113"/>
              <w:rPr>
                <w:sz w:val="19"/>
              </w:rPr>
            </w:pPr>
            <w:r>
              <w:rPr>
                <w:i/>
              </w:rPr>
              <w:t xml:space="preserve">Mining </w:t>
            </w:r>
            <w:r>
              <w:rPr>
                <w:i/>
                <w:sz w:val="19"/>
              </w:rPr>
              <w:t>Amendment</w:t>
            </w:r>
            <w:r>
              <w:rPr>
                <w:i/>
              </w:rPr>
              <w:t xml:space="preserve"> Act 2002</w:t>
            </w:r>
          </w:p>
        </w:tc>
        <w:tc>
          <w:tcPr>
            <w:tcW w:w="1134" w:type="dxa"/>
            <w:gridSpan w:val="2"/>
          </w:tcPr>
          <w:p>
            <w:pPr>
              <w:pStyle w:val="nTable"/>
              <w:spacing w:before="120"/>
              <w:rPr>
                <w:sz w:val="19"/>
              </w:rPr>
            </w:pPr>
            <w:r>
              <w:t>15 of 2002</w:t>
            </w:r>
          </w:p>
        </w:tc>
        <w:tc>
          <w:tcPr>
            <w:tcW w:w="1134" w:type="dxa"/>
            <w:gridSpan w:val="2"/>
          </w:tcPr>
          <w:p>
            <w:pPr>
              <w:pStyle w:val="nTable"/>
              <w:spacing w:before="120"/>
              <w:rPr>
                <w:sz w:val="19"/>
              </w:rPr>
            </w:pPr>
            <w:r>
              <w:t>8 Jul 2002</w:t>
            </w:r>
          </w:p>
        </w:tc>
        <w:tc>
          <w:tcPr>
            <w:tcW w:w="2580" w:type="dxa"/>
            <w:gridSpan w:val="2"/>
          </w:tcPr>
          <w:p>
            <w:pPr>
              <w:pStyle w:val="nTable"/>
              <w:spacing w:before="120"/>
              <w:ind w:right="113"/>
              <w:rPr>
                <w:sz w:val="19"/>
                <w:vertAlign w:val="superscript"/>
              </w:rPr>
            </w:pPr>
            <w:r>
              <w:t xml:space="preserve">s. 23: 15 Jul 2001 (see s. 2(3) and Cwlth. </w:t>
            </w:r>
            <w:r>
              <w:rPr>
                <w:i/>
              </w:rPr>
              <w:t xml:space="preserve">Gazette </w:t>
            </w:r>
            <w:r>
              <w:t>13 Jul 2001 No. S285);</w:t>
            </w:r>
            <w:r>
              <w:br/>
              <w:t xml:space="preserve">balance (other than s. 12 and 23): 18 Jan 2003 (see s. 2(1) and (2) and </w:t>
            </w:r>
            <w:r>
              <w:rPr>
                <w:i/>
              </w:rPr>
              <w:t>Gazette</w:t>
            </w:r>
            <w:r>
              <w:t xml:space="preserve"> 17 Jan 2003 p. 105);</w:t>
            </w:r>
            <w:r>
              <w:br/>
              <w:t>s. 12 to be proclaimed</w:t>
            </w:r>
          </w:p>
        </w:tc>
      </w:tr>
      <w:tr>
        <w:trPr>
          <w:cantSplit/>
        </w:trPr>
        <w:tc>
          <w:tcPr>
            <w:tcW w:w="7088" w:type="dxa"/>
            <w:gridSpan w:val="7"/>
          </w:tcPr>
          <w:p>
            <w:pPr>
              <w:pStyle w:val="nTable"/>
              <w:spacing w:before="120"/>
              <w:ind w:right="113"/>
              <w:rPr>
                <w:sz w:val="19"/>
              </w:rPr>
            </w:pPr>
            <w:r>
              <w:rPr>
                <w:b/>
                <w:sz w:val="19"/>
              </w:rPr>
              <w:t xml:space="preserve">Reprint of the </w:t>
            </w:r>
            <w:r>
              <w:rPr>
                <w:b/>
                <w:i/>
                <w:sz w:val="19"/>
              </w:rPr>
              <w:t>Mining Act 1978</w:t>
            </w:r>
            <w:r>
              <w:rPr>
                <w:b/>
                <w:sz w:val="19"/>
              </w:rPr>
              <w:t xml:space="preserve"> as at 7 Sep 2001</w:t>
            </w:r>
            <w:r>
              <w:rPr>
                <w:b/>
                <w:sz w:val="19"/>
              </w:rPr>
              <w:br/>
            </w:r>
            <w:r>
              <w:rPr>
                <w:sz w:val="19"/>
              </w:rPr>
              <w:t xml:space="preserve">(includes amendments listed above except those in the </w:t>
            </w:r>
            <w:r>
              <w:rPr>
                <w:i/>
              </w:rPr>
              <w:t xml:space="preserve">Mining </w:t>
            </w:r>
            <w:r>
              <w:rPr>
                <w:i/>
                <w:sz w:val="19"/>
              </w:rPr>
              <w:t>Amendment</w:t>
            </w:r>
            <w:r>
              <w:rPr>
                <w:i/>
              </w:rPr>
              <w:t xml:space="preserve"> Act 2002</w:t>
            </w:r>
            <w:r>
              <w:rPr>
                <w:sz w:val="19"/>
              </w:rPr>
              <w:t>)</w:t>
            </w:r>
          </w:p>
        </w:tc>
      </w:tr>
      <w:tr>
        <w:trPr>
          <w:cantSplit/>
        </w:trPr>
        <w:tc>
          <w:tcPr>
            <w:tcW w:w="2268" w:type="dxa"/>
            <w:gridSpan w:val="2"/>
          </w:tcPr>
          <w:p>
            <w:pPr>
              <w:pStyle w:val="nTable"/>
              <w:spacing w:before="120"/>
              <w:ind w:right="113"/>
              <w:rPr>
                <w:sz w:val="19"/>
              </w:rPr>
            </w:pPr>
            <w:r>
              <w:rPr>
                <w:i/>
                <w:sz w:val="19"/>
              </w:rPr>
              <w:t>Acts Amendment (Equality of Status) Act 2003</w:t>
            </w:r>
            <w:r>
              <w:rPr>
                <w:sz w:val="19"/>
              </w:rPr>
              <w:t xml:space="preserve"> Pt. 46</w:t>
            </w:r>
          </w:p>
        </w:tc>
        <w:tc>
          <w:tcPr>
            <w:tcW w:w="1134" w:type="dxa"/>
            <w:gridSpan w:val="2"/>
          </w:tcPr>
          <w:p>
            <w:pPr>
              <w:pStyle w:val="nTable"/>
              <w:spacing w:before="120"/>
              <w:rPr>
                <w:sz w:val="19"/>
              </w:rPr>
            </w:pPr>
            <w:r>
              <w:rPr>
                <w:sz w:val="19"/>
              </w:rPr>
              <w:t>28 of 2003</w:t>
            </w:r>
          </w:p>
        </w:tc>
        <w:tc>
          <w:tcPr>
            <w:tcW w:w="1134" w:type="dxa"/>
            <w:gridSpan w:val="2"/>
          </w:tcPr>
          <w:p>
            <w:pPr>
              <w:pStyle w:val="nTable"/>
              <w:spacing w:before="120"/>
              <w:rPr>
                <w:sz w:val="19"/>
              </w:rPr>
            </w:pPr>
            <w:r>
              <w:rPr>
                <w:sz w:val="19"/>
              </w:rPr>
              <w:t>22 May 2003</w:t>
            </w:r>
          </w:p>
        </w:tc>
        <w:tc>
          <w:tcPr>
            <w:tcW w:w="2552" w:type="dxa"/>
          </w:tcPr>
          <w:p>
            <w:pPr>
              <w:pStyle w:val="nTable"/>
              <w:spacing w:before="120"/>
              <w:ind w:right="113"/>
              <w:rPr>
                <w:sz w:val="19"/>
              </w:rPr>
            </w:pPr>
            <w:r>
              <w:rPr>
                <w:sz w:val="19"/>
              </w:rPr>
              <w:t xml:space="preserve">1 Jul 2003 (see s. 2 and </w:t>
            </w:r>
            <w:r>
              <w:rPr>
                <w:i/>
                <w:sz w:val="19"/>
              </w:rPr>
              <w:t xml:space="preserve">Gazette </w:t>
            </w:r>
            <w:r>
              <w:rPr>
                <w:sz w:val="19"/>
              </w:rPr>
              <w:t>30 Jun 2003 p. 2579)</w:t>
            </w:r>
          </w:p>
        </w:tc>
      </w:tr>
      <w:tr>
        <w:trPr>
          <w:cantSplit/>
        </w:trPr>
        <w:tc>
          <w:tcPr>
            <w:tcW w:w="2268" w:type="dxa"/>
            <w:gridSpan w:val="2"/>
          </w:tcPr>
          <w:p>
            <w:pPr>
              <w:pStyle w:val="nTable"/>
              <w:spacing w:before="120"/>
              <w:ind w:right="113"/>
              <w:rPr>
                <w:sz w:val="19"/>
              </w:rPr>
            </w:pPr>
            <w:r>
              <w:rPr>
                <w:i/>
                <w:sz w:val="19"/>
              </w:rPr>
              <w:t>Acts Amendment and Repeal (Courts and Legal Practice) Act 2003</w:t>
            </w:r>
            <w:r>
              <w:rPr>
                <w:sz w:val="19"/>
              </w:rPr>
              <w:t xml:space="preserve"> s. 52</w:t>
            </w:r>
          </w:p>
        </w:tc>
        <w:tc>
          <w:tcPr>
            <w:tcW w:w="1134" w:type="dxa"/>
            <w:gridSpan w:val="2"/>
          </w:tcPr>
          <w:p>
            <w:pPr>
              <w:pStyle w:val="nTable"/>
              <w:spacing w:before="120"/>
              <w:rPr>
                <w:sz w:val="19"/>
              </w:rPr>
            </w:pPr>
            <w:r>
              <w:rPr>
                <w:sz w:val="19"/>
              </w:rPr>
              <w:t>65 of 2003</w:t>
            </w:r>
          </w:p>
        </w:tc>
        <w:tc>
          <w:tcPr>
            <w:tcW w:w="1134" w:type="dxa"/>
            <w:gridSpan w:val="2"/>
          </w:tcPr>
          <w:p>
            <w:pPr>
              <w:pStyle w:val="nTable"/>
              <w:spacing w:before="120"/>
              <w:rPr>
                <w:sz w:val="19"/>
              </w:rPr>
            </w:pPr>
            <w:r>
              <w:rPr>
                <w:sz w:val="19"/>
              </w:rPr>
              <w:t>4 Dec 2003</w:t>
            </w:r>
          </w:p>
        </w:tc>
        <w:tc>
          <w:tcPr>
            <w:tcW w:w="2552" w:type="dxa"/>
          </w:tcPr>
          <w:p>
            <w:pPr>
              <w:pStyle w:val="nTable"/>
              <w:spacing w:before="120"/>
              <w:ind w:right="113"/>
              <w:rPr>
                <w:sz w:val="19"/>
              </w:rPr>
            </w:pPr>
            <w:r>
              <w:rPr>
                <w:sz w:val="19"/>
              </w:rPr>
              <w:t xml:space="preserve">1 Jan 2004 (see s. 2 and </w:t>
            </w:r>
            <w:r>
              <w:rPr>
                <w:i/>
                <w:sz w:val="19"/>
              </w:rPr>
              <w:t>Gazette</w:t>
            </w:r>
            <w:r>
              <w:rPr>
                <w:sz w:val="19"/>
              </w:rPr>
              <w:t xml:space="preserve"> 30 Dec 2003 p. 5722)</w:t>
            </w:r>
          </w:p>
        </w:tc>
      </w:tr>
      <w:tr>
        <w:trPr>
          <w:cantSplit/>
        </w:trPr>
        <w:tc>
          <w:tcPr>
            <w:tcW w:w="2268" w:type="dxa"/>
            <w:gridSpan w:val="2"/>
          </w:tcPr>
          <w:p>
            <w:pPr>
              <w:pStyle w:val="nTable"/>
              <w:spacing w:before="120"/>
              <w:ind w:right="113"/>
              <w:rPr>
                <w:i/>
                <w:sz w:val="19"/>
              </w:rPr>
            </w:pPr>
            <w:r>
              <w:rPr>
                <w:i/>
                <w:snapToGrid w:val="0"/>
                <w:sz w:val="19"/>
                <w:lang w:val="en-US"/>
              </w:rPr>
              <w:t>Acts Amendment (Court of Appeal) Act 2004</w:t>
            </w:r>
            <w:r>
              <w:rPr>
                <w:snapToGrid w:val="0"/>
                <w:sz w:val="19"/>
                <w:lang w:val="en-US"/>
              </w:rPr>
              <w:t xml:space="preserve"> s. 37</w:t>
            </w:r>
          </w:p>
        </w:tc>
        <w:tc>
          <w:tcPr>
            <w:tcW w:w="1134" w:type="dxa"/>
            <w:gridSpan w:val="2"/>
          </w:tcPr>
          <w:p>
            <w:pPr>
              <w:pStyle w:val="nTable"/>
              <w:spacing w:before="120"/>
              <w:rPr>
                <w:sz w:val="19"/>
              </w:rPr>
            </w:pPr>
            <w:r>
              <w:rPr>
                <w:snapToGrid w:val="0"/>
                <w:sz w:val="19"/>
                <w:lang w:val="en-US"/>
              </w:rPr>
              <w:t>45 of 2004</w:t>
            </w:r>
          </w:p>
        </w:tc>
        <w:tc>
          <w:tcPr>
            <w:tcW w:w="1134" w:type="dxa"/>
            <w:gridSpan w:val="2"/>
          </w:tcPr>
          <w:p>
            <w:pPr>
              <w:pStyle w:val="nTable"/>
              <w:spacing w:before="120"/>
              <w:rPr>
                <w:sz w:val="19"/>
              </w:rPr>
            </w:pPr>
            <w:r>
              <w:rPr>
                <w:sz w:val="19"/>
              </w:rPr>
              <w:t>9 Nov 2004</w:t>
            </w:r>
          </w:p>
        </w:tc>
        <w:tc>
          <w:tcPr>
            <w:tcW w:w="2552" w:type="dxa"/>
          </w:tcPr>
          <w:p>
            <w:pPr>
              <w:pStyle w:val="nTable"/>
              <w:spacing w:before="120"/>
              <w:ind w:right="113"/>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gridSpan w:val="2"/>
          </w:tcPr>
          <w:p>
            <w:pPr>
              <w:pStyle w:val="nTable"/>
              <w:spacing w:before="120"/>
              <w:ind w:right="113"/>
              <w:rPr>
                <w:i/>
                <w:snapToGrid w:val="0"/>
                <w:sz w:val="19"/>
                <w:lang w:val="en-US"/>
              </w:rPr>
            </w:pPr>
            <w:r>
              <w:rPr>
                <w:i/>
                <w:snapToGrid w:val="0"/>
                <w:sz w:val="19"/>
                <w:lang w:val="en-US"/>
              </w:rPr>
              <w:t>Courts Legislation Amendment and Repeal Act 2004</w:t>
            </w:r>
            <w:r>
              <w:rPr>
                <w:snapToGrid w:val="0"/>
                <w:sz w:val="19"/>
                <w:lang w:val="en-US"/>
              </w:rPr>
              <w:t xml:space="preserve"> Pt. 15</w:t>
            </w:r>
            <w:r>
              <w:rPr>
                <w:snapToGrid w:val="0"/>
                <w:sz w:val="19"/>
                <w:vertAlign w:val="superscript"/>
                <w:lang w:val="en-US"/>
              </w:rPr>
              <w:t> </w:t>
            </w:r>
          </w:p>
        </w:tc>
        <w:tc>
          <w:tcPr>
            <w:tcW w:w="1134" w:type="dxa"/>
            <w:gridSpan w:val="2"/>
          </w:tcPr>
          <w:p>
            <w:pPr>
              <w:pStyle w:val="nTable"/>
              <w:spacing w:before="120"/>
              <w:rPr>
                <w:snapToGrid w:val="0"/>
                <w:sz w:val="19"/>
                <w:lang w:val="en-US"/>
              </w:rPr>
            </w:pPr>
            <w:r>
              <w:rPr>
                <w:snapToGrid w:val="0"/>
                <w:sz w:val="19"/>
                <w:lang w:val="en-US"/>
              </w:rPr>
              <w:t>59 of 2004</w:t>
            </w:r>
          </w:p>
        </w:tc>
        <w:tc>
          <w:tcPr>
            <w:tcW w:w="1134" w:type="dxa"/>
            <w:gridSpan w:val="2"/>
          </w:tcPr>
          <w:p>
            <w:pPr>
              <w:pStyle w:val="nTable"/>
              <w:spacing w:before="120"/>
              <w:rPr>
                <w:sz w:val="19"/>
              </w:rPr>
            </w:pPr>
            <w:r>
              <w:rPr>
                <w:sz w:val="19"/>
              </w:rPr>
              <w:t>23 Nov 2004</w:t>
            </w:r>
          </w:p>
        </w:tc>
        <w:tc>
          <w:tcPr>
            <w:tcW w:w="2552" w:type="dxa"/>
          </w:tcPr>
          <w:p>
            <w:pPr>
              <w:pStyle w:val="nTable"/>
              <w:spacing w:before="120"/>
              <w:ind w:right="113"/>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s. 570</w:t>
            </w:r>
            <w:r>
              <w:rPr>
                <w:rFonts w:ascii="Times" w:hAnsi="Times"/>
                <w:sz w:val="19"/>
                <w:vertAlign w:val="superscript"/>
              </w:rPr>
              <w:t> 23</w:t>
            </w:r>
          </w:p>
        </w:tc>
        <w:tc>
          <w:tcPr>
            <w:tcW w:w="1134" w:type="dxa"/>
            <w:gridSpan w:val="2"/>
            <w:tcBorders>
              <w:top w:val="nil"/>
              <w:bottom w:val="nil"/>
            </w:tcBorders>
          </w:tcPr>
          <w:p>
            <w:pPr>
              <w:pStyle w:val="nTable"/>
              <w:spacing w:after="40"/>
              <w:rPr>
                <w:rFonts w:ascii="Times" w:hAnsi="Times"/>
                <w:sz w:val="19"/>
              </w:rPr>
            </w:pPr>
            <w:r>
              <w:rPr>
                <w:rFonts w:ascii="Times" w:hAnsi="Times"/>
                <w:sz w:val="19"/>
              </w:rPr>
              <w:t>55 of 2004</w:t>
            </w:r>
          </w:p>
        </w:tc>
        <w:tc>
          <w:tcPr>
            <w:tcW w:w="1134" w:type="dxa"/>
            <w:gridSpan w:val="2"/>
            <w:tcBorders>
              <w:top w:val="nil"/>
              <w:bottom w:val="nil"/>
            </w:tcBorders>
          </w:tcPr>
          <w:p>
            <w:pPr>
              <w:pStyle w:val="nTable"/>
              <w:spacing w:after="40"/>
              <w:rPr>
                <w:rFonts w:ascii="Times" w:hAnsi="Times"/>
                <w:sz w:val="19"/>
              </w:rPr>
            </w:pPr>
            <w:r>
              <w:rPr>
                <w:rFonts w:ascii="Times" w:hAnsi="Times"/>
                <w:sz w:val="19"/>
              </w:rPr>
              <w:t>24 Nov 2004</w:t>
            </w:r>
          </w:p>
        </w:tc>
        <w:tc>
          <w:tcPr>
            <w:tcW w:w="2552"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tcPr>
          <w:p>
            <w:pPr>
              <w:pStyle w:val="nTable"/>
              <w:spacing w:after="40"/>
              <w:rPr>
                <w:rFonts w:ascii="Times" w:hAnsi="Times"/>
                <w:i/>
                <w:sz w:val="19"/>
              </w:rPr>
            </w:pPr>
            <w:r>
              <w:rPr>
                <w:rFonts w:ascii="Times" w:hAnsi="Times"/>
                <w:i/>
                <w:iCs/>
                <w:snapToGrid w:val="0"/>
                <w:sz w:val="19"/>
                <w:lang w:val="en-US"/>
              </w:rPr>
              <w:t xml:space="preserve">Criminal Law Amendment (Simple Offences) Act 2004 </w:t>
            </w:r>
            <w:r>
              <w:rPr>
                <w:rFonts w:ascii="Times" w:hAnsi="Times"/>
                <w:iCs/>
                <w:snapToGrid w:val="0"/>
                <w:sz w:val="19"/>
                <w:lang w:val="en-US"/>
              </w:rPr>
              <w:t>s. 82</w:t>
            </w:r>
          </w:p>
        </w:tc>
        <w:tc>
          <w:tcPr>
            <w:tcW w:w="1134" w:type="dxa"/>
            <w:gridSpan w:val="2"/>
            <w:tcBorders>
              <w:top w:val="nil"/>
              <w:bottom w:val="nil"/>
            </w:tcBorders>
          </w:tcPr>
          <w:p>
            <w:pPr>
              <w:pStyle w:val="nTable"/>
              <w:spacing w:after="40"/>
              <w:rPr>
                <w:rFonts w:ascii="Times" w:hAnsi="Times"/>
                <w:sz w:val="19"/>
              </w:rPr>
            </w:pPr>
            <w:r>
              <w:rPr>
                <w:rFonts w:ascii="Times" w:hAnsi="Times"/>
                <w:snapToGrid w:val="0"/>
                <w:sz w:val="19"/>
                <w:lang w:val="en-US"/>
              </w:rPr>
              <w:t>70 of 2004</w:t>
            </w:r>
          </w:p>
        </w:tc>
        <w:tc>
          <w:tcPr>
            <w:tcW w:w="1134" w:type="dxa"/>
            <w:gridSpan w:val="2"/>
            <w:tcBorders>
              <w:top w:val="nil"/>
              <w:bottom w:val="nil"/>
            </w:tcBorders>
          </w:tcPr>
          <w:p>
            <w:pPr>
              <w:pStyle w:val="nTable"/>
              <w:spacing w:after="40"/>
              <w:rPr>
                <w:rFonts w:ascii="Times" w:hAnsi="Times"/>
                <w:sz w:val="19"/>
              </w:rPr>
            </w:pPr>
            <w:r>
              <w:rPr>
                <w:rFonts w:ascii="Times" w:hAnsi="Times"/>
                <w:snapToGrid w:val="0"/>
                <w:sz w:val="19"/>
                <w:lang w:val="en-US"/>
              </w:rPr>
              <w:t>8 Dec 2004</w:t>
            </w:r>
          </w:p>
        </w:tc>
        <w:tc>
          <w:tcPr>
            <w:tcW w:w="2552" w:type="dxa"/>
            <w:tcBorders>
              <w:top w:val="nil"/>
              <w:bottom w:val="nil"/>
            </w:tcBorders>
          </w:tcPr>
          <w:p>
            <w:pPr>
              <w:pStyle w:val="nTable"/>
              <w:spacing w:after="40"/>
              <w:rPr>
                <w:rFonts w:ascii="Times" w:hAnsi="Times"/>
                <w:sz w:val="19"/>
              </w:rPr>
            </w:pPr>
            <w:r>
              <w:rPr>
                <w:rFonts w:ascii="Times" w:hAnsi="Times"/>
                <w:snapToGrid w:val="0"/>
                <w:sz w:val="19"/>
                <w:lang w:val="en-US"/>
              </w:rPr>
              <w:t xml:space="preserve">31 May 2005 (see s. 2 and </w:t>
            </w:r>
            <w:r>
              <w:rPr>
                <w:rFonts w:ascii="Times" w:hAnsi="Times"/>
                <w:i/>
                <w:iCs/>
                <w:snapToGrid w:val="0"/>
                <w:sz w:val="19"/>
                <w:lang w:val="en-US"/>
              </w:rPr>
              <w:t>Gazette</w:t>
            </w:r>
            <w:r>
              <w:rPr>
                <w:rFonts w:ascii="Times" w:hAnsi="Times"/>
                <w:snapToGrid w:val="0"/>
                <w:sz w:val="19"/>
                <w:lang w:val="en-US"/>
              </w:rPr>
              <w:t xml:space="preserve"> 14 Jan 2005 p. 163)</w:t>
            </w:r>
          </w:p>
        </w:tc>
      </w:tr>
      <w:tr>
        <w:tc>
          <w:tcPr>
            <w:tcW w:w="2268" w:type="dxa"/>
            <w:gridSpan w:val="2"/>
            <w:tcBorders>
              <w:bottom w:val="single" w:sz="4" w:space="0" w:color="auto"/>
            </w:tcBorders>
          </w:tcPr>
          <w:p>
            <w:pPr>
              <w:pStyle w:val="nTable"/>
              <w:spacing w:before="10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 </w:t>
            </w:r>
            <w:r>
              <w:rPr>
                <w:snapToGrid w:val="0"/>
                <w:sz w:val="19"/>
                <w:vertAlign w:val="superscript"/>
                <w:lang w:val="en-US"/>
              </w:rPr>
              <w:t>24</w:t>
            </w:r>
          </w:p>
        </w:tc>
        <w:tc>
          <w:tcPr>
            <w:tcW w:w="1134" w:type="dxa"/>
            <w:gridSpan w:val="2"/>
            <w:tcBorders>
              <w:bottom w:val="single" w:sz="4" w:space="0" w:color="auto"/>
            </w:tcBorders>
          </w:tcPr>
          <w:p>
            <w:pPr>
              <w:pStyle w:val="nTable"/>
              <w:spacing w:before="100"/>
              <w:rPr>
                <w:snapToGrid w:val="0"/>
                <w:sz w:val="19"/>
                <w:lang w:val="en-US"/>
              </w:rPr>
            </w:pPr>
            <w:r>
              <w:rPr>
                <w:snapToGrid w:val="0"/>
                <w:sz w:val="19"/>
                <w:lang w:val="en-US"/>
              </w:rPr>
              <w:t>84 of 2004</w:t>
            </w:r>
          </w:p>
        </w:tc>
        <w:tc>
          <w:tcPr>
            <w:tcW w:w="1134" w:type="dxa"/>
            <w:gridSpan w:val="2"/>
            <w:tcBorders>
              <w:bottom w:val="single" w:sz="4" w:space="0" w:color="auto"/>
            </w:tcBorders>
          </w:tcPr>
          <w:p>
            <w:pPr>
              <w:pStyle w:val="nTable"/>
              <w:spacing w:before="100"/>
              <w:rPr>
                <w:sz w:val="19"/>
              </w:rPr>
            </w:pPr>
            <w:r>
              <w:rPr>
                <w:sz w:val="19"/>
              </w:rPr>
              <w:t>16 Dec 2004</w:t>
            </w:r>
          </w:p>
        </w:tc>
        <w:tc>
          <w:tcPr>
            <w:tcW w:w="2552" w:type="dxa"/>
            <w:tcBorders>
              <w:bottom w:val="single" w:sz="4" w:space="0" w:color="auto"/>
            </w:tcBorders>
          </w:tcPr>
          <w:p>
            <w:pPr>
              <w:pStyle w:val="nTable"/>
              <w:spacing w:before="10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bl>
    <w:p>
      <w:pPr>
        <w:pStyle w:val="nSubsection"/>
        <w:keepNext/>
        <w:spacing w:before="200"/>
        <w:rPr>
          <w:snapToGrid w:val="0"/>
        </w:rPr>
      </w:pPr>
      <w:r>
        <w:rPr>
          <w:snapToGrid w:val="0"/>
          <w:vertAlign w:val="superscript"/>
        </w:rPr>
        <w:t>1a</w:t>
      </w:r>
      <w:r>
        <w:rPr>
          <w:snapToGrid w:val="0"/>
        </w:rPr>
        <w:tab/>
        <w:t>On the date as at which this compilation was prepared, provisions referred to in the following table had not come into operation and are not included in this compilation.  For the text of the provisions see the endnote referred to in the table.</w:t>
      </w:r>
    </w:p>
    <w:p>
      <w:pPr>
        <w:pStyle w:val="nHeading3"/>
      </w:pPr>
      <w:bookmarkStart w:id="1189" w:name="_Toc511102521"/>
      <w:bookmarkStart w:id="1190" w:name="_Toc38853889"/>
      <w:bookmarkStart w:id="1191" w:name="_Toc122328649"/>
      <w:r>
        <w:t>Provisions that have not come into operation</w:t>
      </w:r>
      <w:bookmarkEnd w:id="1189"/>
      <w:bookmarkEnd w:id="1190"/>
      <w:bookmarkEnd w:id="1191"/>
    </w:p>
    <w:tbl>
      <w:tblPr>
        <w:tblW w:w="7200" w:type="dxa"/>
        <w:tblInd w:w="28" w:type="dxa"/>
        <w:tblLayout w:type="fixed"/>
        <w:tblCellMar>
          <w:left w:w="28" w:type="dxa"/>
          <w:right w:w="28" w:type="dxa"/>
        </w:tblCellMar>
        <w:tblLook w:val="0000" w:firstRow="0" w:lastRow="0" w:firstColumn="0" w:lastColumn="0" w:noHBand="0" w:noVBand="0"/>
      </w:tblPr>
      <w:tblGrid>
        <w:gridCol w:w="2268"/>
        <w:gridCol w:w="142"/>
        <w:gridCol w:w="992"/>
        <w:gridCol w:w="142"/>
        <w:gridCol w:w="992"/>
        <w:gridCol w:w="142"/>
        <w:gridCol w:w="2410"/>
        <w:gridCol w:w="112"/>
      </w:tblGrid>
      <w:tr>
        <w:trPr>
          <w:cantSplit/>
          <w:tblHeader/>
        </w:trPr>
        <w:tc>
          <w:tcPr>
            <w:tcW w:w="2410" w:type="dxa"/>
            <w:gridSpan w:val="2"/>
            <w:tcBorders>
              <w:top w:val="single" w:sz="8" w:space="0" w:color="auto"/>
              <w:bottom w:val="single" w:sz="8" w:space="0" w:color="auto"/>
            </w:tcBorders>
          </w:tcPr>
          <w:p>
            <w:pPr>
              <w:pStyle w:val="nTable"/>
              <w:keepNext/>
              <w:spacing w:after="6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keepNext/>
              <w:spacing w:after="60"/>
              <w:rPr>
                <w:b/>
                <w:sz w:val="19"/>
              </w:rPr>
            </w:pPr>
            <w:r>
              <w:rPr>
                <w:b/>
                <w:sz w:val="19"/>
              </w:rPr>
              <w:t>Number and year</w:t>
            </w:r>
          </w:p>
        </w:tc>
        <w:tc>
          <w:tcPr>
            <w:tcW w:w="1134" w:type="dxa"/>
            <w:gridSpan w:val="2"/>
            <w:tcBorders>
              <w:top w:val="single" w:sz="8" w:space="0" w:color="auto"/>
              <w:bottom w:val="single" w:sz="8" w:space="0" w:color="auto"/>
            </w:tcBorders>
          </w:tcPr>
          <w:p>
            <w:pPr>
              <w:pStyle w:val="nTable"/>
              <w:keepNext/>
              <w:spacing w:after="60"/>
              <w:rPr>
                <w:b/>
                <w:sz w:val="19"/>
              </w:rPr>
            </w:pPr>
            <w:r>
              <w:rPr>
                <w:b/>
                <w:sz w:val="19"/>
              </w:rPr>
              <w:t>Assent</w:t>
            </w:r>
          </w:p>
        </w:tc>
        <w:tc>
          <w:tcPr>
            <w:tcW w:w="2522" w:type="dxa"/>
            <w:gridSpan w:val="2"/>
            <w:tcBorders>
              <w:top w:val="single" w:sz="8" w:space="0" w:color="auto"/>
              <w:bottom w:val="single" w:sz="8" w:space="0" w:color="auto"/>
            </w:tcBorders>
          </w:tcPr>
          <w:p>
            <w:pPr>
              <w:pStyle w:val="nTable"/>
              <w:keepNext/>
              <w:spacing w:after="60"/>
              <w:rPr>
                <w:b/>
                <w:sz w:val="19"/>
              </w:rPr>
            </w:pPr>
            <w:r>
              <w:rPr>
                <w:b/>
                <w:sz w:val="19"/>
              </w:rPr>
              <w:t>Commencement</w:t>
            </w:r>
          </w:p>
        </w:tc>
      </w:tr>
      <w:tr>
        <w:trPr>
          <w:cantSplit/>
        </w:trPr>
        <w:tc>
          <w:tcPr>
            <w:tcW w:w="2410" w:type="dxa"/>
            <w:gridSpan w:val="2"/>
          </w:tcPr>
          <w:p>
            <w:pPr>
              <w:pStyle w:val="nTable"/>
              <w:spacing w:before="120"/>
              <w:ind w:right="113"/>
              <w:rPr>
                <w:i/>
                <w:snapToGrid w:val="0"/>
                <w:vertAlign w:val="superscript"/>
              </w:rPr>
            </w:pPr>
            <w:r>
              <w:rPr>
                <w:i/>
                <w:snapToGrid w:val="0"/>
                <w:sz w:val="19"/>
              </w:rPr>
              <w:t xml:space="preserve">Mining Amendment Act 1996 </w:t>
            </w:r>
            <w:r>
              <w:rPr>
                <w:snapToGrid w:val="0"/>
                <w:sz w:val="19"/>
              </w:rPr>
              <w:t>s. 4, 6, 8, 9, 11, 12 and 14</w:t>
            </w:r>
            <w:r>
              <w:rPr>
                <w:snapToGrid w:val="0"/>
                <w:sz w:val="19"/>
              </w:rPr>
              <w:noBreakHyphen/>
              <w:t>22</w:t>
            </w:r>
            <w:r>
              <w:rPr>
                <w:i/>
                <w:snapToGrid w:val="0"/>
                <w:sz w:val="19"/>
              </w:rPr>
              <w:t> </w:t>
            </w:r>
            <w:r>
              <w:rPr>
                <w:snapToGrid w:val="0"/>
                <w:sz w:val="19"/>
                <w:vertAlign w:val="superscript"/>
              </w:rPr>
              <w:t>14</w:t>
            </w:r>
          </w:p>
        </w:tc>
        <w:tc>
          <w:tcPr>
            <w:tcW w:w="1134" w:type="dxa"/>
            <w:gridSpan w:val="2"/>
          </w:tcPr>
          <w:p>
            <w:pPr>
              <w:pStyle w:val="nTable"/>
              <w:keepNext/>
              <w:spacing w:before="120"/>
              <w:rPr>
                <w:sz w:val="19"/>
              </w:rPr>
            </w:pPr>
            <w:r>
              <w:rPr>
                <w:sz w:val="19"/>
              </w:rPr>
              <w:t>54 of 1996 (as amended by No. 39 of 2004 Pt. 11)</w:t>
            </w:r>
          </w:p>
        </w:tc>
        <w:tc>
          <w:tcPr>
            <w:tcW w:w="1134" w:type="dxa"/>
            <w:gridSpan w:val="2"/>
          </w:tcPr>
          <w:p>
            <w:pPr>
              <w:pStyle w:val="nTable"/>
              <w:keepNext/>
              <w:spacing w:before="120"/>
              <w:rPr>
                <w:sz w:val="19"/>
              </w:rPr>
            </w:pPr>
            <w:r>
              <w:rPr>
                <w:sz w:val="19"/>
              </w:rPr>
              <w:t>11 Nov 1996</w:t>
            </w:r>
          </w:p>
        </w:tc>
        <w:tc>
          <w:tcPr>
            <w:tcW w:w="2522" w:type="dxa"/>
            <w:gridSpan w:val="2"/>
          </w:tcPr>
          <w:p>
            <w:pPr>
              <w:pStyle w:val="nTable"/>
              <w:keepNext/>
              <w:spacing w:before="120"/>
              <w:rPr>
                <w:sz w:val="19"/>
              </w:rPr>
            </w:pPr>
            <w:r>
              <w:rPr>
                <w:sz w:val="19"/>
              </w:rPr>
              <w:t xml:space="preserve">Proclamation published 14 Jan 2005 p. 164 revoked (see </w:t>
            </w:r>
            <w:r>
              <w:rPr>
                <w:i/>
                <w:sz w:val="19"/>
              </w:rPr>
              <w:t>Gazette</w:t>
            </w:r>
            <w:r>
              <w:rPr>
                <w:sz w:val="19"/>
              </w:rPr>
              <w:t xml:space="preserve"> 24 Mar 2005 p. 1001);</w:t>
            </w:r>
          </w:p>
          <w:p>
            <w:pPr>
              <w:pStyle w:val="nTable"/>
              <w:keepNext/>
              <w:spacing w:before="120"/>
              <w:rPr>
                <w:sz w:val="19"/>
              </w:rPr>
            </w:pPr>
            <w:r>
              <w:rPr>
                <w:sz w:val="19"/>
              </w:rPr>
              <w:t>s. 4, 6, 8, 9, 11, 12 &amp; 14-22 to be proclaimed</w:t>
            </w:r>
          </w:p>
        </w:tc>
      </w:tr>
      <w:tr>
        <w:trPr>
          <w:cantSplit/>
        </w:trPr>
        <w:tc>
          <w:tcPr>
            <w:tcW w:w="2410" w:type="dxa"/>
            <w:gridSpan w:val="2"/>
          </w:tcPr>
          <w:p>
            <w:pPr>
              <w:pStyle w:val="nTable"/>
              <w:spacing w:before="120"/>
              <w:ind w:right="113"/>
              <w:rPr>
                <w:snapToGrid w:val="0"/>
                <w:sz w:val="19"/>
              </w:rPr>
            </w:pPr>
            <w:r>
              <w:rPr>
                <w:i/>
                <w:snapToGrid w:val="0"/>
                <w:sz w:val="19"/>
              </w:rPr>
              <w:t>Native Title (State Provisions) Act 1999</w:t>
            </w:r>
            <w:r>
              <w:rPr>
                <w:snapToGrid w:val="0"/>
                <w:sz w:val="19"/>
              </w:rPr>
              <w:t>, s. 7.3</w:t>
            </w:r>
            <w:r>
              <w:rPr>
                <w:snapToGrid w:val="0"/>
                <w:sz w:val="19"/>
                <w:vertAlign w:val="superscript"/>
              </w:rPr>
              <w:t> 16</w:t>
            </w:r>
          </w:p>
        </w:tc>
        <w:tc>
          <w:tcPr>
            <w:tcW w:w="1134" w:type="dxa"/>
            <w:gridSpan w:val="2"/>
          </w:tcPr>
          <w:p>
            <w:pPr>
              <w:pStyle w:val="nTable"/>
              <w:keepNext/>
              <w:spacing w:before="120"/>
              <w:rPr>
                <w:sz w:val="19"/>
              </w:rPr>
            </w:pPr>
            <w:r>
              <w:rPr>
                <w:sz w:val="19"/>
              </w:rPr>
              <w:t>60 of 1999</w:t>
            </w:r>
          </w:p>
        </w:tc>
        <w:tc>
          <w:tcPr>
            <w:tcW w:w="1134" w:type="dxa"/>
            <w:gridSpan w:val="2"/>
          </w:tcPr>
          <w:p>
            <w:pPr>
              <w:pStyle w:val="nTable"/>
              <w:keepNext/>
              <w:spacing w:before="120"/>
              <w:rPr>
                <w:sz w:val="19"/>
              </w:rPr>
            </w:pPr>
            <w:r>
              <w:rPr>
                <w:sz w:val="19"/>
              </w:rPr>
              <w:t>10 Jan 2000</w:t>
            </w:r>
          </w:p>
        </w:tc>
        <w:tc>
          <w:tcPr>
            <w:tcW w:w="2522" w:type="dxa"/>
            <w:gridSpan w:val="2"/>
          </w:tcPr>
          <w:p>
            <w:pPr>
              <w:pStyle w:val="nTable"/>
              <w:keepNext/>
              <w:spacing w:before="120"/>
              <w:rPr>
                <w:sz w:val="19"/>
              </w:rPr>
            </w:pPr>
            <w:r>
              <w:rPr>
                <w:sz w:val="19"/>
              </w:rPr>
              <w:t>Operative on earliest of commencement of Pt. 2 (except s. 2.2), Pt. 3 (except s. 3.1) and Pt. 4</w:t>
            </w:r>
          </w:p>
        </w:tc>
      </w:tr>
      <w:tr>
        <w:tblPrEx>
          <w:tblCellMar>
            <w:left w:w="0" w:type="dxa"/>
            <w:right w:w="0" w:type="dxa"/>
          </w:tblCellMar>
        </w:tblPrEx>
        <w:trPr>
          <w:cantSplit/>
        </w:trPr>
        <w:tc>
          <w:tcPr>
            <w:tcW w:w="2410" w:type="dxa"/>
            <w:gridSpan w:val="2"/>
          </w:tcPr>
          <w:p>
            <w:pPr>
              <w:pStyle w:val="nTable"/>
              <w:spacing w:before="120"/>
              <w:ind w:right="113"/>
              <w:rPr>
                <w:sz w:val="19"/>
                <w:vertAlign w:val="superscript"/>
              </w:rPr>
            </w:pPr>
            <w:r>
              <w:rPr>
                <w:i/>
                <w:snapToGrid w:val="0"/>
                <w:sz w:val="19"/>
              </w:rPr>
              <w:t>Mining Amendment Act 2002</w:t>
            </w:r>
            <w:r>
              <w:rPr>
                <w:i/>
                <w:sz w:val="19"/>
              </w:rPr>
              <w:t xml:space="preserve"> </w:t>
            </w:r>
            <w:r>
              <w:rPr>
                <w:sz w:val="19"/>
              </w:rPr>
              <w:t>s. 12</w:t>
            </w:r>
            <w:r>
              <w:rPr>
                <w:i/>
                <w:sz w:val="19"/>
              </w:rPr>
              <w:t> </w:t>
            </w:r>
            <w:r>
              <w:rPr>
                <w:sz w:val="19"/>
                <w:vertAlign w:val="superscript"/>
              </w:rPr>
              <w:t>17</w:t>
            </w:r>
          </w:p>
        </w:tc>
        <w:tc>
          <w:tcPr>
            <w:tcW w:w="1134" w:type="dxa"/>
            <w:gridSpan w:val="2"/>
          </w:tcPr>
          <w:p>
            <w:pPr>
              <w:pStyle w:val="nTable"/>
              <w:keepNext/>
              <w:spacing w:before="120"/>
              <w:rPr>
                <w:sz w:val="19"/>
              </w:rPr>
            </w:pPr>
            <w:r>
              <w:rPr>
                <w:sz w:val="19"/>
              </w:rPr>
              <w:t>15 of 2002</w:t>
            </w:r>
          </w:p>
        </w:tc>
        <w:tc>
          <w:tcPr>
            <w:tcW w:w="1134" w:type="dxa"/>
            <w:gridSpan w:val="2"/>
          </w:tcPr>
          <w:p>
            <w:pPr>
              <w:pStyle w:val="nTable"/>
              <w:keepNext/>
              <w:spacing w:before="120"/>
              <w:rPr>
                <w:sz w:val="19"/>
              </w:rPr>
            </w:pPr>
            <w:r>
              <w:rPr>
                <w:sz w:val="19"/>
              </w:rPr>
              <w:t>8 Jul 2002</w:t>
            </w:r>
          </w:p>
        </w:tc>
        <w:tc>
          <w:tcPr>
            <w:tcW w:w="2522" w:type="dxa"/>
            <w:gridSpan w:val="2"/>
          </w:tcPr>
          <w:p>
            <w:pPr>
              <w:pStyle w:val="nTable"/>
              <w:keepNext/>
              <w:spacing w:before="120"/>
              <w:rPr>
                <w:sz w:val="19"/>
              </w:rPr>
            </w:pPr>
            <w:r>
              <w:rPr>
                <w:sz w:val="19"/>
              </w:rPr>
              <w:t xml:space="preserve">Proclamation published 14 Jan 2005 p. 164 revoked (see </w:t>
            </w:r>
            <w:r>
              <w:rPr>
                <w:i/>
                <w:sz w:val="19"/>
              </w:rPr>
              <w:t>Gazette</w:t>
            </w:r>
            <w:r>
              <w:rPr>
                <w:sz w:val="19"/>
              </w:rPr>
              <w:t xml:space="preserve"> 24 Mar 2005 p. 1001);</w:t>
            </w:r>
          </w:p>
          <w:p>
            <w:pPr>
              <w:pStyle w:val="nTable"/>
              <w:keepNext/>
              <w:spacing w:before="120"/>
              <w:rPr>
                <w:sz w:val="19"/>
              </w:rPr>
            </w:pPr>
            <w:r>
              <w:rPr>
                <w:sz w:val="19"/>
              </w:rPr>
              <w:t>s. 12 to be proclaimed</w:t>
            </w:r>
          </w:p>
        </w:tc>
      </w:tr>
      <w:tr>
        <w:tblPrEx>
          <w:tblCellMar>
            <w:left w:w="0" w:type="dxa"/>
            <w:right w:w="0" w:type="dxa"/>
          </w:tblCellMar>
        </w:tblPrEx>
        <w:trPr>
          <w:cantSplit/>
        </w:trPr>
        <w:tc>
          <w:tcPr>
            <w:tcW w:w="2410" w:type="dxa"/>
            <w:gridSpan w:val="2"/>
          </w:tcPr>
          <w:p>
            <w:pPr>
              <w:pStyle w:val="nTable"/>
              <w:rPr>
                <w:sz w:val="19"/>
              </w:rPr>
            </w:pPr>
            <w:r>
              <w:rPr>
                <w:i/>
                <w:sz w:val="19"/>
              </w:rPr>
              <w:t>Offshore Minerals (Consequential Amendments) Act 2003</w:t>
            </w:r>
            <w:r>
              <w:rPr>
                <w:sz w:val="19"/>
              </w:rPr>
              <w:t xml:space="preserve"> Pt. 2</w:t>
            </w:r>
            <w:r>
              <w:rPr>
                <w:sz w:val="19"/>
                <w:vertAlign w:val="superscript"/>
              </w:rPr>
              <w:t> 18</w:t>
            </w:r>
          </w:p>
        </w:tc>
        <w:tc>
          <w:tcPr>
            <w:tcW w:w="1134" w:type="dxa"/>
            <w:gridSpan w:val="2"/>
          </w:tcPr>
          <w:p>
            <w:pPr>
              <w:pStyle w:val="nTable"/>
              <w:rPr>
                <w:sz w:val="19"/>
              </w:rPr>
            </w:pPr>
            <w:r>
              <w:rPr>
                <w:sz w:val="19"/>
              </w:rPr>
              <w:t>12 of 2003</w:t>
            </w:r>
          </w:p>
        </w:tc>
        <w:tc>
          <w:tcPr>
            <w:tcW w:w="1134" w:type="dxa"/>
            <w:gridSpan w:val="2"/>
          </w:tcPr>
          <w:p>
            <w:pPr>
              <w:pStyle w:val="nTable"/>
              <w:rPr>
                <w:sz w:val="19"/>
              </w:rPr>
            </w:pPr>
            <w:r>
              <w:rPr>
                <w:sz w:val="19"/>
              </w:rPr>
              <w:t>17 Apr 2003</w:t>
            </w:r>
          </w:p>
        </w:tc>
        <w:tc>
          <w:tcPr>
            <w:tcW w:w="2522" w:type="dxa"/>
            <w:gridSpan w:val="2"/>
          </w:tcPr>
          <w:p>
            <w:pPr>
              <w:pStyle w:val="nTable"/>
              <w:rPr>
                <w:sz w:val="19"/>
              </w:rPr>
            </w:pPr>
            <w:r>
              <w:rPr>
                <w:sz w:val="19"/>
              </w:rPr>
              <w:t>Operative on commencement of No. 10 of 2003 (see s. 2)</w:t>
            </w:r>
          </w:p>
        </w:tc>
      </w:tr>
      <w:tr>
        <w:tblPrEx>
          <w:tblCellMar>
            <w:left w:w="0" w:type="dxa"/>
            <w:right w:w="0" w:type="dxa"/>
          </w:tblCellMar>
        </w:tblPrEx>
        <w:trPr>
          <w:cantSplit/>
        </w:trPr>
        <w:tc>
          <w:tcPr>
            <w:tcW w:w="2410" w:type="dxa"/>
            <w:gridSpan w:val="2"/>
          </w:tcPr>
          <w:p>
            <w:pPr>
              <w:pStyle w:val="nTable"/>
              <w:rPr>
                <w:i/>
                <w:sz w:val="19"/>
                <w:vertAlign w:val="superscript"/>
              </w:rPr>
            </w:pPr>
            <w:r>
              <w:rPr>
                <w:i/>
                <w:sz w:val="19"/>
              </w:rPr>
              <w:t xml:space="preserve">Mining Amendment Act 2004 </w:t>
            </w:r>
            <w:r>
              <w:rPr>
                <w:sz w:val="19"/>
              </w:rPr>
              <w:t>Pt. 2</w:t>
            </w:r>
            <w:r>
              <w:rPr>
                <w:sz w:val="19"/>
              </w:rPr>
              <w:noBreakHyphen/>
              <w:t>10 and 12 </w:t>
            </w:r>
            <w:r>
              <w:rPr>
                <w:sz w:val="19"/>
                <w:vertAlign w:val="superscript"/>
              </w:rPr>
              <w:t>19</w:t>
            </w:r>
          </w:p>
        </w:tc>
        <w:tc>
          <w:tcPr>
            <w:tcW w:w="1134" w:type="dxa"/>
            <w:gridSpan w:val="2"/>
          </w:tcPr>
          <w:p>
            <w:pPr>
              <w:pStyle w:val="nTable"/>
              <w:rPr>
                <w:sz w:val="19"/>
              </w:rPr>
            </w:pPr>
            <w:r>
              <w:rPr>
                <w:sz w:val="19"/>
              </w:rPr>
              <w:t>39 of 2004</w:t>
            </w:r>
          </w:p>
        </w:tc>
        <w:tc>
          <w:tcPr>
            <w:tcW w:w="1134" w:type="dxa"/>
            <w:gridSpan w:val="2"/>
          </w:tcPr>
          <w:p>
            <w:pPr>
              <w:pStyle w:val="nTable"/>
              <w:rPr>
                <w:sz w:val="19"/>
              </w:rPr>
            </w:pPr>
            <w:r>
              <w:rPr>
                <w:sz w:val="19"/>
              </w:rPr>
              <w:t>3 Nov 2004</w:t>
            </w:r>
          </w:p>
        </w:tc>
        <w:tc>
          <w:tcPr>
            <w:tcW w:w="2522" w:type="dxa"/>
            <w:gridSpan w:val="2"/>
          </w:tcPr>
          <w:p>
            <w:pPr>
              <w:pStyle w:val="nTable"/>
              <w:rPr>
                <w:snapToGrid w:val="0"/>
                <w:sz w:val="19"/>
                <w:lang w:val="en-US"/>
              </w:rPr>
            </w:pPr>
            <w:r>
              <w:rPr>
                <w:snapToGrid w:val="0"/>
                <w:sz w:val="19"/>
                <w:lang w:val="en-US"/>
              </w:rPr>
              <w:t>To be proclaimed (see s. 2);</w:t>
            </w:r>
          </w:p>
          <w:p>
            <w:pPr>
              <w:pStyle w:val="nTable"/>
              <w:rPr>
                <w:sz w:val="19"/>
              </w:rPr>
            </w:pPr>
            <w:r>
              <w:rPr>
                <w:snapToGrid w:val="0"/>
                <w:sz w:val="19"/>
                <w:lang w:val="en-US"/>
              </w:rPr>
              <w:t>Proclamation published 14 Jan 2005 p. 164 revoked (see Gazette 24 Mar 2005 p. 1002)</w:t>
            </w:r>
          </w:p>
        </w:tc>
      </w:tr>
      <w:tr>
        <w:tblPrEx>
          <w:tblCellMar>
            <w:left w:w="0" w:type="dxa"/>
            <w:right w:w="0" w:type="dxa"/>
          </w:tblCellMar>
        </w:tblPrEx>
        <w:trPr>
          <w:cantSplit/>
        </w:trPr>
        <w:tc>
          <w:tcPr>
            <w:tcW w:w="2410" w:type="dxa"/>
            <w:gridSpan w:val="2"/>
          </w:tcPr>
          <w:p>
            <w:pPr>
              <w:pStyle w:val="nTable"/>
              <w:rPr>
                <w:i/>
                <w:sz w:val="19"/>
              </w:rPr>
            </w:pPr>
            <w:r>
              <w:rPr>
                <w:i/>
                <w:sz w:val="19"/>
              </w:rPr>
              <w:t>Oaths, Affidavits and Statutory Declarations (Consequential Provisions) Act 2005</w:t>
            </w:r>
            <w:r>
              <w:rPr>
                <w:iCs/>
                <w:sz w:val="19"/>
              </w:rPr>
              <w:t xml:space="preserve"> Pt. 15</w:t>
            </w:r>
            <w:r>
              <w:rPr>
                <w:iCs/>
                <w:sz w:val="19"/>
                <w:vertAlign w:val="superscript"/>
              </w:rPr>
              <w:t> 12</w:t>
            </w:r>
          </w:p>
        </w:tc>
        <w:tc>
          <w:tcPr>
            <w:tcW w:w="1134" w:type="dxa"/>
            <w:gridSpan w:val="2"/>
          </w:tcPr>
          <w:p>
            <w:pPr>
              <w:pStyle w:val="nTable"/>
              <w:rPr>
                <w:sz w:val="19"/>
              </w:rPr>
            </w:pPr>
            <w:r>
              <w:rPr>
                <w:sz w:val="19"/>
              </w:rPr>
              <w:t>24 of 2005</w:t>
            </w:r>
          </w:p>
        </w:tc>
        <w:tc>
          <w:tcPr>
            <w:tcW w:w="1134" w:type="dxa"/>
            <w:gridSpan w:val="2"/>
          </w:tcPr>
          <w:p>
            <w:pPr>
              <w:pStyle w:val="nTable"/>
              <w:rPr>
                <w:sz w:val="19"/>
              </w:rPr>
            </w:pPr>
            <w:r>
              <w:rPr>
                <w:sz w:val="19"/>
              </w:rPr>
              <w:t>2 Dec 2005</w:t>
            </w:r>
          </w:p>
        </w:tc>
        <w:tc>
          <w:tcPr>
            <w:tcW w:w="2522" w:type="dxa"/>
            <w:gridSpan w:val="2"/>
          </w:tcPr>
          <w:p>
            <w:pPr>
              <w:pStyle w:val="nTable"/>
              <w:rPr>
                <w:snapToGrid w:val="0"/>
                <w:sz w:val="19"/>
                <w:lang w:val="en-US"/>
              </w:rPr>
            </w:pPr>
            <w:r>
              <w:rPr>
                <w:sz w:val="19"/>
              </w:rPr>
              <w:t>To be proclaimed (see s. 2)</w:t>
            </w:r>
          </w:p>
        </w:tc>
      </w:tr>
      <w:tr>
        <w:tblPrEx>
          <w:tblCellMar>
            <w:left w:w="0" w:type="dxa"/>
            <w:right w:w="0" w:type="dxa"/>
          </w:tblCellMar>
        </w:tblPrEx>
        <w:trPr>
          <w:cantSplit/>
        </w:trPr>
        <w:tc>
          <w:tcPr>
            <w:tcW w:w="2410" w:type="dxa"/>
            <w:gridSpan w:val="2"/>
          </w:tcPr>
          <w:p>
            <w:pPr>
              <w:pStyle w:val="nTable"/>
              <w:rPr>
                <w:iCs/>
                <w:sz w:val="19"/>
              </w:rPr>
            </w:pPr>
            <w:r>
              <w:rPr>
                <w:i/>
                <w:sz w:val="19"/>
              </w:rPr>
              <w:t>Mining Amendment Act 2005</w:t>
            </w:r>
            <w:r>
              <w:rPr>
                <w:iCs/>
                <w:sz w:val="19"/>
              </w:rPr>
              <w:t xml:space="preserve"> s. 4-11 </w:t>
            </w:r>
            <w:r>
              <w:rPr>
                <w:iCs/>
                <w:sz w:val="19"/>
                <w:vertAlign w:val="superscript"/>
              </w:rPr>
              <w:t>24</w:t>
            </w:r>
          </w:p>
        </w:tc>
        <w:tc>
          <w:tcPr>
            <w:tcW w:w="1134" w:type="dxa"/>
            <w:gridSpan w:val="2"/>
          </w:tcPr>
          <w:p>
            <w:pPr>
              <w:pStyle w:val="nTable"/>
              <w:rPr>
                <w:sz w:val="19"/>
              </w:rPr>
            </w:pPr>
            <w:r>
              <w:rPr>
                <w:sz w:val="19"/>
              </w:rPr>
              <w:t>27 of 2005</w:t>
            </w:r>
          </w:p>
        </w:tc>
        <w:tc>
          <w:tcPr>
            <w:tcW w:w="1134" w:type="dxa"/>
            <w:gridSpan w:val="2"/>
          </w:tcPr>
          <w:p>
            <w:pPr>
              <w:pStyle w:val="nTable"/>
              <w:rPr>
                <w:sz w:val="19"/>
              </w:rPr>
            </w:pPr>
            <w:r>
              <w:rPr>
                <w:sz w:val="19"/>
              </w:rPr>
              <w:t>12 Dec 2005</w:t>
            </w:r>
          </w:p>
        </w:tc>
        <w:tc>
          <w:tcPr>
            <w:tcW w:w="2522" w:type="dxa"/>
            <w:gridSpan w:val="2"/>
          </w:tcPr>
          <w:p>
            <w:pPr>
              <w:rPr>
                <w:sz w:val="20"/>
              </w:rPr>
            </w:pPr>
            <w:r>
              <w:rPr>
                <w:sz w:val="20"/>
              </w:rPr>
              <w:t>s. 1-3: 12 Dec 2005</w:t>
            </w:r>
          </w:p>
          <w:p>
            <w:pPr>
              <w:spacing w:before="40"/>
              <w:rPr>
                <w:sz w:val="20"/>
              </w:rPr>
            </w:pPr>
            <w:r>
              <w:rPr>
                <w:sz w:val="20"/>
              </w:rPr>
              <w:t>s. 4, 6, 7, 10: to be proclaimed (see s. 2(1));</w:t>
            </w:r>
          </w:p>
          <w:p>
            <w:pPr>
              <w:pStyle w:val="nTable"/>
              <w:rPr>
                <w:sz w:val="20"/>
              </w:rPr>
            </w:pPr>
            <w:r>
              <w:rPr>
                <w:sz w:val="20"/>
              </w:rPr>
              <w:t>s. 5 operative immediately after s. 4 of Act No. 39 of 2004 (see s. 2(2));</w:t>
            </w:r>
          </w:p>
          <w:p>
            <w:pPr>
              <w:pStyle w:val="nTable"/>
              <w:rPr>
                <w:sz w:val="20"/>
              </w:rPr>
            </w:pPr>
            <w:r>
              <w:rPr>
                <w:sz w:val="20"/>
              </w:rPr>
              <w:t>s. 8 operative immediately after s. 89 of Act No. 39 of 2004 (see s. 2(3));</w:t>
            </w:r>
          </w:p>
          <w:p>
            <w:pPr>
              <w:pStyle w:val="nTable"/>
              <w:rPr>
                <w:sz w:val="20"/>
              </w:rPr>
            </w:pPr>
            <w:r>
              <w:rPr>
                <w:sz w:val="20"/>
              </w:rPr>
              <w:t>s. 9 operative immediately after s. 16 of Act No. 39 of 2004 (see s. 2(4));</w:t>
            </w:r>
          </w:p>
          <w:p>
            <w:pPr>
              <w:pStyle w:val="nTable"/>
              <w:rPr>
                <w:sz w:val="19"/>
              </w:rPr>
            </w:pPr>
            <w:r>
              <w:rPr>
                <w:sz w:val="20"/>
              </w:rPr>
              <w:t>s. 11 operative immediately after s. 99 of Act No. 39 of 2004 (see s. 2(5))</w:t>
            </w:r>
          </w:p>
        </w:tc>
      </w:tr>
      <w:tr>
        <w:tblPrEx>
          <w:tblCellMar>
            <w:left w:w="56" w:type="dxa"/>
            <w:right w:w="56" w:type="dxa"/>
          </w:tblCellMar>
        </w:tblPrEx>
        <w:trPr>
          <w:gridAfter w:val="1"/>
          <w:wAfter w:w="28" w:type="dxa"/>
        </w:trPr>
        <w:tc>
          <w:tcPr>
            <w:tcW w:w="2268" w:type="dxa"/>
            <w:tcBorders>
              <w:bottom w:val="single" w:sz="4" w:space="0" w:color="auto"/>
            </w:tcBorders>
          </w:tcPr>
          <w:p>
            <w:pPr>
              <w:pStyle w:val="nTable"/>
              <w:spacing w:before="100"/>
              <w:rPr>
                <w:iCs/>
                <w:sz w:val="19"/>
                <w:vertAlign w:val="superscript"/>
              </w:rPr>
            </w:pPr>
            <w:r>
              <w:rPr>
                <w:i/>
                <w:sz w:val="19"/>
              </w:rPr>
              <w:t>Planning and Development (Consequential and Transitional Provisions) Act 2005</w:t>
            </w:r>
            <w:r>
              <w:rPr>
                <w:iCs/>
                <w:sz w:val="19"/>
              </w:rPr>
              <w:t xml:space="preserve"> s. 15 </w:t>
            </w:r>
            <w:r>
              <w:rPr>
                <w:iCs/>
                <w:sz w:val="19"/>
                <w:vertAlign w:val="superscript"/>
              </w:rPr>
              <w:t>25</w:t>
            </w:r>
          </w:p>
        </w:tc>
        <w:tc>
          <w:tcPr>
            <w:tcW w:w="1134" w:type="dxa"/>
            <w:gridSpan w:val="2"/>
            <w:tcBorders>
              <w:bottom w:val="single" w:sz="4" w:space="0" w:color="auto"/>
            </w:tcBorders>
          </w:tcPr>
          <w:p>
            <w:pPr>
              <w:pStyle w:val="nTable"/>
              <w:spacing w:before="100"/>
              <w:rPr>
                <w:sz w:val="19"/>
              </w:rPr>
            </w:pPr>
            <w:r>
              <w:rPr>
                <w:sz w:val="19"/>
              </w:rPr>
              <w:t>38 of 2005</w:t>
            </w:r>
          </w:p>
        </w:tc>
        <w:tc>
          <w:tcPr>
            <w:tcW w:w="1134" w:type="dxa"/>
            <w:gridSpan w:val="2"/>
            <w:tcBorders>
              <w:bottom w:val="single" w:sz="4" w:space="0" w:color="auto"/>
            </w:tcBorders>
          </w:tcPr>
          <w:p>
            <w:pPr>
              <w:pStyle w:val="nTable"/>
              <w:spacing w:before="100"/>
              <w:rPr>
                <w:sz w:val="19"/>
              </w:rPr>
            </w:pPr>
            <w:r>
              <w:rPr>
                <w:sz w:val="19"/>
              </w:rPr>
              <w:t>12 Dec 2005</w:t>
            </w:r>
          </w:p>
        </w:tc>
        <w:tc>
          <w:tcPr>
            <w:tcW w:w="2552" w:type="dxa"/>
            <w:gridSpan w:val="2"/>
            <w:tcBorders>
              <w:bottom w:val="single" w:sz="4" w:space="0" w:color="auto"/>
            </w:tcBorders>
          </w:tcPr>
          <w:p>
            <w:pPr>
              <w:pStyle w:val="nTable"/>
              <w:spacing w:before="100"/>
              <w:rPr>
                <w:sz w:val="19"/>
              </w:rPr>
            </w:pPr>
            <w:r>
              <w:rPr>
                <w:sz w:val="19"/>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rPr>
          <w:snapToGrid w:val="0"/>
        </w:rPr>
      </w:pPr>
      <w:r>
        <w:rPr>
          <w:snapToGrid w:val="0"/>
          <w:vertAlign w:val="superscript"/>
        </w:rPr>
        <w:t>4</w:t>
      </w:r>
      <w:r>
        <w:rPr>
          <w:snapToGrid w:val="0"/>
        </w:rPr>
        <w:tab/>
        <w:t xml:space="preserve">Formerly referred to the Public Service Commissioner the name of which was changed to the Minister for Public Sector Management by the </w:t>
      </w:r>
      <w:r>
        <w:rPr>
          <w:i/>
          <w:snapToGrid w:val="0"/>
        </w:rPr>
        <w:t>Public Sector Management Act 1994</w:t>
      </w:r>
      <w:r>
        <w:rPr>
          <w:snapToGrid w:val="0"/>
        </w:rPr>
        <w:t xml:space="preserve"> s. 112(2).  The reference was changed under the </w:t>
      </w:r>
      <w:r>
        <w:rPr>
          <w:i/>
          <w:snapToGrid w:val="0"/>
        </w:rPr>
        <w:t>Reprints Act 1984</w:t>
      </w:r>
      <w:r>
        <w:rPr>
          <w:snapToGrid w:val="0"/>
        </w:rPr>
        <w:t xml:space="preserve"> s. 7(3)(h).</w:t>
      </w:r>
    </w:p>
    <w:p>
      <w:pPr>
        <w:pStyle w:val="nSubsection"/>
        <w:rPr>
          <w:snapToGrid w:val="0"/>
        </w:rPr>
      </w:pPr>
      <w:r>
        <w:rPr>
          <w:snapToGrid w:val="0"/>
          <w:vertAlign w:val="superscript"/>
        </w:rPr>
        <w:t>5</w:t>
      </w:r>
      <w:r>
        <w:rPr>
          <w:snapToGrid w:val="0"/>
        </w:rPr>
        <w:tab/>
        <w:t xml:space="preserve">See </w:t>
      </w:r>
      <w:r>
        <w:rPr>
          <w:i/>
          <w:snapToGrid w:val="0"/>
        </w:rPr>
        <w:t>Mines Safety and Inspection Act 1994</w:t>
      </w:r>
      <w:r>
        <w:rPr>
          <w:snapToGrid w:val="0"/>
        </w:rPr>
        <w:t xml:space="preserve"> s. 16.</w:t>
      </w:r>
    </w:p>
    <w:p>
      <w:pPr>
        <w:pStyle w:val="nSubsection"/>
        <w:rPr>
          <w:snapToGrid w:val="0"/>
        </w:rPr>
      </w:pPr>
      <w:r>
        <w:rPr>
          <w:snapToGrid w:val="0"/>
          <w:vertAlign w:val="superscript"/>
        </w:rPr>
        <w:t>6</w:t>
      </w:r>
      <w:r>
        <w:rPr>
          <w:snapToGrid w:val="0"/>
        </w:rPr>
        <w:tab/>
        <w:t xml:space="preserve">As at the date this reprint was prepared the former Minister for Mines was called the Minister for State Development. (see </w:t>
      </w:r>
      <w:r>
        <w:rPr>
          <w:i/>
          <w:snapToGrid w:val="0"/>
        </w:rPr>
        <w:t>Gazette</w:t>
      </w:r>
      <w:r>
        <w:rPr>
          <w:snapToGrid w:val="0"/>
        </w:rPr>
        <w:t xml:space="preserve"> 2 July 2001 p. 3263)</w:t>
      </w:r>
    </w:p>
    <w:p>
      <w:pPr>
        <w:pStyle w:val="nSubsection"/>
        <w:rPr>
          <w:snapToGrid w:val="0"/>
        </w:rPr>
      </w:pPr>
      <w:r>
        <w:rPr>
          <w:snapToGrid w:val="0"/>
          <w:vertAlign w:val="superscript"/>
        </w:rPr>
        <w:t>7</w:t>
      </w:r>
      <w:r>
        <w:rPr>
          <w:snapToGrid w:val="0"/>
        </w:rPr>
        <w:tab/>
        <w:t xml:space="preserve">Under the </w:t>
      </w:r>
      <w:r>
        <w:rPr>
          <w:i/>
          <w:snapToGrid w:val="0"/>
        </w:rPr>
        <w:t>Land Administration Act 1997</w:t>
      </w:r>
      <w:r>
        <w:rPr>
          <w:snapToGrid w:val="0"/>
        </w:rPr>
        <w:t xml:space="preserve"> s. 281(3) a reference in written law to the </w:t>
      </w:r>
      <w:r>
        <w:rPr>
          <w:i/>
          <w:snapToGrid w:val="0"/>
        </w:rPr>
        <w:t>Land Act 1933</w:t>
      </w:r>
      <w:r>
        <w:rPr>
          <w:snapToGrid w:val="0"/>
        </w:rPr>
        <w:t xml:space="preserve"> is, unless the contrary intention appears, to be construed as if it had been amended to be a reference to the </w:t>
      </w:r>
      <w:r>
        <w:rPr>
          <w:i/>
          <w:snapToGrid w:val="0"/>
        </w:rPr>
        <w:t>Land Administration Act 1997</w:t>
      </w:r>
      <w:r>
        <w:rPr>
          <w:snapToGrid w:val="0"/>
        </w:rPr>
        <w:t>.</w:t>
      </w:r>
    </w:p>
    <w:p>
      <w:pPr>
        <w:pStyle w:val="nSubsection"/>
        <w:rPr>
          <w:snapToGrid w:val="0"/>
        </w:rPr>
      </w:pPr>
      <w:r>
        <w:rPr>
          <w:snapToGrid w:val="0"/>
          <w:vertAlign w:val="superscript"/>
        </w:rPr>
        <w:t>8</w:t>
      </w:r>
      <w:r>
        <w:rPr>
          <w:snapToGrid w:val="0"/>
        </w:rPr>
        <w:tab/>
        <w:t xml:space="preserve">Formerly referred to the Department of Mines, the name of which was changed to the Department of Minerals and Energy under the </w:t>
      </w:r>
      <w:r>
        <w:rPr>
          <w:i/>
          <w:snapToGrid w:val="0"/>
        </w:rPr>
        <w:t>Alteration of Statutory Designations Order (No. 2) 1992</w:t>
      </w:r>
      <w:r>
        <w:rPr>
          <w:snapToGrid w:val="0"/>
        </w:rPr>
        <w:t xml:space="preserve"> (in </w:t>
      </w:r>
      <w:r>
        <w:rPr>
          <w:i/>
          <w:snapToGrid w:val="0"/>
        </w:rPr>
        <w:t>Gazette</w:t>
      </w:r>
      <w:r>
        <w:rPr>
          <w:snapToGrid w:val="0"/>
        </w:rPr>
        <w:t xml:space="preserve"> 30 June 1992 p. 2924) which was repealed in </w:t>
      </w:r>
      <w:r>
        <w:rPr>
          <w:i/>
          <w:snapToGrid w:val="0"/>
        </w:rPr>
        <w:t>Gazette</w:t>
      </w:r>
      <w:r>
        <w:rPr>
          <w:snapToGrid w:val="0"/>
        </w:rPr>
        <w:t xml:space="preserve"> 2 July 2001 p. 3270.  The name was changed to the Department of Mineral and Petroleum Resources under the </w:t>
      </w:r>
      <w:r>
        <w:rPr>
          <w:i/>
          <w:snapToGrid w:val="0"/>
        </w:rPr>
        <w:t>Alteration of Statutory Designations Order (No. 2) 2001</w:t>
      </w:r>
      <w:r>
        <w:rPr>
          <w:snapToGrid w:val="0"/>
        </w:rPr>
        <w:t xml:space="preserve"> (in </w:t>
      </w:r>
      <w:r>
        <w:rPr>
          <w:i/>
          <w:snapToGrid w:val="0"/>
        </w:rPr>
        <w:t>Gazette</w:t>
      </w:r>
      <w:r>
        <w:rPr>
          <w:snapToGrid w:val="0"/>
        </w:rPr>
        <w:t xml:space="preserve"> 2 July 2001 p. 3270).  The reference was changed under the </w:t>
      </w:r>
      <w:r>
        <w:rPr>
          <w:i/>
          <w:snapToGrid w:val="0"/>
        </w:rPr>
        <w:t>Reprints Act 1984</w:t>
      </w:r>
      <w:r>
        <w:rPr>
          <w:snapToGrid w:val="0"/>
        </w:rPr>
        <w:t xml:space="preserve"> s. 7(5)(a).</w:t>
      </w:r>
    </w:p>
    <w:p>
      <w:pPr>
        <w:pStyle w:val="nSubsection"/>
        <w:rPr>
          <w:snapToGrid w:val="0"/>
        </w:rPr>
      </w:pPr>
      <w:r>
        <w:rPr>
          <w:snapToGrid w:val="0"/>
          <w:vertAlign w:val="superscript"/>
        </w:rPr>
        <w:t>9</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rPr>
          <w:snapToGrid w:val="0"/>
        </w:rPr>
      </w:pPr>
      <w:r>
        <w:rPr>
          <w:snapToGrid w:val="0"/>
          <w:vertAlign w:val="superscript"/>
        </w:rPr>
        <w:t>10</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MiscOpen"/>
        <w:spacing w:before="60"/>
        <w:rPr>
          <w:snapToGrid w:val="0"/>
        </w:rPr>
      </w:pPr>
      <w:r>
        <w:rPr>
          <w:snapToGrid w:val="0"/>
        </w:rPr>
        <w:t>“</w:t>
      </w:r>
    </w:p>
    <w:p>
      <w:pPr>
        <w:pStyle w:val="nzHeading5"/>
        <w:spacing w:before="0"/>
        <w:rPr>
          <w:snapToGrid w:val="0"/>
        </w:rPr>
      </w:pPr>
      <w:r>
        <w:rPr>
          <w:snapToGrid w:val="0"/>
        </w:rPr>
        <w:t>40.</w:t>
      </w:r>
      <w:r>
        <w:rPr>
          <w:snapToGrid w:val="0"/>
        </w:rPr>
        <w:tab/>
        <w:t xml:space="preserve">Savings and transitional </w:t>
      </w:r>
    </w:p>
    <w:p>
      <w:pPr>
        <w:pStyle w:val="nzSubsection"/>
        <w:keepNext/>
        <w:rPr>
          <w:snapToGrid w:val="0"/>
        </w:rPr>
      </w:pPr>
      <w:r>
        <w:rPr>
          <w:snapToGrid w:val="0"/>
        </w:rPr>
        <w:tab/>
        <w:t>(1)</w:t>
      </w:r>
      <w:r>
        <w:rPr>
          <w:snapToGrid w:val="0"/>
        </w:rPr>
        <w:tab/>
        <w:t>Notwithstanding sections 15, 16, 17, 19 and 34 but subject to this section — </w:t>
      </w:r>
    </w:p>
    <w:p>
      <w:pPr>
        <w:pStyle w:val="nzIndenta"/>
        <w:rPr>
          <w:snapToGrid w:val="0"/>
        </w:rPr>
      </w:pPr>
      <w:r>
        <w:rPr>
          <w:snapToGrid w:val="0"/>
        </w:rPr>
        <w:tab/>
        <w:t>(a)</w:t>
      </w:r>
      <w:r>
        <w:rPr>
          <w:snapToGrid w:val="0"/>
        </w:rPr>
        <w:tab/>
        <w:t>the amendments to the principal Act effected by those sections do not have effect in relation to —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spacing w:before="120"/>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spacing w:before="120"/>
        <w:rPr>
          <w:snapToGrid w:val="0"/>
        </w:rPr>
      </w:pPr>
      <w:r>
        <w:rPr>
          <w:snapToGrid w:val="0"/>
        </w:rPr>
        <w:tab/>
        <w:t>(3)</w:t>
      </w:r>
      <w:r>
        <w:rPr>
          <w:snapToGrid w:val="0"/>
        </w:rPr>
        <w:tab/>
        <w:t>In this section — </w:t>
      </w:r>
    </w:p>
    <w:p>
      <w:pPr>
        <w:pStyle w:val="nzDefstart"/>
      </w:pPr>
      <w:r>
        <w:rPr>
          <w:b/>
        </w:rPr>
        <w:tab/>
        <w:t xml:space="preserve">“block” </w:t>
      </w:r>
      <w:r>
        <w:t>means a block as described in section 56C of the principal Act as in force after the commencement of section 15 of this Act;</w:t>
      </w:r>
    </w:p>
    <w:p>
      <w:pPr>
        <w:pStyle w:val="nzDefstart"/>
      </w:pPr>
      <w:r>
        <w:rPr>
          <w:b/>
        </w:rPr>
        <w:tab/>
        <w:t>“commencement day”</w:t>
      </w:r>
      <w:r>
        <w:t xml:space="preserve"> means the day on which sections 15, 16, 17, 19 and 34 of this Act come into operation;</w:t>
      </w:r>
    </w:p>
    <w:p>
      <w:pPr>
        <w:pStyle w:val="nzDefstart"/>
      </w:pPr>
      <w:r>
        <w:rPr>
          <w:b/>
        </w:rPr>
        <w:tab/>
        <w:t>“existing licence”</w:t>
      </w:r>
      <w:r>
        <w:t xml:space="preserve"> means an exploration licence referred to in subsection (1)(a)(i) or (iii).</w:t>
      </w:r>
    </w:p>
    <w:p>
      <w:pPr>
        <w:pStyle w:val="nzSubsection"/>
        <w:spacing w:before="120"/>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MiscClose"/>
        <w:rPr>
          <w:snapToGrid w:val="0"/>
          <w:vertAlign w:val="superscript"/>
        </w:rPr>
      </w:pPr>
      <w:r>
        <w:rPr>
          <w:snapToGrid w:val="0"/>
        </w:rPr>
        <w:t>”.</w:t>
      </w:r>
    </w:p>
    <w:p>
      <w:pPr>
        <w:pStyle w:val="nSubsection"/>
        <w:rPr>
          <w:snapToGrid w:val="0"/>
        </w:rPr>
      </w:pPr>
      <w:r>
        <w:rPr>
          <w:snapToGrid w:val="0"/>
          <w:vertAlign w:val="superscript"/>
        </w:rPr>
        <w:t>11</w:t>
      </w:r>
      <w:r>
        <w:rPr>
          <w:snapToGrid w:val="0"/>
        </w:rPr>
        <w:tab/>
        <w:t xml:space="preserve">The </w:t>
      </w:r>
      <w:r>
        <w:rPr>
          <w:i/>
          <w:snapToGrid w:val="0"/>
        </w:rPr>
        <w:t xml:space="preserve">Mining Amendment Act 1993 </w:t>
      </w:r>
      <w:r>
        <w:rPr>
          <w:snapToGrid w:val="0"/>
        </w:rPr>
        <w:t>s. 5(2) reads as follows:</w:t>
      </w:r>
    </w:p>
    <w:p>
      <w:pPr>
        <w:pStyle w:val="MiscOpen"/>
        <w:rPr>
          <w:snapToGrid w:val="0"/>
        </w:rPr>
      </w:pPr>
      <w:r>
        <w:rPr>
          <w:snapToGrid w:val="0"/>
        </w:rPr>
        <w:t>“</w:t>
      </w:r>
    </w:p>
    <w:p>
      <w:pPr>
        <w:pStyle w:val="nzSubsection"/>
        <w:spacing w:before="120"/>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 xml:space="preserve">Mining Amendment Act 1993 </w:t>
      </w:r>
      <w:r>
        <w:rPr>
          <w:snapToGrid w:val="0"/>
        </w:rPr>
        <w:t>s. 19(2) reads as follows:</w:t>
      </w:r>
    </w:p>
    <w:p>
      <w:pPr>
        <w:pStyle w:val="MiscOpen"/>
        <w:rPr>
          <w:snapToGrid w:val="0"/>
        </w:rPr>
      </w:pPr>
      <w:r>
        <w:rPr>
          <w:snapToGrid w:val="0"/>
        </w:rPr>
        <w:t>“</w:t>
      </w:r>
    </w:p>
    <w:p>
      <w:pPr>
        <w:pStyle w:val="nzSubsection"/>
        <w:keepNext/>
        <w:spacing w:before="0"/>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rPr>
          <w:snapToGrid w:val="0"/>
        </w:rPr>
      </w:pPr>
      <w:r>
        <w:rPr>
          <w:snapToGrid w:val="0"/>
        </w:rPr>
        <w:tab/>
      </w:r>
      <w:r>
        <w:rPr>
          <w:snapToGrid w:val="0"/>
        </w:rPr>
        <w:tab/>
        <w:t>had been in operation when the act or thing was done.</w:t>
      </w:r>
    </w:p>
    <w:p>
      <w:pPr>
        <w:pStyle w:val="MiscClose"/>
        <w:rPr>
          <w:snapToGrid w:val="0"/>
        </w:rPr>
      </w:pPr>
      <w:r>
        <w:rPr>
          <w:snapToGrid w:val="0"/>
        </w:rPr>
        <w:t>”.</w:t>
      </w:r>
    </w:p>
    <w:p>
      <w:pPr>
        <w:pStyle w:val="nSubsection"/>
        <w:rPr>
          <w:snapToGrid w:val="0"/>
        </w:rPr>
      </w:pPr>
      <w:r>
        <w:rPr>
          <w:snapToGrid w:val="0"/>
        </w:rPr>
        <w:tab/>
        <w:t xml:space="preserve">The </w:t>
      </w:r>
      <w:r>
        <w:rPr>
          <w:i/>
          <w:snapToGrid w:val="0"/>
        </w:rPr>
        <w:t xml:space="preserve">Mining Amendment Act 1993 </w:t>
      </w:r>
      <w:r>
        <w:rPr>
          <w:snapToGrid w:val="0"/>
        </w:rPr>
        <w:t>s. 28(2) reads as follows — </w:t>
      </w:r>
    </w:p>
    <w:p>
      <w:pPr>
        <w:pStyle w:val="MiscOpen"/>
        <w:rPr>
          <w:snapToGrid w:val="0"/>
        </w:rPr>
      </w:pPr>
      <w:r>
        <w:rPr>
          <w:snapToGrid w:val="0"/>
        </w:rPr>
        <w:t>“</w:t>
      </w:r>
    </w:p>
    <w:p>
      <w:pPr>
        <w:pStyle w:val="nzSubsection"/>
        <w:spacing w:before="120"/>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p>
    <w:p>
      <w:pPr>
        <w:pStyle w:val="MiscClose"/>
        <w:rPr>
          <w:snapToGrid w:val="0"/>
        </w:rPr>
      </w:pPr>
      <w:r>
        <w:rPr>
          <w:snapToGrid w:val="0"/>
        </w:rPr>
        <w:t>”.</w:t>
      </w:r>
    </w:p>
    <w:p>
      <w:pPr>
        <w:pStyle w:val="nSubsection"/>
        <w:rPr>
          <w:snapToGrid w:val="0"/>
        </w:rPr>
      </w:pPr>
      <w:r>
        <w:rPr>
          <w:snapToGrid w:val="0"/>
        </w:rPr>
        <w:tab/>
        <w:t xml:space="preserve">The </w:t>
      </w:r>
      <w:r>
        <w:rPr>
          <w:i/>
          <w:snapToGrid w:val="0"/>
        </w:rPr>
        <w:t xml:space="preserve">Mining Amendment Act 1993 </w:t>
      </w:r>
      <w:r>
        <w:rPr>
          <w:snapToGrid w:val="0"/>
        </w:rPr>
        <w:t>s. 30(3) reads as follows:</w:t>
      </w:r>
    </w:p>
    <w:p>
      <w:pPr>
        <w:pStyle w:val="MiscOpen"/>
        <w:rPr>
          <w:snapToGrid w:val="0"/>
        </w:rPr>
      </w:pPr>
      <w:r>
        <w:rPr>
          <w:snapToGrid w:val="0"/>
        </w:rPr>
        <w:t>“</w:t>
      </w:r>
    </w:p>
    <w:p>
      <w:pPr>
        <w:pStyle w:val="nzSubsection"/>
        <w:rPr>
          <w:snapToGrid w:val="0"/>
        </w:rPr>
      </w:pPr>
      <w:r>
        <w:rPr>
          <w:snapToGrid w:val="0"/>
        </w:rPr>
        <w:tab/>
        <w:t>(3)</w:t>
      </w:r>
      <w:r>
        <w:rPr>
          <w:snapToGrid w:val="0"/>
        </w:rPr>
        <w:tab/>
        <w:t>Notwithstanding section 40 of the principal Act as amended by this section —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MiscClose"/>
      </w:pPr>
      <w:r>
        <w:t>”.</w:t>
      </w:r>
    </w:p>
    <w:p>
      <w:pPr>
        <w:pStyle w:val="nSubsection"/>
        <w:rPr>
          <w:iCs/>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Oaths, Affidavits and Statutory Declarations (Consequential Provisions) Act 2005</w:t>
      </w:r>
      <w:r>
        <w:rPr>
          <w:iCs/>
          <w:snapToGrid w:val="0"/>
        </w:rPr>
        <w:t xml:space="preserve"> Pt. 15 had not come into operation.  It reads as follows:</w:t>
      </w:r>
    </w:p>
    <w:p>
      <w:pPr>
        <w:pStyle w:val="MiscOpen"/>
      </w:pPr>
      <w:r>
        <w:t>“</w:t>
      </w:r>
    </w:p>
    <w:p>
      <w:pPr>
        <w:pStyle w:val="nzHeading2"/>
      </w:pPr>
      <w:bookmarkStart w:id="1192" w:name="_Toc99358983"/>
      <w:bookmarkStart w:id="1193" w:name="_Toc99359079"/>
      <w:bookmarkStart w:id="1194" w:name="_Toc99359175"/>
      <w:bookmarkStart w:id="1195" w:name="_Toc99427126"/>
      <w:bookmarkStart w:id="1196" w:name="_Toc99427223"/>
      <w:bookmarkStart w:id="1197" w:name="_Toc99515166"/>
      <w:bookmarkStart w:id="1198" w:name="_Toc99853329"/>
      <w:bookmarkStart w:id="1199" w:name="_Toc117043635"/>
      <w:bookmarkStart w:id="1200" w:name="_Toc120952380"/>
      <w:bookmarkStart w:id="1201" w:name="_Toc120952515"/>
      <w:r>
        <w:rPr>
          <w:rStyle w:val="CharPartNo"/>
        </w:rPr>
        <w:t>Part 15</w:t>
      </w:r>
      <w:r>
        <w:rPr>
          <w:rStyle w:val="CharDivNo"/>
        </w:rPr>
        <w:t> </w:t>
      </w:r>
      <w:r>
        <w:t>—</w:t>
      </w:r>
      <w:r>
        <w:rPr>
          <w:rStyle w:val="CharDivText"/>
        </w:rPr>
        <w:t> </w:t>
      </w:r>
      <w:r>
        <w:rPr>
          <w:rStyle w:val="CharPartText"/>
          <w:i/>
          <w:iCs/>
        </w:rPr>
        <w:t xml:space="preserve">Mining Act 1978 </w:t>
      </w:r>
      <w:r>
        <w:rPr>
          <w:rStyle w:val="CharPartText"/>
        </w:rPr>
        <w:t>amended</w:t>
      </w:r>
      <w:bookmarkEnd w:id="1192"/>
      <w:bookmarkEnd w:id="1193"/>
      <w:bookmarkEnd w:id="1194"/>
      <w:bookmarkEnd w:id="1195"/>
      <w:bookmarkEnd w:id="1196"/>
      <w:bookmarkEnd w:id="1197"/>
      <w:bookmarkEnd w:id="1198"/>
      <w:bookmarkEnd w:id="1199"/>
      <w:bookmarkEnd w:id="1200"/>
      <w:bookmarkEnd w:id="1201"/>
    </w:p>
    <w:p>
      <w:pPr>
        <w:pStyle w:val="nzHeading5"/>
      </w:pPr>
      <w:bookmarkStart w:id="1202" w:name="_Toc120952516"/>
      <w:r>
        <w:rPr>
          <w:rStyle w:val="CharSectno"/>
        </w:rPr>
        <w:t>60</w:t>
      </w:r>
      <w:r>
        <w:t>.</w:t>
      </w:r>
      <w:r>
        <w:tab/>
        <w:t>The Act amended in this Part</w:t>
      </w:r>
      <w:bookmarkEnd w:id="1202"/>
    </w:p>
    <w:p>
      <w:pPr>
        <w:pStyle w:val="nzSubsection"/>
      </w:pPr>
      <w:r>
        <w:tab/>
      </w:r>
      <w:r>
        <w:tab/>
        <w:t xml:space="preserve">The amendments in this Part are to the </w:t>
      </w:r>
      <w:r>
        <w:rPr>
          <w:i/>
        </w:rPr>
        <w:t>Mining Act 1978</w:t>
      </w:r>
      <w:r>
        <w:t>.</w:t>
      </w:r>
    </w:p>
    <w:p>
      <w:pPr>
        <w:pStyle w:val="nzHeading5"/>
      </w:pPr>
      <w:bookmarkStart w:id="1203" w:name="_Toc120952517"/>
      <w:r>
        <w:rPr>
          <w:rStyle w:val="CharSectno"/>
        </w:rPr>
        <w:t>61</w:t>
      </w:r>
      <w:r>
        <w:t>.</w:t>
      </w:r>
      <w:r>
        <w:tab/>
        <w:t>Section 144 amended</w:t>
      </w:r>
      <w:bookmarkEnd w:id="1203"/>
    </w:p>
    <w:p>
      <w:pPr>
        <w:pStyle w:val="nzSubsection"/>
      </w:pPr>
      <w:r>
        <w:tab/>
      </w:r>
      <w:r>
        <w:tab/>
        <w:t>Section 144 is amended as follows:</w:t>
      </w:r>
    </w:p>
    <w:p>
      <w:pPr>
        <w:pStyle w:val="nzIndenta"/>
      </w:pPr>
      <w:r>
        <w:tab/>
        <w:t>(a)</w:t>
      </w:r>
      <w:r>
        <w:tab/>
        <w:t xml:space="preserve">by deleting paragraph (a) and inserting the following paragraph instead — </w:t>
      </w:r>
    </w:p>
    <w:p>
      <w:pPr>
        <w:pStyle w:val="MiscOpen"/>
        <w:ind w:left="1340"/>
      </w:pPr>
      <w:r>
        <w:t xml:space="preserve">“    </w:t>
      </w:r>
    </w:p>
    <w:p>
      <w:pPr>
        <w:pStyle w:val="nzIndenta"/>
      </w:pPr>
      <w:r>
        <w:tab/>
        <w:t>(a)</w:t>
      </w:r>
      <w:r>
        <w:tab/>
        <w:t xml:space="preserve">any person who, under the </w:t>
      </w:r>
      <w:r>
        <w:rPr>
          <w:i/>
          <w:iCs/>
        </w:rPr>
        <w:t>Oaths, Affidavits and Statutory Declarations Act 2005</w:t>
      </w:r>
      <w:r>
        <w:t>, is an authorised witness for an affidavit;</w:t>
      </w:r>
    </w:p>
    <w:p>
      <w:pPr>
        <w:pStyle w:val="MiscClose"/>
        <w:ind w:right="567"/>
      </w:pPr>
      <w:r>
        <w:t xml:space="preserve">    ”;</w:t>
      </w:r>
    </w:p>
    <w:p>
      <w:pPr>
        <w:pStyle w:val="nzIndenta"/>
      </w:pPr>
      <w:r>
        <w:tab/>
        <w:t>(b)</w:t>
      </w:r>
      <w:r>
        <w:tab/>
        <w:t>by inserting after paragraph (c) —</w:t>
      </w:r>
    </w:p>
    <w:p>
      <w:pPr>
        <w:pStyle w:val="nzIndenta"/>
      </w:pPr>
      <w:r>
        <w:tab/>
      </w:r>
      <w:r>
        <w:tab/>
        <w:t>“    or    ”;</w:t>
      </w:r>
    </w:p>
    <w:p>
      <w:pPr>
        <w:pStyle w:val="nzIndenta"/>
      </w:pPr>
      <w:r>
        <w:tab/>
        <w:t>(c)</w:t>
      </w:r>
      <w:r>
        <w:tab/>
        <w:t>by deleting paragraph (d) and “or” after it.</w:t>
      </w:r>
    </w:p>
    <w:p>
      <w:pPr>
        <w:pStyle w:val="nzHeading5"/>
      </w:pPr>
      <w:bookmarkStart w:id="1204" w:name="_Toc120952518"/>
      <w:r>
        <w:rPr>
          <w:rStyle w:val="CharSectno"/>
        </w:rPr>
        <w:t>62</w:t>
      </w:r>
      <w:r>
        <w:t>.</w:t>
      </w:r>
      <w:r>
        <w:tab/>
        <w:t>Section 160D amended</w:t>
      </w:r>
      <w:bookmarkEnd w:id="1204"/>
    </w:p>
    <w:p>
      <w:pPr>
        <w:pStyle w:val="nzSubsection"/>
      </w:pPr>
      <w:r>
        <w:tab/>
      </w:r>
      <w:r>
        <w:tab/>
        <w:t>Section 160D is amended as follows:</w:t>
      </w:r>
    </w:p>
    <w:p>
      <w:pPr>
        <w:pStyle w:val="nzIndenta"/>
      </w:pPr>
      <w:r>
        <w:tab/>
        <w:t>(a)</w:t>
      </w:r>
      <w:r>
        <w:tab/>
        <w:t xml:space="preserve">by deleting paragraph (a) and inserting the following paragraph instead — </w:t>
      </w:r>
    </w:p>
    <w:p>
      <w:pPr>
        <w:pStyle w:val="MiscOpen"/>
        <w:ind w:left="1340"/>
      </w:pPr>
      <w:r>
        <w:t xml:space="preserve">“    </w:t>
      </w:r>
    </w:p>
    <w:p>
      <w:pPr>
        <w:pStyle w:val="nzIndenta"/>
      </w:pPr>
      <w:r>
        <w:tab/>
        <w:t>(a)</w:t>
      </w:r>
      <w:r>
        <w:tab/>
        <w:t xml:space="preserve">any person who, under the </w:t>
      </w:r>
      <w:r>
        <w:rPr>
          <w:i/>
          <w:iCs/>
        </w:rPr>
        <w:t>Oaths, Affidavits and Statutory Declarations Act 2005</w:t>
      </w:r>
      <w:r>
        <w:t>, is an authorised witness for an affidavit;</w:t>
      </w:r>
    </w:p>
    <w:p>
      <w:pPr>
        <w:pStyle w:val="MiscClose"/>
        <w:ind w:right="567"/>
      </w:pPr>
      <w:r>
        <w:t xml:space="preserve">    ”;</w:t>
      </w:r>
    </w:p>
    <w:p>
      <w:pPr>
        <w:pStyle w:val="nzIndenta"/>
      </w:pPr>
      <w:r>
        <w:tab/>
        <w:t>(b)</w:t>
      </w:r>
      <w:r>
        <w:tab/>
        <w:t>by inserting after paragraph (b) —</w:t>
      </w:r>
    </w:p>
    <w:p>
      <w:pPr>
        <w:pStyle w:val="nzIndenta"/>
      </w:pPr>
      <w:r>
        <w:tab/>
      </w:r>
      <w:r>
        <w:tab/>
        <w:t>“    or    ”;</w:t>
      </w:r>
    </w:p>
    <w:p>
      <w:pPr>
        <w:pStyle w:val="nzIndenta"/>
      </w:pPr>
      <w:r>
        <w:tab/>
        <w:t>(c)</w:t>
      </w:r>
      <w:r>
        <w:tab/>
        <w:t>by deleting paragraphs (c), (d) and (e) and “or” after paragraph (e).</w:t>
      </w:r>
    </w:p>
    <w:p>
      <w:pPr>
        <w:pStyle w:val="MiscClose"/>
      </w:pPr>
      <w:r>
        <w:t>”.</w:t>
      </w:r>
    </w:p>
    <w:p>
      <w:pPr>
        <w:pStyle w:val="nSubsection"/>
        <w:rPr>
          <w:snapToGrid w:val="0"/>
        </w:rPr>
      </w:pPr>
      <w:r>
        <w:rPr>
          <w:snapToGrid w:val="0"/>
          <w:vertAlign w:val="superscript"/>
        </w:rPr>
        <w:t>13</w:t>
      </w:r>
      <w:r>
        <w:rPr>
          <w:snapToGrid w:val="0"/>
        </w:rPr>
        <w:tab/>
        <w:t xml:space="preserve">The </w:t>
      </w:r>
      <w:r>
        <w:rPr>
          <w:i/>
          <w:snapToGrid w:val="0"/>
        </w:rPr>
        <w:t xml:space="preserve">Mining Amendment Act 1994 </w:t>
      </w:r>
      <w:r>
        <w:rPr>
          <w:snapToGrid w:val="0"/>
        </w:rPr>
        <w:t>s. 21(5) reads as follows:</w:t>
      </w:r>
    </w:p>
    <w:p>
      <w:pPr>
        <w:pStyle w:val="MiscOpen"/>
        <w:rPr>
          <w:snapToGrid w:val="0"/>
        </w:rPr>
      </w:pPr>
      <w:r>
        <w:rPr>
          <w:snapToGrid w:val="0"/>
        </w:rPr>
        <w:t>“</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MiscClose"/>
        <w:rPr>
          <w:snapToGrid w:val="0"/>
        </w:rPr>
      </w:pPr>
      <w:r>
        <w:rPr>
          <w:snapToGrid w:val="0"/>
        </w:rPr>
        <w:t>”.</w:t>
      </w:r>
    </w:p>
    <w:p>
      <w:pPr>
        <w:pStyle w:val="nSubsection"/>
        <w:keepNext/>
        <w:spacing w:before="120"/>
        <w:rPr>
          <w:snapToGrid w:val="0"/>
        </w:rPr>
      </w:pPr>
      <w:r>
        <w:rPr>
          <w:snapToGrid w:val="0"/>
        </w:rPr>
        <w:tab/>
        <w:t xml:space="preserve">The </w:t>
      </w:r>
      <w:r>
        <w:rPr>
          <w:i/>
          <w:snapToGrid w:val="0"/>
        </w:rPr>
        <w:t xml:space="preserve">Mining Amendment Act 1994 </w:t>
      </w:r>
      <w:r>
        <w:rPr>
          <w:snapToGrid w:val="0"/>
        </w:rPr>
        <w:t>s. 31(4) reads as follows:</w:t>
      </w:r>
    </w:p>
    <w:p>
      <w:pPr>
        <w:pStyle w:val="MiscOpen"/>
        <w:rPr>
          <w:snapToGrid w:val="0"/>
        </w:rPr>
      </w:pPr>
      <w:r>
        <w:rPr>
          <w:snapToGrid w:val="0"/>
        </w:rPr>
        <w:t>“</w:t>
      </w:r>
    </w:p>
    <w:p>
      <w:pPr>
        <w:pStyle w:val="nzSubsection"/>
        <w:spacing w:before="120"/>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MiscClose"/>
      </w:pPr>
      <w:r>
        <w:t>”.</w:t>
      </w:r>
    </w:p>
    <w:p>
      <w:pPr>
        <w:pStyle w:val="nSubsection"/>
        <w:rPr>
          <w:snapToGrid w:val="0"/>
        </w:rPr>
      </w:pPr>
      <w:r>
        <w:rPr>
          <w:snapToGrid w:val="0"/>
        </w:rPr>
        <w:tab/>
        <w:t xml:space="preserve">The </w:t>
      </w:r>
      <w:r>
        <w:rPr>
          <w:i/>
          <w:snapToGrid w:val="0"/>
        </w:rPr>
        <w:t xml:space="preserve">Mining Amendment Act 1994 </w:t>
      </w:r>
      <w:r>
        <w:rPr>
          <w:snapToGrid w:val="0"/>
        </w:rPr>
        <w:t>s. 53 reads as follows:</w:t>
      </w:r>
    </w:p>
    <w:p>
      <w:pPr>
        <w:pStyle w:val="MiscOpen"/>
        <w:rPr>
          <w:snapToGrid w:val="0"/>
        </w:rPr>
      </w:pPr>
      <w:r>
        <w:rPr>
          <w:snapToGrid w:val="0"/>
        </w:rPr>
        <w:t>“</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 </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b/>
          <w:snapToGrid w:val="0"/>
        </w:rPr>
        <w:t>“</w:t>
      </w:r>
      <w:r>
        <w:rPr>
          <w:rStyle w:val="CharDefText"/>
        </w:rPr>
        <w:t>existing licence</w:t>
      </w:r>
      <w:r>
        <w:rPr>
          <w:b/>
          <w:snapToGrid w:val="0"/>
        </w:rPr>
        <w:t>”</w:t>
      </w:r>
      <w:r>
        <w:rPr>
          <w:snapToGrid w:val="0"/>
        </w:rPr>
        <w:t xml:space="preserve"> means an exploration licence referred to in section 40(1)(a)(i) or (iii) of the </w:t>
      </w:r>
      <w:r>
        <w:rPr>
          <w:i/>
          <w:snapToGrid w:val="0"/>
        </w:rPr>
        <w:t>Mining Amendment Act 1990</w:t>
      </w:r>
      <w:r>
        <w:rPr>
          <w:snapToGrid w:val="0"/>
        </w:rPr>
        <w:t>.</w:t>
      </w:r>
    </w:p>
    <w:p>
      <w:pPr>
        <w:pStyle w:val="MiscClose"/>
        <w:rPr>
          <w:snapToGrid w:val="0"/>
        </w:rPr>
      </w:pPr>
      <w:r>
        <w:rPr>
          <w:snapToGrid w:val="0"/>
        </w:rPr>
        <w:t>”.</w:t>
      </w:r>
    </w:p>
    <w:p>
      <w:pPr>
        <w:pStyle w:val="nSubsection"/>
        <w:rPr>
          <w:snapToGrid w:val="0"/>
        </w:rPr>
      </w:pPr>
      <w:r>
        <w:rPr>
          <w:snapToGrid w:val="0"/>
          <w:vertAlign w:val="superscript"/>
        </w:rPr>
        <w:t>14</w:t>
      </w:r>
      <w:r>
        <w:rPr>
          <w:snapToGrid w:val="0"/>
        </w:rPr>
        <w:tab/>
        <w:t xml:space="preserve">On the date as at which this compilation was prepared, the </w:t>
      </w:r>
      <w:r>
        <w:rPr>
          <w:i/>
          <w:snapToGrid w:val="0"/>
        </w:rPr>
        <w:t>Mining Amendment Act 1996</w:t>
      </w:r>
      <w:r>
        <w:rPr>
          <w:snapToGrid w:val="0"/>
        </w:rPr>
        <w:t xml:space="preserve"> s. 4, 6, 8, 9, 11, 12 and 14</w:t>
      </w:r>
      <w:r>
        <w:rPr>
          <w:snapToGrid w:val="0"/>
        </w:rPr>
        <w:noBreakHyphen/>
        <w:t xml:space="preserve">22 (as amended by the </w:t>
      </w:r>
      <w:r>
        <w:rPr>
          <w:i/>
          <w:snapToGrid w:val="0"/>
        </w:rPr>
        <w:t>Mining Amendment Act 2004</w:t>
      </w:r>
      <w:r>
        <w:rPr>
          <w:snapToGrid w:val="0"/>
        </w:rPr>
        <w:t xml:space="preserve"> Pt. 11) had not come into operation. They read as follows:</w:t>
      </w:r>
    </w:p>
    <w:p>
      <w:pPr>
        <w:pStyle w:val="MiscOpen"/>
        <w:rPr>
          <w:snapToGrid w:val="0"/>
        </w:rPr>
      </w:pPr>
      <w:r>
        <w:rPr>
          <w:snapToGrid w:val="0"/>
        </w:rPr>
        <w:t>“</w:t>
      </w:r>
    </w:p>
    <w:p>
      <w:pPr>
        <w:pStyle w:val="nzHeading5"/>
        <w:rPr>
          <w:snapToGrid w:val="0"/>
        </w:rPr>
      </w:pPr>
      <w:r>
        <w:rPr>
          <w:snapToGrid w:val="0"/>
        </w:rPr>
        <w:t>4.</w:t>
      </w:r>
      <w:r>
        <w:rPr>
          <w:snapToGrid w:val="0"/>
        </w:rPr>
        <w:tab/>
        <w:t>Section 8 amended</w:t>
      </w:r>
    </w:p>
    <w:p>
      <w:pPr>
        <w:pStyle w:val="nzSubsection"/>
        <w:rPr>
          <w:snapToGrid w:val="0"/>
        </w:rPr>
      </w:pPr>
      <w:r>
        <w:rPr>
          <w:snapToGrid w:val="0"/>
        </w:rPr>
        <w:tab/>
      </w:r>
      <w:r>
        <w:rPr>
          <w:snapToGrid w:val="0"/>
        </w:rPr>
        <w:tab/>
        <w:t xml:space="preserve">Section 8(1) of the principal Act is amended by inserting in the appropriate alphabetical positions the following definitions — </w:t>
      </w:r>
    </w:p>
    <w:p>
      <w:pPr>
        <w:pStyle w:val="MiscOpen"/>
        <w:tabs>
          <w:tab w:val="clear" w:pos="893"/>
          <w:tab w:val="left" w:pos="1418"/>
        </w:tabs>
        <w:rPr>
          <w:snapToGrid w:val="0"/>
        </w:rPr>
      </w:pPr>
      <w:r>
        <w:rPr>
          <w:snapToGrid w:val="0"/>
        </w:rPr>
        <w:tab/>
        <w:t>“</w:t>
      </w:r>
    </w:p>
    <w:p>
      <w:pPr>
        <w:pStyle w:val="nzDefstart"/>
        <w:tabs>
          <w:tab w:val="clear" w:pos="1446"/>
          <w:tab w:val="left" w:pos="1985"/>
        </w:tabs>
        <w:ind w:left="2410" w:right="861"/>
      </w:pPr>
      <w:r>
        <w:rPr>
          <w:b/>
        </w:rPr>
        <w:tab/>
        <w:t>“dealing”</w:t>
      </w:r>
      <w:r>
        <w:t xml:space="preserve"> means a transfer or mortgage of a legal interest in a mining tenement;</w:t>
      </w:r>
    </w:p>
    <w:p>
      <w:pPr>
        <w:pStyle w:val="nzDefstart"/>
        <w:tabs>
          <w:tab w:val="clear" w:pos="1446"/>
          <w:tab w:val="left" w:pos="1985"/>
        </w:tabs>
        <w:ind w:left="2410" w:right="861"/>
      </w:pPr>
      <w:r>
        <w:rPr>
          <w:b/>
        </w:rPr>
        <w:tab/>
        <w:t>“register”</w:t>
      </w:r>
      <w:r>
        <w:t xml:space="preserve"> means the register kept under section 103F;</w:t>
      </w:r>
    </w:p>
    <w:p>
      <w:pPr>
        <w:pStyle w:val="nzDefstart"/>
        <w:tabs>
          <w:tab w:val="clear" w:pos="1446"/>
          <w:tab w:val="left" w:pos="1985"/>
        </w:tabs>
        <w:ind w:left="2410" w:right="861"/>
      </w:pPr>
      <w:r>
        <w:rPr>
          <w:b/>
        </w:rPr>
        <w:tab/>
        <w:t>“registration”</w:t>
      </w:r>
      <w:r>
        <w:t xml:space="preserve"> means registration under section 103C;</w:t>
      </w:r>
    </w:p>
    <w:p>
      <w:pPr>
        <w:pStyle w:val="MiscClose"/>
        <w:ind w:right="577"/>
        <w:rPr>
          <w:snapToGrid w:val="0"/>
        </w:rPr>
      </w:pPr>
      <w:r>
        <w:rPr>
          <w:snapToGrid w:val="0"/>
        </w:rPr>
        <w:t>”.</w:t>
      </w:r>
    </w:p>
    <w:p>
      <w:pPr>
        <w:pStyle w:val="nzHeading5"/>
        <w:rPr>
          <w:snapToGrid w:val="0"/>
        </w:rPr>
      </w:pPr>
      <w:r>
        <w:rPr>
          <w:snapToGrid w:val="0"/>
        </w:rPr>
        <w:t>6.</w:t>
      </w:r>
      <w:r>
        <w:rPr>
          <w:snapToGrid w:val="0"/>
        </w:rPr>
        <w:tab/>
        <w:t>Section 26A amended</w:t>
      </w:r>
    </w:p>
    <w:p>
      <w:pPr>
        <w:pStyle w:val="nzSubsection"/>
        <w:rPr>
          <w:snapToGrid w:val="0"/>
        </w:rPr>
      </w:pPr>
      <w:r>
        <w:rPr>
          <w:snapToGrid w:val="0"/>
        </w:rPr>
        <w:tab/>
      </w:r>
      <w:r>
        <w:rPr>
          <w:snapToGrid w:val="0"/>
        </w:rPr>
        <w:tab/>
        <w:t>Section 26A(2) of the principal Act is amended by deleting “kept in accordance with the regulations”.</w:t>
      </w:r>
    </w:p>
    <w:p>
      <w:pPr>
        <w:pStyle w:val="nzHeading5"/>
        <w:rPr>
          <w:snapToGrid w:val="0"/>
        </w:rPr>
      </w:pPr>
      <w:r>
        <w:rPr>
          <w:snapToGrid w:val="0"/>
        </w:rPr>
        <w:t>8.</w:t>
      </w:r>
      <w:r>
        <w:rPr>
          <w:snapToGrid w:val="0"/>
        </w:rPr>
        <w:tab/>
        <w:t>Section 64 amended</w:t>
      </w:r>
    </w:p>
    <w:p>
      <w:pPr>
        <w:pStyle w:val="nzSubsection"/>
        <w:keepNext/>
        <w:rPr>
          <w:snapToGrid w:val="0"/>
        </w:rPr>
      </w:pPr>
      <w:r>
        <w:rPr>
          <w:snapToGrid w:val="0"/>
        </w:rPr>
        <w:tab/>
        <w:t>(1)</w:t>
      </w:r>
      <w:r>
        <w:rPr>
          <w:snapToGrid w:val="0"/>
        </w:rPr>
        <w:tab/>
        <w:t xml:space="preserve">Section 64(1) of the principal Act is amended — </w:t>
      </w:r>
    </w:p>
    <w:p>
      <w:pPr>
        <w:pStyle w:val="nzIndenta"/>
        <w:rPr>
          <w:snapToGrid w:val="0"/>
        </w:rPr>
      </w:pPr>
      <w:r>
        <w:rPr>
          <w:snapToGrid w:val="0"/>
        </w:rPr>
        <w:tab/>
        <w:t>(a)</w:t>
      </w:r>
      <w:r>
        <w:rPr>
          <w:snapToGrid w:val="0"/>
        </w:rPr>
        <w:tab/>
        <w:t xml:space="preserve">by deleting “an exploration licence” in the second place where it occurs and substituting the following — </w:t>
      </w:r>
    </w:p>
    <w:p>
      <w:pPr>
        <w:pStyle w:val="nzIndenta"/>
        <w:rPr>
          <w:snapToGrid w:val="0"/>
        </w:rPr>
      </w:pPr>
      <w:r>
        <w:rPr>
          <w:snapToGrid w:val="0"/>
        </w:rPr>
        <w:tab/>
      </w:r>
      <w:r>
        <w:rPr>
          <w:snapToGrid w:val="0"/>
        </w:rPr>
        <w:tab/>
        <w:t>“    the exploration licence    ”; and</w:t>
      </w:r>
    </w:p>
    <w:p>
      <w:pPr>
        <w:pStyle w:val="nzIndenta"/>
        <w:rPr>
          <w:snapToGrid w:val="0"/>
        </w:rPr>
      </w:pPr>
      <w:r>
        <w:rPr>
          <w:snapToGrid w:val="0"/>
        </w:rPr>
        <w:tab/>
        <w:t>(b)</w:t>
      </w:r>
      <w:r>
        <w:rPr>
          <w:snapToGrid w:val="0"/>
        </w:rPr>
        <w:tab/>
        <w:t xml:space="preserve">in paragraphs (a) and (b) by inserting after “dealing” in each case the following — </w:t>
      </w:r>
    </w:p>
    <w:p>
      <w:pPr>
        <w:pStyle w:val="nzIndenta"/>
        <w:rPr>
          <w:snapToGrid w:val="0"/>
        </w:rPr>
      </w:pPr>
      <w:r>
        <w:rPr>
          <w:snapToGrid w:val="0"/>
        </w:rPr>
        <w:tab/>
      </w:r>
      <w:r>
        <w:rPr>
          <w:snapToGrid w:val="0"/>
        </w:rPr>
        <w:tab/>
        <w:t>“    or other transaction in or affecting the interest    ”.</w:t>
      </w:r>
    </w:p>
    <w:p>
      <w:pPr>
        <w:pStyle w:val="nzSubsection"/>
        <w:rPr>
          <w:snapToGrid w:val="0"/>
        </w:rPr>
      </w:pPr>
      <w:r>
        <w:rPr>
          <w:snapToGrid w:val="0"/>
        </w:rPr>
        <w:tab/>
        <w:t xml:space="preserve"> (2)</w:t>
      </w:r>
      <w:r>
        <w:rPr>
          <w:snapToGrid w:val="0"/>
        </w:rPr>
        <w:tab/>
        <w:t xml:space="preserve">Section 64(2) of the principal Act is amended by inserting after “dealing” in both places where it occurs the following — </w:t>
      </w:r>
    </w:p>
    <w:p>
      <w:pPr>
        <w:pStyle w:val="nzSubsection"/>
        <w:rPr>
          <w:snapToGrid w:val="0"/>
        </w:rPr>
      </w:pPr>
      <w:r>
        <w:rPr>
          <w:snapToGrid w:val="0"/>
        </w:rPr>
        <w:tab/>
      </w:r>
      <w:r>
        <w:rPr>
          <w:snapToGrid w:val="0"/>
        </w:rPr>
        <w:tab/>
        <w:t>“    or other transaction    ”.</w:t>
      </w:r>
    </w:p>
    <w:p>
      <w:pPr>
        <w:pStyle w:val="nzHeading5"/>
        <w:rPr>
          <w:snapToGrid w:val="0"/>
        </w:rPr>
      </w:pPr>
      <w:r>
        <w:rPr>
          <w:snapToGrid w:val="0"/>
        </w:rPr>
        <w:t>9.</w:t>
      </w:r>
      <w:r>
        <w:rPr>
          <w:snapToGrid w:val="0"/>
        </w:rPr>
        <w:tab/>
        <w:t>Section 65 amended</w:t>
      </w:r>
    </w:p>
    <w:p>
      <w:pPr>
        <w:pStyle w:val="nzSubsection"/>
        <w:rPr>
          <w:snapToGrid w:val="0"/>
        </w:rPr>
      </w:pPr>
      <w:r>
        <w:rPr>
          <w:snapToGrid w:val="0"/>
        </w:rPr>
        <w:tab/>
      </w:r>
      <w:r>
        <w:rPr>
          <w:snapToGrid w:val="0"/>
        </w:rPr>
        <w:tab/>
        <w:t xml:space="preserve">Section 65(1c) of the principal Act is amended — </w:t>
      </w:r>
    </w:p>
    <w:p>
      <w:pPr>
        <w:pStyle w:val="nzIndenta"/>
        <w:rPr>
          <w:snapToGrid w:val="0"/>
        </w:rPr>
      </w:pPr>
      <w:r>
        <w:rPr>
          <w:snapToGrid w:val="0"/>
        </w:rPr>
        <w:tab/>
        <w:t>(a)</w:t>
      </w:r>
      <w:r>
        <w:rPr>
          <w:snapToGrid w:val="0"/>
        </w:rPr>
        <w:tab/>
        <w:t>by deleting paragraph (a); and</w:t>
      </w:r>
    </w:p>
    <w:p>
      <w:pPr>
        <w:pStyle w:val="nzIndenta"/>
        <w:rPr>
          <w:snapToGrid w:val="0"/>
        </w:rPr>
      </w:pPr>
      <w:r>
        <w:rPr>
          <w:snapToGrid w:val="0"/>
        </w:rPr>
        <w:tab/>
        <w:t>(b)</w:t>
      </w:r>
      <w:r>
        <w:rPr>
          <w:snapToGrid w:val="0"/>
        </w:rPr>
        <w:tab/>
        <w:t xml:space="preserve">in paragraph (b) by deleting “at the principal office of the Department at Perth” and substituting the following — </w:t>
      </w:r>
    </w:p>
    <w:p>
      <w:pPr>
        <w:pStyle w:val="nzIndenta"/>
        <w:rPr>
          <w:snapToGrid w:val="0"/>
        </w:rPr>
      </w:pPr>
      <w:r>
        <w:rPr>
          <w:snapToGrid w:val="0"/>
        </w:rPr>
        <w:tab/>
      </w:r>
      <w:r>
        <w:rPr>
          <w:snapToGrid w:val="0"/>
        </w:rPr>
        <w:tab/>
        <w:t>“    for registration    ”.</w:t>
      </w:r>
    </w:p>
    <w:p>
      <w:pPr>
        <w:pStyle w:val="nzHeading5"/>
        <w:rPr>
          <w:snapToGrid w:val="0"/>
        </w:rPr>
      </w:pPr>
      <w:r>
        <w:rPr>
          <w:snapToGrid w:val="0"/>
        </w:rPr>
        <w:t>11.</w:t>
      </w:r>
      <w:r>
        <w:rPr>
          <w:snapToGrid w:val="0"/>
        </w:rPr>
        <w:tab/>
        <w:t>Section 70H amended</w:t>
      </w:r>
    </w:p>
    <w:p>
      <w:pPr>
        <w:pStyle w:val="nzSubsection"/>
        <w:rPr>
          <w:snapToGrid w:val="0"/>
        </w:rPr>
      </w:pPr>
      <w:r>
        <w:rPr>
          <w:snapToGrid w:val="0"/>
        </w:rPr>
        <w:tab/>
      </w:r>
      <w:r>
        <w:rPr>
          <w:snapToGrid w:val="0"/>
        </w:rPr>
        <w:tab/>
        <w:t>Section 70H(1)(e) of the principal Act is amended by deleting “assign, underlet or part with possession of</w:t>
      </w:r>
      <w:r>
        <w:rPr>
          <w:snapToGrid w:val="0"/>
          <w:spacing w:val="20"/>
        </w:rPr>
        <w:t>”</w:t>
      </w:r>
      <w:r>
        <w:rPr>
          <w:snapToGrid w:val="0"/>
        </w:rPr>
        <w:t xml:space="preserve"> and substituting the following — </w:t>
      </w:r>
    </w:p>
    <w:p>
      <w:pPr>
        <w:pStyle w:val="nzSubsection"/>
        <w:rPr>
          <w:snapToGrid w:val="0"/>
        </w:rPr>
      </w:pPr>
      <w:r>
        <w:rPr>
          <w:snapToGrid w:val="0"/>
        </w:rPr>
        <w:tab/>
      </w:r>
      <w:r>
        <w:rPr>
          <w:snapToGrid w:val="0"/>
        </w:rPr>
        <w:tab/>
        <w:t>“    transfer or mortgage a legal interest in    ”.</w:t>
      </w:r>
    </w:p>
    <w:p>
      <w:pPr>
        <w:pStyle w:val="nzHeading5"/>
        <w:rPr>
          <w:snapToGrid w:val="0"/>
        </w:rPr>
      </w:pPr>
      <w:r>
        <w:rPr>
          <w:snapToGrid w:val="0"/>
        </w:rPr>
        <w:t>12.</w:t>
      </w:r>
      <w:r>
        <w:rPr>
          <w:snapToGrid w:val="0"/>
        </w:rPr>
        <w:tab/>
        <w:t>Section 82 amended</w:t>
      </w:r>
    </w:p>
    <w:p>
      <w:pPr>
        <w:pStyle w:val="nzSubsection"/>
        <w:rPr>
          <w:snapToGrid w:val="0"/>
        </w:rPr>
      </w:pPr>
      <w:r>
        <w:rPr>
          <w:snapToGrid w:val="0"/>
        </w:rPr>
        <w:tab/>
      </w:r>
      <w:r>
        <w:rPr>
          <w:snapToGrid w:val="0"/>
        </w:rPr>
        <w:tab/>
        <w:t xml:space="preserve">Section 82(1)(d) of the principal Act is amended by deleting “assign, underlet or part with possession of ” and substituting the following — </w:t>
      </w:r>
    </w:p>
    <w:p>
      <w:pPr>
        <w:pStyle w:val="nzSubsection"/>
        <w:rPr>
          <w:snapToGrid w:val="0"/>
        </w:rPr>
      </w:pPr>
      <w:r>
        <w:rPr>
          <w:snapToGrid w:val="0"/>
        </w:rPr>
        <w:tab/>
      </w:r>
      <w:r>
        <w:rPr>
          <w:snapToGrid w:val="0"/>
        </w:rPr>
        <w:tab/>
        <w:t>“    transfer or mortgage a legal interest in    ”.</w:t>
      </w:r>
    </w:p>
    <w:p>
      <w:pPr>
        <w:pStyle w:val="nzHeading5"/>
        <w:rPr>
          <w:snapToGrid w:val="0"/>
        </w:rPr>
      </w:pPr>
      <w:r>
        <w:rPr>
          <w:snapToGrid w:val="0"/>
        </w:rPr>
        <w:t>14.</w:t>
      </w:r>
      <w:r>
        <w:rPr>
          <w:snapToGrid w:val="0"/>
        </w:rPr>
        <w:tab/>
        <w:t>Section 95 amended</w:t>
      </w:r>
    </w:p>
    <w:p>
      <w:pPr>
        <w:pStyle w:val="nzSubsection"/>
        <w:rPr>
          <w:snapToGrid w:val="0"/>
        </w:rPr>
      </w:pPr>
      <w:r>
        <w:rPr>
          <w:snapToGrid w:val="0"/>
        </w:rPr>
        <w:tab/>
      </w:r>
      <w:r>
        <w:rPr>
          <w:snapToGrid w:val="0"/>
        </w:rPr>
        <w:tab/>
        <w:t xml:space="preserve">Section 95(1) of the principal Act is repealed and the following subsection is substituted — </w:t>
      </w:r>
    </w:p>
    <w:p>
      <w:pPr>
        <w:pStyle w:val="MiscOpen"/>
        <w:rPr>
          <w:snapToGrid w:val="0"/>
        </w:rPr>
      </w:pPr>
      <w:r>
        <w:rPr>
          <w:snapToGrid w:val="0"/>
        </w:rPr>
        <w:tab/>
      </w:r>
      <w:r>
        <w:rPr>
          <w:snapToGrid w:val="0"/>
        </w:rPr>
        <w:tab/>
        <w:t>“</w:t>
      </w:r>
    </w:p>
    <w:p>
      <w:pPr>
        <w:pStyle w:val="nzSubsection"/>
        <w:tabs>
          <w:tab w:val="clear" w:pos="1162"/>
          <w:tab w:val="clear" w:pos="1446"/>
          <w:tab w:val="left" w:pos="1985"/>
          <w:tab w:val="left" w:pos="2552"/>
          <w:tab w:val="left" w:pos="6237"/>
        </w:tabs>
        <w:ind w:left="2552" w:right="861" w:hanging="1957"/>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MiscClose"/>
        <w:ind w:right="577"/>
        <w:rPr>
          <w:snapToGrid w:val="0"/>
        </w:rPr>
      </w:pPr>
      <w:r>
        <w:rPr>
          <w:snapToGrid w:val="0"/>
        </w:rPr>
        <w:t>”.</w:t>
      </w:r>
    </w:p>
    <w:p>
      <w:pPr>
        <w:pStyle w:val="nzHeading5"/>
        <w:rPr>
          <w:snapToGrid w:val="0"/>
        </w:rPr>
      </w:pPr>
      <w:r>
        <w:rPr>
          <w:snapToGrid w:val="0"/>
        </w:rPr>
        <w:t>15.</w:t>
      </w:r>
      <w:r>
        <w:rPr>
          <w:snapToGrid w:val="0"/>
        </w:rPr>
        <w:tab/>
        <w:t>Division 8 of Part IV repealed and Part IVA inserted</w:t>
      </w:r>
    </w:p>
    <w:p>
      <w:pPr>
        <w:pStyle w:val="nzSubsection"/>
        <w:rPr>
          <w:snapToGrid w:val="0"/>
        </w:rPr>
      </w:pPr>
      <w:r>
        <w:rPr>
          <w:snapToGrid w:val="0"/>
        </w:rPr>
        <w:tab/>
      </w:r>
      <w:r>
        <w:rPr>
          <w:snapToGrid w:val="0"/>
        </w:rPr>
        <w:tab/>
        <w:t>Division 8 of Part IV of the principal Act is repealed and the following Part is inserted —</w:t>
      </w:r>
    </w:p>
    <w:p>
      <w:pPr>
        <w:pStyle w:val="MiscOpen"/>
        <w:rPr>
          <w:snapToGrid w:val="0"/>
        </w:rPr>
      </w:pPr>
      <w:r>
        <w:rPr>
          <w:snapToGrid w:val="0"/>
        </w:rPr>
        <w:tab/>
        <w:t>“</w:t>
      </w:r>
    </w:p>
    <w:p>
      <w:pPr>
        <w:pStyle w:val="nzHeading2"/>
        <w:ind w:left="1985" w:right="861"/>
        <w:rPr>
          <w:sz w:val="20"/>
        </w:rPr>
      </w:pPr>
      <w:r>
        <w:rPr>
          <w:sz w:val="20"/>
        </w:rPr>
        <w:t>Part IVA — Registration of instruments and register</w:t>
      </w:r>
    </w:p>
    <w:p>
      <w:pPr>
        <w:pStyle w:val="nzHeading5"/>
        <w:tabs>
          <w:tab w:val="clear" w:pos="1446"/>
          <w:tab w:val="left" w:pos="1418"/>
          <w:tab w:val="left" w:pos="2268"/>
        </w:tabs>
        <w:ind w:left="2268" w:hanging="850"/>
        <w:rPr>
          <w:snapToGrid w:val="0"/>
        </w:rPr>
      </w:pPr>
      <w:r>
        <w:rPr>
          <w:snapToGrid w:val="0"/>
        </w:rPr>
        <w:t>103A.</w:t>
      </w:r>
      <w:r>
        <w:rPr>
          <w:snapToGrid w:val="0"/>
        </w:rPr>
        <w:tab/>
        <w:t>Definition</w:t>
      </w:r>
    </w:p>
    <w:p>
      <w:pPr>
        <w:pStyle w:val="nzSubsection"/>
        <w:tabs>
          <w:tab w:val="clear" w:pos="1162"/>
          <w:tab w:val="clear" w:pos="1446"/>
          <w:tab w:val="left" w:pos="1843"/>
          <w:tab w:val="left" w:pos="2268"/>
          <w:tab w:val="left" w:pos="6237"/>
        </w:tabs>
        <w:ind w:left="2268" w:right="861" w:hanging="850"/>
        <w:rPr>
          <w:snapToGrid w:val="0"/>
        </w:rPr>
      </w:pPr>
      <w:r>
        <w:rPr>
          <w:snapToGrid w:val="0"/>
        </w:rPr>
        <w:tab/>
      </w:r>
      <w:r>
        <w:rPr>
          <w:snapToGrid w:val="0"/>
        </w:rPr>
        <w:tab/>
        <w:t>In this Part —</w:t>
      </w:r>
    </w:p>
    <w:p>
      <w:pPr>
        <w:pStyle w:val="nzSubsection"/>
        <w:tabs>
          <w:tab w:val="clear" w:pos="1162"/>
          <w:tab w:val="clear" w:pos="1446"/>
          <w:tab w:val="left" w:pos="2268"/>
          <w:tab w:val="left" w:pos="6237"/>
        </w:tabs>
        <w:ind w:left="2694" w:right="861" w:hanging="1276"/>
        <w:rPr>
          <w:snapToGrid w:val="0"/>
        </w:rPr>
      </w:pPr>
      <w:r>
        <w:rPr>
          <w:snapToGrid w:val="0"/>
        </w:rPr>
        <w:tab/>
      </w:r>
      <w:r>
        <w:rPr>
          <w:b/>
          <w:snapToGrid w:val="0"/>
        </w:rPr>
        <w:t>“authorised officer”</w:t>
      </w:r>
      <w:r>
        <w:rPr>
          <w:snapToGrid w:val="0"/>
        </w:rPr>
        <w:t xml:space="preserve"> means an officer of the Department authorised under section 103B.</w:t>
      </w:r>
    </w:p>
    <w:p>
      <w:pPr>
        <w:pStyle w:val="nzHeading5"/>
        <w:tabs>
          <w:tab w:val="clear" w:pos="1446"/>
          <w:tab w:val="left" w:pos="1418"/>
          <w:tab w:val="left" w:pos="2268"/>
        </w:tabs>
        <w:ind w:left="2268" w:hanging="850"/>
        <w:rPr>
          <w:snapToGrid w:val="0"/>
        </w:rPr>
      </w:pPr>
      <w:r>
        <w:rPr>
          <w:snapToGrid w:val="0"/>
        </w:rPr>
        <w:t>103B.</w:t>
      </w:r>
      <w:r>
        <w:rPr>
          <w:snapToGrid w:val="0"/>
        </w:rPr>
        <w:tab/>
        <w:t>Authorised officers</w:t>
      </w:r>
    </w:p>
    <w:p>
      <w:pPr>
        <w:pStyle w:val="nzSubsection"/>
        <w:tabs>
          <w:tab w:val="clear" w:pos="1162"/>
          <w:tab w:val="clear" w:pos="1446"/>
          <w:tab w:val="left" w:pos="1843"/>
          <w:tab w:val="left" w:pos="2268"/>
          <w:tab w:val="left" w:pos="6237"/>
        </w:tabs>
        <w:ind w:left="2268" w:right="861" w:hanging="850"/>
        <w:rPr>
          <w:snapToGrid w:val="0"/>
        </w:rPr>
      </w:pPr>
      <w:r>
        <w:rPr>
          <w:snapToGrid w:val="0"/>
        </w:rPr>
        <w:tab/>
        <w:t>(1)</w:t>
      </w:r>
      <w:r>
        <w:rPr>
          <w:snapToGrid w:val="0"/>
        </w:rPr>
        <w:tab/>
        <w:t>The Minister may in writing authorise officers of the Department for the purposes of this Part and section 122B.</w:t>
      </w:r>
    </w:p>
    <w:p>
      <w:pPr>
        <w:pStyle w:val="nzSubsection"/>
        <w:tabs>
          <w:tab w:val="clear" w:pos="1162"/>
          <w:tab w:val="clear" w:pos="1446"/>
          <w:tab w:val="left" w:pos="1843"/>
          <w:tab w:val="left" w:pos="2268"/>
          <w:tab w:val="left" w:pos="6237"/>
        </w:tabs>
        <w:ind w:left="2268" w:right="861" w:hanging="850"/>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nzHeading5"/>
        <w:tabs>
          <w:tab w:val="clear" w:pos="1446"/>
          <w:tab w:val="left" w:pos="1418"/>
          <w:tab w:val="left" w:pos="2268"/>
        </w:tabs>
        <w:ind w:left="2268" w:hanging="850"/>
        <w:rPr>
          <w:snapToGrid w:val="0"/>
        </w:rPr>
      </w:pPr>
      <w:r>
        <w:rPr>
          <w:snapToGrid w:val="0"/>
        </w:rPr>
        <w:t>103C.</w:t>
      </w:r>
      <w:r>
        <w:rPr>
          <w:snapToGrid w:val="0"/>
        </w:rPr>
        <w:tab/>
        <w:t>Registration</w:t>
      </w:r>
    </w:p>
    <w:p>
      <w:pPr>
        <w:pStyle w:val="nzSubsection"/>
        <w:tabs>
          <w:tab w:val="clear" w:pos="1162"/>
          <w:tab w:val="clear" w:pos="1446"/>
          <w:tab w:val="left" w:pos="1843"/>
          <w:tab w:val="left" w:pos="2268"/>
          <w:tab w:val="left" w:pos="6237"/>
        </w:tabs>
        <w:ind w:left="2268" w:right="861" w:hanging="850"/>
        <w:rPr>
          <w:snapToGrid w:val="0"/>
        </w:rPr>
      </w:pPr>
      <w:r>
        <w:rPr>
          <w:snapToGrid w:val="0"/>
        </w:rPr>
        <w:tab/>
        <w:t>(1)</w:t>
      </w:r>
      <w:r>
        <w:rPr>
          <w:snapToGrid w:val="0"/>
        </w:rPr>
        <w:tab/>
        <w:t xml:space="preserve">This section applies to the following instruments — </w:t>
      </w:r>
    </w:p>
    <w:p>
      <w:pPr>
        <w:pStyle w:val="nzSubsection"/>
        <w:tabs>
          <w:tab w:val="clear" w:pos="1162"/>
          <w:tab w:val="right" w:pos="2694"/>
          <w:tab w:val="left" w:pos="6237"/>
        </w:tabs>
        <w:ind w:left="2977" w:right="861" w:hanging="992"/>
        <w:rPr>
          <w:snapToGrid w:val="0"/>
        </w:rPr>
      </w:pPr>
      <w:r>
        <w:rPr>
          <w:snapToGrid w:val="0"/>
        </w:rPr>
        <w:tab/>
        <w:t>(a)</w:t>
      </w:r>
      <w:r>
        <w:rPr>
          <w:snapToGrid w:val="0"/>
        </w:rPr>
        <w:tab/>
        <w:t>a dealing;</w:t>
      </w:r>
    </w:p>
    <w:p>
      <w:pPr>
        <w:pStyle w:val="nzSubsection"/>
        <w:tabs>
          <w:tab w:val="clear" w:pos="1162"/>
          <w:tab w:val="right" w:pos="2694"/>
          <w:tab w:val="left" w:pos="6237"/>
        </w:tabs>
        <w:ind w:left="2977" w:right="861" w:hanging="992"/>
        <w:rPr>
          <w:snapToGrid w:val="0"/>
        </w:rPr>
      </w:pPr>
      <w:r>
        <w:rPr>
          <w:snapToGrid w:val="0"/>
        </w:rPr>
        <w:tab/>
        <w:t>(b)</w:t>
      </w:r>
      <w:r>
        <w:rPr>
          <w:snapToGrid w:val="0"/>
        </w:rPr>
        <w:tab/>
        <w:t>a discharge of a mortgage of a legal interest in a mining tenement;</w:t>
      </w:r>
    </w:p>
    <w:p>
      <w:pPr>
        <w:pStyle w:val="nzSubsection"/>
        <w:tabs>
          <w:tab w:val="clear" w:pos="1162"/>
          <w:tab w:val="right" w:pos="2694"/>
          <w:tab w:val="left" w:pos="6237"/>
        </w:tabs>
        <w:ind w:left="2977" w:right="861" w:hanging="992"/>
        <w:rPr>
          <w:snapToGrid w:val="0"/>
        </w:rPr>
      </w:pPr>
      <w:r>
        <w:rPr>
          <w:snapToGrid w:val="0"/>
        </w:rPr>
        <w:tab/>
        <w:t>(c)</w:t>
      </w:r>
      <w:r>
        <w:rPr>
          <w:snapToGrid w:val="0"/>
        </w:rPr>
        <w:tab/>
        <w:t>a withdrawal of an application for a mining tenement; and</w:t>
      </w:r>
    </w:p>
    <w:p>
      <w:pPr>
        <w:pStyle w:val="nzSubsection"/>
        <w:tabs>
          <w:tab w:val="clear" w:pos="1162"/>
          <w:tab w:val="right" w:pos="2694"/>
          <w:tab w:val="left" w:pos="6237"/>
        </w:tabs>
        <w:ind w:left="2977" w:right="861" w:hanging="992"/>
        <w:rPr>
          <w:snapToGrid w:val="0"/>
        </w:rPr>
      </w:pPr>
      <w:r>
        <w:rPr>
          <w:snapToGrid w:val="0"/>
        </w:rPr>
        <w:tab/>
        <w:t>(d)</w:t>
      </w:r>
      <w:r>
        <w:rPr>
          <w:snapToGrid w:val="0"/>
        </w:rPr>
        <w:tab/>
        <w:t>a surrender under section 26A, 65 or 95.</w:t>
      </w:r>
    </w:p>
    <w:p>
      <w:pPr>
        <w:pStyle w:val="nzSubsection"/>
        <w:tabs>
          <w:tab w:val="clear" w:pos="1162"/>
          <w:tab w:val="clear" w:pos="1446"/>
          <w:tab w:val="left" w:pos="1843"/>
          <w:tab w:val="left" w:pos="2268"/>
          <w:tab w:val="left" w:pos="6237"/>
        </w:tabs>
        <w:ind w:left="2268" w:right="861" w:hanging="850"/>
        <w:rPr>
          <w:snapToGrid w:val="0"/>
        </w:rPr>
      </w:pPr>
      <w:r>
        <w:rPr>
          <w:snapToGrid w:val="0"/>
        </w:rPr>
        <w:tab/>
        <w:t>(2)</w:t>
      </w:r>
      <w:r>
        <w:rPr>
          <w:snapToGrid w:val="0"/>
        </w:rPr>
        <w:tab/>
        <w:t xml:space="preserve">An instrument to which this section applies is to be — </w:t>
      </w:r>
    </w:p>
    <w:p>
      <w:pPr>
        <w:pStyle w:val="nzSubsection"/>
        <w:tabs>
          <w:tab w:val="clear" w:pos="1162"/>
          <w:tab w:val="right" w:pos="2694"/>
          <w:tab w:val="left" w:pos="6237"/>
        </w:tabs>
        <w:ind w:left="2977" w:right="861" w:hanging="992"/>
        <w:rPr>
          <w:snapToGrid w:val="0"/>
        </w:rPr>
      </w:pPr>
      <w:r>
        <w:rPr>
          <w:snapToGrid w:val="0"/>
        </w:rPr>
        <w:tab/>
        <w:t>(a)</w:t>
      </w:r>
      <w:r>
        <w:rPr>
          <w:snapToGrid w:val="0"/>
        </w:rPr>
        <w:tab/>
        <w:t>lodged for registration in the prescribed manner and prescribed form; and</w:t>
      </w:r>
    </w:p>
    <w:p>
      <w:pPr>
        <w:pStyle w:val="nzSubsection"/>
        <w:tabs>
          <w:tab w:val="clear" w:pos="1162"/>
          <w:tab w:val="right" w:pos="2694"/>
          <w:tab w:val="left" w:pos="6237"/>
        </w:tabs>
        <w:ind w:left="2977" w:right="861" w:hanging="992"/>
        <w:rPr>
          <w:snapToGrid w:val="0"/>
        </w:rPr>
      </w:pPr>
      <w:r>
        <w:rPr>
          <w:snapToGrid w:val="0"/>
        </w:rPr>
        <w:tab/>
        <w:t>(b)</w:t>
      </w:r>
      <w:r>
        <w:rPr>
          <w:snapToGrid w:val="0"/>
        </w:rPr>
        <w:tab/>
        <w:t>accompanied by the fee (if any) prescribed in respect of the instrument.</w:t>
      </w:r>
    </w:p>
    <w:p>
      <w:pPr>
        <w:pStyle w:val="nzSubsection"/>
        <w:tabs>
          <w:tab w:val="clear" w:pos="1162"/>
          <w:tab w:val="clear" w:pos="1446"/>
          <w:tab w:val="left" w:pos="1843"/>
          <w:tab w:val="left" w:pos="2268"/>
          <w:tab w:val="left" w:pos="6237"/>
        </w:tabs>
        <w:ind w:left="2268" w:right="861" w:hanging="850"/>
        <w:rPr>
          <w:snapToGrid w:val="0"/>
        </w:rPr>
      </w:pPr>
      <w:r>
        <w:rPr>
          <w:snapToGrid w:val="0"/>
        </w:rPr>
        <w:tab/>
        <w:t>(3)</w:t>
      </w:r>
      <w:r>
        <w:rPr>
          <w:snapToGrid w:val="0"/>
        </w:rPr>
        <w:tab/>
        <w:t>Only an instrument to which this section applies may be registered.</w:t>
      </w:r>
    </w:p>
    <w:p>
      <w:pPr>
        <w:pStyle w:val="nzSubsection"/>
        <w:tabs>
          <w:tab w:val="clear" w:pos="1162"/>
          <w:tab w:val="clear" w:pos="1446"/>
          <w:tab w:val="left" w:pos="1843"/>
          <w:tab w:val="left" w:pos="2268"/>
          <w:tab w:val="left" w:pos="6237"/>
        </w:tabs>
        <w:ind w:left="2268" w:right="861" w:hanging="850"/>
        <w:rPr>
          <w:snapToGrid w:val="0"/>
        </w:rPr>
      </w:pPr>
      <w:r>
        <w:rPr>
          <w:snapToGrid w:val="0"/>
        </w:rPr>
        <w:tab/>
        <w:t>(4)</w:t>
      </w:r>
      <w:r>
        <w:rPr>
          <w:snapToGrid w:val="0"/>
        </w:rPr>
        <w:tab/>
        <w:t>The registration of an instrument is to be effected by an authorised officer.</w:t>
      </w:r>
    </w:p>
    <w:p>
      <w:pPr>
        <w:pStyle w:val="nzSubsection"/>
        <w:tabs>
          <w:tab w:val="clear" w:pos="1162"/>
          <w:tab w:val="clear" w:pos="1446"/>
          <w:tab w:val="left" w:pos="1843"/>
          <w:tab w:val="left" w:pos="2268"/>
          <w:tab w:val="left" w:pos="6237"/>
        </w:tabs>
        <w:ind w:left="2268" w:right="861" w:hanging="850"/>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lodgement of an instrument as the time and date of registration.</w:t>
      </w:r>
    </w:p>
    <w:p>
      <w:pPr>
        <w:pStyle w:val="nzSubsection"/>
        <w:tabs>
          <w:tab w:val="clear" w:pos="1162"/>
          <w:tab w:val="clear" w:pos="1446"/>
          <w:tab w:val="left" w:pos="1843"/>
          <w:tab w:val="left" w:pos="2268"/>
          <w:tab w:val="left" w:pos="6237"/>
        </w:tabs>
        <w:ind w:left="2268" w:right="861" w:hanging="850"/>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nzSubsection"/>
        <w:tabs>
          <w:tab w:val="clear" w:pos="1162"/>
          <w:tab w:val="clear" w:pos="1446"/>
          <w:tab w:val="left" w:pos="1843"/>
          <w:tab w:val="left" w:pos="2268"/>
          <w:tab w:val="left" w:pos="6237"/>
        </w:tabs>
        <w:ind w:left="2268" w:right="861" w:hanging="850"/>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nzSubsection"/>
        <w:tabs>
          <w:tab w:val="clear" w:pos="1162"/>
          <w:tab w:val="clear" w:pos="1446"/>
          <w:tab w:val="left" w:pos="1843"/>
          <w:tab w:val="left" w:pos="2268"/>
          <w:tab w:val="left" w:pos="6237"/>
        </w:tabs>
        <w:ind w:left="2268" w:right="861" w:hanging="850"/>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nzSubsection"/>
        <w:keepNext/>
        <w:tabs>
          <w:tab w:val="clear" w:pos="1162"/>
          <w:tab w:val="clear" w:pos="1446"/>
          <w:tab w:val="left" w:pos="1843"/>
          <w:tab w:val="left" w:pos="2268"/>
          <w:tab w:val="left" w:pos="6237"/>
        </w:tabs>
        <w:ind w:left="2268" w:right="861" w:hanging="850"/>
        <w:rPr>
          <w:i/>
        </w:rPr>
      </w:pPr>
      <w:r>
        <w:tab/>
      </w:r>
      <w:r>
        <w:tab/>
      </w:r>
      <w:r>
        <w:rPr>
          <w:i/>
        </w:rPr>
        <w:t>[Section 103C amended by No. 39 of 2004 s. 103(a).]</w:t>
      </w:r>
    </w:p>
    <w:p>
      <w:pPr>
        <w:pStyle w:val="nzHeading5"/>
        <w:tabs>
          <w:tab w:val="clear" w:pos="1446"/>
          <w:tab w:val="left" w:pos="1418"/>
          <w:tab w:val="left" w:pos="2268"/>
        </w:tabs>
        <w:ind w:left="2268" w:hanging="850"/>
        <w:rPr>
          <w:snapToGrid w:val="0"/>
        </w:rPr>
      </w:pPr>
      <w:r>
        <w:rPr>
          <w:snapToGrid w:val="0"/>
        </w:rPr>
        <w:t>103D.</w:t>
      </w:r>
      <w:r>
        <w:rPr>
          <w:snapToGrid w:val="0"/>
        </w:rPr>
        <w:tab/>
        <w:t>Provisional lodgement</w:t>
      </w:r>
    </w:p>
    <w:p>
      <w:pPr>
        <w:pStyle w:val="nzSubsection"/>
        <w:tabs>
          <w:tab w:val="clear" w:pos="1162"/>
          <w:tab w:val="clear" w:pos="1446"/>
          <w:tab w:val="left" w:pos="1843"/>
          <w:tab w:val="left" w:pos="2268"/>
          <w:tab w:val="left" w:pos="6237"/>
        </w:tabs>
        <w:ind w:left="2268" w:right="861" w:hanging="850"/>
        <w:rPr>
          <w:snapToGrid w:val="0"/>
        </w:rPr>
      </w:pPr>
      <w:r>
        <w:rPr>
          <w:snapToGrid w:val="0"/>
        </w:rPr>
        <w:tab/>
        <w:t>(1)</w:t>
      </w:r>
      <w:r>
        <w:rPr>
          <w:snapToGrid w:val="0"/>
        </w:rPr>
        <w:tab/>
        <w:t xml:space="preserve">If an authorised officer is of the opinion that an instrument lodged for registration contains an error or defect, the authorised officer is — </w:t>
      </w:r>
    </w:p>
    <w:p>
      <w:pPr>
        <w:pStyle w:val="nzSubsection"/>
        <w:tabs>
          <w:tab w:val="clear" w:pos="1162"/>
          <w:tab w:val="right" w:pos="2694"/>
          <w:tab w:val="left" w:pos="6237"/>
        </w:tabs>
        <w:ind w:left="2977" w:right="861" w:hanging="992"/>
        <w:rPr>
          <w:snapToGrid w:val="0"/>
        </w:rPr>
      </w:pPr>
      <w:r>
        <w:rPr>
          <w:snapToGrid w:val="0"/>
        </w:rPr>
        <w:tab/>
        <w:t>(a)</w:t>
      </w:r>
      <w:r>
        <w:rPr>
          <w:snapToGrid w:val="0"/>
        </w:rPr>
        <w:tab/>
        <w:t>if satisfied that the error or defect can be corrected, to accept the instrument for provisional lodgement; or</w:t>
      </w:r>
    </w:p>
    <w:p>
      <w:pPr>
        <w:pStyle w:val="nzSubsection"/>
        <w:tabs>
          <w:tab w:val="clear" w:pos="1162"/>
          <w:tab w:val="right" w:pos="2694"/>
          <w:tab w:val="left" w:pos="6237"/>
        </w:tabs>
        <w:ind w:left="2977" w:right="861" w:hanging="992"/>
        <w:rPr>
          <w:snapToGrid w:val="0"/>
        </w:rPr>
      </w:pPr>
      <w:r>
        <w:rPr>
          <w:snapToGrid w:val="0"/>
        </w:rPr>
        <w:tab/>
        <w:t>(b)</w:t>
      </w:r>
      <w:r>
        <w:rPr>
          <w:snapToGrid w:val="0"/>
        </w:rPr>
        <w:tab/>
        <w:t>in any other case, to reject the instrument and endorse the register accordingly.</w:t>
      </w:r>
    </w:p>
    <w:p>
      <w:pPr>
        <w:pStyle w:val="nzSubsection"/>
        <w:tabs>
          <w:tab w:val="clear" w:pos="1162"/>
          <w:tab w:val="clear" w:pos="1446"/>
          <w:tab w:val="left" w:pos="1843"/>
          <w:tab w:val="left" w:pos="2268"/>
          <w:tab w:val="left" w:pos="6237"/>
        </w:tabs>
        <w:ind w:left="2268" w:right="861" w:hanging="850"/>
        <w:rPr>
          <w:snapToGrid w:val="0"/>
        </w:rPr>
      </w:pPr>
      <w:r>
        <w:rPr>
          <w:snapToGrid w:val="0"/>
        </w:rPr>
        <w:tab/>
        <w:t>(2)</w:t>
      </w:r>
      <w:r>
        <w:rPr>
          <w:snapToGrid w:val="0"/>
        </w:rPr>
        <w:tab/>
        <w:t>The regulations may provide for the effect to be given to an instrument accepted for provisional lodgement.</w:t>
      </w:r>
    </w:p>
    <w:p>
      <w:pPr>
        <w:pStyle w:val="nzHeading5"/>
        <w:tabs>
          <w:tab w:val="left" w:pos="2268"/>
        </w:tabs>
        <w:ind w:hanging="28"/>
      </w:pPr>
      <w:r>
        <w:t>103E.</w:t>
      </w:r>
      <w:r>
        <w:tab/>
        <w:t>Priority of dealings</w:t>
      </w:r>
    </w:p>
    <w:p>
      <w:pPr>
        <w:pStyle w:val="nzSubsection"/>
        <w:tabs>
          <w:tab w:val="clear" w:pos="1162"/>
          <w:tab w:val="clear" w:pos="1446"/>
          <w:tab w:val="left" w:pos="1843"/>
          <w:tab w:val="left" w:pos="2268"/>
          <w:tab w:val="left" w:pos="6237"/>
        </w:tabs>
        <w:ind w:left="2268" w:right="861" w:hanging="850"/>
      </w:pPr>
      <w:r>
        <w:tab/>
      </w:r>
      <w:r>
        <w:tab/>
        <w:t>Dealings affecting the same mining tenement take priority according to the date and time of their registration.</w:t>
      </w:r>
    </w:p>
    <w:p>
      <w:pPr>
        <w:pStyle w:val="nzSubsection"/>
        <w:keepNext/>
        <w:tabs>
          <w:tab w:val="clear" w:pos="1162"/>
          <w:tab w:val="clear" w:pos="1446"/>
          <w:tab w:val="left" w:pos="1843"/>
          <w:tab w:val="left" w:pos="2268"/>
          <w:tab w:val="left" w:pos="6237"/>
        </w:tabs>
        <w:ind w:left="2268" w:right="861" w:hanging="850"/>
        <w:rPr>
          <w:i/>
        </w:rPr>
      </w:pPr>
      <w:r>
        <w:tab/>
      </w:r>
      <w:r>
        <w:tab/>
      </w:r>
      <w:r>
        <w:rPr>
          <w:i/>
        </w:rPr>
        <w:t>[Section 103E inserted by No. 39 of 2004 s. 103(b).]</w:t>
      </w:r>
    </w:p>
    <w:p>
      <w:pPr>
        <w:pStyle w:val="nzHeading5"/>
        <w:tabs>
          <w:tab w:val="clear" w:pos="1446"/>
          <w:tab w:val="left" w:pos="1418"/>
          <w:tab w:val="left" w:pos="2268"/>
        </w:tabs>
        <w:ind w:left="2268" w:hanging="850"/>
        <w:rPr>
          <w:snapToGrid w:val="0"/>
        </w:rPr>
      </w:pPr>
      <w:r>
        <w:rPr>
          <w:snapToGrid w:val="0"/>
        </w:rPr>
        <w:t>103F.</w:t>
      </w:r>
      <w:r>
        <w:rPr>
          <w:snapToGrid w:val="0"/>
        </w:rPr>
        <w:tab/>
        <w:t>Register</w:t>
      </w:r>
    </w:p>
    <w:p>
      <w:pPr>
        <w:pStyle w:val="nzSubsection"/>
        <w:tabs>
          <w:tab w:val="clear" w:pos="1162"/>
          <w:tab w:val="clear" w:pos="1446"/>
          <w:tab w:val="left" w:pos="1843"/>
          <w:tab w:val="left" w:pos="2268"/>
          <w:tab w:val="left" w:pos="6237"/>
        </w:tabs>
        <w:spacing w:before="120"/>
        <w:ind w:left="2269" w:right="862"/>
        <w:rPr>
          <w:snapToGrid w:val="0"/>
        </w:rPr>
      </w:pPr>
      <w:r>
        <w:rPr>
          <w:snapToGrid w:val="0"/>
        </w:rPr>
        <w:tab/>
        <w:t>(1)</w:t>
      </w:r>
      <w:r>
        <w:rPr>
          <w:snapToGrid w:val="0"/>
        </w:rPr>
        <w:tab/>
        <w:t>The Director General of Mines is to cause a register to be compiled and maintained.</w:t>
      </w:r>
    </w:p>
    <w:p>
      <w:pPr>
        <w:pStyle w:val="nzSubsection"/>
        <w:tabs>
          <w:tab w:val="clear" w:pos="1162"/>
          <w:tab w:val="clear" w:pos="1446"/>
          <w:tab w:val="left" w:pos="1843"/>
          <w:tab w:val="left" w:pos="2268"/>
          <w:tab w:val="left" w:pos="6237"/>
        </w:tabs>
        <w:spacing w:before="120"/>
        <w:ind w:left="2269" w:right="862"/>
        <w:rPr>
          <w:snapToGrid w:val="0"/>
        </w:rPr>
      </w:pPr>
      <w:r>
        <w:rPr>
          <w:snapToGrid w:val="0"/>
        </w:rPr>
        <w:tab/>
        <w:t>(2)</w:t>
      </w:r>
      <w:r>
        <w:rPr>
          <w:snapToGrid w:val="0"/>
        </w:rPr>
        <w:tab/>
        <w:t>The register is to contain such particulars, relating to mining tenements and applications for mining tenements, as are prescribed.</w:t>
      </w:r>
    </w:p>
    <w:p>
      <w:pPr>
        <w:pStyle w:val="nzSubsection"/>
        <w:tabs>
          <w:tab w:val="clear" w:pos="1162"/>
          <w:tab w:val="clear" w:pos="1446"/>
          <w:tab w:val="left" w:pos="1843"/>
          <w:tab w:val="left" w:pos="2268"/>
          <w:tab w:val="left" w:pos="6237"/>
        </w:tabs>
        <w:spacing w:before="120"/>
        <w:ind w:left="2269" w:right="862"/>
        <w:rPr>
          <w:snapToGrid w:val="0"/>
        </w:rPr>
      </w:pPr>
      <w:r>
        <w:rPr>
          <w:snapToGrid w:val="0"/>
        </w:rPr>
        <w:tab/>
        <w:t>(3)</w:t>
      </w:r>
      <w:r>
        <w:rPr>
          <w:snapToGrid w:val="0"/>
        </w:rPr>
        <w:tab/>
        <w:t>The register may be compiled and maintained in such form as the Director General of Mines determines.</w:t>
      </w:r>
    </w:p>
    <w:p>
      <w:pPr>
        <w:pStyle w:val="nzSubsection"/>
        <w:tabs>
          <w:tab w:val="clear" w:pos="1162"/>
          <w:tab w:val="clear" w:pos="1446"/>
          <w:tab w:val="left" w:pos="1843"/>
          <w:tab w:val="left" w:pos="2268"/>
          <w:tab w:val="left" w:pos="6237"/>
        </w:tabs>
        <w:spacing w:before="120"/>
        <w:ind w:left="2269" w:right="862"/>
        <w:rPr>
          <w:snapToGrid w:val="0"/>
        </w:rPr>
      </w:pPr>
      <w:r>
        <w:rPr>
          <w:snapToGrid w:val="0"/>
        </w:rPr>
        <w:tab/>
        <w:t>(4)</w:t>
      </w:r>
      <w:r>
        <w:rPr>
          <w:snapToGrid w:val="0"/>
        </w:rPr>
        <w:tab/>
        <w:t xml:space="preserve">A person may, on payment of the prescribed fee, obtain at the Department at Perth or at the office of the mining registrar — </w:t>
      </w:r>
    </w:p>
    <w:p>
      <w:pPr>
        <w:pStyle w:val="nzSubsection"/>
        <w:tabs>
          <w:tab w:val="clear" w:pos="1162"/>
          <w:tab w:val="right" w:pos="2694"/>
          <w:tab w:val="left" w:pos="6237"/>
        </w:tabs>
        <w:ind w:left="2977" w:right="861" w:hanging="992"/>
        <w:rPr>
          <w:snapToGrid w:val="0"/>
        </w:rPr>
      </w:pPr>
      <w:r>
        <w:rPr>
          <w:snapToGrid w:val="0"/>
        </w:rPr>
        <w:tab/>
        <w:t>(a)</w:t>
      </w:r>
      <w:r>
        <w:rPr>
          <w:snapToGrid w:val="0"/>
        </w:rPr>
        <w:tab/>
        <w:t>a copy of an entry in the register relating to any mining tenement or application for a mining tenement; and</w:t>
      </w:r>
    </w:p>
    <w:p>
      <w:pPr>
        <w:pStyle w:val="nzSubsection"/>
        <w:tabs>
          <w:tab w:val="clear" w:pos="1162"/>
          <w:tab w:val="right" w:pos="2694"/>
          <w:tab w:val="left" w:pos="6237"/>
        </w:tabs>
        <w:ind w:left="2977" w:right="861" w:hanging="992"/>
        <w:rPr>
          <w:snapToGrid w:val="0"/>
        </w:rPr>
      </w:pPr>
      <w:r>
        <w:rPr>
          <w:snapToGrid w:val="0"/>
        </w:rPr>
        <w:tab/>
        <w:t>(b)</w:t>
      </w:r>
      <w:r>
        <w:rPr>
          <w:snapToGrid w:val="0"/>
        </w:rPr>
        <w:tab/>
        <w:t>subject to such requirements, if any, as are prescribed, a copy of a dealing or other instrument recorded in the register.</w:t>
      </w:r>
    </w:p>
    <w:p>
      <w:pPr>
        <w:pStyle w:val="nzHeading5"/>
        <w:tabs>
          <w:tab w:val="clear" w:pos="1446"/>
          <w:tab w:val="left" w:pos="1418"/>
          <w:tab w:val="left" w:pos="2268"/>
        </w:tabs>
        <w:spacing w:before="120"/>
        <w:ind w:left="2269" w:hanging="851"/>
        <w:rPr>
          <w:snapToGrid w:val="0"/>
        </w:rPr>
      </w:pPr>
      <w:r>
        <w:rPr>
          <w:snapToGrid w:val="0"/>
        </w:rPr>
        <w:t>103G.</w:t>
      </w:r>
      <w:r>
        <w:rPr>
          <w:snapToGrid w:val="0"/>
        </w:rPr>
        <w:tab/>
        <w:t>Amendment of register</w:t>
      </w:r>
    </w:p>
    <w:p>
      <w:pPr>
        <w:pStyle w:val="nzSubsection"/>
        <w:tabs>
          <w:tab w:val="clear" w:pos="1162"/>
          <w:tab w:val="clear" w:pos="1446"/>
          <w:tab w:val="left" w:pos="1843"/>
          <w:tab w:val="left" w:pos="2268"/>
          <w:tab w:val="left" w:pos="6237"/>
        </w:tabs>
        <w:spacing w:before="120"/>
        <w:ind w:left="2269" w:right="862"/>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nzSubsection"/>
        <w:tabs>
          <w:tab w:val="clear" w:pos="1162"/>
          <w:tab w:val="clear" w:pos="1446"/>
          <w:tab w:val="left" w:pos="1843"/>
          <w:tab w:val="left" w:pos="2268"/>
          <w:tab w:val="left" w:pos="6237"/>
        </w:tabs>
        <w:spacing w:before="120"/>
        <w:ind w:left="2269" w:right="862"/>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nzSubsection"/>
        <w:tabs>
          <w:tab w:val="clear" w:pos="1162"/>
          <w:tab w:val="clear" w:pos="1446"/>
          <w:tab w:val="left" w:pos="1843"/>
          <w:tab w:val="left" w:pos="2268"/>
          <w:tab w:val="left" w:pos="6237"/>
        </w:tabs>
        <w:spacing w:before="120"/>
        <w:ind w:left="2269" w:right="862"/>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nzHeading5"/>
        <w:keepLines w:val="0"/>
        <w:tabs>
          <w:tab w:val="clear" w:pos="1446"/>
          <w:tab w:val="left" w:pos="1418"/>
          <w:tab w:val="left" w:pos="2268"/>
        </w:tabs>
        <w:ind w:left="2268" w:hanging="850"/>
        <w:rPr>
          <w:snapToGrid w:val="0"/>
        </w:rPr>
      </w:pPr>
      <w:r>
        <w:rPr>
          <w:snapToGrid w:val="0"/>
        </w:rPr>
        <w:t>103H.</w:t>
      </w:r>
      <w:r>
        <w:rPr>
          <w:snapToGrid w:val="0"/>
        </w:rPr>
        <w:tab/>
        <w:t>Re</w:t>
      </w:r>
      <w:r>
        <w:rPr>
          <w:b w:val="0"/>
          <w:snapToGrid w:val="0"/>
        </w:rPr>
        <w:t>g</w:t>
      </w:r>
      <w:r>
        <w:rPr>
          <w:snapToGrid w:val="0"/>
        </w:rPr>
        <w:t>ulations relating to register</w:t>
      </w:r>
    </w:p>
    <w:p>
      <w:pPr>
        <w:pStyle w:val="nzSubsection"/>
        <w:keepNext/>
        <w:tabs>
          <w:tab w:val="clear" w:pos="1162"/>
          <w:tab w:val="clear" w:pos="1446"/>
          <w:tab w:val="left" w:pos="1843"/>
          <w:tab w:val="left" w:pos="2268"/>
          <w:tab w:val="left" w:pos="6237"/>
        </w:tabs>
        <w:ind w:left="2268" w:right="861" w:hanging="850"/>
        <w:rPr>
          <w:snapToGrid w:val="0"/>
        </w:rPr>
      </w:pPr>
      <w:r>
        <w:rPr>
          <w:snapToGrid w:val="0"/>
        </w:rPr>
        <w:tab/>
      </w:r>
      <w:r>
        <w:rPr>
          <w:snapToGrid w:val="0"/>
        </w:rPr>
        <w:tab/>
        <w:t xml:space="preserve">The regulations may — </w:t>
      </w:r>
    </w:p>
    <w:p>
      <w:pPr>
        <w:pStyle w:val="nzSubsection"/>
        <w:tabs>
          <w:tab w:val="clear" w:pos="1162"/>
          <w:tab w:val="right" w:pos="2694"/>
          <w:tab w:val="left" w:pos="6237"/>
        </w:tabs>
        <w:ind w:left="2977" w:right="861" w:hanging="992"/>
        <w:rPr>
          <w:snapToGrid w:val="0"/>
        </w:rPr>
      </w:pPr>
      <w:r>
        <w:rPr>
          <w:snapToGrid w:val="0"/>
        </w:rPr>
        <w:tab/>
        <w:t>(a)</w:t>
      </w:r>
      <w:r>
        <w:rPr>
          <w:snapToGrid w:val="0"/>
        </w:rPr>
        <w:tab/>
        <w:t>prescribe the form a copy is to take for the purposes of section 103F(4)(a) or (b); and</w:t>
      </w:r>
    </w:p>
    <w:p>
      <w:pPr>
        <w:pStyle w:val="nzSubsection"/>
        <w:tabs>
          <w:tab w:val="clear" w:pos="1162"/>
          <w:tab w:val="right" w:pos="2694"/>
          <w:tab w:val="left" w:pos="6237"/>
        </w:tabs>
        <w:ind w:left="2977" w:right="861" w:hanging="992"/>
        <w:rPr>
          <w:snapToGrid w:val="0"/>
        </w:rPr>
      </w:pPr>
      <w:r>
        <w:rPr>
          <w:snapToGrid w:val="0"/>
        </w:rPr>
        <w:tab/>
        <w:t>(b)</w:t>
      </w:r>
      <w:r>
        <w:rPr>
          <w:snapToGrid w:val="0"/>
        </w:rPr>
        <w:tab/>
        <w:t>make provision for any other matter relating to the register.</w:t>
      </w:r>
    </w:p>
    <w:p>
      <w:pPr>
        <w:pStyle w:val="MiscClose"/>
        <w:ind w:right="577"/>
        <w:rPr>
          <w:snapToGrid w:val="0"/>
        </w:rPr>
      </w:pPr>
      <w:r>
        <w:rPr>
          <w:snapToGrid w:val="0"/>
        </w:rPr>
        <w:t>”.</w:t>
      </w:r>
    </w:p>
    <w:p>
      <w:pPr>
        <w:pStyle w:val="nzSubsection"/>
        <w:keepNext/>
        <w:tabs>
          <w:tab w:val="clear" w:pos="1162"/>
          <w:tab w:val="clear" w:pos="1446"/>
          <w:tab w:val="left" w:pos="1843"/>
          <w:tab w:val="left" w:pos="2268"/>
          <w:tab w:val="left" w:pos="6237"/>
        </w:tabs>
        <w:ind w:left="2268" w:right="861" w:hanging="850"/>
        <w:rPr>
          <w:i/>
          <w:snapToGrid w:val="0"/>
        </w:rPr>
      </w:pPr>
      <w:r>
        <w:rPr>
          <w:i/>
        </w:rPr>
        <w:t>[Section 15 amended by No. 39 of 2004 s. 103.]</w:t>
      </w:r>
    </w:p>
    <w:p>
      <w:pPr>
        <w:pStyle w:val="nzHeading5"/>
        <w:rPr>
          <w:snapToGrid w:val="0"/>
        </w:rPr>
      </w:pPr>
      <w:r>
        <w:rPr>
          <w:snapToGrid w:val="0"/>
        </w:rPr>
        <w:t>16.</w:t>
      </w:r>
      <w:r>
        <w:rPr>
          <w:snapToGrid w:val="0"/>
        </w:rPr>
        <w:tab/>
        <w:t>Section 116 amended</w:t>
      </w:r>
    </w:p>
    <w:p>
      <w:pPr>
        <w:pStyle w:val="nzSubsection"/>
        <w:tabs>
          <w:tab w:val="left" w:pos="2268"/>
          <w:tab w:val="left" w:pos="6237"/>
        </w:tabs>
        <w:ind w:left="2694" w:right="861" w:hanging="1276"/>
        <w:rPr>
          <w:snapToGrid w:val="0"/>
        </w:rPr>
      </w:pPr>
      <w:r>
        <w:rPr>
          <w:snapToGrid w:val="0"/>
        </w:rPr>
        <w:tab/>
        <w:t xml:space="preserve">Section 116 of the principal Act is amended — </w:t>
      </w:r>
    </w:p>
    <w:p>
      <w:pPr>
        <w:pStyle w:val="nzIndenta"/>
        <w:rPr>
          <w:snapToGrid w:val="0"/>
        </w:rPr>
      </w:pPr>
      <w:r>
        <w:rPr>
          <w:snapToGrid w:val="0"/>
        </w:rPr>
        <w:tab/>
        <w:t>(a)</w:t>
      </w:r>
      <w:r>
        <w:rPr>
          <w:snapToGrid w:val="0"/>
        </w:rPr>
        <w:tab/>
        <w:t>in subsection (2) by deleting “applicant, or”; and</w:t>
      </w:r>
    </w:p>
    <w:p>
      <w:pPr>
        <w:pStyle w:val="nzIndenta"/>
        <w:keepNext/>
        <w:rPr>
          <w:snapToGrid w:val="0"/>
        </w:rPr>
      </w:pPr>
      <w:r>
        <w:rPr>
          <w:snapToGrid w:val="0"/>
        </w:rPr>
        <w:tab/>
        <w:t>(b)</w:t>
      </w:r>
      <w:r>
        <w:rPr>
          <w:snapToGrid w:val="0"/>
        </w:rPr>
        <w:tab/>
        <w:t xml:space="preserve">by inserting after subsection (2) the following subsection — </w:t>
      </w:r>
    </w:p>
    <w:p>
      <w:pPr>
        <w:pStyle w:val="MiscOpen"/>
        <w:tabs>
          <w:tab w:val="left" w:pos="1985"/>
        </w:tabs>
        <w:rPr>
          <w:snapToGrid w:val="0"/>
        </w:rPr>
      </w:pPr>
      <w:r>
        <w:rPr>
          <w:snapToGrid w:val="0"/>
        </w:rPr>
        <w:tab/>
      </w:r>
      <w:r>
        <w:rPr>
          <w:snapToGrid w:val="0"/>
        </w:rPr>
        <w:tab/>
        <w:t>“</w:t>
      </w:r>
    </w:p>
    <w:p>
      <w:pPr>
        <w:pStyle w:val="nzSubsection"/>
        <w:tabs>
          <w:tab w:val="clear" w:pos="1162"/>
          <w:tab w:val="clear" w:pos="1446"/>
          <w:tab w:val="right" w:pos="1418"/>
          <w:tab w:val="left" w:pos="1701"/>
          <w:tab w:val="left" w:pos="2268"/>
          <w:tab w:val="left" w:pos="6237"/>
        </w:tabs>
        <w:ind w:left="2694" w:right="861" w:hanging="993"/>
        <w:rPr>
          <w:snapToGrid w:val="0"/>
        </w:rPr>
      </w:pPr>
      <w:r>
        <w:rPr>
          <w:snapToGrid w:val="0"/>
        </w:rPr>
        <w:tab/>
        <w:t>(3)</w:t>
      </w:r>
      <w:r>
        <w:rPr>
          <w:snapToGrid w:val="0"/>
        </w:rPr>
        <w:tab/>
        <w:t xml:space="preserve">In subsection (2) — </w:t>
      </w:r>
    </w:p>
    <w:p>
      <w:pPr>
        <w:pStyle w:val="nzDefstart"/>
        <w:tabs>
          <w:tab w:val="clear" w:pos="1446"/>
          <w:tab w:val="left" w:pos="2694"/>
        </w:tabs>
        <w:ind w:left="3119" w:right="861" w:hanging="851"/>
      </w:pPr>
      <w:r>
        <w:tab/>
      </w:r>
      <w:r>
        <w:rPr>
          <w:b/>
        </w:rPr>
        <w:t>“registered”</w:t>
      </w:r>
      <w:r>
        <w:t>, in relation to a holder or previous holder of a mining tenement, means that the name of the holder or previous holder is or was entered in the register as the holder of the mining tenement.</w:t>
      </w:r>
    </w:p>
    <w:p>
      <w:pPr>
        <w:pStyle w:val="MiscClose"/>
        <w:tabs>
          <w:tab w:val="left" w:pos="6521"/>
        </w:tabs>
        <w:ind w:right="577"/>
        <w:rPr>
          <w:snapToGrid w:val="0"/>
        </w:rPr>
      </w:pPr>
      <w:r>
        <w:rPr>
          <w:snapToGrid w:val="0"/>
        </w:rPr>
        <w:tab/>
        <w:t>”.</w:t>
      </w:r>
    </w:p>
    <w:p>
      <w:pPr>
        <w:pStyle w:val="nzHeading5"/>
        <w:rPr>
          <w:snapToGrid w:val="0"/>
        </w:rPr>
      </w:pPr>
      <w:r>
        <w:rPr>
          <w:snapToGrid w:val="0"/>
        </w:rPr>
        <w:t>17.</w:t>
      </w:r>
      <w:r>
        <w:rPr>
          <w:snapToGrid w:val="0"/>
        </w:rPr>
        <w:tab/>
        <w:t>Section 119A repealed and a section substituted</w:t>
      </w:r>
    </w:p>
    <w:p>
      <w:pPr>
        <w:pStyle w:val="nzSubsection"/>
        <w:rPr>
          <w:snapToGrid w:val="0"/>
        </w:rPr>
      </w:pPr>
      <w:r>
        <w:rPr>
          <w:snapToGrid w:val="0"/>
        </w:rPr>
        <w:tab/>
      </w:r>
      <w:r>
        <w:rPr>
          <w:snapToGrid w:val="0"/>
        </w:rPr>
        <w:tab/>
        <w:t xml:space="preserve">Section 119A of the principal Act is repealed and the following section is substituted — </w:t>
      </w:r>
    </w:p>
    <w:p>
      <w:pPr>
        <w:pStyle w:val="MiscOpen"/>
        <w:keepNext w:val="0"/>
        <w:keepLines w:val="0"/>
        <w:tabs>
          <w:tab w:val="clear" w:pos="893"/>
          <w:tab w:val="left" w:pos="851"/>
        </w:tabs>
        <w:rPr>
          <w:snapToGrid w:val="0"/>
        </w:rPr>
      </w:pPr>
      <w:r>
        <w:rPr>
          <w:snapToGrid w:val="0"/>
        </w:rPr>
        <w:tab/>
        <w:t>“</w:t>
      </w:r>
    </w:p>
    <w:p>
      <w:pPr>
        <w:pStyle w:val="nzHeading5"/>
        <w:keepNext w:val="0"/>
        <w:keepLines w:val="0"/>
        <w:tabs>
          <w:tab w:val="clear" w:pos="1446"/>
          <w:tab w:val="left" w:pos="1418"/>
          <w:tab w:val="left" w:pos="2268"/>
        </w:tabs>
        <w:ind w:left="2268" w:hanging="850"/>
        <w:rPr>
          <w:snapToGrid w:val="0"/>
        </w:rPr>
      </w:pPr>
      <w:r>
        <w:rPr>
          <w:snapToGrid w:val="0"/>
        </w:rPr>
        <w:t>119A.</w:t>
      </w:r>
      <w:r>
        <w:rPr>
          <w:snapToGrid w:val="0"/>
        </w:rPr>
        <w:tab/>
        <w:t>Mining tenement may be mortgaged</w:t>
      </w:r>
    </w:p>
    <w:p>
      <w:pPr>
        <w:pStyle w:val="nzSubsection"/>
        <w:tabs>
          <w:tab w:val="clear" w:pos="1162"/>
          <w:tab w:val="clear" w:pos="1446"/>
          <w:tab w:val="left" w:pos="1843"/>
          <w:tab w:val="left" w:pos="2268"/>
          <w:tab w:val="left" w:pos="6237"/>
        </w:tabs>
        <w:ind w:left="2268" w:right="861" w:hanging="850"/>
        <w:rPr>
          <w:snapToGrid w:val="0"/>
        </w:rPr>
      </w:pPr>
      <w:r>
        <w:rPr>
          <w:snapToGrid w:val="0"/>
        </w:rPr>
        <w:tab/>
        <w:t>(1)</w:t>
      </w:r>
      <w:r>
        <w:rPr>
          <w:snapToGrid w:val="0"/>
        </w:rPr>
        <w:tab/>
        <w:t>A mining tenement or share in a mining tenement may be mortgaged as security for the repayment of money advanced or agreed to be advanced or for the discharge of any liability.</w:t>
      </w:r>
    </w:p>
    <w:p>
      <w:pPr>
        <w:pStyle w:val="nzSubsection"/>
        <w:tabs>
          <w:tab w:val="clear" w:pos="1162"/>
          <w:tab w:val="clear" w:pos="1446"/>
          <w:tab w:val="left" w:pos="1843"/>
          <w:tab w:val="left" w:pos="2268"/>
          <w:tab w:val="left" w:pos="6237"/>
        </w:tabs>
        <w:ind w:left="2268" w:right="861" w:hanging="850"/>
        <w:rPr>
          <w:snapToGrid w:val="0"/>
        </w:rPr>
      </w:pPr>
      <w:r>
        <w:rPr>
          <w:snapToGrid w:val="0"/>
        </w:rPr>
        <w:tab/>
        <w:t>(2)</w:t>
      </w:r>
      <w:r>
        <w:rPr>
          <w:snapToGrid w:val="0"/>
        </w:rPr>
        <w:tab/>
        <w:t>If there are 2 or more mortgages affecting the same legal interest in a mining tenement, the mortgages take priority according to the time and date of their registration.</w:t>
      </w:r>
    </w:p>
    <w:p>
      <w:pPr>
        <w:pStyle w:val="nzSubsection"/>
        <w:tabs>
          <w:tab w:val="clear" w:pos="1162"/>
          <w:tab w:val="clear" w:pos="1446"/>
          <w:tab w:val="left" w:pos="1843"/>
          <w:tab w:val="left" w:pos="2835"/>
          <w:tab w:val="left" w:pos="6237"/>
        </w:tabs>
        <w:ind w:left="2268" w:right="861" w:hanging="850"/>
        <w:rPr>
          <w:snapToGrid w:val="0"/>
        </w:rPr>
      </w:pPr>
      <w:r>
        <w:rPr>
          <w:snapToGrid w:val="0"/>
        </w:rPr>
        <w:tab/>
        <w:t>(3)</w:t>
      </w:r>
      <w:r>
        <w:rPr>
          <w:snapToGrid w:val="0"/>
        </w:rPr>
        <w:tab/>
        <w:t xml:space="preserve">A mortgage — </w:t>
      </w:r>
    </w:p>
    <w:p>
      <w:pPr>
        <w:pStyle w:val="nzSubsection"/>
        <w:tabs>
          <w:tab w:val="clear" w:pos="1162"/>
          <w:tab w:val="right" w:pos="2694"/>
          <w:tab w:val="left" w:pos="6237"/>
        </w:tabs>
        <w:ind w:left="2977" w:right="861" w:hanging="992"/>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nzSubsection"/>
        <w:tabs>
          <w:tab w:val="clear" w:pos="1162"/>
          <w:tab w:val="right" w:pos="2694"/>
          <w:tab w:val="left" w:pos="6237"/>
        </w:tabs>
        <w:ind w:left="2977" w:right="861" w:hanging="992"/>
        <w:rPr>
          <w:snapToGrid w:val="0"/>
        </w:rPr>
      </w:pPr>
      <w:r>
        <w:rPr>
          <w:snapToGrid w:val="0"/>
        </w:rPr>
        <w:tab/>
        <w:t>(b)</w:t>
      </w:r>
      <w:r>
        <w:rPr>
          <w:snapToGrid w:val="0"/>
        </w:rPr>
        <w:tab/>
        <w:t>may cover all buildings, improvements, machinery and appliances in or upon the land comprised in the mining tenement.</w:t>
      </w:r>
    </w:p>
    <w:p>
      <w:pPr>
        <w:pStyle w:val="nzSubsection"/>
        <w:tabs>
          <w:tab w:val="clear" w:pos="1162"/>
          <w:tab w:val="clear" w:pos="1446"/>
          <w:tab w:val="left" w:pos="1843"/>
          <w:tab w:val="left" w:pos="2268"/>
          <w:tab w:val="left" w:pos="6237"/>
        </w:tabs>
        <w:ind w:left="2268" w:right="861" w:hanging="850"/>
        <w:rPr>
          <w:snapToGrid w:val="0"/>
        </w:rPr>
      </w:pPr>
      <w:r>
        <w:rPr>
          <w:snapToGrid w:val="0"/>
        </w:rPr>
        <w:tab/>
        <w:t>(4)</w:t>
      </w:r>
      <w:r>
        <w:rPr>
          <w:snapToGrid w:val="0"/>
        </w:rPr>
        <w:tab/>
        <w:t>The regulations may provide that a mortgage is deemed to contain prescribed provisions unless the mortgage contains express provision to the contrary.</w:t>
      </w:r>
    </w:p>
    <w:p>
      <w:pPr>
        <w:pStyle w:val="MiscClose"/>
        <w:tabs>
          <w:tab w:val="left" w:pos="6521"/>
        </w:tabs>
        <w:ind w:right="577"/>
        <w:rPr>
          <w:snapToGrid w:val="0"/>
        </w:rPr>
      </w:pPr>
      <w:r>
        <w:rPr>
          <w:snapToGrid w:val="0"/>
        </w:rPr>
        <w:t>”.</w:t>
      </w:r>
    </w:p>
    <w:p>
      <w:pPr>
        <w:pStyle w:val="nzHeading5"/>
        <w:rPr>
          <w:snapToGrid w:val="0"/>
        </w:rPr>
      </w:pPr>
      <w:r>
        <w:rPr>
          <w:snapToGrid w:val="0"/>
        </w:rPr>
        <w:t>18.</w:t>
      </w:r>
      <w:r>
        <w:rPr>
          <w:snapToGrid w:val="0"/>
        </w:rPr>
        <w:tab/>
        <w:t>Part VI repealed and a Part substituted</w:t>
      </w:r>
    </w:p>
    <w:p>
      <w:pPr>
        <w:pStyle w:val="nzSubsection"/>
        <w:rPr>
          <w:snapToGrid w:val="0"/>
        </w:rPr>
      </w:pPr>
      <w:r>
        <w:rPr>
          <w:snapToGrid w:val="0"/>
        </w:rPr>
        <w:tab/>
      </w:r>
      <w:r>
        <w:rPr>
          <w:snapToGrid w:val="0"/>
        </w:rPr>
        <w:tab/>
        <w:t>Part VI of the principal Act is repealed and the following Part is substituted —</w:t>
      </w:r>
    </w:p>
    <w:p>
      <w:pPr>
        <w:pStyle w:val="MiscOpen"/>
        <w:rPr>
          <w:snapToGrid w:val="0"/>
        </w:rPr>
      </w:pPr>
      <w:r>
        <w:rPr>
          <w:snapToGrid w:val="0"/>
        </w:rPr>
        <w:tab/>
        <w:t>“</w:t>
      </w:r>
    </w:p>
    <w:p>
      <w:pPr>
        <w:pStyle w:val="nzHeading2"/>
      </w:pPr>
      <w:r>
        <w:t>Part VI — Caveats</w:t>
      </w:r>
    </w:p>
    <w:p>
      <w:pPr>
        <w:pStyle w:val="nzHeading5"/>
        <w:tabs>
          <w:tab w:val="clear" w:pos="1446"/>
          <w:tab w:val="left" w:pos="1418"/>
          <w:tab w:val="left" w:pos="2268"/>
        </w:tabs>
        <w:ind w:left="2268" w:hanging="850"/>
        <w:rPr>
          <w:snapToGrid w:val="0"/>
        </w:rPr>
      </w:pPr>
      <w:r>
        <w:rPr>
          <w:snapToGrid w:val="0"/>
        </w:rPr>
        <w:t>121.</w:t>
      </w:r>
      <w:r>
        <w:rPr>
          <w:snapToGrid w:val="0"/>
        </w:rPr>
        <w:tab/>
        <w:t>Definitions</w:t>
      </w:r>
    </w:p>
    <w:p>
      <w:pPr>
        <w:pStyle w:val="nzSubsection"/>
        <w:tabs>
          <w:tab w:val="clear" w:pos="1162"/>
          <w:tab w:val="clear" w:pos="1446"/>
          <w:tab w:val="left" w:pos="1843"/>
          <w:tab w:val="left" w:pos="2268"/>
          <w:tab w:val="left" w:pos="6237"/>
        </w:tabs>
        <w:ind w:left="2268" w:right="861" w:hanging="850"/>
        <w:rPr>
          <w:snapToGrid w:val="0"/>
        </w:rPr>
      </w:pPr>
      <w:r>
        <w:rPr>
          <w:snapToGrid w:val="0"/>
        </w:rPr>
        <w:tab/>
      </w:r>
      <w:r>
        <w:rPr>
          <w:snapToGrid w:val="0"/>
        </w:rPr>
        <w:tab/>
        <w:t xml:space="preserve">In this Part, unless the contrary intention appears — </w:t>
      </w:r>
    </w:p>
    <w:p>
      <w:pPr>
        <w:pStyle w:val="nzDefstart"/>
        <w:tabs>
          <w:tab w:val="clear" w:pos="1446"/>
          <w:tab w:val="left" w:pos="2268"/>
        </w:tabs>
        <w:ind w:left="2835" w:right="861" w:hanging="567"/>
      </w:pPr>
      <w:r>
        <w:rPr>
          <w:b/>
        </w:rPr>
        <w:t>“absolute caveat”</w:t>
      </w:r>
      <w:r>
        <w:t xml:space="preserve"> means a caveat referred to in section 122A(1)(a);</w:t>
      </w:r>
    </w:p>
    <w:p>
      <w:pPr>
        <w:pStyle w:val="nzDefstart"/>
        <w:tabs>
          <w:tab w:val="clear" w:pos="1446"/>
          <w:tab w:val="left" w:pos="2268"/>
        </w:tabs>
        <w:ind w:left="2835" w:right="861" w:hanging="567"/>
      </w:pPr>
      <w:r>
        <w:rPr>
          <w:b/>
        </w:rPr>
        <w:t>“caveat”</w:t>
      </w:r>
      <w:r>
        <w:t xml:space="preserve"> means an absolute caveat, a consent caveat or a subject to claim caveat;</w:t>
      </w:r>
    </w:p>
    <w:p>
      <w:pPr>
        <w:pStyle w:val="nzDefstart"/>
        <w:tabs>
          <w:tab w:val="clear" w:pos="1446"/>
          <w:tab w:val="left" w:pos="2268"/>
        </w:tabs>
        <w:ind w:left="2835" w:right="861" w:hanging="567"/>
      </w:pPr>
      <w:r>
        <w:rPr>
          <w:b/>
        </w:rPr>
        <w:t>“consent caveat”</w:t>
      </w:r>
      <w:r>
        <w:t xml:space="preserve"> means a caveat referred to in section 122A(2);</w:t>
      </w:r>
    </w:p>
    <w:p>
      <w:pPr>
        <w:pStyle w:val="nzDefstart"/>
        <w:tabs>
          <w:tab w:val="clear" w:pos="1446"/>
          <w:tab w:val="left" w:pos="2268"/>
        </w:tabs>
        <w:ind w:left="2835" w:right="861" w:hanging="567"/>
      </w:pPr>
      <w:r>
        <w:rPr>
          <w:b/>
        </w:rPr>
        <w:t>“subject to claim caveat”</w:t>
      </w:r>
      <w:r>
        <w:t xml:space="preserve"> means a caveat referred to in section 122A(1)(b).</w:t>
      </w:r>
    </w:p>
    <w:p>
      <w:pPr>
        <w:pStyle w:val="nzHeading5"/>
        <w:tabs>
          <w:tab w:val="clear" w:pos="1446"/>
          <w:tab w:val="left" w:pos="1418"/>
          <w:tab w:val="left" w:pos="2268"/>
        </w:tabs>
        <w:ind w:left="2268" w:hanging="850"/>
        <w:rPr>
          <w:snapToGrid w:val="0"/>
        </w:rPr>
      </w:pPr>
      <w:r>
        <w:rPr>
          <w:snapToGrid w:val="0"/>
        </w:rPr>
        <w:t>122.</w:t>
      </w:r>
      <w:r>
        <w:rPr>
          <w:snapToGrid w:val="0"/>
        </w:rPr>
        <w:tab/>
        <w:t>Certain surrenders not affected by this Part</w:t>
      </w:r>
    </w:p>
    <w:p>
      <w:pPr>
        <w:pStyle w:val="nzSubsection"/>
        <w:tabs>
          <w:tab w:val="clear" w:pos="1162"/>
          <w:tab w:val="clear" w:pos="1446"/>
          <w:tab w:val="left" w:pos="1843"/>
          <w:tab w:val="left" w:pos="2268"/>
          <w:tab w:val="left" w:pos="6237"/>
        </w:tabs>
        <w:ind w:left="2268" w:right="861" w:hanging="850"/>
        <w:rPr>
          <w:snapToGrid w:val="0"/>
        </w:rPr>
      </w:pPr>
      <w:r>
        <w:rPr>
          <w:snapToGrid w:val="0"/>
        </w:rPr>
        <w:tab/>
        <w:t>(1)</w:t>
      </w:r>
      <w:r>
        <w:rPr>
          <w:snapToGrid w:val="0"/>
        </w:rPr>
        <w:tab/>
        <w:t xml:space="preserve">A reference in this Part (other than this section) to a surrender does not include a surrender under section 26A or 65. </w:t>
      </w:r>
    </w:p>
    <w:p>
      <w:pPr>
        <w:pStyle w:val="nzSubsection"/>
        <w:keepNext/>
        <w:tabs>
          <w:tab w:val="clear" w:pos="1162"/>
          <w:tab w:val="clear" w:pos="1446"/>
          <w:tab w:val="left" w:pos="1843"/>
          <w:tab w:val="left" w:pos="2268"/>
          <w:tab w:val="left" w:pos="6237"/>
        </w:tabs>
        <w:ind w:left="2268" w:right="861" w:hanging="850"/>
        <w:rPr>
          <w:snapToGrid w:val="0"/>
        </w:rPr>
      </w:pPr>
      <w:r>
        <w:rPr>
          <w:snapToGrid w:val="0"/>
        </w:rPr>
        <w:tab/>
        <w:t>(2)</w:t>
      </w:r>
      <w:r>
        <w:rPr>
          <w:snapToGrid w:val="0"/>
        </w:rPr>
        <w:tab/>
        <w:t xml:space="preserve">Where — </w:t>
      </w:r>
    </w:p>
    <w:p>
      <w:pPr>
        <w:pStyle w:val="nzSubsection"/>
        <w:tabs>
          <w:tab w:val="clear" w:pos="1162"/>
          <w:tab w:val="right" w:pos="2694"/>
          <w:tab w:val="left" w:pos="6237"/>
        </w:tabs>
        <w:ind w:left="2977" w:right="861" w:hanging="992"/>
        <w:rPr>
          <w:snapToGrid w:val="0"/>
        </w:rPr>
      </w:pPr>
      <w:r>
        <w:rPr>
          <w:snapToGrid w:val="0"/>
        </w:rPr>
        <w:tab/>
        <w:t>(a)</w:t>
      </w:r>
      <w:r>
        <w:rPr>
          <w:snapToGrid w:val="0"/>
        </w:rPr>
        <w:tab/>
        <w:t>a surrender under section 26A or 65 is registered under section 103C; and</w:t>
      </w:r>
    </w:p>
    <w:p>
      <w:pPr>
        <w:pStyle w:val="nzSubsection"/>
        <w:tabs>
          <w:tab w:val="clear" w:pos="1162"/>
          <w:tab w:val="right" w:pos="2694"/>
          <w:tab w:val="left" w:pos="6237"/>
        </w:tabs>
        <w:ind w:left="2977" w:right="861" w:hanging="992"/>
        <w:rPr>
          <w:snapToGrid w:val="0"/>
        </w:rPr>
      </w:pPr>
      <w:r>
        <w:rPr>
          <w:snapToGrid w:val="0"/>
        </w:rPr>
        <w:tab/>
        <w:t>(b)</w:t>
      </w:r>
      <w:r>
        <w:rPr>
          <w:snapToGrid w:val="0"/>
        </w:rPr>
        <w:tab/>
        <w:t>the surrender affects a mining tenement or an interest in a mining tenement that is the subject of a caveat,</w:t>
      </w:r>
    </w:p>
    <w:p>
      <w:pPr>
        <w:pStyle w:val="nzSubsection"/>
        <w:tabs>
          <w:tab w:val="clear" w:pos="1162"/>
          <w:tab w:val="clear" w:pos="1446"/>
          <w:tab w:val="left" w:pos="1843"/>
          <w:tab w:val="left" w:pos="2268"/>
          <w:tab w:val="left" w:pos="6237"/>
        </w:tabs>
        <w:ind w:left="2268" w:right="861" w:hanging="850"/>
        <w:rPr>
          <w:snapToGrid w:val="0"/>
        </w:rPr>
      </w:pPr>
      <w:r>
        <w:rPr>
          <w:snapToGrid w:val="0"/>
        </w:rPr>
        <w:tab/>
      </w:r>
      <w:r>
        <w:rPr>
          <w:snapToGrid w:val="0"/>
        </w:rPr>
        <w:tab/>
        <w:t>notification of the registration of the surrender is to be sent by or on behalf of the Minister in the prescribed manner to the person who lodged that caveat.</w:t>
      </w:r>
    </w:p>
    <w:p>
      <w:pPr>
        <w:pStyle w:val="nzHeading5"/>
        <w:tabs>
          <w:tab w:val="clear" w:pos="1446"/>
          <w:tab w:val="left" w:pos="1418"/>
          <w:tab w:val="left" w:pos="2268"/>
        </w:tabs>
        <w:ind w:left="2268" w:hanging="850"/>
        <w:rPr>
          <w:snapToGrid w:val="0"/>
        </w:rPr>
      </w:pPr>
      <w:r>
        <w:rPr>
          <w:snapToGrid w:val="0"/>
        </w:rPr>
        <w:t>122A.</w:t>
      </w:r>
      <w:r>
        <w:rPr>
          <w:snapToGrid w:val="0"/>
        </w:rPr>
        <w:tab/>
        <w:t>Lodgement of caveats</w:t>
      </w:r>
    </w:p>
    <w:p>
      <w:pPr>
        <w:pStyle w:val="nzSubsection"/>
        <w:tabs>
          <w:tab w:val="clear" w:pos="1162"/>
          <w:tab w:val="clear" w:pos="1446"/>
          <w:tab w:val="left" w:pos="1843"/>
          <w:tab w:val="left" w:pos="2268"/>
          <w:tab w:val="left" w:pos="6237"/>
        </w:tabs>
        <w:ind w:left="2268" w:right="861" w:hanging="850"/>
        <w:rPr>
          <w:snapToGrid w:val="0"/>
        </w:rPr>
      </w:pPr>
      <w:r>
        <w:rPr>
          <w:snapToGrid w:val="0"/>
        </w:rPr>
        <w:tab/>
        <w:t>(1)</w:t>
      </w:r>
      <w:r>
        <w:rPr>
          <w:snapToGrid w:val="0"/>
        </w:rPr>
        <w:tab/>
        <w:t xml:space="preserve">A person claiming an interest in a mining tenement may lodge at the Department at Perth or at the office of the mining registrar — </w:t>
      </w:r>
    </w:p>
    <w:p>
      <w:pPr>
        <w:pStyle w:val="nzSubsection"/>
        <w:tabs>
          <w:tab w:val="clear" w:pos="1162"/>
          <w:tab w:val="right" w:pos="2694"/>
          <w:tab w:val="left" w:pos="6237"/>
        </w:tabs>
        <w:ind w:left="2977" w:right="861" w:hanging="992"/>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nzSubsection"/>
        <w:tabs>
          <w:tab w:val="clear" w:pos="1162"/>
          <w:tab w:val="right" w:pos="2694"/>
          <w:tab w:val="left" w:pos="6237"/>
        </w:tabs>
        <w:ind w:left="2977" w:right="861" w:hanging="992"/>
        <w:rPr>
          <w:snapToGrid w:val="0"/>
        </w:rPr>
      </w:pPr>
      <w:r>
        <w:rPr>
          <w:snapToGrid w:val="0"/>
        </w:rPr>
        <w:tab/>
        <w:t>(b)</w:t>
      </w:r>
      <w:r>
        <w:rPr>
          <w:snapToGrid w:val="0"/>
        </w:rPr>
        <w:tab/>
        <w:t xml:space="preserve">a caveat against the mining tenement forbidding the registration of — </w:t>
      </w:r>
    </w:p>
    <w:p>
      <w:pPr>
        <w:pStyle w:val="nzIndenti"/>
        <w:tabs>
          <w:tab w:val="clear" w:pos="2608"/>
          <w:tab w:val="clear" w:pos="2892"/>
          <w:tab w:val="right" w:pos="3261"/>
          <w:tab w:val="left" w:pos="3544"/>
        </w:tabs>
        <w:ind w:left="3544" w:hanging="1503"/>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nzIndenti"/>
        <w:tabs>
          <w:tab w:val="clear" w:pos="2608"/>
          <w:tab w:val="clear" w:pos="2892"/>
          <w:tab w:val="right" w:pos="3261"/>
          <w:tab w:val="left" w:pos="3544"/>
        </w:tabs>
        <w:ind w:left="3544" w:hanging="1503"/>
        <w:rPr>
          <w:snapToGrid w:val="0"/>
        </w:rPr>
      </w:pPr>
      <w:r>
        <w:rPr>
          <w:snapToGrid w:val="0"/>
        </w:rPr>
        <w:tab/>
        <w:t>(ii)</w:t>
      </w:r>
      <w:r>
        <w:rPr>
          <w:snapToGrid w:val="0"/>
        </w:rPr>
        <w:tab/>
        <w:t>a surrender affecting the mining tenement or interest.</w:t>
      </w:r>
    </w:p>
    <w:p>
      <w:pPr>
        <w:pStyle w:val="nzSubsection"/>
        <w:tabs>
          <w:tab w:val="clear" w:pos="1162"/>
          <w:tab w:val="clear" w:pos="1446"/>
          <w:tab w:val="left" w:pos="1843"/>
          <w:tab w:val="left" w:pos="2268"/>
          <w:tab w:val="left" w:pos="6237"/>
        </w:tabs>
        <w:ind w:left="2268" w:right="861" w:hanging="850"/>
        <w:rPr>
          <w:snapToGrid w:val="0"/>
        </w:rPr>
      </w:pPr>
      <w:r>
        <w:rPr>
          <w:snapToGrid w:val="0"/>
        </w:rPr>
        <w:tab/>
        <w:t>(2)</w:t>
      </w:r>
      <w:r>
        <w:rPr>
          <w:snapToGrid w:val="0"/>
        </w:rPr>
        <w:tab/>
        <w:t xml:space="preserve">If — </w:t>
      </w:r>
    </w:p>
    <w:p>
      <w:pPr>
        <w:pStyle w:val="nzSubsection"/>
        <w:tabs>
          <w:tab w:val="clear" w:pos="1162"/>
          <w:tab w:val="right" w:pos="2694"/>
          <w:tab w:val="left" w:pos="6237"/>
        </w:tabs>
        <w:ind w:left="2977" w:right="861" w:hanging="992"/>
      </w:pPr>
      <w:r>
        <w:tab/>
        <w:t>(a)</w:t>
      </w:r>
      <w:r>
        <w:tab/>
        <w:t xml:space="preserve">the holder of a mining tenement has entered into an agreement with another person relating to — </w:t>
      </w:r>
    </w:p>
    <w:p>
      <w:pPr>
        <w:pStyle w:val="nzIndenti"/>
        <w:tabs>
          <w:tab w:val="clear" w:pos="2892"/>
          <w:tab w:val="left" w:pos="3119"/>
        </w:tabs>
        <w:ind w:left="3600" w:hanging="1559"/>
      </w:pPr>
      <w:r>
        <w:tab/>
      </w:r>
      <w:r>
        <w:tab/>
        <w:t>(i)</w:t>
      </w:r>
      <w:r>
        <w:tab/>
        <w:t>the sale of the holder’s interest in the mining tenement; or</w:t>
      </w:r>
    </w:p>
    <w:p>
      <w:pPr>
        <w:pStyle w:val="nzIndenti"/>
        <w:tabs>
          <w:tab w:val="clear" w:pos="2892"/>
          <w:tab w:val="left" w:pos="3119"/>
        </w:tabs>
        <w:ind w:left="3600" w:hanging="1559"/>
      </w:pPr>
      <w:r>
        <w:tab/>
      </w:r>
      <w:r>
        <w:tab/>
        <w:t>(ii)</w:t>
      </w:r>
      <w:r>
        <w:tab/>
        <w:t>any other matter connected with the holder’s interest in the mining tenement;</w:t>
      </w:r>
    </w:p>
    <w:p>
      <w:pPr>
        <w:pStyle w:val="nzIndenta"/>
      </w:pPr>
      <w:r>
        <w:tab/>
      </w:r>
      <w:r>
        <w:tab/>
      </w:r>
      <w:r>
        <w:tab/>
        <w:t>and</w:t>
      </w:r>
    </w:p>
    <w:p>
      <w:pPr>
        <w:pStyle w:val="nzSubsection"/>
        <w:tabs>
          <w:tab w:val="clear" w:pos="1162"/>
          <w:tab w:val="right" w:pos="2694"/>
          <w:tab w:val="left" w:pos="6237"/>
        </w:tabs>
        <w:ind w:left="2977" w:right="861" w:hanging="992"/>
        <w:rPr>
          <w:snapToGrid w:val="0"/>
        </w:rPr>
      </w:pPr>
      <w:r>
        <w:rPr>
          <w:snapToGrid w:val="0"/>
        </w:rPr>
        <w:tab/>
        <w:t>(b)</w:t>
      </w:r>
      <w:r>
        <w:rPr>
          <w:snapToGrid w:val="0"/>
        </w:rPr>
        <w:tab/>
        <w:t>the agreement so provides,</w:t>
      </w:r>
    </w:p>
    <w:p>
      <w:pPr>
        <w:pStyle w:val="nzSubsection"/>
        <w:tabs>
          <w:tab w:val="clear" w:pos="1162"/>
          <w:tab w:val="clear" w:pos="1446"/>
          <w:tab w:val="left" w:pos="1843"/>
          <w:tab w:val="left" w:pos="2268"/>
          <w:tab w:val="left" w:pos="6237"/>
        </w:tabs>
        <w:ind w:left="2268" w:right="861" w:hanging="850"/>
        <w:rPr>
          <w:snapToGrid w:val="0"/>
        </w:rPr>
      </w:pPr>
      <w:r>
        <w:rPr>
          <w:snapToGrid w:val="0"/>
        </w:rPr>
        <w:tab/>
      </w:r>
      <w:r>
        <w:rPr>
          <w:snapToGrid w:val="0"/>
        </w:rPr>
        <w:tab/>
        <w:t>either party to the agreement may lodge at the Department at Perth or at the office of the mining registrar a caveat against the mining tenement forbidding the registration of a dealing or surrender affecting the mining tenement or interest together with a copy of the agreement.</w:t>
      </w:r>
    </w:p>
    <w:p>
      <w:pPr>
        <w:pStyle w:val="nzSubsection"/>
        <w:keepNext/>
        <w:tabs>
          <w:tab w:val="clear" w:pos="1162"/>
          <w:tab w:val="clear" w:pos="1446"/>
          <w:tab w:val="left" w:pos="1843"/>
          <w:tab w:val="left" w:pos="2268"/>
          <w:tab w:val="left" w:pos="6237"/>
        </w:tabs>
        <w:ind w:left="2268" w:right="861" w:hanging="850"/>
        <w:rPr>
          <w:snapToGrid w:val="0"/>
        </w:rPr>
      </w:pPr>
      <w:r>
        <w:rPr>
          <w:snapToGrid w:val="0"/>
        </w:rPr>
        <w:tab/>
        <w:t>(3)</w:t>
      </w:r>
      <w:r>
        <w:rPr>
          <w:snapToGrid w:val="0"/>
        </w:rPr>
        <w:tab/>
        <w:t xml:space="preserve">A caveat lodged under this section is to — </w:t>
      </w:r>
    </w:p>
    <w:p>
      <w:pPr>
        <w:pStyle w:val="nzSubsection"/>
        <w:tabs>
          <w:tab w:val="clear" w:pos="1162"/>
          <w:tab w:val="right" w:pos="2694"/>
          <w:tab w:val="left" w:pos="6237"/>
        </w:tabs>
        <w:ind w:left="2977" w:right="861" w:hanging="992"/>
        <w:rPr>
          <w:snapToGrid w:val="0"/>
        </w:rPr>
      </w:pPr>
      <w:r>
        <w:rPr>
          <w:snapToGrid w:val="0"/>
        </w:rPr>
        <w:tab/>
        <w:t>(a)</w:t>
      </w:r>
      <w:r>
        <w:rPr>
          <w:snapToGrid w:val="0"/>
        </w:rPr>
        <w:tab/>
        <w:t>be in the prescribed form;</w:t>
      </w:r>
    </w:p>
    <w:p>
      <w:pPr>
        <w:pStyle w:val="nzSubsection"/>
        <w:tabs>
          <w:tab w:val="clear" w:pos="1162"/>
          <w:tab w:val="right" w:pos="2694"/>
          <w:tab w:val="left" w:pos="6237"/>
        </w:tabs>
        <w:ind w:left="2977" w:right="861" w:hanging="992"/>
        <w:rPr>
          <w:snapToGrid w:val="0"/>
        </w:rPr>
      </w:pPr>
      <w:r>
        <w:rPr>
          <w:snapToGrid w:val="0"/>
        </w:rPr>
        <w:tab/>
        <w:t>(b)</w:t>
      </w:r>
      <w:r>
        <w:rPr>
          <w:snapToGrid w:val="0"/>
        </w:rPr>
        <w:tab/>
        <w:t>be accompanied by the prescribed fee;</w:t>
      </w:r>
    </w:p>
    <w:p>
      <w:pPr>
        <w:pStyle w:val="nzSubsection"/>
        <w:tabs>
          <w:tab w:val="clear" w:pos="1162"/>
          <w:tab w:val="right" w:pos="2694"/>
          <w:tab w:val="left" w:pos="6237"/>
        </w:tabs>
        <w:ind w:left="2977" w:right="861" w:hanging="992"/>
        <w:rPr>
          <w:snapToGrid w:val="0"/>
        </w:rPr>
      </w:pPr>
      <w:r>
        <w:rPr>
          <w:snapToGrid w:val="0"/>
        </w:rPr>
        <w:tab/>
        <w:t>(c)</w:t>
      </w:r>
      <w:r>
        <w:rPr>
          <w:snapToGrid w:val="0"/>
        </w:rPr>
        <w:tab/>
        <w:t>state the full name and address of the caveator;</w:t>
      </w:r>
    </w:p>
    <w:p>
      <w:pPr>
        <w:pStyle w:val="nzSubsection"/>
        <w:tabs>
          <w:tab w:val="clear" w:pos="1162"/>
          <w:tab w:val="right" w:pos="2694"/>
          <w:tab w:val="left" w:pos="6237"/>
        </w:tabs>
        <w:ind w:left="2977" w:right="861" w:hanging="992"/>
        <w:rPr>
          <w:snapToGrid w:val="0"/>
        </w:rPr>
      </w:pPr>
      <w:r>
        <w:rPr>
          <w:snapToGrid w:val="0"/>
        </w:rPr>
        <w:tab/>
        <w:t>(d)</w:t>
      </w:r>
      <w:r>
        <w:rPr>
          <w:snapToGrid w:val="0"/>
        </w:rPr>
        <w:tab/>
        <w:t>be signed by the caveator or an agent of the caveator; and</w:t>
      </w:r>
    </w:p>
    <w:p>
      <w:pPr>
        <w:pStyle w:val="nzSubsection"/>
        <w:tabs>
          <w:tab w:val="clear" w:pos="1162"/>
          <w:tab w:val="right" w:pos="2694"/>
          <w:tab w:val="left" w:pos="6237"/>
        </w:tabs>
        <w:ind w:left="2977" w:right="861" w:hanging="992"/>
        <w:rPr>
          <w:snapToGrid w:val="0"/>
        </w:rPr>
      </w:pPr>
      <w:r>
        <w:rPr>
          <w:snapToGrid w:val="0"/>
        </w:rPr>
        <w:tab/>
        <w:t>(e)</w:t>
      </w:r>
      <w:r>
        <w:rPr>
          <w:snapToGrid w:val="0"/>
        </w:rPr>
        <w:tab/>
        <w:t>give an address within the State for the service of notices and proceedings in relation to the caveat.</w:t>
      </w:r>
    </w:p>
    <w:p>
      <w:pPr>
        <w:pStyle w:val="nzSubsection"/>
        <w:tabs>
          <w:tab w:val="clear" w:pos="1162"/>
          <w:tab w:val="clear" w:pos="1446"/>
          <w:tab w:val="left" w:pos="1843"/>
          <w:tab w:val="left" w:pos="2268"/>
          <w:tab w:val="left" w:pos="6237"/>
        </w:tabs>
        <w:ind w:left="2268" w:right="861" w:hanging="850"/>
        <w:rPr>
          <w:snapToGrid w:val="0"/>
        </w:rPr>
      </w:pPr>
      <w:r>
        <w:rPr>
          <w:snapToGrid w:val="0"/>
        </w:rPr>
        <w:tab/>
        <w:t>(4)</w:t>
      </w:r>
      <w:r>
        <w:rPr>
          <w:snapToGrid w:val="0"/>
        </w:rPr>
        <w:tab/>
        <w:t xml:space="preserve">If a caveat is lodged under this section — </w:t>
      </w:r>
    </w:p>
    <w:p>
      <w:pPr>
        <w:pStyle w:val="nzSubsection"/>
        <w:tabs>
          <w:tab w:val="clear" w:pos="1162"/>
          <w:tab w:val="right" w:pos="2694"/>
          <w:tab w:val="left" w:pos="6237"/>
        </w:tabs>
        <w:ind w:left="2977" w:right="861" w:hanging="992"/>
        <w:rPr>
          <w:snapToGrid w:val="0"/>
        </w:rPr>
      </w:pPr>
      <w:r>
        <w:rPr>
          <w:snapToGrid w:val="0"/>
        </w:rPr>
        <w:tab/>
        <w:t>(a)</w:t>
      </w:r>
      <w:r>
        <w:rPr>
          <w:snapToGrid w:val="0"/>
        </w:rPr>
        <w:tab/>
        <w:t>a memorial or copy of the caveat is to be entered in the register; and</w:t>
      </w:r>
    </w:p>
    <w:p>
      <w:pPr>
        <w:pStyle w:val="nzSubsection"/>
        <w:tabs>
          <w:tab w:val="clear" w:pos="1162"/>
          <w:tab w:val="right" w:pos="2694"/>
          <w:tab w:val="left" w:pos="6237"/>
        </w:tabs>
        <w:ind w:left="2977" w:right="861" w:hanging="992"/>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nzSubsection"/>
        <w:tabs>
          <w:tab w:val="clear" w:pos="1162"/>
          <w:tab w:val="clear" w:pos="1446"/>
          <w:tab w:val="left" w:pos="1843"/>
          <w:tab w:val="left" w:pos="2268"/>
          <w:tab w:val="left" w:pos="6237"/>
        </w:tabs>
        <w:ind w:left="2268" w:right="861" w:hanging="850"/>
        <w:rPr>
          <w:snapToGrid w:val="0"/>
        </w:rPr>
      </w:pPr>
      <w:r>
        <w:rPr>
          <w:snapToGrid w:val="0"/>
        </w:rPr>
        <w:tab/>
        <w:t>(5)</w:t>
      </w:r>
      <w:r>
        <w:rPr>
          <w:snapToGrid w:val="0"/>
        </w:rPr>
        <w:tab/>
        <w:t>Subject to section 122B, a caveat lodged under this section has effect from the time of lodgement.</w:t>
      </w:r>
    </w:p>
    <w:p>
      <w:pPr>
        <w:pStyle w:val="nzSubsection"/>
        <w:tabs>
          <w:tab w:val="clear" w:pos="1162"/>
          <w:tab w:val="clear" w:pos="1446"/>
          <w:tab w:val="left" w:pos="1843"/>
          <w:tab w:val="left" w:pos="2268"/>
          <w:tab w:val="left" w:pos="6237"/>
        </w:tabs>
        <w:ind w:left="2268" w:right="861" w:hanging="850"/>
        <w:rPr>
          <w:snapToGrid w:val="0"/>
        </w:rPr>
      </w:pPr>
      <w:r>
        <w:rPr>
          <w:snapToGrid w:val="0"/>
        </w:rPr>
        <w:tab/>
        <w:t>(6)</w:t>
      </w:r>
      <w:r>
        <w:rPr>
          <w:snapToGrid w:val="0"/>
        </w:rPr>
        <w:tab/>
        <w:t xml:space="preserve">Successive caveats shall not be lodged by, or on behalf of, the same person in respect of the same subject matter except </w:t>
      </w:r>
      <w:r>
        <w:t>with the consent</w:t>
      </w:r>
      <w:r>
        <w:rPr>
          <w:snapToGrid w:val="0"/>
        </w:rPr>
        <w:t xml:space="preserve"> of a warden.</w:t>
      </w:r>
    </w:p>
    <w:p>
      <w:pPr>
        <w:pStyle w:val="nzSubsection"/>
        <w:tabs>
          <w:tab w:val="clear" w:pos="1162"/>
          <w:tab w:val="clear" w:pos="1446"/>
          <w:tab w:val="left" w:pos="1843"/>
          <w:tab w:val="left" w:pos="2268"/>
          <w:tab w:val="left" w:pos="6237"/>
        </w:tabs>
        <w:ind w:left="2268" w:right="861" w:hanging="850"/>
        <w:rPr>
          <w:i/>
          <w:snapToGrid w:val="0"/>
        </w:rPr>
      </w:pPr>
      <w:r>
        <w:rPr>
          <w:snapToGrid w:val="0"/>
        </w:rPr>
        <w:tab/>
      </w:r>
      <w:r>
        <w:rPr>
          <w:snapToGrid w:val="0"/>
        </w:rPr>
        <w:tab/>
      </w:r>
      <w:r>
        <w:rPr>
          <w:i/>
          <w:snapToGrid w:val="0"/>
        </w:rPr>
        <w:t>[Section 122A amended by No. 39 of 2004 s. 104(a) and (b).]</w:t>
      </w:r>
    </w:p>
    <w:p>
      <w:pPr>
        <w:pStyle w:val="nzHeading5"/>
        <w:tabs>
          <w:tab w:val="clear" w:pos="1446"/>
          <w:tab w:val="left" w:pos="1418"/>
          <w:tab w:val="left" w:pos="2268"/>
        </w:tabs>
        <w:ind w:left="2268" w:hanging="850"/>
        <w:rPr>
          <w:snapToGrid w:val="0"/>
        </w:rPr>
      </w:pPr>
      <w:r>
        <w:rPr>
          <w:snapToGrid w:val="0"/>
        </w:rPr>
        <w:t>122B.</w:t>
      </w:r>
      <w:r>
        <w:rPr>
          <w:snapToGrid w:val="0"/>
        </w:rPr>
        <w:tab/>
        <w:t>Provisional lodgement</w:t>
      </w:r>
    </w:p>
    <w:p>
      <w:pPr>
        <w:pStyle w:val="nzSubsection"/>
        <w:tabs>
          <w:tab w:val="clear" w:pos="1162"/>
          <w:tab w:val="clear" w:pos="1446"/>
          <w:tab w:val="left" w:pos="1843"/>
          <w:tab w:val="left" w:pos="2268"/>
          <w:tab w:val="left" w:pos="6237"/>
        </w:tabs>
        <w:ind w:left="2268" w:right="861" w:hanging="850"/>
        <w:rPr>
          <w:snapToGrid w:val="0"/>
        </w:rPr>
      </w:pPr>
      <w:r>
        <w:rPr>
          <w:snapToGrid w:val="0"/>
        </w:rPr>
        <w:tab/>
        <w:t>(1)</w:t>
      </w:r>
      <w:r>
        <w:rPr>
          <w:snapToGrid w:val="0"/>
        </w:rPr>
        <w:tab/>
        <w:t xml:space="preserve">If an authorised officer (as defined in section 103A) is of the opinion that a caveat lodged under section 122A contains an error or defect, the officer is — </w:t>
      </w:r>
    </w:p>
    <w:p>
      <w:pPr>
        <w:pStyle w:val="nzSubsection"/>
        <w:tabs>
          <w:tab w:val="clear" w:pos="1162"/>
          <w:tab w:val="right" w:pos="2694"/>
          <w:tab w:val="left" w:pos="6237"/>
        </w:tabs>
        <w:ind w:left="2977" w:right="861" w:hanging="992"/>
        <w:rPr>
          <w:snapToGrid w:val="0"/>
        </w:rPr>
      </w:pPr>
      <w:r>
        <w:rPr>
          <w:snapToGrid w:val="0"/>
        </w:rPr>
        <w:tab/>
        <w:t>(a)</w:t>
      </w:r>
      <w:r>
        <w:rPr>
          <w:snapToGrid w:val="0"/>
        </w:rPr>
        <w:tab/>
        <w:t>if satisfied that the error or defect can be corrected, to accept the caveat for provisional lodgement; or</w:t>
      </w:r>
    </w:p>
    <w:p>
      <w:pPr>
        <w:pStyle w:val="nzSubsection"/>
        <w:tabs>
          <w:tab w:val="clear" w:pos="1162"/>
          <w:tab w:val="right" w:pos="2694"/>
          <w:tab w:val="left" w:pos="6237"/>
        </w:tabs>
        <w:ind w:left="2977" w:right="861" w:hanging="992"/>
        <w:rPr>
          <w:snapToGrid w:val="0"/>
        </w:rPr>
      </w:pPr>
      <w:r>
        <w:rPr>
          <w:snapToGrid w:val="0"/>
        </w:rPr>
        <w:tab/>
        <w:t>(b)</w:t>
      </w:r>
      <w:r>
        <w:rPr>
          <w:snapToGrid w:val="0"/>
        </w:rPr>
        <w:tab/>
        <w:t>in any other case, to reject the caveat and endorse the register accordingly.</w:t>
      </w:r>
    </w:p>
    <w:p>
      <w:pPr>
        <w:pStyle w:val="nzSubsection"/>
        <w:tabs>
          <w:tab w:val="clear" w:pos="1162"/>
          <w:tab w:val="clear" w:pos="1446"/>
          <w:tab w:val="left" w:pos="1843"/>
          <w:tab w:val="left" w:pos="2268"/>
          <w:tab w:val="left" w:pos="6237"/>
        </w:tabs>
        <w:ind w:left="2268" w:right="861" w:hanging="850"/>
        <w:rPr>
          <w:snapToGrid w:val="0"/>
        </w:rPr>
      </w:pPr>
      <w:r>
        <w:rPr>
          <w:snapToGrid w:val="0"/>
        </w:rPr>
        <w:tab/>
        <w:t>(2)</w:t>
      </w:r>
      <w:r>
        <w:rPr>
          <w:snapToGrid w:val="0"/>
        </w:rPr>
        <w:tab/>
        <w:t>The regulations may provide for the effect to be given to a caveat accepted for provisional lodgement.</w:t>
      </w:r>
    </w:p>
    <w:p>
      <w:pPr>
        <w:pStyle w:val="nzHeading5"/>
        <w:tabs>
          <w:tab w:val="clear" w:pos="1446"/>
          <w:tab w:val="left" w:pos="1418"/>
          <w:tab w:val="left" w:pos="2268"/>
        </w:tabs>
        <w:ind w:left="2268" w:hanging="850"/>
        <w:rPr>
          <w:snapToGrid w:val="0"/>
        </w:rPr>
      </w:pPr>
      <w:r>
        <w:rPr>
          <w:snapToGrid w:val="0"/>
        </w:rPr>
        <w:t>122C.</w:t>
      </w:r>
      <w:r>
        <w:rPr>
          <w:snapToGrid w:val="0"/>
        </w:rPr>
        <w:tab/>
        <w:t>Caveats deemed to be lodged against later tenements</w:t>
      </w:r>
    </w:p>
    <w:p>
      <w:pPr>
        <w:pStyle w:val="nzSubsection"/>
        <w:tabs>
          <w:tab w:val="clear" w:pos="1162"/>
          <w:tab w:val="clear" w:pos="1446"/>
          <w:tab w:val="left" w:pos="1843"/>
          <w:tab w:val="left" w:pos="2268"/>
          <w:tab w:val="left" w:pos="6237"/>
        </w:tabs>
        <w:ind w:left="2268" w:right="861" w:hanging="850"/>
        <w:rPr>
          <w:snapToGrid w:val="0"/>
        </w:rPr>
      </w:pPr>
      <w:r>
        <w:rPr>
          <w:snapToGrid w:val="0"/>
        </w:rPr>
        <w:tab/>
        <w:t>(1)</w:t>
      </w:r>
      <w:r>
        <w:rPr>
          <w:snapToGrid w:val="0"/>
        </w:rPr>
        <w:tab/>
        <w:t xml:space="preserve">If a caveat has been lodged against — </w:t>
      </w:r>
    </w:p>
    <w:p>
      <w:pPr>
        <w:pStyle w:val="nzSubsection"/>
        <w:tabs>
          <w:tab w:val="clear" w:pos="1162"/>
          <w:tab w:val="right" w:pos="2694"/>
          <w:tab w:val="left" w:pos="6237"/>
        </w:tabs>
        <w:ind w:left="2977" w:right="861" w:hanging="992"/>
        <w:rPr>
          <w:snapToGrid w:val="0"/>
        </w:rPr>
      </w:pPr>
      <w:r>
        <w:rPr>
          <w:snapToGrid w:val="0"/>
        </w:rPr>
        <w:tab/>
        <w:t>(a)</w:t>
      </w:r>
      <w:r>
        <w:rPr>
          <w:snapToGrid w:val="0"/>
        </w:rPr>
        <w:tab/>
        <w:t>a mining tenement and the holder of that tenement is granted a mining lease or general purpose lease (“the later tenement”) under section 49, 67 or 70L in respect of the land or a part of the land the subject of the tenement;</w:t>
      </w:r>
    </w:p>
    <w:p>
      <w:pPr>
        <w:pStyle w:val="nzSubsection"/>
        <w:tabs>
          <w:tab w:val="clear" w:pos="1162"/>
          <w:tab w:val="right" w:pos="2694"/>
          <w:tab w:val="left" w:pos="6237"/>
        </w:tabs>
        <w:ind w:left="2977" w:right="861" w:hanging="992"/>
        <w:rPr>
          <w:snapToGrid w:val="0"/>
        </w:rPr>
      </w:pPr>
      <w:r>
        <w:rPr>
          <w:snapToGrid w:val="0"/>
        </w:rPr>
        <w:tab/>
        <w:t>(b)</w:t>
      </w:r>
      <w:r>
        <w:rPr>
          <w:snapToGrid w:val="0"/>
        </w:rPr>
        <w:tab/>
        <w:t>a mining tenement and the holder of that tenement is granted a retention licence (“the later tenement”) under section 70B in respect of the land or a part of the land the subject of the tenement; or</w:t>
      </w:r>
    </w:p>
    <w:p>
      <w:pPr>
        <w:pStyle w:val="nzSubsection"/>
        <w:tabs>
          <w:tab w:val="clear" w:pos="1162"/>
          <w:tab w:val="right" w:pos="2694"/>
          <w:tab w:val="left" w:pos="6237"/>
        </w:tabs>
        <w:ind w:left="2977" w:right="861" w:hanging="992"/>
        <w:rPr>
          <w:snapToGrid w:val="0"/>
        </w:rPr>
      </w:pPr>
      <w:r>
        <w:rPr>
          <w:snapToGrid w:val="0"/>
        </w:rPr>
        <w:tab/>
        <w:t>(c)</w:t>
      </w:r>
      <w:r>
        <w:rPr>
          <w:snapToGrid w:val="0"/>
        </w:rPr>
        <w:tab/>
        <w:t>a special prospecting licence granted under section 56A, 70 or 85B and the holder of that licence is granted a mining lease for gold (“the later tenement”) under section 56A(8), 70(8) or 85B(7) in respect of the land or a part of the land the subject of the licence,</w:t>
      </w:r>
    </w:p>
    <w:p>
      <w:pPr>
        <w:pStyle w:val="nzSubsection"/>
        <w:tabs>
          <w:tab w:val="clear" w:pos="1162"/>
          <w:tab w:val="clear" w:pos="1446"/>
          <w:tab w:val="left" w:pos="1843"/>
          <w:tab w:val="left" w:pos="2268"/>
          <w:tab w:val="left" w:pos="6237"/>
        </w:tabs>
        <w:ind w:left="2268" w:right="861" w:hanging="850"/>
        <w:rPr>
          <w:snapToGrid w:val="0"/>
        </w:rPr>
      </w:pPr>
      <w:r>
        <w:rPr>
          <w:snapToGrid w:val="0"/>
        </w:rPr>
        <w:tab/>
      </w:r>
      <w:r>
        <w:rPr>
          <w:snapToGrid w:val="0"/>
        </w:rPr>
        <w:tab/>
        <w:t>the caveat is to be taken to have been also lodged against the later tenement and a memorial to that effect is to be entered in the register.</w:t>
      </w:r>
    </w:p>
    <w:p>
      <w:pPr>
        <w:pStyle w:val="nzSubsection"/>
        <w:tabs>
          <w:tab w:val="clear" w:pos="1162"/>
          <w:tab w:val="clear" w:pos="1446"/>
          <w:tab w:val="left" w:pos="1843"/>
          <w:tab w:val="left" w:pos="2268"/>
          <w:tab w:val="left" w:pos="6237"/>
        </w:tabs>
        <w:ind w:left="2268" w:right="861" w:hanging="850"/>
        <w:rPr>
          <w:snapToGrid w:val="0"/>
        </w:rPr>
      </w:pPr>
      <w:r>
        <w:rPr>
          <w:snapToGrid w:val="0"/>
        </w:rPr>
        <w:tab/>
        <w:t>(2)</w:t>
      </w:r>
      <w:r>
        <w:rPr>
          <w:snapToGrid w:val="0"/>
        </w:rPr>
        <w:tab/>
        <w:t>A caveat to which subsection (1) applies has effect, in relation to a later tenement, from the day on which the later tenement is granted.</w:t>
      </w:r>
    </w:p>
    <w:p>
      <w:pPr>
        <w:pStyle w:val="nzHeading5"/>
        <w:tabs>
          <w:tab w:val="clear" w:pos="1446"/>
          <w:tab w:val="left" w:pos="1418"/>
          <w:tab w:val="left" w:pos="2268"/>
        </w:tabs>
        <w:spacing w:before="120"/>
        <w:ind w:left="2269" w:hanging="851"/>
        <w:rPr>
          <w:snapToGrid w:val="0"/>
        </w:rPr>
      </w:pPr>
      <w:r>
        <w:rPr>
          <w:snapToGrid w:val="0"/>
        </w:rPr>
        <w:t>122D.</w:t>
      </w:r>
      <w:r>
        <w:rPr>
          <w:snapToGrid w:val="0"/>
        </w:rPr>
        <w:tab/>
        <w:t>Effect of caveat</w:t>
      </w:r>
    </w:p>
    <w:p>
      <w:pPr>
        <w:pStyle w:val="nzSubsection"/>
        <w:tabs>
          <w:tab w:val="clear" w:pos="1162"/>
          <w:tab w:val="clear" w:pos="1446"/>
          <w:tab w:val="left" w:pos="1843"/>
          <w:tab w:val="left" w:pos="2268"/>
          <w:tab w:val="left" w:pos="6237"/>
        </w:tabs>
        <w:ind w:left="2268" w:right="861" w:hanging="850"/>
        <w:rPr>
          <w:snapToGrid w:val="0"/>
        </w:rPr>
      </w:pPr>
      <w:r>
        <w:rPr>
          <w:snapToGrid w:val="0"/>
        </w:rPr>
        <w:tab/>
        <w:t>(1)</w:t>
      </w:r>
      <w:r>
        <w:rPr>
          <w:snapToGrid w:val="0"/>
        </w:rPr>
        <w:tab/>
        <w:t>A dealing or surrender affecting the subject matter of a caveat shall not be registered under section 103C while the caveat remains in force, except with the consent of a warden.</w:t>
      </w:r>
    </w:p>
    <w:p>
      <w:pPr>
        <w:pStyle w:val="nzSubsection"/>
        <w:tabs>
          <w:tab w:val="clear" w:pos="1162"/>
          <w:tab w:val="clear" w:pos="1446"/>
          <w:tab w:val="left" w:pos="1843"/>
          <w:tab w:val="left" w:pos="2268"/>
          <w:tab w:val="left" w:pos="6237"/>
        </w:tabs>
        <w:ind w:left="2268" w:right="861" w:hanging="850"/>
        <w:rPr>
          <w:snapToGrid w:val="0"/>
        </w:rPr>
      </w:pPr>
      <w:r>
        <w:rPr>
          <w:snapToGrid w:val="0"/>
        </w:rPr>
        <w:tab/>
        <w:t>(2)</w:t>
      </w:r>
      <w:r>
        <w:rPr>
          <w:snapToGrid w:val="0"/>
        </w:rPr>
        <w:tab/>
        <w:t xml:space="preserve">Subsection (1) does not apply to a dealing if — </w:t>
      </w:r>
    </w:p>
    <w:p>
      <w:pPr>
        <w:pStyle w:val="nzSubsection"/>
        <w:tabs>
          <w:tab w:val="clear" w:pos="1162"/>
          <w:tab w:val="right" w:pos="2694"/>
          <w:tab w:val="left" w:pos="6237"/>
        </w:tabs>
        <w:ind w:left="2977" w:right="861" w:hanging="992"/>
        <w:rPr>
          <w:snapToGrid w:val="0"/>
        </w:rPr>
      </w:pPr>
      <w:r>
        <w:rPr>
          <w:snapToGrid w:val="0"/>
        </w:rPr>
        <w:tab/>
        <w:t>(a)</w:t>
      </w:r>
      <w:r>
        <w:rPr>
          <w:snapToGrid w:val="0"/>
        </w:rPr>
        <w:tab/>
        <w:t>the caveat concerned is a subject to claim caveat; and</w:t>
      </w:r>
    </w:p>
    <w:p>
      <w:pPr>
        <w:pStyle w:val="nzSubsection"/>
        <w:tabs>
          <w:tab w:val="clear" w:pos="1162"/>
          <w:tab w:val="right" w:pos="2694"/>
          <w:tab w:val="left" w:pos="6237"/>
        </w:tabs>
        <w:ind w:left="2977" w:right="861" w:hanging="992"/>
        <w:rPr>
          <w:snapToGrid w:val="0"/>
        </w:rPr>
      </w:pPr>
      <w:r>
        <w:rPr>
          <w:snapToGrid w:val="0"/>
        </w:rPr>
        <w:tab/>
        <w:t>(b)</w:t>
      </w:r>
      <w:r>
        <w:rPr>
          <w:snapToGrid w:val="0"/>
        </w:rPr>
        <w:tab/>
        <w:t>the dealing is expressed to be subject to the interest claimed by the caveator.</w:t>
      </w:r>
    </w:p>
    <w:p>
      <w:pPr>
        <w:pStyle w:val="nzSubsection"/>
        <w:tabs>
          <w:tab w:val="clear" w:pos="1162"/>
          <w:tab w:val="clear" w:pos="1446"/>
          <w:tab w:val="left" w:pos="1843"/>
          <w:tab w:val="left" w:pos="2268"/>
          <w:tab w:val="left" w:pos="6237"/>
        </w:tabs>
        <w:ind w:left="2268" w:right="861" w:hanging="850"/>
        <w:rPr>
          <w:i/>
          <w:snapToGrid w:val="0"/>
        </w:rPr>
      </w:pPr>
      <w:r>
        <w:rPr>
          <w:i/>
        </w:rPr>
        <w:tab/>
      </w:r>
      <w:r>
        <w:rPr>
          <w:i/>
        </w:rPr>
        <w:tab/>
        <w:t>[Section 122D amended by No. 39 of 2004 s. 104(c).]</w:t>
      </w:r>
    </w:p>
    <w:p>
      <w:pPr>
        <w:pStyle w:val="nzHeading5"/>
        <w:tabs>
          <w:tab w:val="clear" w:pos="1446"/>
          <w:tab w:val="left" w:pos="1418"/>
          <w:tab w:val="left" w:pos="2268"/>
        </w:tabs>
        <w:spacing w:before="120"/>
        <w:ind w:left="2269" w:hanging="851"/>
        <w:rPr>
          <w:snapToGrid w:val="0"/>
        </w:rPr>
      </w:pPr>
      <w:r>
        <w:rPr>
          <w:snapToGrid w:val="0"/>
        </w:rPr>
        <w:t>122E.</w:t>
      </w:r>
      <w:r>
        <w:rPr>
          <w:snapToGrid w:val="0"/>
        </w:rPr>
        <w:tab/>
        <w:t>Duration of caveat</w:t>
      </w:r>
    </w:p>
    <w:p>
      <w:pPr>
        <w:pStyle w:val="nzSubsection"/>
        <w:keepNext/>
        <w:tabs>
          <w:tab w:val="clear" w:pos="1162"/>
          <w:tab w:val="clear" w:pos="1446"/>
          <w:tab w:val="left" w:pos="1843"/>
          <w:tab w:val="left" w:pos="2268"/>
          <w:tab w:val="left" w:pos="6237"/>
        </w:tabs>
        <w:ind w:left="2268" w:right="861" w:hanging="850"/>
        <w:rPr>
          <w:snapToGrid w:val="0"/>
        </w:rPr>
      </w:pPr>
      <w:r>
        <w:rPr>
          <w:snapToGrid w:val="0"/>
        </w:rPr>
        <w:tab/>
        <w:t>(1)</w:t>
      </w:r>
      <w:r>
        <w:rPr>
          <w:snapToGrid w:val="0"/>
        </w:rPr>
        <w:tab/>
        <w:t xml:space="preserve">An absolute caveat or a subject to claim caveat ceases to have effect upon — </w:t>
      </w:r>
    </w:p>
    <w:p>
      <w:pPr>
        <w:pStyle w:val="nzSubsection"/>
        <w:tabs>
          <w:tab w:val="clear" w:pos="1162"/>
          <w:tab w:val="right" w:pos="2694"/>
          <w:tab w:val="left" w:pos="6237"/>
        </w:tabs>
        <w:ind w:left="2977" w:right="861" w:hanging="992"/>
        <w:rPr>
          <w:snapToGrid w:val="0"/>
        </w:rPr>
      </w:pPr>
      <w:r>
        <w:rPr>
          <w:snapToGrid w:val="0"/>
        </w:rPr>
        <w:tab/>
        <w:t>(a)</w:t>
      </w:r>
      <w:r>
        <w:rPr>
          <w:snapToGrid w:val="0"/>
        </w:rPr>
        <w:tab/>
        <w:t>the direction of a warden for the removal of the caveat;</w:t>
      </w:r>
    </w:p>
    <w:p>
      <w:pPr>
        <w:pStyle w:val="nzSubsection"/>
        <w:tabs>
          <w:tab w:val="clear" w:pos="1162"/>
          <w:tab w:val="right" w:pos="2694"/>
          <w:tab w:val="left" w:pos="6237"/>
        </w:tabs>
        <w:ind w:left="2977" w:right="861" w:hanging="992"/>
        <w:rPr>
          <w:snapToGrid w:val="0"/>
        </w:rPr>
      </w:pPr>
      <w:r>
        <w:rPr>
          <w:snapToGrid w:val="0"/>
        </w:rPr>
        <w:tab/>
        <w:t>(b)</w:t>
      </w:r>
      <w:r>
        <w:rPr>
          <w:snapToGrid w:val="0"/>
        </w:rPr>
        <w:tab/>
        <w:t>the withdrawal of the caveat by the caveator or an agent of the caveator; or</w:t>
      </w:r>
    </w:p>
    <w:p>
      <w:pPr>
        <w:pStyle w:val="nzSubsection"/>
        <w:tabs>
          <w:tab w:val="clear" w:pos="1162"/>
          <w:tab w:val="right" w:pos="2694"/>
          <w:tab w:val="left" w:pos="6237"/>
        </w:tabs>
        <w:ind w:left="2977" w:right="861" w:hanging="992"/>
        <w:rPr>
          <w:snapToGrid w:val="0"/>
        </w:rPr>
      </w:pPr>
      <w:r>
        <w:rPr>
          <w:snapToGrid w:val="0"/>
        </w:rPr>
        <w:tab/>
        <w:t>(c)</w:t>
      </w:r>
      <w:r>
        <w:rPr>
          <w:snapToGrid w:val="0"/>
        </w:rPr>
        <w:tab/>
        <w:t xml:space="preserve">the expiry of a period of 14 days after notification that — </w:t>
      </w:r>
    </w:p>
    <w:p>
      <w:pPr>
        <w:pStyle w:val="nzIndenti"/>
        <w:tabs>
          <w:tab w:val="clear" w:pos="2608"/>
          <w:tab w:val="clear" w:pos="2892"/>
          <w:tab w:val="right" w:pos="3261"/>
          <w:tab w:val="left" w:pos="3544"/>
        </w:tabs>
        <w:ind w:left="3544" w:hanging="1503"/>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nzIndenti"/>
        <w:tabs>
          <w:tab w:val="clear" w:pos="2608"/>
          <w:tab w:val="clear" w:pos="2892"/>
          <w:tab w:val="right" w:pos="3261"/>
          <w:tab w:val="left" w:pos="3544"/>
        </w:tabs>
        <w:ind w:left="3544" w:hanging="1503"/>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nzSubsection"/>
        <w:tabs>
          <w:tab w:val="clear" w:pos="1162"/>
          <w:tab w:val="right" w:pos="2694"/>
          <w:tab w:val="left" w:pos="6237"/>
        </w:tabs>
        <w:ind w:left="2977" w:right="861" w:hanging="992"/>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nzSubsection"/>
        <w:tabs>
          <w:tab w:val="clear" w:pos="1162"/>
          <w:tab w:val="clear" w:pos="1446"/>
          <w:tab w:val="left" w:pos="1843"/>
          <w:tab w:val="left" w:pos="2268"/>
          <w:tab w:val="left" w:pos="6237"/>
        </w:tabs>
        <w:ind w:left="2268" w:right="861" w:hanging="850"/>
        <w:rPr>
          <w:snapToGrid w:val="0"/>
        </w:rPr>
      </w:pPr>
      <w:r>
        <w:rPr>
          <w:snapToGrid w:val="0"/>
        </w:rPr>
        <w:tab/>
        <w:t>(2)</w:t>
      </w:r>
      <w:r>
        <w:rPr>
          <w:snapToGrid w:val="0"/>
        </w:rPr>
        <w:tab/>
        <w:t xml:space="preserve">A consent caveat ceases to have effect upon — </w:t>
      </w:r>
    </w:p>
    <w:p>
      <w:pPr>
        <w:pStyle w:val="nzSubsection"/>
        <w:tabs>
          <w:tab w:val="clear" w:pos="1162"/>
          <w:tab w:val="right" w:pos="2694"/>
          <w:tab w:val="left" w:pos="6237"/>
        </w:tabs>
        <w:ind w:left="2977" w:right="861" w:hanging="992"/>
        <w:rPr>
          <w:snapToGrid w:val="0"/>
        </w:rPr>
      </w:pPr>
      <w:r>
        <w:rPr>
          <w:snapToGrid w:val="0"/>
        </w:rPr>
        <w:tab/>
        <w:t>(a)</w:t>
      </w:r>
      <w:r>
        <w:rPr>
          <w:snapToGrid w:val="0"/>
        </w:rPr>
        <w:tab/>
        <w:t>the direction of a warden for the removal of the caveat;</w:t>
      </w:r>
    </w:p>
    <w:p>
      <w:pPr>
        <w:pStyle w:val="nzSubsection"/>
        <w:tabs>
          <w:tab w:val="clear" w:pos="1162"/>
          <w:tab w:val="right" w:pos="2694"/>
          <w:tab w:val="left" w:pos="6237"/>
        </w:tabs>
        <w:ind w:left="2977" w:right="861" w:hanging="992"/>
        <w:rPr>
          <w:snapToGrid w:val="0"/>
        </w:rPr>
      </w:pPr>
      <w:r>
        <w:rPr>
          <w:snapToGrid w:val="0"/>
        </w:rPr>
        <w:tab/>
        <w:t>(b)</w:t>
      </w:r>
      <w:r>
        <w:rPr>
          <w:snapToGrid w:val="0"/>
        </w:rPr>
        <w:tab/>
        <w:t>the withdrawal of the caveat by consent of the parties to the agreement; or</w:t>
      </w:r>
    </w:p>
    <w:p>
      <w:pPr>
        <w:pStyle w:val="nzSubsection"/>
        <w:tabs>
          <w:tab w:val="clear" w:pos="1162"/>
          <w:tab w:val="right" w:pos="2694"/>
          <w:tab w:val="left" w:pos="6237"/>
        </w:tabs>
        <w:ind w:left="2977" w:right="861" w:hanging="992"/>
        <w:rPr>
          <w:snapToGrid w:val="0"/>
        </w:rPr>
      </w:pPr>
      <w:r>
        <w:rPr>
          <w:snapToGrid w:val="0"/>
        </w:rPr>
        <w:tab/>
        <w:t>(c)</w:t>
      </w:r>
      <w:r>
        <w:rPr>
          <w:snapToGrid w:val="0"/>
        </w:rPr>
        <w:tab/>
        <w:t>the expiry of the period of time, if any, specified in the agreement.</w:t>
      </w:r>
    </w:p>
    <w:p>
      <w:pPr>
        <w:pStyle w:val="nzSubsection"/>
        <w:tabs>
          <w:tab w:val="clear" w:pos="1162"/>
          <w:tab w:val="clear" w:pos="1446"/>
          <w:tab w:val="left" w:pos="1843"/>
          <w:tab w:val="left" w:pos="2268"/>
          <w:tab w:val="left" w:pos="6237"/>
        </w:tabs>
        <w:ind w:left="2268" w:right="861" w:hanging="850"/>
        <w:rPr>
          <w:snapToGrid w:val="0"/>
        </w:rPr>
      </w:pPr>
      <w:r>
        <w:rPr>
          <w:snapToGrid w:val="0"/>
        </w:rPr>
        <w:tab/>
        <w:t>(3)</w:t>
      </w:r>
      <w:r>
        <w:rPr>
          <w:snapToGrid w:val="0"/>
        </w:rPr>
        <w:tab/>
        <w:t>If a caveat ceases to have effect under this section a memorial to that effect is to be entered in the register.</w:t>
      </w:r>
    </w:p>
    <w:p>
      <w:pPr>
        <w:pStyle w:val="nzSubsection"/>
        <w:tabs>
          <w:tab w:val="clear" w:pos="1162"/>
          <w:tab w:val="clear" w:pos="1446"/>
          <w:tab w:val="left" w:pos="1843"/>
          <w:tab w:val="left" w:pos="2268"/>
          <w:tab w:val="left" w:pos="6237"/>
        </w:tabs>
        <w:ind w:left="2268" w:right="861" w:hanging="850"/>
        <w:rPr>
          <w:snapToGrid w:val="0"/>
        </w:rPr>
      </w:pPr>
      <w:r>
        <w:rPr>
          <w:snapToGrid w:val="0"/>
        </w:rPr>
        <w:tab/>
        <w:t>(4)</w:t>
      </w:r>
      <w:r>
        <w:rPr>
          <w:snapToGrid w:val="0"/>
        </w:rPr>
        <w:tab/>
        <w:t xml:space="preserve">In subsection (2) — </w:t>
      </w:r>
    </w:p>
    <w:p>
      <w:pPr>
        <w:pStyle w:val="nzDefstart"/>
        <w:tabs>
          <w:tab w:val="clear" w:pos="1446"/>
          <w:tab w:val="left" w:pos="2268"/>
        </w:tabs>
        <w:ind w:left="2835" w:right="861" w:hanging="567"/>
      </w:pPr>
      <w:r>
        <w:rPr>
          <w:b/>
        </w:rPr>
        <w:t>“agreement”</w:t>
      </w:r>
      <w:r>
        <w:t xml:space="preserve"> means the agreement referred to in section 122A(2).</w:t>
      </w:r>
    </w:p>
    <w:p>
      <w:pPr>
        <w:pStyle w:val="nzSubsection"/>
        <w:tabs>
          <w:tab w:val="clear" w:pos="1162"/>
          <w:tab w:val="clear" w:pos="1446"/>
          <w:tab w:val="left" w:pos="1843"/>
          <w:tab w:val="left" w:pos="2268"/>
          <w:tab w:val="left" w:pos="6237"/>
        </w:tabs>
        <w:ind w:left="2268" w:right="861" w:hanging="850"/>
        <w:rPr>
          <w:i/>
        </w:rPr>
      </w:pPr>
      <w:r>
        <w:rPr>
          <w:i/>
        </w:rPr>
        <w:tab/>
      </w:r>
      <w:r>
        <w:rPr>
          <w:i/>
        </w:rPr>
        <w:tab/>
        <w:t>[Section 122E amended by No. 39 of 2004 s. 104(d)</w:t>
      </w:r>
      <w:r>
        <w:rPr>
          <w:i/>
        </w:rPr>
        <w:noBreakHyphen/>
        <w:t>(f).]</w:t>
      </w:r>
    </w:p>
    <w:p>
      <w:pPr>
        <w:pStyle w:val="MiscClose"/>
        <w:tabs>
          <w:tab w:val="left" w:pos="6521"/>
        </w:tabs>
        <w:ind w:right="577"/>
        <w:rPr>
          <w:snapToGrid w:val="0"/>
        </w:rPr>
      </w:pPr>
      <w:r>
        <w:rPr>
          <w:snapToGrid w:val="0"/>
        </w:rPr>
        <w:t>”.</w:t>
      </w:r>
    </w:p>
    <w:p>
      <w:pPr>
        <w:pStyle w:val="nzSubsection"/>
        <w:rPr>
          <w:i/>
          <w:snapToGrid w:val="0"/>
        </w:rPr>
      </w:pPr>
      <w:r>
        <w:tab/>
      </w:r>
      <w:r>
        <w:tab/>
      </w:r>
      <w:r>
        <w:rPr>
          <w:i/>
        </w:rPr>
        <w:t>[Section 18 amended by No. 39 of 2004 s. 104.]</w:t>
      </w:r>
    </w:p>
    <w:p>
      <w:pPr>
        <w:pStyle w:val="nzHeading5"/>
        <w:spacing w:before="220"/>
        <w:rPr>
          <w:snapToGrid w:val="0"/>
        </w:rPr>
      </w:pPr>
      <w:r>
        <w:rPr>
          <w:snapToGrid w:val="0"/>
        </w:rPr>
        <w:t>19.</w:t>
      </w:r>
      <w:r>
        <w:rPr>
          <w:snapToGrid w:val="0"/>
        </w:rPr>
        <w:tab/>
        <w:t>Section 143 amended</w:t>
      </w:r>
    </w:p>
    <w:p>
      <w:pPr>
        <w:pStyle w:val="nzSubsection"/>
        <w:rPr>
          <w:snapToGrid w:val="0"/>
        </w:rPr>
      </w:pPr>
      <w:r>
        <w:rPr>
          <w:snapToGrid w:val="0"/>
        </w:rPr>
        <w:tab/>
      </w:r>
      <w:r>
        <w:rPr>
          <w:snapToGrid w:val="0"/>
        </w:rPr>
        <w:tab/>
        <w:t xml:space="preserve">Section 143 of the principal Act is amended — </w:t>
      </w:r>
    </w:p>
    <w:p>
      <w:pPr>
        <w:pStyle w:val="nzIndenta"/>
        <w:rPr>
          <w:snapToGrid w:val="0"/>
        </w:rPr>
      </w:pPr>
      <w:r>
        <w:rPr>
          <w:snapToGrid w:val="0"/>
        </w:rPr>
        <w:tab/>
        <w:t>(a)</w:t>
      </w:r>
      <w:r>
        <w:rPr>
          <w:snapToGrid w:val="0"/>
        </w:rPr>
        <w:tab/>
        <w:t xml:space="preserve">by deleting “the warden” and substituting the following — </w:t>
      </w:r>
    </w:p>
    <w:p>
      <w:pPr>
        <w:pStyle w:val="nzIndenta"/>
        <w:rPr>
          <w:snapToGrid w:val="0"/>
        </w:rPr>
      </w:pPr>
      <w:r>
        <w:rPr>
          <w:snapToGrid w:val="0"/>
        </w:rPr>
        <w:tab/>
      </w:r>
      <w:r>
        <w:rPr>
          <w:snapToGrid w:val="0"/>
        </w:rPr>
        <w:tab/>
        <w:t>“    the party to whom the injunction is granted    ”;</w:t>
      </w:r>
    </w:p>
    <w:p>
      <w:pPr>
        <w:pStyle w:val="nzIndenta"/>
        <w:rPr>
          <w:snapToGrid w:val="0"/>
        </w:rPr>
      </w:pPr>
      <w:r>
        <w:rPr>
          <w:snapToGrid w:val="0"/>
        </w:rPr>
        <w:tab/>
      </w:r>
      <w:r>
        <w:rPr>
          <w:snapToGrid w:val="0"/>
        </w:rPr>
        <w:tab/>
        <w:t>and</w:t>
      </w:r>
    </w:p>
    <w:p>
      <w:pPr>
        <w:pStyle w:val="nzIndenta"/>
        <w:rPr>
          <w:snapToGrid w:val="0"/>
        </w:rPr>
      </w:pPr>
      <w:r>
        <w:rPr>
          <w:snapToGrid w:val="0"/>
        </w:rPr>
        <w:tab/>
        <w:t>(b)</w:t>
      </w:r>
      <w:r>
        <w:rPr>
          <w:snapToGrid w:val="0"/>
        </w:rPr>
        <w:tab/>
        <w:t>by deleting “kept in accordance with the regulations”.</w:t>
      </w:r>
    </w:p>
    <w:p>
      <w:pPr>
        <w:pStyle w:val="nzHeading5"/>
        <w:spacing w:before="220"/>
        <w:rPr>
          <w:snapToGrid w:val="0"/>
        </w:rPr>
      </w:pPr>
      <w:r>
        <w:rPr>
          <w:snapToGrid w:val="0"/>
        </w:rPr>
        <w:t>20.</w:t>
      </w:r>
      <w:r>
        <w:rPr>
          <w:snapToGrid w:val="0"/>
        </w:rPr>
        <w:tab/>
        <w:t>Section 145 amended</w:t>
      </w:r>
    </w:p>
    <w:p>
      <w:pPr>
        <w:pStyle w:val="nzSubsection"/>
        <w:rPr>
          <w:snapToGrid w:val="0"/>
        </w:rPr>
      </w:pPr>
      <w:r>
        <w:rPr>
          <w:snapToGrid w:val="0"/>
        </w:rPr>
        <w:tab/>
      </w:r>
      <w:r>
        <w:rPr>
          <w:snapToGrid w:val="0"/>
        </w:rPr>
        <w:tab/>
        <w:t xml:space="preserve">Section 145 of the principal Act is amended by deleting “in accordance with the regulations” and substituting the following — </w:t>
      </w:r>
    </w:p>
    <w:p>
      <w:pPr>
        <w:pStyle w:val="nzSubsection"/>
        <w:tabs>
          <w:tab w:val="left" w:pos="2268"/>
          <w:tab w:val="left" w:pos="6237"/>
        </w:tabs>
        <w:ind w:left="2694" w:right="861" w:hanging="1276"/>
        <w:rPr>
          <w:snapToGrid w:val="0"/>
        </w:rPr>
      </w:pPr>
      <w:r>
        <w:rPr>
          <w:snapToGrid w:val="0"/>
        </w:rPr>
        <w:t>“    under this Act    ”.</w:t>
      </w:r>
    </w:p>
    <w:p>
      <w:pPr>
        <w:pStyle w:val="nzHeading5"/>
        <w:spacing w:before="220"/>
        <w:rPr>
          <w:snapToGrid w:val="0"/>
        </w:rPr>
      </w:pPr>
      <w:r>
        <w:rPr>
          <w:snapToGrid w:val="0"/>
        </w:rPr>
        <w:t>21.</w:t>
      </w:r>
      <w:r>
        <w:rPr>
          <w:snapToGrid w:val="0"/>
        </w:rPr>
        <w:tab/>
        <w:t>Section 161 amended</w:t>
      </w:r>
    </w:p>
    <w:p>
      <w:pPr>
        <w:pStyle w:val="nzSubsection"/>
        <w:rPr>
          <w:snapToGrid w:val="0"/>
        </w:rPr>
      </w:pPr>
      <w:r>
        <w:rPr>
          <w:snapToGrid w:val="0"/>
        </w:rPr>
        <w:tab/>
      </w:r>
      <w:r>
        <w:rPr>
          <w:snapToGrid w:val="0"/>
        </w:rPr>
        <w:tab/>
        <w:t xml:space="preserve">Section 161(3) of the principal Act is repealed and the following subsection is substituted — </w:t>
      </w:r>
    </w:p>
    <w:p>
      <w:pPr>
        <w:pStyle w:val="MiscOpen"/>
        <w:rPr>
          <w:snapToGrid w:val="0"/>
        </w:rPr>
      </w:pPr>
      <w:r>
        <w:rPr>
          <w:snapToGrid w:val="0"/>
        </w:rPr>
        <w:tab/>
        <w:t>“</w:t>
      </w:r>
    </w:p>
    <w:p>
      <w:pPr>
        <w:pStyle w:val="nzSubsection"/>
        <w:tabs>
          <w:tab w:val="clear" w:pos="1162"/>
          <w:tab w:val="clear" w:pos="1446"/>
          <w:tab w:val="right" w:pos="1701"/>
          <w:tab w:val="left" w:pos="1985"/>
          <w:tab w:val="left" w:pos="6237"/>
        </w:tabs>
        <w:ind w:left="1985" w:right="861" w:hanging="1390"/>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MiscClose"/>
        <w:tabs>
          <w:tab w:val="left" w:pos="6521"/>
        </w:tabs>
        <w:ind w:right="577"/>
        <w:rPr>
          <w:snapToGrid w:val="0"/>
        </w:rPr>
      </w:pPr>
      <w:r>
        <w:rPr>
          <w:snapToGrid w:val="0"/>
        </w:rPr>
        <w:t>”.</w:t>
      </w:r>
    </w:p>
    <w:p>
      <w:pPr>
        <w:pStyle w:val="nzHeading5"/>
        <w:rPr>
          <w:snapToGrid w:val="0"/>
        </w:rPr>
      </w:pPr>
      <w:r>
        <w:rPr>
          <w:snapToGrid w:val="0"/>
        </w:rPr>
        <w:t>22.</w:t>
      </w:r>
      <w:r>
        <w:rPr>
          <w:snapToGrid w:val="0"/>
        </w:rPr>
        <w:tab/>
        <w:t>Section 162 amended</w:t>
      </w:r>
    </w:p>
    <w:p>
      <w:pPr>
        <w:pStyle w:val="nzSubsection"/>
        <w:rPr>
          <w:snapToGrid w:val="0"/>
        </w:rPr>
      </w:pPr>
      <w:r>
        <w:rPr>
          <w:snapToGrid w:val="0"/>
        </w:rPr>
        <w:tab/>
      </w:r>
      <w:r>
        <w:rPr>
          <w:snapToGrid w:val="0"/>
        </w:rPr>
        <w:tab/>
        <w:t xml:space="preserve">Section 162(2) of the principal Act is amended — </w:t>
      </w:r>
    </w:p>
    <w:p>
      <w:pPr>
        <w:pStyle w:val="nzIndenta"/>
        <w:rPr>
          <w:snapToGrid w:val="0"/>
        </w:rPr>
      </w:pPr>
      <w:r>
        <w:rPr>
          <w:snapToGrid w:val="0"/>
        </w:rPr>
        <w:tab/>
        <w:t>(a)</w:t>
      </w:r>
      <w:r>
        <w:rPr>
          <w:snapToGrid w:val="0"/>
        </w:rPr>
        <w:tab/>
        <w:t xml:space="preserve">in paragraph (l) — </w:t>
      </w:r>
    </w:p>
    <w:p>
      <w:pPr>
        <w:pStyle w:val="nzIndenti"/>
        <w:rPr>
          <w:snapToGrid w:val="0"/>
        </w:rPr>
      </w:pPr>
      <w:r>
        <w:rPr>
          <w:snapToGrid w:val="0"/>
        </w:rPr>
        <w:tab/>
        <w:t>(i)</w:t>
      </w:r>
      <w:r>
        <w:rPr>
          <w:snapToGrid w:val="0"/>
        </w:rPr>
        <w:tab/>
        <w:t>by deleting “the registration of mining tenements and documents affecting them, the keeping by prescribed persons of a register of mining tenements and”; and</w:t>
      </w:r>
    </w:p>
    <w:p>
      <w:pPr>
        <w:pStyle w:val="nzIndenti"/>
        <w:keepNext/>
        <w:rPr>
          <w:snapToGrid w:val="0"/>
        </w:rPr>
      </w:pPr>
      <w:r>
        <w:rPr>
          <w:snapToGrid w:val="0"/>
        </w:rPr>
        <w:tab/>
        <w:t>(ii)</w:t>
      </w:r>
      <w:r>
        <w:rPr>
          <w:snapToGrid w:val="0"/>
        </w:rPr>
        <w:tab/>
        <w:t xml:space="preserve">by inserting after “kept by” the following — </w:t>
      </w:r>
    </w:p>
    <w:p>
      <w:pPr>
        <w:pStyle w:val="nzIndenti"/>
        <w:rPr>
          <w:snapToGrid w:val="0"/>
        </w:rPr>
      </w:pPr>
      <w:r>
        <w:rPr>
          <w:snapToGrid w:val="0"/>
        </w:rPr>
        <w:tab/>
      </w:r>
      <w:r>
        <w:rPr>
          <w:snapToGrid w:val="0"/>
        </w:rPr>
        <w:tab/>
        <w:t>“    a warden,    ”;</w:t>
      </w:r>
    </w:p>
    <w:p>
      <w:pPr>
        <w:pStyle w:val="nzIndenta"/>
        <w:rPr>
          <w:snapToGrid w:val="0"/>
        </w:rPr>
      </w:pPr>
      <w:r>
        <w:rPr>
          <w:snapToGrid w:val="0"/>
        </w:rPr>
        <w:t xml:space="preserve"> </w:t>
      </w:r>
      <w:r>
        <w:rPr>
          <w:snapToGrid w:val="0"/>
        </w:rPr>
        <w:tab/>
        <w:t>(b)</w:t>
      </w:r>
      <w:r>
        <w:rPr>
          <w:snapToGrid w:val="0"/>
        </w:rPr>
        <w:tab/>
        <w:t xml:space="preserve">by inserting after paragraph (q) the following paragraph — </w:t>
      </w:r>
    </w:p>
    <w:p>
      <w:pPr>
        <w:pStyle w:val="MiscOpen"/>
        <w:rPr>
          <w:snapToGrid w:val="0"/>
        </w:rPr>
      </w:pPr>
      <w:r>
        <w:rPr>
          <w:snapToGrid w:val="0"/>
        </w:rPr>
        <w:tab/>
      </w:r>
      <w:r>
        <w:rPr>
          <w:snapToGrid w:val="0"/>
        </w:rPr>
        <w:tab/>
      </w:r>
      <w:r>
        <w:rPr>
          <w:snapToGrid w:val="0"/>
        </w:rPr>
        <w:tab/>
        <w:t>“</w:t>
      </w:r>
    </w:p>
    <w:p>
      <w:pPr>
        <w:pStyle w:val="nzIndenta"/>
        <w:tabs>
          <w:tab w:val="clear" w:pos="1899"/>
          <w:tab w:val="clear" w:pos="2183"/>
          <w:tab w:val="right" w:pos="2977"/>
          <w:tab w:val="left" w:pos="3261"/>
          <w:tab w:val="left" w:pos="6237"/>
        </w:tabs>
        <w:ind w:left="3261" w:right="861" w:hanging="1929"/>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MiscClose"/>
        <w:tabs>
          <w:tab w:val="left" w:pos="6521"/>
        </w:tabs>
        <w:ind w:right="577"/>
        <w:rPr>
          <w:snapToGrid w:val="0"/>
        </w:rPr>
      </w:pPr>
      <w:r>
        <w:rPr>
          <w:snapToGrid w:val="0"/>
        </w:rPr>
        <w:t>”;</w:t>
      </w:r>
    </w:p>
    <w:p>
      <w:pPr>
        <w:pStyle w:val="nzIndenta"/>
        <w:rPr>
          <w:snapToGrid w:val="0"/>
        </w:rPr>
      </w:pPr>
      <w:r>
        <w:rPr>
          <w:snapToGrid w:val="0"/>
        </w:rPr>
        <w:tab/>
        <w:t>(c)</w:t>
      </w:r>
      <w:r>
        <w:rPr>
          <w:snapToGrid w:val="0"/>
        </w:rPr>
        <w:tab/>
        <w:t xml:space="preserve">in paragraph (u) — </w:t>
      </w:r>
    </w:p>
    <w:p>
      <w:pPr>
        <w:pStyle w:val="nzIndenti"/>
        <w:rPr>
          <w:snapToGrid w:val="0"/>
        </w:rPr>
      </w:pPr>
      <w:r>
        <w:rPr>
          <w:snapToGrid w:val="0"/>
        </w:rPr>
        <w:tab/>
        <w:t>(i)</w:t>
      </w:r>
      <w:r>
        <w:rPr>
          <w:snapToGrid w:val="0"/>
        </w:rPr>
        <w:tab/>
        <w:t xml:space="preserve">by deleting “regulating” and substituting the following — </w:t>
      </w:r>
    </w:p>
    <w:p>
      <w:pPr>
        <w:pStyle w:val="nzIndenti"/>
        <w:rPr>
          <w:snapToGrid w:val="0"/>
        </w:rPr>
      </w:pPr>
      <w:r>
        <w:rPr>
          <w:snapToGrid w:val="0"/>
        </w:rPr>
        <w:tab/>
      </w:r>
      <w:r>
        <w:rPr>
          <w:snapToGrid w:val="0"/>
        </w:rPr>
        <w:tab/>
        <w:t>“    regulate    ”; and</w:t>
      </w:r>
    </w:p>
    <w:p>
      <w:pPr>
        <w:pStyle w:val="nzIndenti"/>
        <w:rPr>
          <w:snapToGrid w:val="0"/>
        </w:rPr>
      </w:pPr>
      <w:r>
        <w:rPr>
          <w:snapToGrid w:val="0"/>
        </w:rPr>
        <w:tab/>
        <w:t>(ii)</w:t>
      </w:r>
      <w:r>
        <w:rPr>
          <w:snapToGrid w:val="0"/>
        </w:rPr>
        <w:tab/>
        <w:t xml:space="preserve">by deleting “imposing” and substituting the following — </w:t>
      </w:r>
    </w:p>
    <w:p>
      <w:pPr>
        <w:pStyle w:val="nzIndenti"/>
        <w:rPr>
          <w:snapToGrid w:val="0"/>
        </w:rPr>
      </w:pPr>
      <w:r>
        <w:rPr>
          <w:snapToGrid w:val="0"/>
        </w:rPr>
        <w:tab/>
      </w:r>
      <w:r>
        <w:rPr>
          <w:snapToGrid w:val="0"/>
        </w:rPr>
        <w:tab/>
        <w:t>“    impose    ”;</w:t>
      </w:r>
    </w:p>
    <w:p>
      <w:pPr>
        <w:pStyle w:val="nzIndenta"/>
        <w:rPr>
          <w:snapToGrid w:val="0"/>
        </w:rPr>
      </w:pPr>
      <w:r>
        <w:rPr>
          <w:snapToGrid w:val="0"/>
        </w:rPr>
        <w:tab/>
        <w:t>(d)</w:t>
      </w:r>
      <w:r>
        <w:rPr>
          <w:snapToGrid w:val="0"/>
        </w:rPr>
        <w:tab/>
        <w:t xml:space="preserve">in paragraph (v) by deleting “providing” in both places where it occurs and substituting in each place the following — </w:t>
      </w:r>
    </w:p>
    <w:p>
      <w:pPr>
        <w:pStyle w:val="nzIndenta"/>
        <w:rPr>
          <w:snapToGrid w:val="0"/>
        </w:rPr>
      </w:pPr>
      <w:r>
        <w:rPr>
          <w:snapToGrid w:val="0"/>
        </w:rPr>
        <w:tab/>
      </w:r>
      <w:r>
        <w:rPr>
          <w:snapToGrid w:val="0"/>
        </w:rPr>
        <w:tab/>
        <w:t>“    provide    ”;</w:t>
      </w:r>
    </w:p>
    <w:p>
      <w:pPr>
        <w:pStyle w:val="nzIndenta"/>
        <w:rPr>
          <w:snapToGrid w:val="0"/>
        </w:rPr>
      </w:pPr>
      <w:r>
        <w:rPr>
          <w:snapToGrid w:val="0"/>
        </w:rPr>
        <w:tab/>
        <w:t>(e)</w:t>
      </w:r>
      <w:r>
        <w:rPr>
          <w:snapToGrid w:val="0"/>
        </w:rPr>
        <w:tab/>
        <w:t xml:space="preserve">in paragraph (w) by deleting “providing” and substituting the following — </w:t>
      </w:r>
    </w:p>
    <w:p>
      <w:pPr>
        <w:pStyle w:val="nzIndenta"/>
        <w:rPr>
          <w:snapToGrid w:val="0"/>
        </w:rPr>
      </w:pPr>
      <w:r>
        <w:rPr>
          <w:snapToGrid w:val="0"/>
        </w:rPr>
        <w:tab/>
      </w:r>
      <w:r>
        <w:rPr>
          <w:snapToGrid w:val="0"/>
        </w:rPr>
        <w:tab/>
        <w:t>“    provide    ”;</w:t>
      </w:r>
    </w:p>
    <w:p>
      <w:pPr>
        <w:pStyle w:val="nzIndenta"/>
        <w:rPr>
          <w:snapToGrid w:val="0"/>
        </w:rPr>
      </w:pPr>
      <w:r>
        <w:rPr>
          <w:snapToGrid w:val="0"/>
        </w:rPr>
        <w:tab/>
        <w:t>(f)</w:t>
      </w:r>
      <w:r>
        <w:rPr>
          <w:snapToGrid w:val="0"/>
        </w:rPr>
        <w:tab/>
        <w:t xml:space="preserve">in paragraph (x) by deleting “authorising and regulating” and substituting the following — </w:t>
      </w:r>
    </w:p>
    <w:p>
      <w:pPr>
        <w:pStyle w:val="nzIndenta"/>
        <w:rPr>
          <w:snapToGrid w:val="0"/>
        </w:rPr>
      </w:pPr>
      <w:r>
        <w:rPr>
          <w:snapToGrid w:val="0"/>
        </w:rPr>
        <w:tab/>
      </w:r>
      <w:r>
        <w:rPr>
          <w:snapToGrid w:val="0"/>
        </w:rPr>
        <w:tab/>
        <w:t>“    authorise and regulate    ”; and</w:t>
      </w:r>
    </w:p>
    <w:p>
      <w:pPr>
        <w:pStyle w:val="nzIndenta"/>
        <w:rPr>
          <w:snapToGrid w:val="0"/>
        </w:rPr>
      </w:pPr>
      <w:r>
        <w:rPr>
          <w:snapToGrid w:val="0"/>
        </w:rPr>
        <w:tab/>
        <w:t>(g)</w:t>
      </w:r>
      <w:r>
        <w:rPr>
          <w:snapToGrid w:val="0"/>
        </w:rPr>
        <w:tab/>
        <w:t xml:space="preserve">in paragraph (y) by deleting “prescribing and regulating” and substituting the following — </w:t>
      </w:r>
    </w:p>
    <w:p>
      <w:pPr>
        <w:pStyle w:val="nzIndenta"/>
        <w:rPr>
          <w:snapToGrid w:val="0"/>
        </w:rPr>
      </w:pPr>
      <w:r>
        <w:rPr>
          <w:snapToGrid w:val="0"/>
        </w:rPr>
        <w:tab/>
      </w:r>
      <w:r>
        <w:rPr>
          <w:snapToGrid w:val="0"/>
        </w:rPr>
        <w:tab/>
        <w:t>“    prescribe and regulate    ”.</w:t>
      </w:r>
    </w:p>
    <w:p>
      <w:pPr>
        <w:pStyle w:val="MiscClose"/>
        <w:rPr>
          <w:snapToGrid w:val="0"/>
        </w:rPr>
      </w:pPr>
      <w:r>
        <w:rPr>
          <w:snapToGrid w:val="0"/>
        </w:rPr>
        <w:t>”.</w:t>
      </w:r>
    </w:p>
    <w:p>
      <w:pPr>
        <w:pStyle w:val="nSubsection"/>
        <w:keepNext/>
        <w:keepLines/>
        <w:spacing w:before="120"/>
        <w:rPr>
          <w:snapToGrid w:val="0"/>
        </w:rPr>
      </w:pPr>
      <w:r>
        <w:rPr>
          <w:snapToGrid w:val="0"/>
          <w:vertAlign w:val="superscript"/>
        </w:rPr>
        <w:t>15</w:t>
      </w:r>
      <w:r>
        <w:rPr>
          <w:snapToGrid w:val="0"/>
        </w:rPr>
        <w:tab/>
        <w:t xml:space="preserve">The </w:t>
      </w:r>
      <w:r>
        <w:rPr>
          <w:i/>
          <w:snapToGrid w:val="0"/>
        </w:rPr>
        <w:t xml:space="preserve">Mining Amendment Act 1998 </w:t>
      </w:r>
      <w:r>
        <w:rPr>
          <w:snapToGrid w:val="0"/>
        </w:rPr>
        <w:t>s. 4(3) reads as follows:</w:t>
      </w:r>
    </w:p>
    <w:p>
      <w:pPr>
        <w:pStyle w:val="MiscOpen"/>
        <w:rPr>
          <w:snapToGrid w:val="0"/>
        </w:rPr>
      </w:pPr>
      <w:r>
        <w:rPr>
          <w:snapToGrid w:val="0"/>
        </w:rPr>
        <w:t>“</w:t>
      </w:r>
    </w:p>
    <w:p>
      <w:pPr>
        <w:pStyle w:val="nzSubsection"/>
        <w:spacing w:before="12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MiscClose"/>
        <w:rPr>
          <w:snapToGrid w:val="0"/>
        </w:rPr>
      </w:pPr>
      <w:r>
        <w:rPr>
          <w:snapToGrid w:val="0"/>
        </w:rPr>
        <w:t>”.</w:t>
      </w:r>
    </w:p>
    <w:p>
      <w:pPr>
        <w:pStyle w:val="nSubsection"/>
        <w:keepNext/>
        <w:rPr>
          <w:snapToGrid w:val="0"/>
        </w:rPr>
      </w:pPr>
      <w:r>
        <w:rPr>
          <w:snapToGrid w:val="0"/>
          <w:vertAlign w:val="superscript"/>
        </w:rPr>
        <w:t>16</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rPr>
          <w:snapToGrid w:val="0"/>
        </w:rPr>
      </w:pPr>
      <w:r>
        <w:rPr>
          <w:snapToGrid w:val="0"/>
        </w:rPr>
        <w:t>Schedule 2, Division 5 reads as follows:</w:t>
      </w:r>
    </w:p>
    <w:p>
      <w:pPr>
        <w:pStyle w:val="MiscOpen"/>
        <w:tabs>
          <w:tab w:val="clear" w:pos="893"/>
        </w:tabs>
        <w:rPr>
          <w:snapToGrid w:val="0"/>
        </w:rPr>
      </w:pPr>
      <w:r>
        <w:rPr>
          <w:snapToGrid w:val="0"/>
        </w:rPr>
        <w:t>“</w:t>
      </w:r>
    </w:p>
    <w:p>
      <w:pPr>
        <w:pStyle w:val="nzHeading3"/>
        <w:rPr>
          <w:snapToGrid w:val="0"/>
        </w:rPr>
      </w:pPr>
      <w:bookmarkStart w:id="1205" w:name="_Toc523620955"/>
      <w:r>
        <w:rPr>
          <w:snapToGrid w:val="0"/>
        </w:rPr>
        <w:t>Division 5 — Mining Act 1978</w:t>
      </w:r>
      <w:bookmarkEnd w:id="1205"/>
      <w:r>
        <w:rPr>
          <w:snapToGrid w:val="0"/>
        </w:rPr>
        <w:t xml:space="preserve"> </w:t>
      </w:r>
    </w:p>
    <w:p>
      <w:pPr>
        <w:pStyle w:val="nzHeading5"/>
        <w:rPr>
          <w:snapToGrid w:val="0"/>
        </w:rPr>
      </w:pPr>
      <w:bookmarkStart w:id="1206" w:name="_Toc465061836"/>
      <w:bookmarkStart w:id="1207" w:name="_Toc465760625"/>
      <w:bookmarkStart w:id="1208" w:name="_Toc469927473"/>
      <w:r>
        <w:t>35.</w:t>
      </w:r>
      <w:r>
        <w:tab/>
      </w:r>
      <w:r>
        <w:rPr>
          <w:snapToGrid w:val="0"/>
        </w:rPr>
        <w:t>The Act amended</w:t>
      </w:r>
      <w:bookmarkEnd w:id="1206"/>
      <w:bookmarkEnd w:id="1207"/>
      <w:bookmarkEnd w:id="1208"/>
      <w:r>
        <w:rPr>
          <w:snapToGrid w:val="0"/>
        </w:rPr>
        <w:t xml:space="preserve"> </w:t>
      </w:r>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rPr>
          <w:snapToGrid w:val="0"/>
        </w:rPr>
      </w:pPr>
      <w:bookmarkStart w:id="1209" w:name="_Toc465061837"/>
      <w:bookmarkStart w:id="1210" w:name="_Toc465760626"/>
      <w:bookmarkStart w:id="1211" w:name="_Toc469927474"/>
      <w:r>
        <w:rPr>
          <w:snapToGrid w:val="0"/>
        </w:rPr>
        <w:t>36.</w:t>
      </w:r>
      <w:r>
        <w:rPr>
          <w:snapToGrid w:val="0"/>
        </w:rPr>
        <w:tab/>
        <w:t>Section 19 amended</w:t>
      </w:r>
      <w:bookmarkEnd w:id="1209"/>
      <w:bookmarkEnd w:id="1210"/>
      <w:bookmarkEnd w:id="1211"/>
      <w:r>
        <w:rPr>
          <w:snapToGrid w:val="0"/>
        </w:rPr>
        <w:t xml:space="preserve"> </w:t>
      </w:r>
    </w:p>
    <w:p>
      <w:pPr>
        <w:pStyle w:val="nzSubsection"/>
        <w:rPr>
          <w:snapToGrid w:val="0"/>
        </w:rPr>
      </w:pPr>
      <w:r>
        <w:rPr>
          <w:snapToGrid w:val="0"/>
        </w:rPr>
        <w:tab/>
        <w:t>(1)</w:t>
      </w:r>
      <w:r>
        <w:rPr>
          <w:snapToGrid w:val="0"/>
        </w:rPr>
        <w:tab/>
        <w:t>Section 19(6)(a) is amended by inserting immediately before “grant” the following —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rPr>
          <w:snapToGrid w:val="0"/>
        </w:rPr>
      </w:pPr>
      <w:r>
        <w:rPr>
          <w:snapToGrid w:val="0"/>
        </w:rPr>
        <w:tab/>
        <w:t>(2)</w:t>
      </w:r>
      <w:r>
        <w:rPr>
          <w:snapToGrid w:val="0"/>
        </w:rPr>
        <w:tab/>
        <w:t>After section 19(6) the following subsection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bookmarkStart w:id="1212" w:name="_Toc465061838"/>
      <w:bookmarkStart w:id="1213" w:name="_Toc465760627"/>
      <w:bookmarkStart w:id="1214" w:name="_Toc469927475"/>
      <w:r>
        <w:rPr>
          <w:snapToGrid w:val="0"/>
        </w:rPr>
        <w:t>37.</w:t>
      </w:r>
      <w:r>
        <w:rPr>
          <w:snapToGrid w:val="0"/>
        </w:rPr>
        <w:tab/>
        <w:t>Section 39A inserted</w:t>
      </w:r>
      <w:bookmarkEnd w:id="1212"/>
      <w:bookmarkEnd w:id="1213"/>
      <w:bookmarkEnd w:id="1214"/>
      <w:r>
        <w:rPr>
          <w:snapToGrid w:val="0"/>
        </w:rPr>
        <w:t xml:space="preserve"> </w:t>
      </w:r>
    </w:p>
    <w:p>
      <w:pPr>
        <w:pStyle w:val="nzSubsection"/>
        <w:keepNext/>
        <w:rPr>
          <w:snapToGrid w:val="0"/>
        </w:rPr>
      </w:pPr>
      <w:r>
        <w:rPr>
          <w:snapToGrid w:val="0"/>
        </w:rPr>
        <w:tab/>
      </w:r>
      <w:r>
        <w:rPr>
          <w:snapToGrid w:val="0"/>
        </w:rPr>
        <w:tab/>
        <w:t>Immediately before section 40 the following section is inserted — </w:t>
      </w:r>
    </w:p>
    <w:p>
      <w:pPr>
        <w:pStyle w:val="nzMiscellaneousBody"/>
        <w:keepNext/>
        <w:tabs>
          <w:tab w:val="left" w:pos="1134"/>
          <w:tab w:val="left" w:pos="1560"/>
        </w:tabs>
        <w:rPr>
          <w:snapToGrid w:val="0"/>
        </w:rPr>
      </w:pPr>
      <w:r>
        <w:rPr>
          <w:snapToGrid w:val="0"/>
        </w:rPr>
        <w:t xml:space="preserve">“    </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1215" w:name="_Hlt464965881"/>
      <w:r>
        <w:rPr>
          <w:snapToGrid w:val="0"/>
        </w:rPr>
        <w:t>3</w:t>
      </w:r>
      <w:bookmarkEnd w:id="1215"/>
      <w:r>
        <w:rPr>
          <w:snapToGrid w:val="0"/>
        </w:rPr>
        <w:t xml:space="preserve">, as the case may be, of the </w:t>
      </w:r>
      <w:r>
        <w:rPr>
          <w:i/>
          <w:snapToGrid w:val="0"/>
        </w:rPr>
        <w:t>Native Title (State Provisions) Act 1999</w:t>
      </w:r>
      <w:r>
        <w:rPr>
          <w:snapToGrid w:val="0"/>
        </w:rPr>
        <w:t xml:space="preserve"> where —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1216" w:name="_Hlt464961273"/>
      <w:r>
        <w:rPr>
          <w:snapToGrid w:val="0"/>
        </w:rPr>
        <w:t>11</w:t>
      </w:r>
      <w:bookmarkEnd w:id="1216"/>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217" w:name="_Toc465061839"/>
      <w:bookmarkStart w:id="1218" w:name="_Toc465760628"/>
      <w:bookmarkStart w:id="1219" w:name="_Toc469927476"/>
      <w:r>
        <w:rPr>
          <w:snapToGrid w:val="0"/>
        </w:rPr>
        <w:t>38.</w:t>
      </w:r>
      <w:r>
        <w:rPr>
          <w:snapToGrid w:val="0"/>
        </w:rPr>
        <w:tab/>
        <w:t>Section 49 amended</w:t>
      </w:r>
      <w:bookmarkEnd w:id="1217"/>
      <w:bookmarkEnd w:id="1218"/>
      <w:bookmarkEnd w:id="1219"/>
      <w:r>
        <w:rPr>
          <w:snapToGrid w:val="0"/>
        </w:rPr>
        <w:t xml:space="preserve"> </w:t>
      </w:r>
    </w:p>
    <w:p>
      <w:pPr>
        <w:pStyle w:val="nzSubsection"/>
        <w:rPr>
          <w:snapToGrid w:val="0"/>
        </w:rPr>
      </w:pPr>
      <w:r>
        <w:rPr>
          <w:snapToGrid w:val="0"/>
        </w:rPr>
        <w:tab/>
      </w:r>
      <w:r>
        <w:rPr>
          <w:snapToGrid w:val="0"/>
        </w:rPr>
        <w:tab/>
        <w:t>After section 49(1) the following subsection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(1a)</w:t>
      </w:r>
      <w:r>
        <w:rPr>
          <w:snapToGrid w:val="0"/>
        </w:rPr>
        <w:tab/>
        <w:t>The operation of subsection (1) is subject to section 2.6, 3.5 or 4.</w:t>
      </w:r>
      <w:bookmarkStart w:id="1220" w:name="_Hlt464965978"/>
      <w:r>
        <w:rPr>
          <w:snapToGrid w:val="0"/>
        </w:rPr>
        <w:t>3</w:t>
      </w:r>
      <w:bookmarkEnd w:id="1220"/>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221" w:name="_Toc465061840"/>
      <w:bookmarkStart w:id="1222" w:name="_Toc465760629"/>
      <w:bookmarkStart w:id="1223" w:name="_Toc469927477"/>
      <w:r>
        <w:rPr>
          <w:snapToGrid w:val="0"/>
        </w:rPr>
        <w:t>39.</w:t>
      </w:r>
      <w:r>
        <w:rPr>
          <w:snapToGrid w:val="0"/>
        </w:rPr>
        <w:tab/>
        <w:t>Section 56 amended</w:t>
      </w:r>
      <w:bookmarkEnd w:id="1221"/>
      <w:bookmarkEnd w:id="1222"/>
      <w:bookmarkEnd w:id="1223"/>
      <w:r>
        <w:rPr>
          <w:snapToGrid w:val="0"/>
        </w:rPr>
        <w:t xml:space="preserve"> </w:t>
      </w:r>
    </w:p>
    <w:p>
      <w:pPr>
        <w:pStyle w:val="nzSubsection"/>
        <w:rPr>
          <w:snapToGrid w:val="0"/>
        </w:rPr>
      </w:pPr>
      <w:r>
        <w:rPr>
          <w:snapToGrid w:val="0"/>
        </w:rPr>
        <w:tab/>
      </w:r>
      <w:r>
        <w:rPr>
          <w:snapToGrid w:val="0"/>
        </w:rPr>
        <w:tab/>
        <w:t>After section 56(1) the following subsection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w:t>
      </w:r>
      <w:bookmarkStart w:id="1224" w:name="_Hlt467393596"/>
      <w:r>
        <w:rPr>
          <w:snapToGrid w:val="0"/>
        </w:rPr>
        <w:t>26</w:t>
      </w:r>
      <w:bookmarkEnd w:id="1224"/>
      <w:r>
        <w:rPr>
          <w:snapToGrid w:val="0"/>
        </w:rPr>
        <w:t>, 3.22(1) or 4.</w:t>
      </w:r>
      <w:bookmarkStart w:id="1225" w:name="_Hlt467393777"/>
      <w:r>
        <w:rPr>
          <w:snapToGrid w:val="0"/>
        </w:rPr>
        <w:t>21</w:t>
      </w:r>
      <w:bookmarkEnd w:id="1225"/>
      <w:r>
        <w:rPr>
          <w:snapToGrid w:val="0"/>
        </w:rPr>
        <w:t xml:space="preserve"> that is given to the Commission under section 2.</w:t>
      </w:r>
      <w:bookmarkStart w:id="1226" w:name="_Hlt467393808"/>
      <w:r>
        <w:rPr>
          <w:snapToGrid w:val="0"/>
        </w:rPr>
        <w:t>26</w:t>
      </w:r>
      <w:bookmarkEnd w:id="1226"/>
      <w:r>
        <w:rPr>
          <w:snapToGrid w:val="0"/>
        </w:rPr>
        <w:t>, 3.</w:t>
      </w:r>
      <w:bookmarkStart w:id="1227" w:name="_Hlt467393876"/>
      <w:r>
        <w:rPr>
          <w:snapToGrid w:val="0"/>
        </w:rPr>
        <w:t>25</w:t>
      </w:r>
      <w:bookmarkEnd w:id="1227"/>
      <w:r>
        <w:rPr>
          <w:snapToGrid w:val="0"/>
        </w:rPr>
        <w:t xml:space="preserve"> or 4.</w:t>
      </w:r>
      <w:bookmarkStart w:id="1228" w:name="_Hlt467393902"/>
      <w:r>
        <w:rPr>
          <w:snapToGrid w:val="0"/>
        </w:rPr>
        <w:t>21</w:t>
      </w:r>
      <w:bookmarkEnd w:id="1228"/>
      <w:r>
        <w:rPr>
          <w:snapToGrid w:val="0"/>
        </w:rPr>
        <w:t xml:space="preserve">; </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w:t>
      </w:r>
      <w:bookmarkStart w:id="1229" w:name="_Hlt467393937"/>
      <w:r>
        <w:rPr>
          <w:snapToGrid w:val="0"/>
        </w:rPr>
        <w:t>32</w:t>
      </w:r>
      <w:bookmarkEnd w:id="1229"/>
      <w:r>
        <w:rPr>
          <w:snapToGrid w:val="0"/>
        </w:rPr>
        <w:t xml:space="preserve"> or 4.</w:t>
      </w:r>
      <w:bookmarkStart w:id="1230" w:name="_Hlt467393985"/>
      <w:r>
        <w:rPr>
          <w:snapToGrid w:val="0"/>
        </w:rPr>
        <w:t>27</w:t>
      </w:r>
      <w:bookmarkEnd w:id="1230"/>
      <w:r>
        <w:rPr>
          <w:snapToGrid w:val="0"/>
        </w:rPr>
        <w:t xml:space="preserve">; </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w:t>
      </w:r>
      <w:bookmarkStart w:id="1231" w:name="_Hlt467394019"/>
      <w:r>
        <w:rPr>
          <w:snapToGrid w:val="0"/>
        </w:rPr>
        <w:t>38</w:t>
      </w:r>
      <w:bookmarkEnd w:id="1231"/>
      <w:r>
        <w:rPr>
          <w:snapToGrid w:val="0"/>
        </w:rPr>
        <w:t>, 3.</w:t>
      </w:r>
      <w:bookmarkStart w:id="1232" w:name="_Hlt467394052"/>
      <w:r>
        <w:rPr>
          <w:snapToGrid w:val="0"/>
        </w:rPr>
        <w:t>29</w:t>
      </w:r>
      <w:bookmarkEnd w:id="1232"/>
      <w:r>
        <w:rPr>
          <w:snapToGrid w:val="0"/>
        </w:rPr>
        <w:t>, 3.</w:t>
      </w:r>
      <w:bookmarkStart w:id="1233" w:name="_Hlt467394127"/>
      <w:r>
        <w:rPr>
          <w:snapToGrid w:val="0"/>
        </w:rPr>
        <w:t>44</w:t>
      </w:r>
      <w:bookmarkEnd w:id="1233"/>
      <w:r>
        <w:rPr>
          <w:snapToGrid w:val="0"/>
        </w:rPr>
        <w:t xml:space="preserve"> or 4.</w:t>
      </w:r>
      <w:bookmarkStart w:id="1234" w:name="_Hlt467394161"/>
      <w:r>
        <w:rPr>
          <w:snapToGrid w:val="0"/>
        </w:rPr>
        <w:t>33</w:t>
      </w:r>
      <w:bookmarkEnd w:id="1234"/>
      <w:r>
        <w:rPr>
          <w:snapToGrid w:val="0"/>
        </w:rPr>
        <w:t xml:space="preserve">; </w:t>
      </w:r>
    </w:p>
    <w:p>
      <w:pPr>
        <w:pStyle w:val="nzMiscellaneousBody"/>
        <w:tabs>
          <w:tab w:val="left" w:pos="1560"/>
          <w:tab w:val="left" w:pos="1985"/>
        </w:tabs>
        <w:ind w:left="1985" w:hanging="1418"/>
        <w:rPr>
          <w:snapToGrid w:val="0"/>
        </w:rPr>
      </w:pPr>
      <w:r>
        <w:rPr>
          <w:snapToGrid w:val="0"/>
        </w:rPr>
        <w:tab/>
        <w:t>(d)</w:t>
      </w:r>
      <w:r>
        <w:rPr>
          <w:snapToGrid w:val="0"/>
        </w:rPr>
        <w:tab/>
        <w:t>a declaration under section 3.</w:t>
      </w:r>
      <w:bookmarkStart w:id="1235" w:name="_Hlt467394212"/>
      <w:r>
        <w:rPr>
          <w:snapToGrid w:val="0"/>
        </w:rPr>
        <w:t>51</w:t>
      </w:r>
      <w:bookmarkEnd w:id="1235"/>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236" w:name="_Toc465061841"/>
      <w:bookmarkStart w:id="1237" w:name="_Toc465760630"/>
      <w:bookmarkStart w:id="1238" w:name="_Toc469927478"/>
      <w:r>
        <w:rPr>
          <w:snapToGrid w:val="0"/>
        </w:rPr>
        <w:t>40.</w:t>
      </w:r>
      <w:r>
        <w:rPr>
          <w:snapToGrid w:val="0"/>
        </w:rPr>
        <w:tab/>
        <w:t>Section 56AA inserted</w:t>
      </w:r>
      <w:bookmarkEnd w:id="1236"/>
      <w:bookmarkEnd w:id="1237"/>
      <w:bookmarkEnd w:id="1238"/>
      <w:r>
        <w:rPr>
          <w:snapToGrid w:val="0"/>
        </w:rPr>
        <w:t xml:space="preserve"> </w:t>
      </w:r>
    </w:p>
    <w:p>
      <w:pPr>
        <w:pStyle w:val="nzSubsection"/>
        <w:keepNext/>
        <w:rPr>
          <w:snapToGrid w:val="0"/>
        </w:rPr>
      </w:pPr>
      <w:r>
        <w:rPr>
          <w:snapToGrid w:val="0"/>
        </w:rPr>
        <w:tab/>
      </w:r>
      <w:r>
        <w:rPr>
          <w:snapToGrid w:val="0"/>
        </w:rPr>
        <w:tab/>
        <w:t>Immediately before section 56B the following section is inserted — </w:t>
      </w:r>
    </w:p>
    <w:p>
      <w:pPr>
        <w:pStyle w:val="nzMiscellaneousBody"/>
        <w:keepNext/>
        <w:tabs>
          <w:tab w:val="left" w:pos="1134"/>
          <w:tab w:val="left" w:pos="1560"/>
        </w:tabs>
        <w:rPr>
          <w:snapToGrid w:val="0"/>
        </w:rPr>
      </w:pPr>
      <w:r>
        <w:rPr>
          <w:snapToGrid w:val="0"/>
        </w:rPr>
        <w:t xml:space="preserve">“    </w:t>
      </w:r>
    </w:p>
    <w:p>
      <w:pPr>
        <w:pStyle w:val="nzMiscellaneousBody"/>
        <w:keepNext/>
        <w:keepLines/>
        <w:tabs>
          <w:tab w:val="left" w:pos="1134"/>
          <w:tab w:val="left" w:pos="1560"/>
        </w:tabs>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that Act. </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1239" w:name="_Hlt464966470"/>
      <w:r>
        <w:rPr>
          <w:snapToGrid w:val="0"/>
        </w:rPr>
        <w:t>11</w:t>
      </w:r>
      <w:bookmarkEnd w:id="1239"/>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240" w:name="_Toc465061842"/>
      <w:bookmarkStart w:id="1241" w:name="_Toc465760631"/>
      <w:bookmarkStart w:id="1242" w:name="_Toc469927479"/>
      <w:r>
        <w:rPr>
          <w:snapToGrid w:val="0"/>
        </w:rPr>
        <w:t>41.</w:t>
      </w:r>
      <w:r>
        <w:rPr>
          <w:snapToGrid w:val="0"/>
        </w:rPr>
        <w:tab/>
        <w:t>Section 67 amended</w:t>
      </w:r>
      <w:bookmarkEnd w:id="1240"/>
      <w:bookmarkEnd w:id="1241"/>
      <w:bookmarkEnd w:id="1242"/>
      <w:r>
        <w:rPr>
          <w:snapToGrid w:val="0"/>
        </w:rPr>
        <w:t xml:space="preserve"> </w:t>
      </w:r>
    </w:p>
    <w:p>
      <w:pPr>
        <w:pStyle w:val="nzSubsection"/>
        <w:rPr>
          <w:snapToGrid w:val="0"/>
        </w:rPr>
      </w:pPr>
      <w:r>
        <w:rPr>
          <w:snapToGrid w:val="0"/>
        </w:rPr>
        <w:tab/>
      </w:r>
      <w:r>
        <w:rPr>
          <w:snapToGrid w:val="0"/>
        </w:rPr>
        <w:tab/>
        <w:t>After section 67(1) the following subsection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(1a)</w:t>
      </w:r>
      <w:r>
        <w:rPr>
          <w:snapToGrid w:val="0"/>
        </w:rPr>
        <w:tab/>
        <w:t>The operation of subsection (1) is subject to section 2.6, 3.5 or 4.</w:t>
      </w:r>
      <w:bookmarkStart w:id="1243" w:name="_Hlt464966507"/>
      <w:r>
        <w:rPr>
          <w:snapToGrid w:val="0"/>
        </w:rPr>
        <w:t>3</w:t>
      </w:r>
      <w:bookmarkEnd w:id="1243"/>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244" w:name="_Toc465061843"/>
      <w:bookmarkStart w:id="1245" w:name="_Toc465760632"/>
      <w:bookmarkStart w:id="1246" w:name="_Toc469927480"/>
      <w:r>
        <w:rPr>
          <w:snapToGrid w:val="0"/>
        </w:rPr>
        <w:t>42.</w:t>
      </w:r>
      <w:r>
        <w:rPr>
          <w:snapToGrid w:val="0"/>
        </w:rPr>
        <w:tab/>
        <w:t>Section 70AA inserted</w:t>
      </w:r>
      <w:bookmarkEnd w:id="1244"/>
      <w:bookmarkEnd w:id="1245"/>
      <w:bookmarkEnd w:id="1246"/>
      <w:r>
        <w:rPr>
          <w:snapToGrid w:val="0"/>
        </w:rPr>
        <w:t xml:space="preserve"> </w:t>
      </w:r>
    </w:p>
    <w:p>
      <w:pPr>
        <w:pStyle w:val="nzSubsection"/>
        <w:rPr>
          <w:snapToGrid w:val="0"/>
        </w:rPr>
      </w:pPr>
      <w:r>
        <w:rPr>
          <w:snapToGrid w:val="0"/>
        </w:rPr>
        <w:tab/>
      </w:r>
      <w:r>
        <w:rPr>
          <w:snapToGrid w:val="0"/>
        </w:rPr>
        <w:tab/>
        <w:t>After section 70A the following 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1247" w:name="_Hlt464966521"/>
      <w:r>
        <w:rPr>
          <w:snapToGrid w:val="0"/>
        </w:rPr>
        <w:t>3</w:t>
      </w:r>
      <w:bookmarkEnd w:id="1247"/>
      <w:r>
        <w:rPr>
          <w:snapToGrid w:val="0"/>
        </w:rPr>
        <w:t xml:space="preserve">,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 </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248" w:name="_Toc465061844"/>
      <w:bookmarkStart w:id="1249" w:name="_Toc465760633"/>
      <w:bookmarkStart w:id="1250" w:name="_Toc469927481"/>
      <w:r>
        <w:rPr>
          <w:snapToGrid w:val="0"/>
        </w:rPr>
        <w:t>43.</w:t>
      </w:r>
      <w:r>
        <w:rPr>
          <w:snapToGrid w:val="0"/>
        </w:rPr>
        <w:tab/>
        <w:t>Section 70L amended</w:t>
      </w:r>
      <w:bookmarkEnd w:id="1248"/>
      <w:bookmarkEnd w:id="1249"/>
      <w:bookmarkEnd w:id="1250"/>
      <w:r>
        <w:rPr>
          <w:snapToGrid w:val="0"/>
        </w:rPr>
        <w:t xml:space="preserve"> </w:t>
      </w:r>
    </w:p>
    <w:p>
      <w:pPr>
        <w:pStyle w:val="nzSubsection"/>
        <w:rPr>
          <w:snapToGrid w:val="0"/>
        </w:rPr>
      </w:pPr>
      <w:r>
        <w:rPr>
          <w:snapToGrid w:val="0"/>
        </w:rPr>
        <w:tab/>
      </w:r>
      <w:r>
        <w:rPr>
          <w:snapToGrid w:val="0"/>
        </w:rPr>
        <w:tab/>
        <w:t>After section 70L(1) the following subsection is inserted — </w:t>
      </w:r>
    </w:p>
    <w:p>
      <w:pPr>
        <w:pStyle w:val="nzMiscellaneousBody"/>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60"/>
        <w:ind w:left="1559" w:hanging="992"/>
        <w:rPr>
          <w:snapToGrid w:val="0"/>
        </w:rPr>
      </w:pPr>
      <w:r>
        <w:rPr>
          <w:snapToGrid w:val="0"/>
        </w:rPr>
        <w:tab/>
        <w:t>(1a)</w:t>
      </w:r>
      <w:r>
        <w:rPr>
          <w:snapToGrid w:val="0"/>
        </w:rPr>
        <w:tab/>
        <w:t>The operation of subsection (1) is subject to section 2.6, 3.5 or 4.</w:t>
      </w:r>
      <w:bookmarkStart w:id="1251" w:name="_Hlt464966559"/>
      <w:r>
        <w:rPr>
          <w:snapToGrid w:val="0"/>
        </w:rPr>
        <w:t>3</w:t>
      </w:r>
      <w:bookmarkEnd w:id="1251"/>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252" w:name="_Toc465061845"/>
      <w:bookmarkStart w:id="1253" w:name="_Toc465760634"/>
      <w:bookmarkStart w:id="1254" w:name="_Toc469927482"/>
      <w:r>
        <w:rPr>
          <w:snapToGrid w:val="0"/>
        </w:rPr>
        <w:t>44.</w:t>
      </w:r>
      <w:r>
        <w:rPr>
          <w:snapToGrid w:val="0"/>
        </w:rPr>
        <w:tab/>
        <w:t>Section 70O inserted</w:t>
      </w:r>
      <w:bookmarkEnd w:id="1252"/>
      <w:bookmarkEnd w:id="1253"/>
      <w:bookmarkEnd w:id="1254"/>
      <w:r>
        <w:rPr>
          <w:snapToGrid w:val="0"/>
        </w:rPr>
        <w:t xml:space="preserve"> </w:t>
      </w:r>
    </w:p>
    <w:p>
      <w:pPr>
        <w:pStyle w:val="nzSubsection"/>
        <w:keepNext/>
        <w:rPr>
          <w:snapToGrid w:val="0"/>
        </w:rPr>
      </w:pPr>
      <w:r>
        <w:rPr>
          <w:snapToGrid w:val="0"/>
        </w:rPr>
        <w:tab/>
      </w:r>
      <w:r>
        <w:rPr>
          <w:snapToGrid w:val="0"/>
        </w:rPr>
        <w:tab/>
        <w:t>Immediately before section 71 the following section is inserted — </w:t>
      </w:r>
    </w:p>
    <w:p>
      <w:pPr>
        <w:pStyle w:val="nzMiscellaneousBody"/>
        <w:tabs>
          <w:tab w:val="left" w:pos="1134"/>
          <w:tab w:val="left" w:pos="1560"/>
        </w:tabs>
        <w:spacing w:before="60"/>
        <w:rPr>
          <w:snapToGrid w:val="0"/>
        </w:rPr>
      </w:pPr>
      <w:r>
        <w:rPr>
          <w:snapToGrid w:val="0"/>
        </w:rPr>
        <w:t xml:space="preserve">“    </w:t>
      </w:r>
    </w:p>
    <w:p>
      <w:pPr>
        <w:pStyle w:val="nzMiscellaneousBody"/>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r>
        <w:rPr>
          <w:b/>
          <w:snapToGrid w:val="0"/>
          <w:spacing w:val="-4"/>
        </w:rPr>
        <w:t xml:space="preserve"> </w:t>
      </w:r>
    </w:p>
    <w:p>
      <w:pPr>
        <w:pStyle w:val="nzMiscellaneousBody"/>
        <w:tabs>
          <w:tab w:val="left" w:pos="1134"/>
          <w:tab w:val="left" w:pos="1560"/>
        </w:tabs>
        <w:ind w:left="1560" w:hanging="993"/>
        <w:rPr>
          <w:snapToGrid w:val="0"/>
        </w:rPr>
      </w:pPr>
      <w:r>
        <w:rPr>
          <w:snapToGrid w:val="0"/>
        </w:rPr>
        <w:tab/>
        <w:t>(1)</w:t>
      </w:r>
      <w:r>
        <w:rPr>
          <w:snapToGrid w:val="0"/>
        </w:rPr>
        <w:tab/>
        <w:t>Where —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w:t>
      </w:r>
      <w:bookmarkStart w:id="1255" w:name="_Hlt464966584"/>
      <w:r>
        <w:rPr>
          <w:snapToGrid w:val="0"/>
        </w:rPr>
        <w:t>3</w:t>
      </w:r>
      <w:bookmarkEnd w:id="1255"/>
      <w:r>
        <w:rPr>
          <w:snapToGrid w:val="0"/>
        </w:rPr>
        <w:t xml:space="preserve">, as the case may be, of that Act. </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1256" w:name="_Hlt464966599"/>
      <w:r>
        <w:rPr>
          <w:snapToGrid w:val="0"/>
        </w:rPr>
        <w:t>11</w:t>
      </w:r>
      <w:bookmarkEnd w:id="1256"/>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257" w:name="_Toc465061846"/>
      <w:bookmarkStart w:id="1258" w:name="_Toc465760635"/>
      <w:bookmarkStart w:id="1259" w:name="_Toc469927483"/>
      <w:r>
        <w:rPr>
          <w:snapToGrid w:val="0"/>
        </w:rPr>
        <w:t>45.</w:t>
      </w:r>
      <w:r>
        <w:rPr>
          <w:snapToGrid w:val="0"/>
        </w:rPr>
        <w:tab/>
        <w:t>Section 75 amended</w:t>
      </w:r>
      <w:bookmarkEnd w:id="1257"/>
      <w:bookmarkEnd w:id="1258"/>
      <w:bookmarkEnd w:id="1259"/>
      <w:r>
        <w:rPr>
          <w:snapToGrid w:val="0"/>
        </w:rPr>
        <w:t xml:space="preserve"> </w:t>
      </w:r>
    </w:p>
    <w:p>
      <w:pPr>
        <w:pStyle w:val="nzSubsection"/>
        <w:keepNext/>
        <w:rPr>
          <w:snapToGrid w:val="0"/>
        </w:rPr>
      </w:pPr>
      <w:r>
        <w:rPr>
          <w:snapToGrid w:val="0"/>
        </w:rPr>
        <w:tab/>
      </w:r>
      <w:r>
        <w:rPr>
          <w:snapToGrid w:val="0"/>
        </w:rPr>
        <w:tab/>
        <w:t>After section 75(7) the following subsection is inserted — </w:t>
      </w:r>
    </w:p>
    <w:p>
      <w:pPr>
        <w:pStyle w:val="nzMiscellaneousBody"/>
        <w:keepNext/>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60"/>
        <w:ind w:left="1559" w:hanging="992"/>
        <w:rPr>
          <w:snapToGrid w:val="0"/>
        </w:rPr>
      </w:pPr>
      <w:r>
        <w:rPr>
          <w:snapToGrid w:val="0"/>
        </w:rPr>
        <w:tab/>
        <w:t>(8)</w:t>
      </w:r>
      <w:r>
        <w:rPr>
          <w:snapToGrid w:val="0"/>
        </w:rPr>
        <w:tab/>
        <w:t>The operation of subsection (7) is subject to section 2.6, 3.5 or 4.</w:t>
      </w:r>
      <w:bookmarkStart w:id="1260" w:name="_Hlt464966616"/>
      <w:r>
        <w:rPr>
          <w:snapToGrid w:val="0"/>
        </w:rPr>
        <w:t>3</w:t>
      </w:r>
      <w:bookmarkEnd w:id="1260"/>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261" w:name="_Toc465061847"/>
      <w:bookmarkStart w:id="1262" w:name="_Toc465760636"/>
      <w:bookmarkStart w:id="1263" w:name="_Toc469927484"/>
      <w:r>
        <w:rPr>
          <w:snapToGrid w:val="0"/>
        </w:rPr>
        <w:t>46.</w:t>
      </w:r>
      <w:r>
        <w:rPr>
          <w:snapToGrid w:val="0"/>
        </w:rPr>
        <w:tab/>
        <w:t>Section 85C inserted</w:t>
      </w:r>
      <w:bookmarkEnd w:id="1261"/>
      <w:bookmarkEnd w:id="1262"/>
      <w:bookmarkEnd w:id="1263"/>
      <w:r>
        <w:rPr>
          <w:snapToGrid w:val="0"/>
        </w:rPr>
        <w:t xml:space="preserve"> </w:t>
      </w:r>
    </w:p>
    <w:p>
      <w:pPr>
        <w:pStyle w:val="nzSubsection"/>
        <w:rPr>
          <w:snapToGrid w:val="0"/>
        </w:rPr>
      </w:pPr>
      <w:r>
        <w:rPr>
          <w:snapToGrid w:val="0"/>
        </w:rPr>
        <w:tab/>
      </w:r>
      <w:r>
        <w:rPr>
          <w:snapToGrid w:val="0"/>
        </w:rPr>
        <w:tab/>
        <w:t>Immediately before section 86 the following 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 xml:space="preserve">. </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264" w:name="_Toc465061848"/>
      <w:bookmarkStart w:id="1265" w:name="_Toc465760637"/>
      <w:bookmarkStart w:id="1266" w:name="_Toc469927485"/>
      <w:r>
        <w:rPr>
          <w:snapToGrid w:val="0"/>
        </w:rPr>
        <w:t>47.</w:t>
      </w:r>
      <w:r>
        <w:rPr>
          <w:snapToGrid w:val="0"/>
        </w:rPr>
        <w:tab/>
        <w:t>Section 90A inserted</w:t>
      </w:r>
      <w:bookmarkEnd w:id="1264"/>
      <w:bookmarkEnd w:id="1265"/>
      <w:bookmarkEnd w:id="1266"/>
      <w:r>
        <w:rPr>
          <w:snapToGrid w:val="0"/>
        </w:rPr>
        <w:t xml:space="preserve"> </w:t>
      </w:r>
    </w:p>
    <w:p>
      <w:pPr>
        <w:pStyle w:val="nzSubsection"/>
        <w:rPr>
          <w:snapToGrid w:val="0"/>
        </w:rPr>
      </w:pPr>
      <w:r>
        <w:rPr>
          <w:snapToGrid w:val="0"/>
        </w:rPr>
        <w:tab/>
      </w:r>
      <w:r>
        <w:rPr>
          <w:snapToGrid w:val="0"/>
        </w:rPr>
        <w:tab/>
        <w:t>Immediately before section 91 the following 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MiscClose"/>
        <w:rPr>
          <w:snapToGrid w:val="0"/>
        </w:rPr>
      </w:pPr>
      <w:r>
        <w:rPr>
          <w:snapToGrid w:val="0"/>
        </w:rPr>
        <w:t>”.</w:t>
      </w:r>
    </w:p>
    <w:p>
      <w:pPr>
        <w:pStyle w:val="nSubsection"/>
        <w:rPr>
          <w:snapToGrid w:val="0"/>
        </w:rPr>
      </w:pPr>
      <w:r>
        <w:rPr>
          <w:snapToGrid w:val="0"/>
          <w:vertAlign w:val="superscript"/>
        </w:rPr>
        <w:t>17</w:t>
      </w:r>
      <w:r>
        <w:rPr>
          <w:snapToGrid w:val="0"/>
        </w:rPr>
        <w:tab/>
        <w:t xml:space="preserve">On the date as at which this compilation was prepared, the </w:t>
      </w:r>
      <w:r>
        <w:rPr>
          <w:i/>
          <w:snapToGrid w:val="0"/>
        </w:rPr>
        <w:t>Mining Amendment Act 2002</w:t>
      </w:r>
      <w:r>
        <w:rPr>
          <w:snapToGrid w:val="0"/>
        </w:rPr>
        <w:t xml:space="preserve"> s. 12 had not come into operation.  It reads as follows:</w:t>
      </w:r>
    </w:p>
    <w:p>
      <w:pPr>
        <w:pStyle w:val="MiscOpen"/>
        <w:rPr>
          <w:snapToGrid w:val="0"/>
        </w:rPr>
      </w:pPr>
      <w:r>
        <w:rPr>
          <w:snapToGrid w:val="0"/>
        </w:rPr>
        <w:t>“</w:t>
      </w:r>
    </w:p>
    <w:p>
      <w:pPr>
        <w:pStyle w:val="nzHeading5"/>
      </w:pPr>
      <w:bookmarkStart w:id="1267" w:name="_Toc527273735"/>
      <w:r>
        <w:rPr>
          <w:rStyle w:val="CharSectno"/>
        </w:rPr>
        <w:t>12</w:t>
      </w:r>
      <w:r>
        <w:t>.</w:t>
      </w:r>
      <w:r>
        <w:tab/>
        <w:t>Section 65 amended</w:t>
      </w:r>
      <w:bookmarkEnd w:id="1267"/>
    </w:p>
    <w:p>
      <w:pPr>
        <w:pStyle w:val="nzSubsection"/>
      </w:pPr>
      <w:r>
        <w:tab/>
      </w:r>
      <w:r>
        <w:tab/>
        <w:t>Section 65(6) is repealed and the following subsection is inserted instead —</w:t>
      </w:r>
    </w:p>
    <w:p>
      <w:pPr>
        <w:pStyle w:val="MiscOpen"/>
        <w:ind w:left="595"/>
      </w:pPr>
      <w:r>
        <w:t xml:space="preserve">“    </w:t>
      </w:r>
    </w:p>
    <w:p>
      <w:pPr>
        <w:pStyle w:val="nzSubsection"/>
      </w:pPr>
      <w:r>
        <w:tab/>
        <w:t>(6)</w:t>
      </w:r>
      <w:r>
        <w:tab/>
        <w:t>Notwithstanding that a surrender has taken effect under this section any land the subject of the surrender shall not be —</w:t>
      </w:r>
    </w:p>
    <w:p>
      <w:pPr>
        <w:pStyle w:val="nzIndenta"/>
      </w:pPr>
      <w:r>
        <w:tab/>
        <w:t>(a)</w:t>
      </w:r>
      <w:r>
        <w:tab/>
        <w:t>marked out in connection with a mining tenement unless and until notification has been given in the prescribed manner of the proposed endorsement of plans for the purposes of paragraph (b); or</w:t>
      </w:r>
    </w:p>
    <w:p>
      <w:pPr>
        <w:pStyle w:val="nzIndenta"/>
      </w:pPr>
      <w:r>
        <w:tab/>
        <w:t>(b)</w:t>
      </w:r>
      <w:r>
        <w:tab/>
        <w:t>included in an application for a mining tenement unless and until the plans referred to in subsection (5) have been endorsed in the prescribed manner.</w:t>
      </w:r>
    </w:p>
    <w:p>
      <w:pPr>
        <w:pStyle w:val="MiscClose"/>
        <w:ind w:right="567"/>
      </w:pPr>
      <w:r>
        <w:t xml:space="preserve">    ”.</w:t>
      </w:r>
    </w:p>
    <w:p>
      <w:pPr>
        <w:pStyle w:val="MiscClose"/>
        <w:rPr>
          <w:snapToGrid w:val="0"/>
        </w:rPr>
      </w:pPr>
      <w:r>
        <w:rPr>
          <w:snapToGrid w:val="0"/>
        </w:rPr>
        <w:t>”.</w:t>
      </w:r>
    </w:p>
    <w:p>
      <w:pPr>
        <w:pStyle w:val="nSubsection"/>
        <w:rPr>
          <w:snapToGrid w:val="0"/>
        </w:rPr>
      </w:pPr>
      <w:r>
        <w:rPr>
          <w:snapToGrid w:val="0"/>
          <w:vertAlign w:val="superscript"/>
        </w:rPr>
        <w:t>18</w:t>
      </w:r>
      <w:r>
        <w:rPr>
          <w:snapToGrid w:val="0"/>
        </w:rPr>
        <w:tab/>
        <w:t xml:space="preserve">On the date as at which this compilation was prepared, the </w:t>
      </w:r>
      <w:r>
        <w:rPr>
          <w:i/>
          <w:snapToGrid w:val="0"/>
        </w:rPr>
        <w:t>Offshore Minerals (Consequential Amendments) Act 2003</w:t>
      </w:r>
      <w:r>
        <w:rPr>
          <w:snapToGrid w:val="0"/>
        </w:rPr>
        <w:t xml:space="preserve"> Pt. 2 had not come into operation.  It reads as follows:</w:t>
      </w:r>
    </w:p>
    <w:p>
      <w:pPr>
        <w:pStyle w:val="MiscOpen"/>
        <w:rPr>
          <w:snapToGrid w:val="0"/>
        </w:rPr>
      </w:pPr>
      <w:r>
        <w:rPr>
          <w:snapToGrid w:val="0"/>
        </w:rPr>
        <w:t>“</w:t>
      </w:r>
    </w:p>
    <w:p>
      <w:pPr>
        <w:pStyle w:val="nzHeading2"/>
      </w:pPr>
      <w:r>
        <w:rPr>
          <w:rStyle w:val="CharPartNo"/>
        </w:rPr>
        <w:t>Part 2</w:t>
      </w:r>
      <w:r>
        <w:rPr>
          <w:rStyle w:val="CharDivNo"/>
        </w:rPr>
        <w:t xml:space="preserve"> </w:t>
      </w:r>
      <w:r>
        <w:t>—</w:t>
      </w:r>
      <w:r>
        <w:rPr>
          <w:rStyle w:val="CharDivText"/>
        </w:rPr>
        <w:t xml:space="preserve"> </w:t>
      </w:r>
      <w:r>
        <w:rPr>
          <w:rStyle w:val="CharPartText"/>
        </w:rPr>
        <w:t xml:space="preserve">Amendments to </w:t>
      </w:r>
      <w:r>
        <w:rPr>
          <w:rStyle w:val="CharPartText"/>
          <w:i/>
        </w:rPr>
        <w:t>Mining Act 1978</w:t>
      </w:r>
    </w:p>
    <w:p>
      <w:pPr>
        <w:pStyle w:val="nzHeading5"/>
        <w:rPr>
          <w:i/>
          <w:snapToGrid w:val="0"/>
        </w:rPr>
      </w:pPr>
      <w:bookmarkStart w:id="1268" w:name="_Toc518099656"/>
      <w:bookmarkStart w:id="1269" w:name="_Toc518274217"/>
      <w:bookmarkStart w:id="1270" w:name="_Toc518274358"/>
      <w:bookmarkStart w:id="1271" w:name="_Toc37567343"/>
      <w:r>
        <w:rPr>
          <w:rStyle w:val="CharSectno"/>
        </w:rPr>
        <w:t>3</w:t>
      </w:r>
      <w:r>
        <w:rPr>
          <w:i/>
          <w:snapToGrid w:val="0"/>
        </w:rPr>
        <w:t>.</w:t>
      </w:r>
      <w:r>
        <w:rPr>
          <w:i/>
          <w:snapToGrid w:val="0"/>
        </w:rPr>
        <w:tab/>
      </w:r>
      <w:r>
        <w:rPr>
          <w:snapToGrid w:val="0"/>
        </w:rPr>
        <w:t>The Act amended by this Part</w:t>
      </w:r>
      <w:bookmarkEnd w:id="1268"/>
      <w:bookmarkEnd w:id="1269"/>
      <w:bookmarkEnd w:id="1270"/>
      <w:bookmarkEnd w:id="1271"/>
      <w:r>
        <w:rPr>
          <w:i/>
          <w:snapToGrid w:val="0"/>
        </w:rPr>
        <w:t xml:space="preserve"> </w:t>
      </w:r>
    </w:p>
    <w:p>
      <w:pPr>
        <w:pStyle w:val="nzSubsection"/>
      </w:pPr>
      <w:r>
        <w:tab/>
      </w:r>
      <w:r>
        <w:tab/>
        <w:t xml:space="preserve">The amendments in this Part are to the </w:t>
      </w:r>
      <w:r>
        <w:rPr>
          <w:i/>
        </w:rPr>
        <w:t>Mining Act 1978</w:t>
      </w:r>
      <w:r>
        <w:t>.</w:t>
      </w:r>
    </w:p>
    <w:p>
      <w:pPr>
        <w:pStyle w:val="nzHeading5"/>
        <w:rPr>
          <w:snapToGrid w:val="0"/>
        </w:rPr>
      </w:pPr>
      <w:bookmarkStart w:id="1272" w:name="_Toc518099657"/>
      <w:bookmarkStart w:id="1273" w:name="_Toc518274218"/>
      <w:bookmarkStart w:id="1274" w:name="_Toc518274359"/>
      <w:bookmarkStart w:id="1275" w:name="_Toc37567344"/>
      <w:r>
        <w:rPr>
          <w:rStyle w:val="CharSectno"/>
        </w:rPr>
        <w:t>4</w:t>
      </w:r>
      <w:r>
        <w:rPr>
          <w:snapToGrid w:val="0"/>
        </w:rPr>
        <w:t>.</w:t>
      </w:r>
      <w:r>
        <w:rPr>
          <w:snapToGrid w:val="0"/>
        </w:rPr>
        <w:tab/>
        <w:t>Section 8 amended</w:t>
      </w:r>
      <w:bookmarkEnd w:id="1272"/>
      <w:bookmarkEnd w:id="1273"/>
      <w:bookmarkEnd w:id="1274"/>
      <w:bookmarkEnd w:id="1275"/>
      <w:r>
        <w:rPr>
          <w:snapToGrid w:val="0"/>
        </w:rPr>
        <w:t xml:space="preserve"> </w:t>
      </w:r>
    </w:p>
    <w:p>
      <w:pPr>
        <w:pStyle w:val="nzSubsection"/>
      </w:pPr>
      <w:r>
        <w:tab/>
        <w:t>(1)</w:t>
      </w:r>
      <w:r>
        <w:tab/>
        <w:t>Section 8(1) is amended, in the definition of “Crown land”, by deleting “in the State,”.</w:t>
      </w:r>
    </w:p>
    <w:p>
      <w:pPr>
        <w:pStyle w:val="nzSubsection"/>
      </w:pPr>
      <w:r>
        <w:tab/>
        <w:t>(2)</w:t>
      </w:r>
      <w:r>
        <w:tab/>
        <w:t>Section 8(1) is amended, in the definition of “land”, by deleting “includes the foreshore and the sea bed within the meaning of section 25” and inserting instead — </w:t>
      </w:r>
    </w:p>
    <w:p>
      <w:pPr>
        <w:pStyle w:val="MiscOpen"/>
        <w:ind w:left="879"/>
        <w:rPr>
          <w:snapToGrid w:val="0"/>
        </w:rPr>
      </w:pPr>
      <w:r>
        <w:rPr>
          <w:snapToGrid w:val="0"/>
        </w:rPr>
        <w:t xml:space="preserve">“    </w:t>
      </w:r>
    </w:p>
    <w:p>
      <w:pPr>
        <w:pStyle w:val="nzMiscellaneousBody"/>
      </w:pPr>
      <w:r>
        <w:tab/>
      </w:r>
      <w:r>
        <w:tab/>
        <w:t>includes — </w:t>
      </w:r>
    </w:p>
    <w:p>
      <w:pPr>
        <w:pStyle w:val="nzMiscellaneousBody"/>
        <w:tabs>
          <w:tab w:val="left" w:pos="1701"/>
          <w:tab w:val="left" w:pos="2268"/>
        </w:tabs>
        <w:ind w:left="2268" w:hanging="1701"/>
      </w:pPr>
      <w:r>
        <w:rPr>
          <w:snapToGrid w:val="0"/>
        </w:rPr>
        <w:tab/>
        <w:t>(a)</w:t>
      </w:r>
      <w:r>
        <w:rPr>
          <w:snapToGrid w:val="0"/>
        </w:rPr>
        <w:tab/>
        <w:t>the foreshore as defined in section 25(1)(a); and</w:t>
      </w:r>
    </w:p>
    <w:p>
      <w:pPr>
        <w:pStyle w:val="nzMiscellaneousBody"/>
        <w:tabs>
          <w:tab w:val="left" w:pos="1701"/>
          <w:tab w:val="left" w:pos="2268"/>
        </w:tabs>
        <w:ind w:left="2268" w:hanging="1701"/>
      </w:pPr>
      <w:r>
        <w:tab/>
        <w:t>(b)</w:t>
      </w:r>
      <w:r>
        <w:tab/>
        <w:t xml:space="preserve">the sea bed and subsoil between the mean low water springs level and the inner limits of the coastal waters of the State as defined in section 16(1) and (2) of the </w:t>
      </w:r>
      <w:r>
        <w:rPr>
          <w:i/>
        </w:rPr>
        <w:t>Offshore Minerals Act 2003</w:t>
      </w:r>
    </w:p>
    <w:p>
      <w:pPr>
        <w:pStyle w:val="MiscClose"/>
        <w:ind w:right="567"/>
      </w:pPr>
      <w:r>
        <w:t xml:space="preserve">    ”.</w:t>
      </w:r>
    </w:p>
    <w:p>
      <w:pPr>
        <w:pStyle w:val="nzHeading5"/>
        <w:rPr>
          <w:snapToGrid w:val="0"/>
        </w:rPr>
      </w:pPr>
      <w:bookmarkStart w:id="1276" w:name="_Toc518099658"/>
      <w:bookmarkStart w:id="1277" w:name="_Toc518274219"/>
      <w:bookmarkStart w:id="1278" w:name="_Toc518274360"/>
      <w:bookmarkStart w:id="1279" w:name="_Toc37567345"/>
      <w:r>
        <w:rPr>
          <w:rStyle w:val="CharSectno"/>
        </w:rPr>
        <w:t>5</w:t>
      </w:r>
      <w:r>
        <w:rPr>
          <w:snapToGrid w:val="0"/>
        </w:rPr>
        <w:t>.</w:t>
      </w:r>
      <w:r>
        <w:rPr>
          <w:snapToGrid w:val="0"/>
        </w:rPr>
        <w:tab/>
        <w:t>Section 9 amended</w:t>
      </w:r>
      <w:bookmarkEnd w:id="1276"/>
      <w:bookmarkEnd w:id="1277"/>
      <w:bookmarkEnd w:id="1278"/>
      <w:bookmarkEnd w:id="1279"/>
      <w:r>
        <w:rPr>
          <w:snapToGrid w:val="0"/>
        </w:rPr>
        <w:t xml:space="preserve"> </w:t>
      </w:r>
    </w:p>
    <w:p>
      <w:pPr>
        <w:pStyle w:val="nzSubsection"/>
        <w:rPr>
          <w:snapToGrid w:val="0"/>
        </w:rPr>
      </w:pPr>
      <w:r>
        <w:rPr>
          <w:snapToGrid w:val="0"/>
        </w:rPr>
        <w:tab/>
      </w:r>
      <w:r>
        <w:rPr>
          <w:snapToGrid w:val="0"/>
        </w:rPr>
        <w:tab/>
        <w:t xml:space="preserve">Section 9(1) is amended by deleting “in the State” in both places </w:t>
      </w:r>
      <w:r>
        <w:t>where</w:t>
      </w:r>
      <w:r>
        <w:rPr>
          <w:snapToGrid w:val="0"/>
        </w:rPr>
        <w:t xml:space="preserve"> it appears.</w:t>
      </w:r>
    </w:p>
    <w:p>
      <w:pPr>
        <w:pStyle w:val="nzHeading5"/>
        <w:rPr>
          <w:snapToGrid w:val="0"/>
        </w:rPr>
      </w:pPr>
      <w:bookmarkStart w:id="1280" w:name="_Toc518099659"/>
      <w:bookmarkStart w:id="1281" w:name="_Toc518274220"/>
      <w:bookmarkStart w:id="1282" w:name="_Toc518274361"/>
      <w:bookmarkStart w:id="1283" w:name="_Toc37567346"/>
      <w:r>
        <w:rPr>
          <w:rStyle w:val="CharSectno"/>
        </w:rPr>
        <w:t>6</w:t>
      </w:r>
      <w:r>
        <w:rPr>
          <w:snapToGrid w:val="0"/>
        </w:rPr>
        <w:t>.</w:t>
      </w:r>
      <w:r>
        <w:rPr>
          <w:snapToGrid w:val="0"/>
        </w:rPr>
        <w:tab/>
        <w:t>Section 9A inserted</w:t>
      </w:r>
      <w:bookmarkEnd w:id="1280"/>
      <w:bookmarkEnd w:id="1281"/>
      <w:bookmarkEnd w:id="1282"/>
      <w:bookmarkEnd w:id="1283"/>
      <w:r>
        <w:rPr>
          <w:snapToGrid w:val="0"/>
        </w:rPr>
        <w:t xml:space="preserve"> </w:t>
      </w:r>
    </w:p>
    <w:p>
      <w:pPr>
        <w:pStyle w:val="nzSubsection"/>
        <w:rPr>
          <w:snapToGrid w:val="0"/>
        </w:rPr>
      </w:pPr>
      <w:r>
        <w:rPr>
          <w:snapToGrid w:val="0"/>
        </w:rPr>
        <w:tab/>
      </w:r>
      <w:r>
        <w:rPr>
          <w:snapToGrid w:val="0"/>
        </w:rPr>
        <w:tab/>
      </w:r>
      <w:r>
        <w:t>After</w:t>
      </w:r>
      <w:r>
        <w:rPr>
          <w:snapToGrid w:val="0"/>
        </w:rPr>
        <w:t xml:space="preserve"> section 9 the following section is inserted in Part I — </w:t>
      </w:r>
    </w:p>
    <w:p>
      <w:pPr>
        <w:pStyle w:val="MiscOpen"/>
        <w:rPr>
          <w:snapToGrid w:val="0"/>
        </w:rPr>
      </w:pPr>
      <w:r>
        <w:rPr>
          <w:snapToGrid w:val="0"/>
        </w:rPr>
        <w:t xml:space="preserve">“    </w:t>
      </w:r>
    </w:p>
    <w:p>
      <w:pPr>
        <w:pStyle w:val="nzMiscellaneousHeading"/>
        <w:tabs>
          <w:tab w:val="left" w:pos="1134"/>
          <w:tab w:val="left" w:pos="1985"/>
        </w:tabs>
        <w:ind w:left="1985" w:hanging="1418"/>
        <w:jc w:val="left"/>
        <w:rPr>
          <w:b/>
          <w:snapToGrid w:val="0"/>
        </w:rPr>
      </w:pPr>
      <w:r>
        <w:rPr>
          <w:b/>
          <w:snapToGrid w:val="0"/>
        </w:rPr>
        <w:tab/>
        <w:t>9A.</w:t>
      </w:r>
      <w:r>
        <w:rPr>
          <w:b/>
          <w:snapToGrid w:val="0"/>
        </w:rPr>
        <w:tab/>
        <w:t>Effect of change of baseline</w:t>
      </w:r>
    </w:p>
    <w:p>
      <w:pPr>
        <w:pStyle w:val="nzMiscellaneousBody"/>
        <w:tabs>
          <w:tab w:val="left" w:pos="1418"/>
          <w:tab w:val="left" w:pos="1985"/>
        </w:tabs>
        <w:ind w:left="1985" w:hanging="1418"/>
      </w:pPr>
      <w:r>
        <w:tab/>
        <w:t>(1)</w:t>
      </w:r>
      <w:r>
        <w:tab/>
        <w:t>If —</w:t>
      </w:r>
    </w:p>
    <w:p>
      <w:pPr>
        <w:pStyle w:val="nzMiscellaneousBody"/>
        <w:tabs>
          <w:tab w:val="left" w:pos="1985"/>
          <w:tab w:val="left" w:pos="2552"/>
        </w:tabs>
        <w:ind w:left="2552" w:hanging="1985"/>
      </w:pPr>
      <w:r>
        <w:tab/>
        <w:t>(a)</w:t>
      </w:r>
      <w:r>
        <w:tab/>
      </w:r>
      <w:r>
        <w:rPr>
          <w:snapToGrid w:val="0"/>
        </w:rPr>
        <w:t>an offshore area is covered by a mining tenement;</w:t>
      </w:r>
    </w:p>
    <w:p>
      <w:pPr>
        <w:pStyle w:val="nzMiscellaneousBody"/>
        <w:tabs>
          <w:tab w:val="left" w:pos="1985"/>
          <w:tab w:val="left" w:pos="2552"/>
        </w:tabs>
        <w:ind w:left="2552" w:hanging="1985"/>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nzMiscellaneousBody"/>
        <w:tabs>
          <w:tab w:val="left" w:pos="1985"/>
          <w:tab w:val="left" w:pos="2552"/>
        </w:tabs>
        <w:ind w:left="2552" w:hanging="1985"/>
        <w:rPr>
          <w:snapToGrid w:val="0"/>
        </w:rPr>
      </w:pPr>
      <w:r>
        <w:rPr>
          <w:snapToGrid w:val="0"/>
        </w:rPr>
        <w:tab/>
        <w:t>(c)</w:t>
      </w:r>
      <w:r>
        <w:rPr>
          <w:snapToGrid w:val="0"/>
        </w:rPr>
        <w:tab/>
        <w:t>as a result of the change the offshore area comes within those coastal waters,</w:t>
      </w:r>
    </w:p>
    <w:p>
      <w:pPr>
        <w:pStyle w:val="nzMiscellaneousBody"/>
        <w:tabs>
          <w:tab w:val="left" w:pos="1418"/>
          <w:tab w:val="left" w:pos="1985"/>
        </w:tabs>
        <w:ind w:left="1985" w:hanging="1418"/>
      </w:pPr>
      <w:r>
        <w:tab/>
      </w:r>
      <w:r>
        <w:tab/>
        <w:t>this Act applies, while the tenement or any successor tenement remains in force, as if the area were still within the offshore area.</w:t>
      </w:r>
    </w:p>
    <w:p>
      <w:pPr>
        <w:pStyle w:val="nzMiscellaneousBody"/>
        <w:tabs>
          <w:tab w:val="left" w:pos="1418"/>
          <w:tab w:val="left" w:pos="1985"/>
        </w:tabs>
        <w:ind w:left="1985" w:hanging="1418"/>
      </w:pPr>
      <w:r>
        <w:tab/>
        <w:t>(2)</w:t>
      </w:r>
      <w:r>
        <w:tab/>
        <w:t>In subsection (1) — </w:t>
      </w:r>
    </w:p>
    <w:p>
      <w:pPr>
        <w:pStyle w:val="nzMiscellaneousBody"/>
        <w:tabs>
          <w:tab w:val="left" w:pos="1985"/>
          <w:tab w:val="left" w:pos="2268"/>
        </w:tabs>
        <w:ind w:left="2268" w:hanging="1701"/>
      </w:pPr>
      <w:r>
        <w:tab/>
      </w:r>
      <w:r>
        <w:rPr>
          <w:b/>
        </w:rPr>
        <w:t>“</w:t>
      </w:r>
      <w:r>
        <w:rPr>
          <w:rStyle w:val="CharDefText"/>
        </w:rPr>
        <w:t>offshore area</w:t>
      </w:r>
      <w:r>
        <w:rPr>
          <w:b/>
        </w:rPr>
        <w:t>”</w:t>
      </w:r>
      <w:r>
        <w:t xml:space="preserve"> means an area that comes within paragraph (b) of the definition of “land” in section 8(1).</w:t>
      </w:r>
    </w:p>
    <w:p>
      <w:pPr>
        <w:pStyle w:val="nzMiscellaneousBody"/>
        <w:tabs>
          <w:tab w:val="left" w:pos="1418"/>
          <w:tab w:val="left" w:pos="1985"/>
        </w:tabs>
        <w:ind w:left="1985" w:hanging="1418"/>
      </w:pPr>
      <w:r>
        <w:tab/>
        <w:t>(3)</w:t>
      </w:r>
      <w:r>
        <w:tab/>
        <w:t>If —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mining lease immediately after it takes effect was the holder of the exploration licence immediately before it expired,</w:t>
      </w:r>
    </w:p>
    <w:p>
      <w:pPr>
        <w:pStyle w:val="nzMiscellaneousBody"/>
        <w:tabs>
          <w:tab w:val="left" w:pos="1418"/>
          <w:tab w:val="left" w:pos="1985"/>
        </w:tabs>
        <w:ind w:left="1985" w:hanging="1418"/>
      </w:pPr>
      <w:r>
        <w:tab/>
      </w:r>
      <w:r>
        <w:tab/>
        <w:t>the mining lease is a successor tenement to the exploration licence for the purposes of subsection (1).</w:t>
      </w:r>
    </w:p>
    <w:p>
      <w:pPr>
        <w:pStyle w:val="nzMiscellaneousBody"/>
        <w:tabs>
          <w:tab w:val="left" w:pos="1418"/>
          <w:tab w:val="left" w:pos="1985"/>
        </w:tabs>
        <w:ind w:left="1985" w:hanging="1418"/>
      </w:pPr>
      <w:r>
        <w:tab/>
        <w:t>(4)</w:t>
      </w:r>
      <w:r>
        <w:tab/>
        <w:t>If — </w:t>
      </w:r>
    </w:p>
    <w:p>
      <w:pPr>
        <w:pStyle w:val="nzMiscellaneousBody"/>
        <w:tabs>
          <w:tab w:val="left" w:pos="1985"/>
          <w:tab w:val="left" w:pos="2552"/>
        </w:tabs>
        <w:ind w:left="2552" w:hanging="1985"/>
        <w:rPr>
          <w:snapToGrid w:val="0"/>
        </w:rPr>
      </w:pPr>
      <w:r>
        <w:rPr>
          <w:snapToGrid w:val="0"/>
        </w:rPr>
        <w:tab/>
        <w:t>(a)</w:t>
      </w:r>
      <w:r>
        <w:rPr>
          <w:snapToGrid w:val="0"/>
        </w:rPr>
        <w:tab/>
        <w:t>a retention licence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retention licence immediately after it takes effect was the holder of the exploration licence immediately before it expired,</w:t>
      </w:r>
    </w:p>
    <w:p>
      <w:pPr>
        <w:pStyle w:val="nzMiscellaneousBody"/>
        <w:tabs>
          <w:tab w:val="left" w:pos="1418"/>
          <w:tab w:val="left" w:pos="1985"/>
        </w:tabs>
        <w:ind w:left="1985" w:hanging="1418"/>
      </w:pPr>
      <w:r>
        <w:tab/>
      </w:r>
      <w:r>
        <w:tab/>
        <w:t>the retention licence is a successor tenement to the exploration licence for the purposes of subsection (1).</w:t>
      </w:r>
    </w:p>
    <w:p>
      <w:pPr>
        <w:pStyle w:val="nzMiscellaneousBody"/>
        <w:tabs>
          <w:tab w:val="left" w:pos="1418"/>
          <w:tab w:val="left" w:pos="1985"/>
        </w:tabs>
        <w:ind w:left="1985" w:hanging="1418"/>
      </w:pPr>
      <w:r>
        <w:tab/>
        <w:t>(5)</w:t>
      </w:r>
      <w:r>
        <w:tab/>
        <w:t>If —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 retention licence expires; and</w:t>
      </w:r>
    </w:p>
    <w:p>
      <w:pPr>
        <w:pStyle w:val="nzMiscellaneousBody"/>
        <w:tabs>
          <w:tab w:val="left" w:pos="1985"/>
          <w:tab w:val="left" w:pos="2552"/>
        </w:tabs>
        <w:ind w:left="2552" w:hanging="1985"/>
        <w:rPr>
          <w:snapToGrid w:val="0"/>
        </w:rPr>
      </w:pPr>
      <w:r>
        <w:rPr>
          <w:snapToGrid w:val="0"/>
        </w:rPr>
        <w:tab/>
        <w:t>(b)</w:t>
      </w:r>
      <w:r>
        <w:rPr>
          <w:snapToGrid w:val="0"/>
        </w:rPr>
        <w:tab/>
        <w:t>the retention licence took effect immediately after an exploration licence expired; and</w:t>
      </w:r>
    </w:p>
    <w:p>
      <w:pPr>
        <w:pStyle w:val="nzMiscellaneousBody"/>
        <w:tabs>
          <w:tab w:val="left" w:pos="1985"/>
          <w:tab w:val="left" w:pos="2552"/>
        </w:tabs>
        <w:ind w:left="2552" w:hanging="1985"/>
        <w:rPr>
          <w:snapToGrid w:val="0"/>
        </w:rPr>
      </w:pPr>
      <w:r>
        <w:rPr>
          <w:snapToGrid w:val="0"/>
        </w:rPr>
        <w:tab/>
        <w:t>(c)</w:t>
      </w:r>
      <w:r>
        <w:rPr>
          <w:snapToGrid w:val="0"/>
        </w:rPr>
        <w:tab/>
        <w:t>the holder of the mining lease immediately after it takes effect was the holder of the retention licence immediately before it expired; and</w:t>
      </w:r>
    </w:p>
    <w:p>
      <w:pPr>
        <w:pStyle w:val="nzMiscellaneousBody"/>
        <w:tabs>
          <w:tab w:val="left" w:pos="1985"/>
          <w:tab w:val="left" w:pos="2552"/>
        </w:tabs>
        <w:ind w:left="2552" w:hanging="1985"/>
        <w:rPr>
          <w:snapToGrid w:val="0"/>
        </w:rPr>
      </w:pPr>
      <w:r>
        <w:rPr>
          <w:snapToGrid w:val="0"/>
        </w:rPr>
        <w:tab/>
        <w:t>(d)</w:t>
      </w:r>
      <w:r>
        <w:rPr>
          <w:snapToGrid w:val="0"/>
        </w:rPr>
        <w:tab/>
        <w:t>the holder of the retention licence immediately after it took effect was the holder of the exploration licence immediately before it expired,</w:t>
      </w:r>
    </w:p>
    <w:p>
      <w:pPr>
        <w:pStyle w:val="nzMiscellaneousBody"/>
        <w:tabs>
          <w:tab w:val="left" w:pos="1418"/>
          <w:tab w:val="left" w:pos="1985"/>
        </w:tabs>
        <w:ind w:left="1985" w:hanging="1418"/>
      </w:pPr>
      <w:r>
        <w:tab/>
      </w:r>
      <w:r>
        <w:tab/>
        <w:t>the mining lease is a successor tenement to the exploration licence and the retention licence for the purposes of subsection (1).</w:t>
      </w:r>
    </w:p>
    <w:p>
      <w:pPr>
        <w:pStyle w:val="MiscClose"/>
        <w:ind w:right="567"/>
      </w:pPr>
      <w:r>
        <w:t xml:space="preserve">    ”.</w:t>
      </w:r>
    </w:p>
    <w:p>
      <w:pPr>
        <w:pStyle w:val="nzHeading5"/>
        <w:rPr>
          <w:snapToGrid w:val="0"/>
        </w:rPr>
      </w:pPr>
      <w:bookmarkStart w:id="1284" w:name="_Toc518099660"/>
      <w:bookmarkStart w:id="1285" w:name="_Toc518274221"/>
      <w:bookmarkStart w:id="1286" w:name="_Toc518274362"/>
      <w:bookmarkStart w:id="1287" w:name="_Toc37567347"/>
      <w:r>
        <w:rPr>
          <w:rStyle w:val="CharSectno"/>
        </w:rPr>
        <w:t>7</w:t>
      </w:r>
      <w:r>
        <w:rPr>
          <w:snapToGrid w:val="0"/>
        </w:rPr>
        <w:t>.</w:t>
      </w:r>
      <w:r>
        <w:rPr>
          <w:snapToGrid w:val="0"/>
        </w:rPr>
        <w:tab/>
        <w:t>Section 16 amended</w:t>
      </w:r>
      <w:bookmarkEnd w:id="1284"/>
      <w:bookmarkEnd w:id="1285"/>
      <w:bookmarkEnd w:id="1286"/>
      <w:bookmarkEnd w:id="1287"/>
      <w:r>
        <w:rPr>
          <w:snapToGrid w:val="0"/>
        </w:rPr>
        <w:t xml:space="preserve"> </w:t>
      </w:r>
    </w:p>
    <w:p>
      <w:pPr>
        <w:pStyle w:val="nzSubsection"/>
        <w:rPr>
          <w:snapToGrid w:val="0"/>
        </w:rPr>
      </w:pPr>
      <w:r>
        <w:rPr>
          <w:snapToGrid w:val="0"/>
        </w:rPr>
        <w:tab/>
      </w:r>
      <w:r>
        <w:rPr>
          <w:snapToGrid w:val="0"/>
        </w:rPr>
        <w:tab/>
        <w:t>Section 16(1)(a) is amended by inserting after “State” — </w:t>
      </w:r>
    </w:p>
    <w:p>
      <w:pPr>
        <w:pStyle w:val="MiscOpen"/>
        <w:ind w:left="1616"/>
        <w:rPr>
          <w:snapToGrid w:val="0"/>
        </w:rPr>
      </w:pPr>
      <w:r>
        <w:rPr>
          <w:snapToGrid w:val="0"/>
        </w:rPr>
        <w:t xml:space="preserve">“    </w:t>
      </w:r>
    </w:p>
    <w:p>
      <w:pPr>
        <w:pStyle w:val="nzMiscellaneousBody"/>
        <w:tabs>
          <w:tab w:val="left" w:pos="1985"/>
        </w:tabs>
        <w:ind w:left="1985" w:hanging="1418"/>
        <w:rPr>
          <w:snapToGrid w:val="0"/>
        </w:rPr>
      </w:pPr>
      <w:r>
        <w:rPr>
          <w:snapToGrid w:val="0"/>
        </w:rPr>
        <w:tab/>
        <w:t>, including any area that comes within paragraph (b) of the definition of “land” in section 8(1),</w:t>
      </w:r>
    </w:p>
    <w:p>
      <w:pPr>
        <w:pStyle w:val="MiscClose"/>
        <w:ind w:right="567"/>
      </w:pPr>
      <w:r>
        <w:t xml:space="preserve">    ”.</w:t>
      </w:r>
    </w:p>
    <w:p>
      <w:pPr>
        <w:pStyle w:val="nzHeading5"/>
        <w:rPr>
          <w:snapToGrid w:val="0"/>
        </w:rPr>
      </w:pPr>
      <w:bookmarkStart w:id="1288" w:name="_Toc518099661"/>
      <w:bookmarkStart w:id="1289" w:name="_Toc518274222"/>
      <w:bookmarkStart w:id="1290" w:name="_Toc518274363"/>
      <w:bookmarkStart w:id="1291" w:name="_Toc37567348"/>
      <w:r>
        <w:rPr>
          <w:rStyle w:val="CharSectno"/>
        </w:rPr>
        <w:t>8</w:t>
      </w:r>
      <w:r>
        <w:rPr>
          <w:snapToGrid w:val="0"/>
        </w:rPr>
        <w:t>.</w:t>
      </w:r>
      <w:r>
        <w:rPr>
          <w:snapToGrid w:val="0"/>
        </w:rPr>
        <w:tab/>
        <w:t>Section 25 amended</w:t>
      </w:r>
      <w:bookmarkEnd w:id="1288"/>
      <w:bookmarkEnd w:id="1289"/>
      <w:bookmarkEnd w:id="1290"/>
      <w:bookmarkEnd w:id="1291"/>
      <w:r>
        <w:rPr>
          <w:snapToGrid w:val="0"/>
        </w:rPr>
        <w:t xml:space="preserve"> </w:t>
      </w:r>
    </w:p>
    <w:p>
      <w:pPr>
        <w:pStyle w:val="nzSubsection"/>
        <w:rPr>
          <w:snapToGrid w:val="0"/>
        </w:rPr>
      </w:pPr>
      <w:r>
        <w:rPr>
          <w:snapToGrid w:val="0"/>
        </w:rPr>
        <w:tab/>
      </w:r>
      <w:r>
        <w:rPr>
          <w:snapToGrid w:val="0"/>
        </w:rPr>
        <w:tab/>
        <w:t>Section 25(1)(b) is amended by deleting “seaward limits of the territorial waters of the State” and inserting instead — </w:t>
      </w:r>
    </w:p>
    <w:p>
      <w:pPr>
        <w:pStyle w:val="MiscOpen"/>
        <w:ind w:left="1616"/>
        <w:rPr>
          <w:snapToGrid w:val="0"/>
        </w:rPr>
      </w:pPr>
      <w:r>
        <w:rPr>
          <w:snapToGrid w:val="0"/>
        </w:rPr>
        <w:t xml:space="preserve">“    </w:t>
      </w:r>
    </w:p>
    <w:p>
      <w:pPr>
        <w:pStyle w:val="nzMiscellaneousBody"/>
        <w:tabs>
          <w:tab w:val="left" w:pos="1985"/>
        </w:tabs>
        <w:ind w:left="1985" w:hanging="1418"/>
        <w:rPr>
          <w:snapToGrid w:val="0"/>
        </w:rPr>
      </w:pPr>
      <w:r>
        <w:rPr>
          <w:snapToGrid w:val="0"/>
        </w:rPr>
        <w:tab/>
        <w:t xml:space="preserve">inner limits of the coastal waters of the State as defined in section 16(1) and (2) of the </w:t>
      </w:r>
      <w:r>
        <w:rPr>
          <w:i/>
          <w:snapToGrid w:val="0"/>
        </w:rPr>
        <w:t>Offshore Minerals Act 2003</w:t>
      </w:r>
      <w:r>
        <w:rPr>
          <w:snapToGrid w:val="0"/>
        </w:rPr>
        <w:t xml:space="preserve"> </w:t>
      </w:r>
    </w:p>
    <w:p>
      <w:pPr>
        <w:pStyle w:val="MiscClose"/>
        <w:ind w:right="567"/>
        <w:rPr>
          <w:snapToGrid w:val="0"/>
        </w:rPr>
      </w:pPr>
      <w:r>
        <w:rPr>
          <w:snapToGrid w:val="0"/>
        </w:rPr>
        <w:t xml:space="preserve">    ”.</w:t>
      </w:r>
    </w:p>
    <w:p>
      <w:pPr>
        <w:pStyle w:val="nzHeading5"/>
        <w:rPr>
          <w:snapToGrid w:val="0"/>
        </w:rPr>
      </w:pPr>
      <w:bookmarkStart w:id="1292" w:name="_Toc518099662"/>
      <w:bookmarkStart w:id="1293" w:name="_Toc518274223"/>
      <w:bookmarkStart w:id="1294" w:name="_Toc518274364"/>
      <w:bookmarkStart w:id="1295" w:name="_Toc37567349"/>
      <w:r>
        <w:rPr>
          <w:rStyle w:val="CharSectno"/>
        </w:rPr>
        <w:t>9</w:t>
      </w:r>
      <w:r>
        <w:rPr>
          <w:snapToGrid w:val="0"/>
        </w:rPr>
        <w:t>.</w:t>
      </w:r>
      <w:r>
        <w:rPr>
          <w:snapToGrid w:val="0"/>
        </w:rPr>
        <w:tab/>
        <w:t>Section 56C amended</w:t>
      </w:r>
      <w:bookmarkEnd w:id="1292"/>
      <w:bookmarkEnd w:id="1293"/>
      <w:bookmarkEnd w:id="1294"/>
      <w:bookmarkEnd w:id="1295"/>
      <w:r>
        <w:rPr>
          <w:snapToGrid w:val="0"/>
        </w:rPr>
        <w:t xml:space="preserve"> </w:t>
      </w:r>
    </w:p>
    <w:p>
      <w:pPr>
        <w:pStyle w:val="nzSubsection"/>
        <w:rPr>
          <w:snapToGrid w:val="0"/>
        </w:rPr>
      </w:pPr>
      <w:r>
        <w:rPr>
          <w:snapToGrid w:val="0"/>
        </w:rPr>
        <w:tab/>
      </w:r>
      <w:r>
        <w:rPr>
          <w:snapToGrid w:val="0"/>
        </w:rPr>
        <w:tab/>
        <w:t>After section 56C(4) the following subsection is inserted — </w:t>
      </w:r>
    </w:p>
    <w:p>
      <w:pPr>
        <w:pStyle w:val="MiscOpen"/>
        <w:ind w:left="851"/>
        <w:rPr>
          <w:snapToGrid w:val="0"/>
        </w:rPr>
      </w:pPr>
      <w:r>
        <w:rPr>
          <w:snapToGrid w:val="0"/>
        </w:rPr>
        <w:t xml:space="preserve">“    </w:t>
      </w:r>
    </w:p>
    <w:p>
      <w:pPr>
        <w:pStyle w:val="nzMiscellaneousBody"/>
        <w:tabs>
          <w:tab w:val="left" w:pos="1418"/>
          <w:tab w:val="left" w:pos="1985"/>
        </w:tabs>
        <w:ind w:left="1985" w:hanging="1418"/>
      </w:pPr>
      <w:r>
        <w:tab/>
        <w:t>(5)</w:t>
      </w:r>
      <w:r>
        <w:tab/>
        <w:t>In subsection (2) — </w:t>
      </w:r>
    </w:p>
    <w:p>
      <w:pPr>
        <w:pStyle w:val="nzMiscellaneousBody"/>
        <w:tabs>
          <w:tab w:val="left" w:pos="1985"/>
          <w:tab w:val="left" w:pos="2410"/>
        </w:tabs>
        <w:ind w:left="2410" w:hanging="1843"/>
      </w:pPr>
      <w:r>
        <w:tab/>
      </w:r>
      <w:r>
        <w:rPr>
          <w:b/>
        </w:rPr>
        <w:t>“</w:t>
      </w:r>
      <w:r>
        <w:rPr>
          <w:rStyle w:val="CharDefText"/>
        </w:rPr>
        <w:t>State</w:t>
      </w:r>
      <w:r>
        <w:rPr>
          <w:b/>
        </w:rPr>
        <w:t>”</w:t>
      </w:r>
      <w:r>
        <w:t xml:space="preserve"> includes any area that comes within paragraph (b) of the definition of “land” in section 8(1).</w:t>
      </w:r>
    </w:p>
    <w:p>
      <w:pPr>
        <w:pStyle w:val="MiscClose"/>
        <w:ind w:right="567"/>
      </w:pPr>
      <w:r>
        <w:t xml:space="preserve">    ”.</w:t>
      </w:r>
    </w:p>
    <w:p>
      <w:pPr>
        <w:pStyle w:val="nzHeading5"/>
        <w:rPr>
          <w:snapToGrid w:val="0"/>
        </w:rPr>
      </w:pPr>
      <w:bookmarkStart w:id="1296" w:name="_Toc518099663"/>
      <w:bookmarkStart w:id="1297" w:name="_Toc518274224"/>
      <w:bookmarkStart w:id="1298" w:name="_Toc518274365"/>
      <w:bookmarkStart w:id="1299" w:name="_Toc37567350"/>
      <w:r>
        <w:rPr>
          <w:rStyle w:val="CharSectno"/>
        </w:rPr>
        <w:t>10</w:t>
      </w:r>
      <w:r>
        <w:rPr>
          <w:snapToGrid w:val="0"/>
        </w:rPr>
        <w:t>.</w:t>
      </w:r>
      <w:r>
        <w:rPr>
          <w:snapToGrid w:val="0"/>
        </w:rPr>
        <w:tab/>
        <w:t>Section 132 amended</w:t>
      </w:r>
      <w:bookmarkEnd w:id="1296"/>
      <w:bookmarkEnd w:id="1297"/>
      <w:bookmarkEnd w:id="1298"/>
      <w:bookmarkEnd w:id="1299"/>
      <w:r>
        <w:rPr>
          <w:snapToGrid w:val="0"/>
        </w:rPr>
        <w:t xml:space="preserve"> </w:t>
      </w:r>
    </w:p>
    <w:p>
      <w:pPr>
        <w:pStyle w:val="nzSubsection"/>
        <w:rPr>
          <w:snapToGrid w:val="0"/>
        </w:rPr>
      </w:pPr>
      <w:r>
        <w:rPr>
          <w:snapToGrid w:val="0"/>
        </w:rPr>
        <w:tab/>
      </w:r>
      <w:r>
        <w:rPr>
          <w:snapToGrid w:val="0"/>
        </w:rPr>
        <w:tab/>
        <w:t>Section 132(2) is amended by inserting after “the State” — </w:t>
      </w:r>
    </w:p>
    <w:p>
      <w:pPr>
        <w:pStyle w:val="MiscOpen"/>
        <w:keepNext w:val="0"/>
        <w:keepLines w:val="0"/>
        <w:ind w:left="879"/>
        <w:rPr>
          <w:snapToGrid w:val="0"/>
        </w:rPr>
      </w:pPr>
      <w:r>
        <w:rPr>
          <w:snapToGrid w:val="0"/>
        </w:rPr>
        <w:t xml:space="preserve">“    </w:t>
      </w:r>
    </w:p>
    <w:p>
      <w:pPr>
        <w:pStyle w:val="nzMiscellaneousBody"/>
        <w:tabs>
          <w:tab w:val="left" w:pos="1418"/>
        </w:tabs>
        <w:ind w:left="1418" w:hanging="851"/>
        <w:rPr>
          <w:snapToGrid w:val="0"/>
        </w:rPr>
      </w:pPr>
      <w:r>
        <w:rPr>
          <w:snapToGrid w:val="0"/>
        </w:rPr>
        <w:tab/>
        <w:t>, including any area that comes within paragraph (b) of the definition of “land” in section 8(1),</w:t>
      </w:r>
    </w:p>
    <w:p>
      <w:pPr>
        <w:pStyle w:val="MiscClose"/>
        <w:ind w:right="567"/>
      </w:pPr>
      <w:r>
        <w:t xml:space="preserve">    ”.</w:t>
      </w:r>
    </w:p>
    <w:p>
      <w:pPr>
        <w:pStyle w:val="MiscClose"/>
      </w:pPr>
      <w:r>
        <w:t>”.</w:t>
      </w:r>
    </w:p>
    <w:p>
      <w:pPr>
        <w:pStyle w:val="nSubsection"/>
        <w:rPr>
          <w:snapToGrid w:val="0"/>
        </w:rPr>
      </w:pPr>
      <w:r>
        <w:rPr>
          <w:snapToGrid w:val="0"/>
          <w:vertAlign w:val="superscript"/>
        </w:rPr>
        <w:t>19</w:t>
      </w:r>
      <w:r>
        <w:rPr>
          <w:snapToGrid w:val="0"/>
        </w:rPr>
        <w:tab/>
        <w:t xml:space="preserve">On the date as at which this compilation was prepared, the </w:t>
      </w:r>
      <w:r>
        <w:rPr>
          <w:i/>
          <w:snapToGrid w:val="0"/>
        </w:rPr>
        <w:t xml:space="preserve">Mining Amendment Act 2004 </w:t>
      </w:r>
      <w:r>
        <w:rPr>
          <w:snapToGrid w:val="0"/>
        </w:rPr>
        <w:t>Pt. 2</w:t>
      </w:r>
      <w:r>
        <w:rPr>
          <w:snapToGrid w:val="0"/>
        </w:rPr>
        <w:noBreakHyphen/>
        <w:t>10 and 12 had not come into operation.  They read as follows:</w:t>
      </w:r>
    </w:p>
    <w:p>
      <w:pPr>
        <w:pStyle w:val="MiscOpen"/>
        <w:rPr>
          <w:snapToGrid w:val="0"/>
        </w:rPr>
      </w:pPr>
      <w:r>
        <w:rPr>
          <w:snapToGrid w:val="0"/>
        </w:rPr>
        <w:t>“</w:t>
      </w:r>
    </w:p>
    <w:p>
      <w:pPr>
        <w:pStyle w:val="nzHeading2"/>
        <w:rPr>
          <w:rStyle w:val="CharPartNo"/>
        </w:rPr>
      </w:pPr>
      <w:bookmarkStart w:id="1300" w:name="_Toc67724575"/>
      <w:bookmarkStart w:id="1301" w:name="_Toc67799485"/>
      <w:bookmarkStart w:id="1302" w:name="_Toc67806290"/>
      <w:bookmarkStart w:id="1303" w:name="_Toc67807112"/>
      <w:bookmarkStart w:id="1304" w:name="_Toc67808125"/>
      <w:bookmarkStart w:id="1305" w:name="_Toc67808402"/>
      <w:bookmarkStart w:id="1306" w:name="_Toc67809836"/>
      <w:bookmarkStart w:id="1307" w:name="_Toc67813885"/>
      <w:bookmarkStart w:id="1308" w:name="_Toc67814207"/>
      <w:bookmarkStart w:id="1309" w:name="_Toc67911066"/>
      <w:bookmarkStart w:id="1310" w:name="_Toc67912044"/>
      <w:bookmarkStart w:id="1311" w:name="_Toc67980281"/>
      <w:bookmarkStart w:id="1312" w:name="_Toc67980389"/>
      <w:bookmarkStart w:id="1313" w:name="_Toc67980673"/>
      <w:bookmarkStart w:id="1314" w:name="_Toc67981195"/>
      <w:bookmarkStart w:id="1315" w:name="_Toc67981382"/>
      <w:bookmarkStart w:id="1316" w:name="_Toc67981956"/>
      <w:bookmarkStart w:id="1317" w:name="_Toc67997354"/>
      <w:bookmarkStart w:id="1318" w:name="_Toc68063309"/>
      <w:bookmarkStart w:id="1319" w:name="_Toc68070406"/>
      <w:bookmarkStart w:id="1320" w:name="_Toc68315338"/>
      <w:bookmarkStart w:id="1321" w:name="_Toc68321101"/>
      <w:bookmarkStart w:id="1322" w:name="_Toc68321208"/>
      <w:bookmarkStart w:id="1323" w:name="_Toc68321316"/>
      <w:bookmarkStart w:id="1324" w:name="_Toc68323942"/>
      <w:bookmarkStart w:id="1325" w:name="_Toc68325639"/>
      <w:bookmarkStart w:id="1326" w:name="_Toc68490814"/>
      <w:bookmarkStart w:id="1327" w:name="_Toc68494986"/>
      <w:bookmarkStart w:id="1328" w:name="_Toc68505803"/>
      <w:bookmarkStart w:id="1329" w:name="_Toc68506511"/>
      <w:bookmarkStart w:id="1330" w:name="_Toc68513223"/>
      <w:bookmarkStart w:id="1331" w:name="_Toc68515232"/>
      <w:bookmarkStart w:id="1332" w:name="_Toc68516437"/>
      <w:bookmarkStart w:id="1333" w:name="_Toc68517710"/>
      <w:bookmarkStart w:id="1334" w:name="_Toc68518029"/>
      <w:bookmarkStart w:id="1335" w:name="_Toc68518226"/>
      <w:bookmarkStart w:id="1336" w:name="_Toc68588030"/>
      <w:bookmarkStart w:id="1337" w:name="_Toc68942947"/>
      <w:bookmarkStart w:id="1338" w:name="_Toc68943899"/>
      <w:bookmarkStart w:id="1339" w:name="_Toc68944661"/>
      <w:bookmarkStart w:id="1340" w:name="_Toc68945467"/>
      <w:bookmarkStart w:id="1341" w:name="_Toc68946868"/>
      <w:bookmarkStart w:id="1342" w:name="_Toc68950706"/>
      <w:bookmarkStart w:id="1343" w:name="_Toc69017033"/>
      <w:bookmarkStart w:id="1344" w:name="_Toc69021805"/>
      <w:bookmarkStart w:id="1345" w:name="_Toc69022061"/>
      <w:bookmarkStart w:id="1346" w:name="_Toc69030789"/>
      <w:bookmarkStart w:id="1347" w:name="_Toc69100482"/>
      <w:bookmarkStart w:id="1348" w:name="_Toc69102728"/>
      <w:bookmarkStart w:id="1349" w:name="_Toc69117284"/>
      <w:bookmarkStart w:id="1350" w:name="_Toc69117990"/>
      <w:bookmarkStart w:id="1351" w:name="_Toc69271713"/>
      <w:bookmarkStart w:id="1352" w:name="_Toc69274090"/>
      <w:bookmarkStart w:id="1353" w:name="_Toc69274539"/>
      <w:bookmarkStart w:id="1354" w:name="_Toc69275297"/>
      <w:bookmarkStart w:id="1355" w:name="_Toc69275592"/>
      <w:bookmarkStart w:id="1356" w:name="_Toc69278358"/>
      <w:bookmarkStart w:id="1357" w:name="_Toc69280708"/>
      <w:bookmarkStart w:id="1358" w:name="_Toc69281049"/>
      <w:bookmarkStart w:id="1359" w:name="_Toc69281158"/>
      <w:bookmarkStart w:id="1360" w:name="_Toc69281325"/>
      <w:bookmarkStart w:id="1361" w:name="_Toc69281519"/>
      <w:bookmarkStart w:id="1362" w:name="_Toc70327068"/>
      <w:bookmarkStart w:id="1363" w:name="_Toc70405206"/>
      <w:bookmarkStart w:id="1364" w:name="_Toc70995369"/>
      <w:bookmarkStart w:id="1365" w:name="_Toc71712497"/>
      <w:bookmarkStart w:id="1366" w:name="_Toc71713952"/>
      <w:bookmarkStart w:id="1367" w:name="_Toc71878695"/>
      <w:bookmarkStart w:id="1368" w:name="_Toc71880039"/>
      <w:bookmarkStart w:id="1369" w:name="_Toc71884420"/>
      <w:bookmarkStart w:id="1370" w:name="_Toc71886998"/>
      <w:bookmarkStart w:id="1371" w:name="_Toc71887239"/>
      <w:bookmarkStart w:id="1372" w:name="_Toc71953145"/>
      <w:bookmarkStart w:id="1373" w:name="_Toc71953288"/>
      <w:bookmarkStart w:id="1374" w:name="_Toc71957035"/>
      <w:bookmarkStart w:id="1375" w:name="_Toc71963666"/>
      <w:bookmarkStart w:id="1376" w:name="_Toc71969758"/>
      <w:bookmarkStart w:id="1377" w:name="_Toc71969867"/>
      <w:bookmarkStart w:id="1378" w:name="_Toc71973470"/>
      <w:bookmarkStart w:id="1379" w:name="_Toc71975584"/>
      <w:bookmarkStart w:id="1380" w:name="_Toc71976392"/>
      <w:bookmarkStart w:id="1381" w:name="_Toc72026786"/>
      <w:bookmarkStart w:id="1382" w:name="_Toc72027044"/>
      <w:bookmarkStart w:id="1383" w:name="_Toc72029101"/>
      <w:bookmarkStart w:id="1384" w:name="_Toc72044628"/>
      <w:bookmarkStart w:id="1385" w:name="_Toc72044738"/>
      <w:bookmarkStart w:id="1386" w:name="_Toc72049657"/>
      <w:bookmarkStart w:id="1387" w:name="_Toc72049769"/>
      <w:bookmarkStart w:id="1388" w:name="_Toc72748169"/>
      <w:bookmarkStart w:id="1389" w:name="_Toc72812713"/>
      <w:bookmarkStart w:id="1390" w:name="_Toc72827578"/>
      <w:bookmarkStart w:id="1391" w:name="_Toc73154084"/>
      <w:bookmarkStart w:id="1392" w:name="_Toc73154510"/>
      <w:bookmarkStart w:id="1393" w:name="_Toc73156265"/>
      <w:bookmarkStart w:id="1394" w:name="_Toc73156385"/>
      <w:bookmarkStart w:id="1395" w:name="_Toc73158352"/>
      <w:bookmarkStart w:id="1396" w:name="_Toc73158680"/>
      <w:bookmarkStart w:id="1397" w:name="_Toc73159045"/>
      <w:bookmarkStart w:id="1398" w:name="_Toc73159186"/>
      <w:bookmarkStart w:id="1399" w:name="_Toc73159861"/>
      <w:bookmarkStart w:id="1400" w:name="_Toc73160787"/>
      <w:bookmarkStart w:id="1401" w:name="_Toc73161581"/>
      <w:bookmarkStart w:id="1402" w:name="_Toc73161752"/>
      <w:bookmarkStart w:id="1403" w:name="_Toc73164186"/>
      <w:bookmarkStart w:id="1404" w:name="_Toc73179755"/>
      <w:bookmarkStart w:id="1405" w:name="_Toc73184296"/>
      <w:bookmarkStart w:id="1406" w:name="_Toc73241565"/>
      <w:bookmarkStart w:id="1407" w:name="_Toc73242127"/>
      <w:bookmarkStart w:id="1408" w:name="_Toc73242867"/>
      <w:bookmarkStart w:id="1409" w:name="_Toc73242984"/>
      <w:bookmarkStart w:id="1410" w:name="_Toc73243101"/>
      <w:bookmarkStart w:id="1411" w:name="_Toc73245156"/>
      <w:bookmarkStart w:id="1412" w:name="_Toc73245966"/>
      <w:bookmarkStart w:id="1413" w:name="_Toc73251484"/>
      <w:bookmarkStart w:id="1414" w:name="_Toc73258480"/>
      <w:bookmarkStart w:id="1415" w:name="_Toc73259561"/>
      <w:bookmarkStart w:id="1416" w:name="_Toc73421898"/>
      <w:bookmarkStart w:id="1417" w:name="_Toc73427299"/>
      <w:bookmarkStart w:id="1418" w:name="_Toc73428225"/>
      <w:bookmarkStart w:id="1419" w:name="_Toc73428342"/>
      <w:bookmarkStart w:id="1420" w:name="_Toc73428459"/>
      <w:bookmarkStart w:id="1421" w:name="_Toc73428713"/>
      <w:bookmarkStart w:id="1422" w:name="_Toc73428946"/>
      <w:bookmarkStart w:id="1423" w:name="_Toc73429434"/>
      <w:bookmarkStart w:id="1424" w:name="_Toc73436586"/>
      <w:bookmarkStart w:id="1425" w:name="_Toc73437429"/>
      <w:bookmarkStart w:id="1426" w:name="_Toc81200116"/>
      <w:bookmarkStart w:id="1427" w:name="_Toc81201727"/>
      <w:bookmarkStart w:id="1428" w:name="_Toc81208981"/>
      <w:r>
        <w:rPr>
          <w:rStyle w:val="CharPartNo"/>
        </w:rPr>
        <w:t>Part 2 — Amendments about prospecting licences</w:t>
      </w:r>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p>
    <w:p>
      <w:pPr>
        <w:pStyle w:val="nzHeading5"/>
      </w:pPr>
      <w:bookmarkStart w:id="1429" w:name="_Toc87061455"/>
      <w:r>
        <w:rPr>
          <w:rStyle w:val="CharSectno"/>
        </w:rPr>
        <w:t>4</w:t>
      </w:r>
      <w:r>
        <w:t>.</w:t>
      </w:r>
      <w:r>
        <w:tab/>
        <w:t>Section 43 amended</w:t>
      </w:r>
      <w:bookmarkEnd w:id="1429"/>
    </w:p>
    <w:p>
      <w:pPr>
        <w:pStyle w:val="nzSubsection"/>
      </w:pPr>
      <w:r>
        <w:tab/>
      </w:r>
      <w:r>
        <w:tab/>
        <w:t xml:space="preserve">Section 43(2) is amended by inserting after “section 56A” — </w:t>
      </w:r>
    </w:p>
    <w:p>
      <w:pPr>
        <w:pStyle w:val="MiscOpen"/>
        <w:ind w:left="880"/>
      </w:pPr>
      <w:r>
        <w:t xml:space="preserve">“    </w:t>
      </w:r>
    </w:p>
    <w:p>
      <w:pPr>
        <w:pStyle w:val="nzSubsection"/>
      </w:pPr>
      <w:r>
        <w:tab/>
      </w:r>
      <w:r>
        <w:tab/>
        <w:t>or a prospecting licence granted in respect of an application under section 56B</w:t>
      </w:r>
    </w:p>
    <w:p>
      <w:pPr>
        <w:pStyle w:val="MiscClose"/>
      </w:pPr>
      <w:r>
        <w:t xml:space="preserve">    ”.</w:t>
      </w:r>
    </w:p>
    <w:p>
      <w:pPr>
        <w:pStyle w:val="nzHeading5"/>
      </w:pPr>
      <w:bookmarkStart w:id="1430" w:name="_Toc87061456"/>
      <w:r>
        <w:rPr>
          <w:rStyle w:val="CharSectno"/>
        </w:rPr>
        <w:t>5</w:t>
      </w:r>
      <w:r>
        <w:t>.</w:t>
      </w:r>
      <w:r>
        <w:tab/>
        <w:t>Section 45 amended and savings provision</w:t>
      </w:r>
      <w:bookmarkEnd w:id="1430"/>
    </w:p>
    <w:p>
      <w:pPr>
        <w:pStyle w:val="nzSubsection"/>
      </w:pPr>
      <w:r>
        <w:tab/>
        <w:t>(1)</w:t>
      </w:r>
      <w:r>
        <w:tab/>
        <w:t xml:space="preserve">After section 45(1) the following subsections are inserted — </w:t>
      </w:r>
    </w:p>
    <w:p>
      <w:pPr>
        <w:pStyle w:val="MiscOpen"/>
        <w:ind w:left="600"/>
      </w:pPr>
      <w:r>
        <w:t xml:space="preserve">“    </w:t>
      </w:r>
    </w:p>
    <w:p>
      <w:pPr>
        <w:pStyle w:val="nzSubsection"/>
      </w:pPr>
      <w:r>
        <w:tab/>
        <w:t>(1a)</w:t>
      </w:r>
      <w:r>
        <w:tab/>
        <w:t xml:space="preserve">Notwithstanding subsection (1) the Minister may, if satisfied that a prescribed ground for extension exists, extend the term of a prospecting licence — </w:t>
      </w:r>
    </w:p>
    <w:p>
      <w:pPr>
        <w:pStyle w:val="nzIndenta"/>
      </w:pPr>
      <w:r>
        <w:tab/>
        <w:t>(a)</w:t>
      </w:r>
      <w:r>
        <w:tab/>
        <w:t>by one period of 4 years; and</w:t>
      </w:r>
    </w:p>
    <w:p>
      <w:pPr>
        <w:pStyle w:val="nzIndenta"/>
      </w:pPr>
      <w:r>
        <w:tab/>
        <w:t>(b)</w:t>
      </w:r>
      <w:r>
        <w:tab/>
        <w:t>if the licence has retention status, by a further period or periods of 4 years.</w:t>
      </w:r>
    </w:p>
    <w:p>
      <w:pPr>
        <w:pStyle w:val="nzSubsection"/>
      </w:pPr>
      <w:r>
        <w:tab/>
        <w:t>(1b)</w:t>
      </w:r>
      <w:r>
        <w:tab/>
        <w:t xml:space="preserve">An application for the extension of the term of a prospecting licence under subsection (1a) (an </w:t>
      </w:r>
      <w:r>
        <w:rPr>
          <w:b/>
        </w:rPr>
        <w:t>“</w:t>
      </w:r>
      <w:r>
        <w:rPr>
          <w:rStyle w:val="CharDefText"/>
        </w:rPr>
        <w:t>extension application</w:t>
      </w:r>
      <w:r>
        <w:rPr>
          <w:b/>
        </w:rPr>
        <w:t>”</w:t>
      </w:r>
      <w:r>
        <w:t>) shall be made within the prescribed time and in the prescribed manner.</w:t>
      </w:r>
    </w:p>
    <w:p>
      <w:pPr>
        <w:pStyle w:val="nz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nzSubsection"/>
      </w:pPr>
      <w:r>
        <w:tab/>
        <w:t>(1d)</w:t>
      </w:r>
      <w:r>
        <w:tab/>
        <w:t xml:space="preserve">If — </w:t>
      </w:r>
    </w:p>
    <w:p>
      <w:pPr>
        <w:pStyle w:val="nzIndenta"/>
      </w:pPr>
      <w:r>
        <w:tab/>
        <w:t>(a)</w:t>
      </w:r>
      <w:r>
        <w:tab/>
        <w:t>an extension application is made in respect of a prospecting licence the term of which has been extended under subsection (1a)(a); and</w:t>
      </w:r>
    </w:p>
    <w:p>
      <w:pPr>
        <w:pStyle w:val="nzIndenta"/>
      </w:pPr>
      <w:r>
        <w:tab/>
        <w:t>(b)</w:t>
      </w:r>
      <w:r>
        <w:tab/>
        <w:t xml:space="preserve">an application for retention status in respect of the prospecting licence — </w:t>
      </w:r>
    </w:p>
    <w:p>
      <w:pPr>
        <w:pStyle w:val="nzIndenti"/>
      </w:pPr>
      <w:r>
        <w:tab/>
        <w:t>(i)</w:t>
      </w:r>
      <w:r>
        <w:tab/>
        <w:t>is pending when the extension application is made; or</w:t>
      </w:r>
    </w:p>
    <w:p>
      <w:pPr>
        <w:pStyle w:val="nzIndenti"/>
      </w:pPr>
      <w:r>
        <w:tab/>
        <w:t>(ii)</w:t>
      </w:r>
      <w:r>
        <w:tab/>
        <w:t>is made at the same time as the extension application,</w:t>
      </w:r>
    </w:p>
    <w:p>
      <w:pPr>
        <w:pStyle w:val="nzIndenta"/>
      </w:pPr>
      <w:r>
        <w:tab/>
      </w:r>
      <w:r>
        <w:tab/>
        <w:t>the extension application shall not be determined until the application for retention status has been determined.</w:t>
      </w:r>
    </w:p>
    <w:p>
      <w:pPr>
        <w:pStyle w:val="nzSubsection"/>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MiscClose"/>
      </w:pPr>
      <w:r>
        <w:t xml:space="preserve">    ”.</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nzHeading5"/>
      </w:pPr>
      <w:bookmarkStart w:id="1431" w:name="_Toc87061457"/>
      <w:r>
        <w:rPr>
          <w:rStyle w:val="CharSectno"/>
        </w:rPr>
        <w:t>6</w:t>
      </w:r>
      <w:r>
        <w:t>.</w:t>
      </w:r>
      <w:r>
        <w:tab/>
        <w:t>Section 46 amended and transitional provision</w:t>
      </w:r>
      <w:bookmarkEnd w:id="1431"/>
    </w:p>
    <w:p>
      <w:pPr>
        <w:pStyle w:val="nzSubsection"/>
      </w:pPr>
      <w:r>
        <w:tab/>
        <w:t>(1)</w:t>
      </w:r>
      <w:r>
        <w:tab/>
        <w:t>Section 46 is amended as follows:</w:t>
      </w:r>
    </w:p>
    <w:p>
      <w:pPr>
        <w:pStyle w:val="nzIndenta"/>
      </w:pPr>
      <w:r>
        <w:tab/>
        <w:t>(a)</w:t>
      </w:r>
      <w:r>
        <w:tab/>
        <w:t xml:space="preserve">after paragraph (a) by inserting the following paragraph — </w:t>
      </w:r>
    </w:p>
    <w:p>
      <w:pPr>
        <w:pStyle w:val="MiscOpen"/>
        <w:ind w:left="1340"/>
      </w:pPr>
      <w:r>
        <w:t xml:space="preserve">“    </w:t>
      </w:r>
    </w:p>
    <w:p>
      <w:pPr>
        <w:pStyle w:val="nzIndenta"/>
      </w:pPr>
      <w:r>
        <w:tab/>
        <w:t>(aa)</w:t>
      </w:r>
      <w:r>
        <w:tab/>
        <w:t xml:space="preserve">that no ground disturbing equipment will be used by the holder when prospecting on the land the subject of the prospecting licence unless — </w:t>
      </w:r>
    </w:p>
    <w:p>
      <w:pPr>
        <w:pStyle w:val="nzIndenti"/>
      </w:pPr>
      <w:r>
        <w:tab/>
        <w:t>(i)</w:t>
      </w:r>
      <w:r>
        <w:tab/>
        <w:t>the holder has lodged in the prescribed manner a programme of work in respect of that use; and</w:t>
      </w:r>
    </w:p>
    <w:p>
      <w:pPr>
        <w:pStyle w:val="nzIndenti"/>
      </w:pPr>
      <w:r>
        <w:tab/>
        <w:t>(ii)</w:t>
      </w:r>
      <w:r>
        <w:tab/>
        <w:t>the programme of work has been approved in writing by the Minister or a prescribed official;</w:t>
      </w:r>
    </w:p>
    <w:p>
      <w:pPr>
        <w:pStyle w:val="MiscClose"/>
      </w:pPr>
      <w:r>
        <w:t xml:space="preserve">    ”;</w:t>
      </w:r>
    </w:p>
    <w:p>
      <w:pPr>
        <w:pStyle w:val="nzIndenta"/>
      </w:pPr>
      <w:r>
        <w:tab/>
        <w:t>(b)</w:t>
      </w:r>
      <w:r>
        <w:tab/>
        <w:t xml:space="preserve">in paragraph (b) — </w:t>
      </w:r>
    </w:p>
    <w:p>
      <w:pPr>
        <w:pStyle w:val="nzIndenti"/>
      </w:pPr>
      <w:r>
        <w:tab/>
        <w:t>(i)</w:t>
      </w:r>
      <w:r>
        <w:tab/>
        <w:t xml:space="preserve">by deleting “the State Mining Engineer” in the first place where it occurs and inserting instead — </w:t>
      </w:r>
    </w:p>
    <w:p>
      <w:pPr>
        <w:pStyle w:val="nzIndenti"/>
      </w:pPr>
      <w:r>
        <w:tab/>
      </w:r>
      <w:r>
        <w:tab/>
        <w:t>“    a prescribed official    ”;</w:t>
      </w:r>
    </w:p>
    <w:p>
      <w:pPr>
        <w:pStyle w:val="nzIndenti"/>
      </w:pPr>
      <w:r>
        <w:tab/>
        <w:t>(ii)</w:t>
      </w:r>
      <w:r>
        <w:tab/>
        <w:t xml:space="preserve">by deleting “the State Mining Engineer” in the second place where it occurs and inserting instead — </w:t>
      </w:r>
    </w:p>
    <w:p>
      <w:pPr>
        <w:pStyle w:val="nzIndenti"/>
      </w:pPr>
      <w:r>
        <w:tab/>
      </w:r>
      <w:r>
        <w:tab/>
        <w:t>“    the prescribed official    ”.</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nzHeading5"/>
      </w:pPr>
      <w:bookmarkStart w:id="1432" w:name="_Toc87061458"/>
      <w:r>
        <w:rPr>
          <w:rStyle w:val="CharSectno"/>
        </w:rPr>
        <w:t>7</w:t>
      </w:r>
      <w:r>
        <w:t>.</w:t>
      </w:r>
      <w:r>
        <w:tab/>
        <w:t>Section 56B inserted</w:t>
      </w:r>
      <w:bookmarkEnd w:id="1432"/>
    </w:p>
    <w:p>
      <w:pPr>
        <w:pStyle w:val="nzSubsection"/>
      </w:pPr>
      <w:r>
        <w:tab/>
      </w:r>
      <w:r>
        <w:tab/>
        <w:t xml:space="preserve">After section 56A the following section is inserted in Part IV Division 1 — </w:t>
      </w:r>
    </w:p>
    <w:p>
      <w:pPr>
        <w:pStyle w:val="MiscOpen"/>
      </w:pPr>
      <w:r>
        <w:t xml:space="preserve">“    </w:t>
      </w:r>
    </w:p>
    <w:p>
      <w:pPr>
        <w:pStyle w:val="nzHeading5"/>
      </w:pPr>
      <w:r>
        <w:t>56B.</w:t>
      </w:r>
      <w:r>
        <w:tab/>
        <w:t>Certain licence holders to have right to apply for further prospecting licence</w:t>
      </w:r>
    </w:p>
    <w:p>
      <w:pPr>
        <w:pStyle w:val="nzSubsection"/>
      </w:pPr>
      <w:r>
        <w:tab/>
        <w:t>(1)</w:t>
      </w:r>
      <w:r>
        <w:tab/>
        <w:t xml:space="preserve">In this section — </w:t>
      </w:r>
    </w:p>
    <w:p>
      <w:pPr>
        <w:pStyle w:val="nzDefstart"/>
      </w:pPr>
      <w:r>
        <w:rPr>
          <w:b/>
        </w:rPr>
        <w:tab/>
        <w:t>“</w:t>
      </w:r>
      <w:r>
        <w:rPr>
          <w:rStyle w:val="CharDefText"/>
        </w:rPr>
        <w:t>relevant licence</w:t>
      </w:r>
      <w:r>
        <w:rPr>
          <w:b/>
        </w:rPr>
        <w:t>”</w:t>
      </w:r>
      <w:r>
        <w:t xml:space="preserve"> means a prospecting licence the term of which expires within 12 months after the day on which section 7 of the </w:t>
      </w:r>
      <w:r>
        <w:rPr>
          <w:i/>
        </w:rPr>
        <w:t>Mining Amendment Act 2004</w:t>
      </w:r>
      <w:r>
        <w:t xml:space="preserve"> comes into operation.</w:t>
      </w:r>
    </w:p>
    <w:p>
      <w:pPr>
        <w:pStyle w:val="nzSubsection"/>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nzSubsection"/>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nzSubsection"/>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MiscClose"/>
      </w:pPr>
      <w:r>
        <w:t xml:space="preserve">    ”.</w:t>
      </w:r>
    </w:p>
    <w:p>
      <w:pPr>
        <w:pStyle w:val="nzHeading2"/>
      </w:pPr>
      <w:bookmarkStart w:id="1433" w:name="_Toc73160792"/>
      <w:bookmarkStart w:id="1434" w:name="_Toc73161586"/>
      <w:bookmarkStart w:id="1435" w:name="_Toc73161757"/>
      <w:bookmarkStart w:id="1436" w:name="_Toc73164191"/>
      <w:bookmarkStart w:id="1437" w:name="_Toc73179760"/>
      <w:bookmarkStart w:id="1438" w:name="_Toc73184301"/>
      <w:bookmarkStart w:id="1439" w:name="_Toc73241570"/>
      <w:bookmarkStart w:id="1440" w:name="_Toc73242132"/>
      <w:bookmarkStart w:id="1441" w:name="_Toc73242872"/>
      <w:bookmarkStart w:id="1442" w:name="_Toc73242989"/>
      <w:bookmarkStart w:id="1443" w:name="_Toc73243106"/>
      <w:bookmarkStart w:id="1444" w:name="_Toc73245161"/>
      <w:bookmarkStart w:id="1445" w:name="_Toc73245971"/>
      <w:bookmarkStart w:id="1446" w:name="_Toc73251489"/>
      <w:bookmarkStart w:id="1447" w:name="_Toc73258485"/>
      <w:bookmarkStart w:id="1448" w:name="_Toc73259566"/>
      <w:bookmarkStart w:id="1449" w:name="_Toc73421903"/>
      <w:bookmarkStart w:id="1450" w:name="_Toc73427304"/>
      <w:bookmarkStart w:id="1451" w:name="_Toc73428230"/>
      <w:bookmarkStart w:id="1452" w:name="_Toc73428347"/>
      <w:bookmarkStart w:id="1453" w:name="_Toc73428464"/>
      <w:bookmarkStart w:id="1454" w:name="_Toc73428718"/>
      <w:bookmarkStart w:id="1455" w:name="_Toc73428951"/>
      <w:bookmarkStart w:id="1456" w:name="_Toc73429439"/>
      <w:bookmarkStart w:id="1457" w:name="_Toc73436591"/>
      <w:bookmarkStart w:id="1458" w:name="_Toc73437434"/>
      <w:bookmarkStart w:id="1459" w:name="_Toc81200121"/>
      <w:bookmarkStart w:id="1460" w:name="_Toc81201732"/>
      <w:bookmarkStart w:id="1461" w:name="_Toc81208986"/>
      <w:r>
        <w:rPr>
          <w:rStyle w:val="CharPartNo"/>
        </w:rPr>
        <w:t>Part 3</w:t>
      </w:r>
      <w:r>
        <w:rPr>
          <w:rStyle w:val="CharDivNo"/>
        </w:rPr>
        <w:t> </w:t>
      </w:r>
      <w:r>
        <w:t>—</w:t>
      </w:r>
      <w:r>
        <w:rPr>
          <w:rStyle w:val="CharDivText"/>
        </w:rPr>
        <w:t> </w:t>
      </w:r>
      <w:r>
        <w:rPr>
          <w:rStyle w:val="CharPartText"/>
        </w:rPr>
        <w:t>Amendments about special prospecting licences</w:t>
      </w:r>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p>
    <w:p>
      <w:pPr>
        <w:pStyle w:val="nzHeading5"/>
      </w:pPr>
      <w:bookmarkStart w:id="1462" w:name="_Toc87061459"/>
      <w:r>
        <w:rPr>
          <w:rStyle w:val="CharSectno"/>
        </w:rPr>
        <w:t>8</w:t>
      </w:r>
      <w:r>
        <w:t>.</w:t>
      </w:r>
      <w:r>
        <w:tab/>
        <w:t>Section 56A amended</w:t>
      </w:r>
      <w:bookmarkEnd w:id="1462"/>
    </w:p>
    <w:p>
      <w:pPr>
        <w:pStyle w:val="nzSubsection"/>
      </w:pPr>
      <w:r>
        <w:tab/>
        <w:t>(1)</w:t>
      </w:r>
      <w:r>
        <w:tab/>
        <w:t>Section 56A(2) is amended as follows:</w:t>
      </w:r>
    </w:p>
    <w:p>
      <w:pPr>
        <w:pStyle w:val="nzIndenta"/>
      </w:pPr>
      <w:r>
        <w:tab/>
        <w:t>(a)</w:t>
      </w:r>
      <w:r>
        <w:tab/>
        <w:t xml:space="preserve">by deleting “Within 14 days after lodging an application for a special prospecting licence under subsection (1) the applicant shall” and inserting instead — </w:t>
      </w:r>
    </w:p>
    <w:p>
      <w:pPr>
        <w:pStyle w:val="MiscOpen"/>
        <w:ind w:left="1049"/>
      </w:pPr>
      <w:r>
        <w:t xml:space="preserve">“    </w:t>
      </w:r>
    </w:p>
    <w:p>
      <w:pPr>
        <w:pStyle w:val="nzSubsection"/>
      </w:pPr>
      <w:r>
        <w:tab/>
      </w:r>
      <w:r>
        <w:tab/>
        <w:t>Unless subsection (5a) applies, an applicant for a special prospecting licence shall, within the prescribed period,</w:t>
      </w:r>
    </w:p>
    <w:p>
      <w:pPr>
        <w:pStyle w:val="MiscClose"/>
      </w:pPr>
      <w:r>
        <w:t xml:space="preserve">    ”;</w:t>
      </w:r>
    </w:p>
    <w:p>
      <w:pPr>
        <w:pStyle w:val="nzIndenta"/>
      </w:pPr>
      <w:r>
        <w:tab/>
        <w:t>(b)</w:t>
      </w:r>
      <w:r>
        <w:tab/>
        <w:t xml:space="preserve">by inserting after “relates” — </w:t>
      </w:r>
    </w:p>
    <w:p>
      <w:pPr>
        <w:pStyle w:val="MiscOpen"/>
        <w:ind w:left="879"/>
      </w:pPr>
      <w:r>
        <w:t xml:space="preserve">“    </w:t>
      </w:r>
    </w:p>
    <w:p>
      <w:pPr>
        <w:pStyle w:val="nzSubsection"/>
      </w:pPr>
      <w:r>
        <w:tab/>
      </w:r>
      <w:r>
        <w:tab/>
        <w:t>, and subsections (3) to (5) apply in respect of that application</w:t>
      </w:r>
    </w:p>
    <w:p>
      <w:pPr>
        <w:pStyle w:val="MiscClose"/>
      </w:pPr>
      <w:r>
        <w:t xml:space="preserve">    ”.</w:t>
      </w:r>
    </w:p>
    <w:p>
      <w:pPr>
        <w:pStyle w:val="nzSubsection"/>
      </w:pPr>
      <w:r>
        <w:tab/>
        <w:t>(2)</w:t>
      </w:r>
      <w:r>
        <w:tab/>
        <w:t xml:space="preserve">After section 56A(5) the following subsections are inserted — </w:t>
      </w:r>
    </w:p>
    <w:p>
      <w:pPr>
        <w:pStyle w:val="MiscOpen"/>
        <w:ind w:left="595"/>
      </w:pPr>
      <w:r>
        <w:t xml:space="preserve">“    </w:t>
      </w:r>
    </w:p>
    <w:p>
      <w:pPr>
        <w:pStyle w:val="nzSubsection"/>
      </w:pPr>
      <w:r>
        <w:tab/>
        <w:t>(5a)</w:t>
      </w:r>
      <w:r>
        <w:tab/>
        <w:t xml:space="preserve">If at the time when an applicant for a special prospecting licence marked out the land to which his application relates — </w:t>
      </w:r>
    </w:p>
    <w:p>
      <w:pPr>
        <w:pStyle w:val="nzIndenta"/>
      </w:pPr>
      <w:r>
        <w:tab/>
        <w:t>(a)</w:t>
      </w:r>
      <w:r>
        <w:tab/>
        <w:t>a special prospecting licence was in force in respect of land the subject of the primary tenement; or</w:t>
      </w:r>
    </w:p>
    <w:p>
      <w:pPr>
        <w:pStyle w:val="nzIndenta"/>
      </w:pPr>
      <w:r>
        <w:tab/>
        <w:t>(b)</w:t>
      </w:r>
      <w:r>
        <w:tab/>
        <w:t>another application for a special prospecting licence in respect of land the subject of the primary tenement had been made, but had not been determined, under this section,</w:t>
      </w:r>
    </w:p>
    <w:p>
      <w:pPr>
        <w:pStyle w:val="nzSubsection"/>
      </w:pPr>
      <w:r>
        <w:tab/>
      </w:r>
      <w:r>
        <w:tab/>
        <w:t>the applicant shall, within the prescribed period, lodge at the office of the mining registrar the written consent of the holder of the primary tenement to the grant of his application.</w:t>
      </w:r>
    </w:p>
    <w:p>
      <w:pPr>
        <w:pStyle w:val="nzSubsection"/>
      </w:pPr>
      <w:r>
        <w:tab/>
        <w:t>(5b)</w:t>
      </w:r>
      <w:r>
        <w:tab/>
        <w:t>If written consent to the grant of an application is lodged in accordance with subsection (5a), the mining registrar may, subject to this Act, grant the application as provided for in subsection (6).</w:t>
      </w:r>
    </w:p>
    <w:p>
      <w:pPr>
        <w:pStyle w:val="MiscClose"/>
      </w:pPr>
      <w:r>
        <w:t xml:space="preserve">    ”.</w:t>
      </w:r>
    </w:p>
    <w:p>
      <w:pPr>
        <w:pStyle w:val="nzSubsection"/>
      </w:pPr>
      <w:r>
        <w:tab/>
        <w:t>(3)</w:t>
      </w:r>
      <w:r>
        <w:tab/>
        <w:t>Section 56A(6) is amended by deleting “, the warden”.</w:t>
      </w:r>
    </w:p>
    <w:p>
      <w:pPr>
        <w:pStyle w:val="nzSubsection"/>
      </w:pPr>
      <w:r>
        <w:tab/>
        <w:t>(4)</w:t>
      </w:r>
      <w:r>
        <w:tab/>
        <w:t xml:space="preserve">Section 56A(7)(c) is amended by deleting “3” and inserting instead — </w:t>
      </w:r>
    </w:p>
    <w:p>
      <w:pPr>
        <w:pStyle w:val="nzSubsection"/>
      </w:pPr>
      <w:r>
        <w:tab/>
      </w:r>
      <w:r>
        <w:tab/>
        <w:t>“    10    ”.</w:t>
      </w:r>
    </w:p>
    <w:p>
      <w:pPr>
        <w:pStyle w:val="nzSubsection"/>
      </w:pPr>
      <w:r>
        <w:tab/>
        <w:t>(5)</w:t>
      </w:r>
      <w:r>
        <w:tab/>
        <w:t>Section 56A(7b) is amended as follows:</w:t>
      </w:r>
    </w:p>
    <w:p>
      <w:pPr>
        <w:pStyle w:val="nzIndenta"/>
      </w:pPr>
      <w:r>
        <w:tab/>
        <w:t>(a)</w:t>
      </w:r>
      <w:r>
        <w:tab/>
        <w:t>by deleting “special prospecting licence, or”;</w:t>
      </w:r>
    </w:p>
    <w:p>
      <w:pPr>
        <w:pStyle w:val="nzIndenta"/>
      </w:pPr>
      <w:r>
        <w:tab/>
        <w:t>(b)</w:t>
      </w:r>
      <w:r>
        <w:tab/>
        <w:t xml:space="preserve">by deleting “licence, shall” and inserting instead — </w:t>
      </w:r>
    </w:p>
    <w:p>
      <w:pPr>
        <w:pStyle w:val="nzIndenta"/>
      </w:pPr>
      <w:r>
        <w:tab/>
      </w:r>
      <w:r>
        <w:tab/>
        <w:t>“    licence shall    ”.</w:t>
      </w:r>
    </w:p>
    <w:p>
      <w:pPr>
        <w:pStyle w:val="nzSubsection"/>
      </w:pPr>
      <w:r>
        <w:tab/>
        <w:t>(6)</w:t>
      </w:r>
      <w:r>
        <w:tab/>
        <w:t>Section 56A(8) is amended as follows:</w:t>
      </w:r>
    </w:p>
    <w:p>
      <w:pPr>
        <w:pStyle w:val="nzIndenta"/>
      </w:pPr>
      <w:r>
        <w:tab/>
        <w:t>(a)</w:t>
      </w:r>
      <w:r>
        <w:tab/>
        <w:t xml:space="preserve">by deleting “if — ” and inserting instead — </w:t>
      </w:r>
    </w:p>
    <w:p>
      <w:pPr>
        <w:pStyle w:val="nzIndenta"/>
      </w:pPr>
      <w:r>
        <w:tab/>
      </w:r>
      <w:r>
        <w:tab/>
        <w:t>“    subject to subsection (7b),    ”;</w:t>
      </w:r>
    </w:p>
    <w:p>
      <w:pPr>
        <w:pStyle w:val="nzIndenta"/>
      </w:pPr>
      <w:r>
        <w:tab/>
        <w:t>(b)</w:t>
      </w:r>
      <w:r>
        <w:tab/>
        <w:t>by deleting paragraphs (a) and (b) and “or” after paragraph (a).</w:t>
      </w:r>
    </w:p>
    <w:p>
      <w:pPr>
        <w:pStyle w:val="nzSubsection"/>
      </w:pPr>
      <w:r>
        <w:tab/>
        <w:t>(7)</w:t>
      </w:r>
      <w:r>
        <w:tab/>
        <w:t xml:space="preserve">After section 56A(8) the following subsection is inserted — </w:t>
      </w:r>
    </w:p>
    <w:p>
      <w:pPr>
        <w:pStyle w:val="MiscOpen"/>
        <w:ind w:left="600"/>
      </w:pPr>
      <w:r>
        <w:t xml:space="preserve">“    </w:t>
      </w:r>
    </w:p>
    <w:p>
      <w:pPr>
        <w:pStyle w:val="nzSubsection"/>
      </w:pPr>
      <w:r>
        <w:tab/>
        <w:t>(8aa)</w:t>
      </w:r>
      <w:r>
        <w:tab/>
        <w:t>Sections 74, 74A and 75 apply to an application for a mining lease under subsection (8).</w:t>
      </w:r>
    </w:p>
    <w:p>
      <w:pPr>
        <w:pStyle w:val="MiscClose"/>
      </w:pPr>
      <w:r>
        <w:t xml:space="preserve">    ”.</w:t>
      </w:r>
    </w:p>
    <w:p>
      <w:pPr>
        <w:pStyle w:val="nzHeading5"/>
      </w:pPr>
      <w:bookmarkStart w:id="1463" w:name="_Toc87061460"/>
      <w:r>
        <w:rPr>
          <w:rStyle w:val="CharSectno"/>
        </w:rPr>
        <w:t>9</w:t>
      </w:r>
      <w:r>
        <w:t>.</w:t>
      </w:r>
      <w:r>
        <w:tab/>
        <w:t>Section 70 amended</w:t>
      </w:r>
      <w:bookmarkEnd w:id="1463"/>
    </w:p>
    <w:p>
      <w:pPr>
        <w:pStyle w:val="nzSubsection"/>
      </w:pPr>
      <w:r>
        <w:tab/>
        <w:t>(1)</w:t>
      </w:r>
      <w:r>
        <w:tab/>
        <w:t>Section 70(2) is amended as follows:</w:t>
      </w:r>
    </w:p>
    <w:p>
      <w:pPr>
        <w:pStyle w:val="nzIndenta"/>
      </w:pPr>
      <w:r>
        <w:tab/>
        <w:t>(a)</w:t>
      </w:r>
      <w:r>
        <w:tab/>
        <w:t xml:space="preserve">by deleting “Within 14 days after lodging an application for a special prospecting licence under subsection (1) the applicant shall” and inserting instead — </w:t>
      </w:r>
    </w:p>
    <w:p>
      <w:pPr>
        <w:pStyle w:val="MiscOpen"/>
        <w:tabs>
          <w:tab w:val="clear" w:pos="893"/>
        </w:tabs>
        <w:ind w:left="879"/>
      </w:pPr>
      <w:r>
        <w:t xml:space="preserve">“    </w:t>
      </w:r>
    </w:p>
    <w:p>
      <w:pPr>
        <w:pStyle w:val="nzSubsection"/>
      </w:pPr>
      <w:r>
        <w:tab/>
      </w:r>
      <w:r>
        <w:tab/>
        <w:t>Unless subsection (5a) applies, an applicant for a special prospecting licence shall, within the prescribed period,</w:t>
      </w:r>
    </w:p>
    <w:p>
      <w:pPr>
        <w:pStyle w:val="MiscClose"/>
      </w:pPr>
      <w:r>
        <w:t>”;</w:t>
      </w:r>
    </w:p>
    <w:p>
      <w:pPr>
        <w:pStyle w:val="nzIndenta"/>
      </w:pPr>
      <w:r>
        <w:tab/>
        <w:t>(b)</w:t>
      </w:r>
      <w:r>
        <w:tab/>
        <w:t xml:space="preserve">by inserting after “relates” — </w:t>
      </w:r>
    </w:p>
    <w:p>
      <w:pPr>
        <w:pStyle w:val="MiscOpen"/>
        <w:tabs>
          <w:tab w:val="clear" w:pos="893"/>
        </w:tabs>
        <w:ind w:left="879"/>
      </w:pPr>
      <w:r>
        <w:t xml:space="preserve">“    </w:t>
      </w:r>
    </w:p>
    <w:p>
      <w:pPr>
        <w:pStyle w:val="nzSubsection"/>
      </w:pPr>
      <w:r>
        <w:tab/>
      </w:r>
      <w:r>
        <w:tab/>
        <w:t>, and subsections (3) to (5) apply in respect of the application</w:t>
      </w:r>
    </w:p>
    <w:p>
      <w:pPr>
        <w:pStyle w:val="MiscClose"/>
      </w:pPr>
      <w:r>
        <w:t xml:space="preserve">    ”.</w:t>
      </w:r>
    </w:p>
    <w:p>
      <w:pPr>
        <w:pStyle w:val="nzSubsection"/>
      </w:pPr>
      <w:r>
        <w:tab/>
        <w:t>(2)</w:t>
      </w:r>
      <w:r>
        <w:tab/>
        <w:t xml:space="preserve">After section 70(5) the following subsections are inserted — </w:t>
      </w:r>
    </w:p>
    <w:p>
      <w:pPr>
        <w:pStyle w:val="MiscOpen"/>
        <w:ind w:left="595"/>
      </w:pPr>
      <w:r>
        <w:t xml:space="preserve">“    </w:t>
      </w:r>
    </w:p>
    <w:p>
      <w:pPr>
        <w:pStyle w:val="nz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hectares of the primary tenement, the applicant shall, within the prescribed period, lodge at the office of the mining registrar the written consent of the holder of the primary tenement to the grant of the application.</w:t>
      </w:r>
    </w:p>
    <w:p>
      <w:pPr>
        <w:pStyle w:val="nzSubsection"/>
      </w:pPr>
      <w:r>
        <w:tab/>
        <w:t>(5b)</w:t>
      </w:r>
      <w:r>
        <w:tab/>
        <w:t>If written consent to the grant of an application is lodged in accordance with subsection (5a), the mining registrar may, subject to this Act, grant the application as provided for in subsection (6).</w:t>
      </w:r>
    </w:p>
    <w:p>
      <w:pPr>
        <w:pStyle w:val="MiscClose"/>
      </w:pPr>
      <w:r>
        <w:t xml:space="preserve">    ”.</w:t>
      </w:r>
    </w:p>
    <w:p>
      <w:pPr>
        <w:pStyle w:val="nzSubsection"/>
      </w:pPr>
      <w:r>
        <w:tab/>
        <w:t>(3)</w:t>
      </w:r>
      <w:r>
        <w:tab/>
        <w:t>Section 70(6) is amended by deleting “, the warden”.</w:t>
      </w:r>
    </w:p>
    <w:p>
      <w:pPr>
        <w:pStyle w:val="nzSubsection"/>
      </w:pPr>
      <w:r>
        <w:tab/>
        <w:t>(4)</w:t>
      </w:r>
      <w:r>
        <w:tab/>
        <w:t xml:space="preserve">Section 70(7)(c) is amended by deleting “3” and inserting instead — </w:t>
      </w:r>
    </w:p>
    <w:p>
      <w:pPr>
        <w:pStyle w:val="nzSubsection"/>
      </w:pPr>
      <w:r>
        <w:tab/>
      </w:r>
      <w:r>
        <w:tab/>
        <w:t>“    10    ”.</w:t>
      </w:r>
    </w:p>
    <w:p>
      <w:pPr>
        <w:pStyle w:val="nzSubsection"/>
      </w:pPr>
      <w:r>
        <w:tab/>
        <w:t>(5)</w:t>
      </w:r>
      <w:r>
        <w:tab/>
        <w:t>Section 70(7b) is amended as follows:</w:t>
      </w:r>
    </w:p>
    <w:p>
      <w:pPr>
        <w:pStyle w:val="nzIndenta"/>
      </w:pPr>
      <w:r>
        <w:tab/>
        <w:t>(a)</w:t>
      </w:r>
      <w:r>
        <w:tab/>
        <w:t>by deleting “special prospecting licence, or a”;</w:t>
      </w:r>
    </w:p>
    <w:p>
      <w:pPr>
        <w:pStyle w:val="nzIndenta"/>
      </w:pPr>
      <w:r>
        <w:tab/>
        <w:t>(b)</w:t>
      </w:r>
      <w:r>
        <w:tab/>
        <w:t xml:space="preserve">by deleting “licence, shall” and inserting instead — </w:t>
      </w:r>
    </w:p>
    <w:p>
      <w:pPr>
        <w:pStyle w:val="nzIndenta"/>
      </w:pPr>
      <w:r>
        <w:tab/>
      </w:r>
      <w:r>
        <w:tab/>
        <w:t>“    licence shall    ”;</w:t>
      </w:r>
    </w:p>
    <w:p>
      <w:pPr>
        <w:pStyle w:val="nzIndenta"/>
      </w:pPr>
      <w:r>
        <w:tab/>
        <w:t>(c)</w:t>
      </w:r>
      <w:r>
        <w:tab/>
        <w:t>by deleting “licences or”.</w:t>
      </w:r>
    </w:p>
    <w:p>
      <w:pPr>
        <w:pStyle w:val="nzSubsection"/>
      </w:pPr>
      <w:r>
        <w:tab/>
        <w:t>(6)</w:t>
      </w:r>
      <w:r>
        <w:tab/>
        <w:t>Section 70(8) is amended as follows:</w:t>
      </w:r>
    </w:p>
    <w:p>
      <w:pPr>
        <w:pStyle w:val="nzIndenta"/>
      </w:pPr>
      <w:r>
        <w:tab/>
        <w:t>(a)</w:t>
      </w:r>
      <w:r>
        <w:tab/>
        <w:t>by deleting “if — ”;</w:t>
      </w:r>
    </w:p>
    <w:p>
      <w:pPr>
        <w:pStyle w:val="nzIndenta"/>
      </w:pPr>
      <w:r>
        <w:tab/>
        <w:t>(b)</w:t>
      </w:r>
      <w:r>
        <w:tab/>
        <w:t>by deleting paragraphs (a) and (b) and “or” after paragraph (a);</w:t>
      </w:r>
    </w:p>
    <w:p>
      <w:pPr>
        <w:pStyle w:val="nzIndenta"/>
      </w:pPr>
      <w:r>
        <w:tab/>
        <w:t>(c)</w:t>
      </w:r>
      <w:r>
        <w:tab/>
        <w:t xml:space="preserve">by inserting after “Minister may” — </w:t>
      </w:r>
    </w:p>
    <w:p>
      <w:pPr>
        <w:pStyle w:val="nzIndenta"/>
      </w:pPr>
      <w:r>
        <w:tab/>
      </w:r>
      <w:r>
        <w:tab/>
        <w:t>“    , subject to subsection (7b),    ”.</w:t>
      </w:r>
    </w:p>
    <w:p>
      <w:pPr>
        <w:pStyle w:val="nzSubsection"/>
      </w:pPr>
      <w:r>
        <w:tab/>
        <w:t>(7)</w:t>
      </w:r>
      <w:r>
        <w:tab/>
        <w:t xml:space="preserve">After section 70(8) the following subsection is inserted — </w:t>
      </w:r>
    </w:p>
    <w:p>
      <w:pPr>
        <w:pStyle w:val="MiscOpen"/>
        <w:ind w:left="600"/>
      </w:pPr>
      <w:r>
        <w:t xml:space="preserve">“    </w:t>
      </w:r>
    </w:p>
    <w:p>
      <w:pPr>
        <w:pStyle w:val="nzSubsection"/>
      </w:pPr>
      <w:r>
        <w:tab/>
        <w:t>(8aa)</w:t>
      </w:r>
      <w:r>
        <w:tab/>
        <w:t>Sections 74, 74A and 75 apply to an application for a mining lease under subsection (8).</w:t>
      </w:r>
    </w:p>
    <w:p>
      <w:pPr>
        <w:pStyle w:val="MiscClose"/>
      </w:pPr>
      <w:r>
        <w:t xml:space="preserve">    ”.</w:t>
      </w:r>
    </w:p>
    <w:p>
      <w:pPr>
        <w:pStyle w:val="nzHeading5"/>
      </w:pPr>
      <w:bookmarkStart w:id="1464" w:name="_Toc87061461"/>
      <w:r>
        <w:rPr>
          <w:rStyle w:val="CharSectno"/>
        </w:rPr>
        <w:t>10</w:t>
      </w:r>
      <w:r>
        <w:t>.</w:t>
      </w:r>
      <w:r>
        <w:tab/>
        <w:t>Section 85B amended</w:t>
      </w:r>
      <w:bookmarkEnd w:id="1464"/>
    </w:p>
    <w:p>
      <w:pPr>
        <w:pStyle w:val="nzSubsection"/>
      </w:pPr>
      <w:r>
        <w:tab/>
        <w:t>(1)</w:t>
      </w:r>
      <w:r>
        <w:tab/>
        <w:t xml:space="preserve">Section 85B(5)(c) is amended by deleting “3” and inserting instead — </w:t>
      </w:r>
    </w:p>
    <w:p>
      <w:pPr>
        <w:pStyle w:val="nzSubsection"/>
      </w:pPr>
      <w:r>
        <w:tab/>
      </w:r>
      <w:r>
        <w:tab/>
        <w:t>“    10    ”.</w:t>
      </w:r>
    </w:p>
    <w:p>
      <w:pPr>
        <w:pStyle w:val="nzSubsection"/>
      </w:pPr>
      <w:r>
        <w:tab/>
        <w:t>(2)</w:t>
      </w:r>
      <w:r>
        <w:tab/>
        <w:t>Section 85B(7) is amended as follows:</w:t>
      </w:r>
    </w:p>
    <w:p>
      <w:pPr>
        <w:pStyle w:val="nzIndenta"/>
      </w:pPr>
      <w:r>
        <w:tab/>
        <w:t>(a)</w:t>
      </w:r>
      <w:r>
        <w:tab/>
        <w:t>by deleting “, if — ”;</w:t>
      </w:r>
    </w:p>
    <w:p>
      <w:pPr>
        <w:pStyle w:val="nzIndenta"/>
      </w:pPr>
      <w:r>
        <w:tab/>
        <w:t>(b)</w:t>
      </w:r>
      <w:r>
        <w:tab/>
        <w:t>by deleting paragraphs (a) and (b) and “or” after paragraph (a).</w:t>
      </w:r>
    </w:p>
    <w:p>
      <w:pPr>
        <w:pStyle w:val="nzSubsection"/>
      </w:pPr>
      <w:r>
        <w:tab/>
        <w:t>(3)</w:t>
      </w:r>
      <w:r>
        <w:tab/>
        <w:t xml:space="preserve">After section 85B(7) the following subsection is inserted — </w:t>
      </w:r>
    </w:p>
    <w:p>
      <w:pPr>
        <w:pStyle w:val="MiscOpen"/>
        <w:ind w:left="600"/>
      </w:pPr>
      <w:r>
        <w:t xml:space="preserve">“    </w:t>
      </w:r>
    </w:p>
    <w:p>
      <w:pPr>
        <w:pStyle w:val="nzSubsection"/>
      </w:pPr>
      <w:r>
        <w:tab/>
        <w:t>(7a)</w:t>
      </w:r>
      <w:r>
        <w:tab/>
        <w:t>Sections 74, 74A and 75 apply to an application for a mining lease under subsection (7).</w:t>
      </w:r>
    </w:p>
    <w:p>
      <w:pPr>
        <w:pStyle w:val="MiscClose"/>
      </w:pPr>
      <w:r>
        <w:t xml:space="preserve">    ”.</w:t>
      </w:r>
    </w:p>
    <w:p>
      <w:pPr>
        <w:pStyle w:val="nzHeading5"/>
      </w:pPr>
      <w:bookmarkStart w:id="1465" w:name="_Toc87061462"/>
      <w:r>
        <w:rPr>
          <w:rStyle w:val="CharSectno"/>
        </w:rPr>
        <w:t>11</w:t>
      </w:r>
      <w:r>
        <w:t>.</w:t>
      </w:r>
      <w:r>
        <w:tab/>
        <w:t>Transitional provision</w:t>
      </w:r>
      <w:bookmarkEnd w:id="1465"/>
    </w:p>
    <w:p>
      <w:pPr>
        <w:pStyle w:val="nzSubsection"/>
      </w:pPr>
      <w:r>
        <w:tab/>
        <w:t>(1)</w:t>
      </w:r>
      <w:r>
        <w:tab/>
        <w:t xml:space="preserve">In this section — </w:t>
      </w:r>
    </w:p>
    <w:p>
      <w:pPr>
        <w:pStyle w:val="nzDefstart"/>
      </w:pPr>
      <w:r>
        <w:rPr>
          <w:b/>
        </w:rPr>
        <w:tab/>
        <w:t>“</w:t>
      </w:r>
      <w:r>
        <w:rPr>
          <w:rStyle w:val="CharDefText"/>
        </w:rPr>
        <w:t>commencement</w:t>
      </w:r>
      <w:r>
        <w:rPr>
          <w:b/>
        </w:rPr>
        <w:t>”</w:t>
      </w:r>
      <w:r>
        <w:t xml:space="preserve"> means the commencement of this Part;</w:t>
      </w:r>
    </w:p>
    <w:p>
      <w:pPr>
        <w:pStyle w:val="nzDefstart"/>
      </w:pPr>
      <w:r>
        <w:rPr>
          <w:b/>
        </w:rPr>
        <w:tab/>
        <w:t>“</w:t>
      </w:r>
      <w:r>
        <w:rPr>
          <w:rStyle w:val="CharDefText"/>
        </w:rPr>
        <w:t>old provisions</w:t>
      </w:r>
      <w:r>
        <w:rPr>
          <w:b/>
        </w:rPr>
        <w:t>”</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nzHeading2"/>
        <w:rPr>
          <w:rStyle w:val="CharPartNo"/>
        </w:rPr>
      </w:pPr>
      <w:bookmarkStart w:id="1466" w:name="_Toc65297816"/>
      <w:bookmarkStart w:id="1467" w:name="_Toc65297907"/>
      <w:bookmarkStart w:id="1468" w:name="_Toc65301673"/>
      <w:bookmarkStart w:id="1469" w:name="_Toc65379291"/>
      <w:bookmarkStart w:id="1470" w:name="_Toc65389306"/>
      <w:bookmarkStart w:id="1471" w:name="_Toc65390231"/>
      <w:bookmarkStart w:id="1472" w:name="_Toc65390780"/>
      <w:bookmarkStart w:id="1473" w:name="_Toc65395225"/>
      <w:bookmarkStart w:id="1474" w:name="_Toc65396519"/>
      <w:bookmarkStart w:id="1475" w:name="_Toc65397444"/>
      <w:bookmarkStart w:id="1476" w:name="_Toc65999768"/>
      <w:bookmarkStart w:id="1477" w:name="_Toc65999923"/>
      <w:bookmarkStart w:id="1478" w:name="_Toc66000051"/>
      <w:bookmarkStart w:id="1479" w:name="_Toc66097231"/>
      <w:bookmarkStart w:id="1480" w:name="_Toc66173274"/>
      <w:bookmarkStart w:id="1481" w:name="_Toc66512425"/>
      <w:bookmarkStart w:id="1482" w:name="_Toc66523450"/>
      <w:bookmarkStart w:id="1483" w:name="_Toc66523547"/>
      <w:bookmarkStart w:id="1484" w:name="_Toc66527931"/>
      <w:bookmarkStart w:id="1485" w:name="_Toc66528325"/>
      <w:bookmarkStart w:id="1486" w:name="_Toc66528802"/>
      <w:bookmarkStart w:id="1487" w:name="_Toc66584480"/>
      <w:bookmarkStart w:id="1488" w:name="_Toc66584864"/>
      <w:bookmarkStart w:id="1489" w:name="_Toc66586503"/>
      <w:bookmarkStart w:id="1490" w:name="_Toc66586945"/>
      <w:bookmarkStart w:id="1491" w:name="_Toc66589366"/>
      <w:bookmarkStart w:id="1492" w:name="_Toc66589565"/>
      <w:bookmarkStart w:id="1493" w:name="_Toc66610309"/>
      <w:bookmarkStart w:id="1494" w:name="_Toc66614303"/>
      <w:bookmarkStart w:id="1495" w:name="_Toc66673553"/>
      <w:bookmarkStart w:id="1496" w:name="_Toc66673915"/>
      <w:bookmarkStart w:id="1497" w:name="_Toc66699333"/>
      <w:bookmarkStart w:id="1498" w:name="_Toc66700189"/>
      <w:bookmarkStart w:id="1499" w:name="_Toc66700530"/>
      <w:bookmarkStart w:id="1500" w:name="_Toc66700684"/>
      <w:bookmarkStart w:id="1501" w:name="_Toc66701263"/>
      <w:bookmarkStart w:id="1502" w:name="_Toc66772298"/>
      <w:bookmarkStart w:id="1503" w:name="_Toc66772741"/>
      <w:bookmarkStart w:id="1504" w:name="_Toc66774142"/>
      <w:bookmarkStart w:id="1505" w:name="_Toc66774373"/>
      <w:bookmarkStart w:id="1506" w:name="_Toc67107337"/>
      <w:bookmarkStart w:id="1507" w:name="_Toc67107814"/>
      <w:bookmarkStart w:id="1508" w:name="_Toc67113495"/>
      <w:bookmarkStart w:id="1509" w:name="_Toc67118743"/>
      <w:bookmarkStart w:id="1510" w:name="_Toc67119354"/>
      <w:bookmarkStart w:id="1511" w:name="_Toc67119529"/>
      <w:bookmarkStart w:id="1512" w:name="_Toc67130637"/>
      <w:bookmarkStart w:id="1513" w:name="_Toc67133671"/>
      <w:bookmarkStart w:id="1514" w:name="_Toc67193832"/>
      <w:bookmarkStart w:id="1515" w:name="_Toc67205997"/>
      <w:bookmarkStart w:id="1516" w:name="_Toc67209183"/>
      <w:bookmarkStart w:id="1517" w:name="_Toc67209422"/>
      <w:bookmarkStart w:id="1518" w:name="_Toc67291512"/>
      <w:bookmarkStart w:id="1519" w:name="_Toc67300458"/>
      <w:bookmarkStart w:id="1520" w:name="_Toc67301604"/>
      <w:bookmarkStart w:id="1521" w:name="_Toc67301810"/>
      <w:bookmarkStart w:id="1522" w:name="_Toc67302106"/>
      <w:bookmarkStart w:id="1523" w:name="_Toc67721777"/>
      <w:bookmarkStart w:id="1524" w:name="_Toc67721987"/>
      <w:bookmarkStart w:id="1525" w:name="_Toc67722233"/>
      <w:bookmarkStart w:id="1526" w:name="_Toc67724579"/>
      <w:bookmarkStart w:id="1527" w:name="_Toc67799489"/>
      <w:bookmarkStart w:id="1528" w:name="_Toc67806294"/>
      <w:bookmarkStart w:id="1529" w:name="_Toc67807116"/>
      <w:bookmarkStart w:id="1530" w:name="_Toc67808130"/>
      <w:bookmarkStart w:id="1531" w:name="_Toc67808407"/>
      <w:bookmarkStart w:id="1532" w:name="_Toc67809841"/>
      <w:bookmarkStart w:id="1533" w:name="_Toc67813890"/>
      <w:bookmarkStart w:id="1534" w:name="_Toc67814212"/>
      <w:bookmarkStart w:id="1535" w:name="_Toc67911071"/>
      <w:bookmarkStart w:id="1536" w:name="_Toc67912049"/>
      <w:bookmarkStart w:id="1537" w:name="_Toc67980286"/>
      <w:bookmarkStart w:id="1538" w:name="_Toc67980394"/>
      <w:bookmarkStart w:id="1539" w:name="_Toc67980678"/>
      <w:bookmarkStart w:id="1540" w:name="_Toc67981200"/>
      <w:bookmarkStart w:id="1541" w:name="_Toc67981387"/>
      <w:bookmarkStart w:id="1542" w:name="_Toc67981961"/>
      <w:bookmarkStart w:id="1543" w:name="_Toc67997359"/>
      <w:bookmarkStart w:id="1544" w:name="_Toc68063314"/>
      <w:bookmarkStart w:id="1545" w:name="_Toc68070411"/>
      <w:bookmarkStart w:id="1546" w:name="_Toc68315343"/>
      <w:bookmarkStart w:id="1547" w:name="_Toc68321106"/>
      <w:bookmarkStart w:id="1548" w:name="_Toc68321213"/>
      <w:bookmarkStart w:id="1549" w:name="_Toc68321321"/>
      <w:bookmarkStart w:id="1550" w:name="_Toc68323947"/>
      <w:bookmarkStart w:id="1551" w:name="_Toc68325644"/>
      <w:bookmarkStart w:id="1552" w:name="_Toc68490819"/>
      <w:bookmarkStart w:id="1553" w:name="_Toc68494991"/>
      <w:bookmarkStart w:id="1554" w:name="_Toc68505808"/>
      <w:bookmarkStart w:id="1555" w:name="_Toc68506516"/>
      <w:bookmarkStart w:id="1556" w:name="_Toc68513228"/>
      <w:bookmarkStart w:id="1557" w:name="_Toc68515237"/>
      <w:bookmarkStart w:id="1558" w:name="_Toc68516442"/>
      <w:bookmarkStart w:id="1559" w:name="_Toc68517715"/>
      <w:bookmarkStart w:id="1560" w:name="_Toc68518034"/>
      <w:bookmarkStart w:id="1561" w:name="_Toc68518231"/>
      <w:bookmarkStart w:id="1562" w:name="_Toc68588035"/>
      <w:bookmarkStart w:id="1563" w:name="_Toc68943904"/>
      <w:bookmarkStart w:id="1564" w:name="_Toc68944666"/>
      <w:bookmarkStart w:id="1565" w:name="_Toc68945472"/>
      <w:bookmarkStart w:id="1566" w:name="_Toc68946873"/>
      <w:bookmarkStart w:id="1567" w:name="_Toc68950711"/>
      <w:bookmarkStart w:id="1568" w:name="_Toc69017038"/>
      <w:bookmarkStart w:id="1569" w:name="_Toc69021810"/>
      <w:bookmarkStart w:id="1570" w:name="_Toc69022066"/>
      <w:bookmarkStart w:id="1571" w:name="_Toc69030794"/>
      <w:bookmarkStart w:id="1572" w:name="_Toc69100487"/>
      <w:bookmarkStart w:id="1573" w:name="_Toc69102733"/>
      <w:bookmarkStart w:id="1574" w:name="_Toc69117289"/>
      <w:bookmarkStart w:id="1575" w:name="_Toc69117995"/>
      <w:bookmarkStart w:id="1576" w:name="_Toc69271718"/>
      <w:bookmarkStart w:id="1577" w:name="_Toc69274095"/>
      <w:bookmarkStart w:id="1578" w:name="_Toc69274544"/>
      <w:bookmarkStart w:id="1579" w:name="_Toc69275302"/>
      <w:bookmarkStart w:id="1580" w:name="_Toc69275597"/>
      <w:bookmarkStart w:id="1581" w:name="_Toc69278363"/>
      <w:bookmarkStart w:id="1582" w:name="_Toc69280713"/>
      <w:bookmarkStart w:id="1583" w:name="_Toc69281054"/>
      <w:bookmarkStart w:id="1584" w:name="_Toc69281163"/>
      <w:bookmarkStart w:id="1585" w:name="_Toc69281330"/>
      <w:bookmarkStart w:id="1586" w:name="_Toc70327073"/>
      <w:bookmarkStart w:id="1587" w:name="_Toc70405211"/>
      <w:bookmarkStart w:id="1588" w:name="_Toc70995374"/>
      <w:bookmarkStart w:id="1589" w:name="_Toc71712502"/>
      <w:bookmarkStart w:id="1590" w:name="_Toc71713957"/>
      <w:bookmarkStart w:id="1591" w:name="_Toc71878700"/>
      <w:bookmarkStart w:id="1592" w:name="_Toc71880044"/>
      <w:bookmarkStart w:id="1593" w:name="_Toc71884425"/>
      <w:bookmarkStart w:id="1594" w:name="_Toc71887003"/>
      <w:bookmarkStart w:id="1595" w:name="_Toc71887244"/>
      <w:bookmarkStart w:id="1596" w:name="_Toc71953150"/>
      <w:bookmarkStart w:id="1597" w:name="_Toc71953293"/>
      <w:bookmarkStart w:id="1598" w:name="_Toc71957040"/>
      <w:bookmarkStart w:id="1599" w:name="_Toc71963671"/>
      <w:bookmarkStart w:id="1600" w:name="_Toc71969763"/>
      <w:bookmarkStart w:id="1601" w:name="_Toc71969872"/>
      <w:bookmarkStart w:id="1602" w:name="_Toc71973475"/>
      <w:bookmarkStart w:id="1603" w:name="_Toc71975589"/>
      <w:bookmarkStart w:id="1604" w:name="_Toc71976397"/>
      <w:bookmarkStart w:id="1605" w:name="_Toc72026791"/>
      <w:bookmarkStart w:id="1606" w:name="_Toc72027049"/>
      <w:bookmarkStart w:id="1607" w:name="_Toc72029106"/>
      <w:bookmarkStart w:id="1608" w:name="_Toc72044633"/>
      <w:bookmarkStart w:id="1609" w:name="_Toc72044743"/>
      <w:bookmarkStart w:id="1610" w:name="_Toc72049662"/>
      <w:bookmarkStart w:id="1611" w:name="_Toc72049774"/>
      <w:bookmarkStart w:id="1612" w:name="_Toc72748174"/>
      <w:bookmarkStart w:id="1613" w:name="_Toc72812718"/>
      <w:bookmarkStart w:id="1614" w:name="_Toc72827583"/>
      <w:bookmarkStart w:id="1615" w:name="_Toc73154089"/>
      <w:bookmarkStart w:id="1616" w:name="_Toc73154515"/>
      <w:bookmarkStart w:id="1617" w:name="_Toc73156274"/>
      <w:bookmarkStart w:id="1618" w:name="_Toc73156394"/>
      <w:bookmarkStart w:id="1619" w:name="_Toc73158361"/>
      <w:bookmarkStart w:id="1620" w:name="_Toc73158689"/>
      <w:bookmarkStart w:id="1621" w:name="_Toc73159054"/>
      <w:bookmarkStart w:id="1622" w:name="_Toc73159195"/>
      <w:bookmarkStart w:id="1623" w:name="_Toc73159870"/>
      <w:bookmarkStart w:id="1624" w:name="_Toc73160797"/>
      <w:bookmarkStart w:id="1625" w:name="_Toc73161591"/>
      <w:bookmarkStart w:id="1626" w:name="_Toc73161762"/>
      <w:bookmarkStart w:id="1627" w:name="_Toc73164196"/>
      <w:bookmarkStart w:id="1628" w:name="_Toc73179765"/>
      <w:bookmarkStart w:id="1629" w:name="_Toc73184306"/>
      <w:bookmarkStart w:id="1630" w:name="_Toc73241575"/>
      <w:bookmarkStart w:id="1631" w:name="_Toc73242137"/>
      <w:bookmarkStart w:id="1632" w:name="_Toc73242877"/>
      <w:bookmarkStart w:id="1633" w:name="_Toc73242994"/>
      <w:bookmarkStart w:id="1634" w:name="_Toc73243111"/>
      <w:bookmarkStart w:id="1635" w:name="_Toc73245166"/>
      <w:bookmarkStart w:id="1636" w:name="_Toc73245976"/>
      <w:bookmarkStart w:id="1637" w:name="_Toc73251494"/>
      <w:bookmarkStart w:id="1638" w:name="_Toc73258490"/>
      <w:bookmarkStart w:id="1639" w:name="_Toc73259571"/>
      <w:bookmarkStart w:id="1640" w:name="_Toc73421908"/>
      <w:bookmarkStart w:id="1641" w:name="_Toc73427309"/>
      <w:bookmarkStart w:id="1642" w:name="_Toc73428235"/>
      <w:bookmarkStart w:id="1643" w:name="_Toc73428352"/>
      <w:bookmarkStart w:id="1644" w:name="_Toc73428469"/>
      <w:bookmarkStart w:id="1645" w:name="_Toc73428723"/>
      <w:bookmarkStart w:id="1646" w:name="_Toc73428956"/>
      <w:bookmarkStart w:id="1647" w:name="_Toc73429444"/>
      <w:bookmarkStart w:id="1648" w:name="_Toc73436596"/>
      <w:bookmarkStart w:id="1649" w:name="_Toc73437439"/>
      <w:bookmarkStart w:id="1650" w:name="_Toc81200126"/>
      <w:bookmarkStart w:id="1651" w:name="_Toc81201737"/>
      <w:bookmarkStart w:id="1652" w:name="_Toc81208991"/>
      <w:bookmarkStart w:id="1653" w:name="_Toc57629787"/>
      <w:bookmarkStart w:id="1654" w:name="_Toc57689963"/>
      <w:r>
        <w:rPr>
          <w:rStyle w:val="CharPartNo"/>
        </w:rPr>
        <w:t>Part 4 — Amendments about exploration licences</w:t>
      </w:r>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p>
    <w:p>
      <w:pPr>
        <w:pStyle w:val="nzHeading5"/>
      </w:pPr>
      <w:bookmarkStart w:id="1655" w:name="_Toc87061463"/>
      <w:r>
        <w:rPr>
          <w:rStyle w:val="CharSectno"/>
        </w:rPr>
        <w:t>12</w:t>
      </w:r>
      <w:r>
        <w:t>.</w:t>
      </w:r>
      <w:r>
        <w:tab/>
        <w:t>Section 57 amended</w:t>
      </w:r>
      <w:bookmarkEnd w:id="1655"/>
    </w:p>
    <w:p>
      <w:pPr>
        <w:pStyle w:val="nzSubsection"/>
      </w:pPr>
      <w:r>
        <w:tab/>
        <w:t>(1)</w:t>
      </w:r>
      <w:r>
        <w:tab/>
        <w:t xml:space="preserve">Section 57(2) is amended by inserting after “70 blocks” — </w:t>
      </w:r>
    </w:p>
    <w:p>
      <w:pPr>
        <w:pStyle w:val="nzSubsection"/>
      </w:pPr>
      <w:r>
        <w:tab/>
      </w:r>
      <w:r>
        <w:tab/>
        <w:t>“    unless subsection (2aa) applies    ”.</w:t>
      </w:r>
    </w:p>
    <w:p>
      <w:pPr>
        <w:pStyle w:val="nzSubsection"/>
      </w:pPr>
      <w:r>
        <w:tab/>
        <w:t>(2)</w:t>
      </w:r>
      <w:r>
        <w:tab/>
        <w:t xml:space="preserve">After section 57(2) the following subsection is inserted — </w:t>
      </w:r>
    </w:p>
    <w:p>
      <w:pPr>
        <w:pStyle w:val="MiscOpen"/>
        <w:ind w:left="600"/>
      </w:pPr>
      <w:r>
        <w:t xml:space="preserve">“    </w:t>
      </w:r>
    </w:p>
    <w:p>
      <w:pPr>
        <w:pStyle w:val="nzSubsection"/>
      </w:pPr>
      <w:r>
        <w:tab/>
        <w:t>(2aa)</w:t>
      </w:r>
      <w:r>
        <w:tab/>
        <w:t>If the area of land referred to in subsection (2) is in an area of the State designated under section 57A(1) it shall not be more than 200 blocks.</w:t>
      </w:r>
    </w:p>
    <w:p>
      <w:pPr>
        <w:pStyle w:val="MiscClose"/>
      </w:pPr>
      <w:r>
        <w:t>”.</w:t>
      </w:r>
    </w:p>
    <w:p>
      <w:pPr>
        <w:pStyle w:val="nzHeading5"/>
      </w:pPr>
      <w:bookmarkStart w:id="1656" w:name="_Toc87061464"/>
      <w:r>
        <w:rPr>
          <w:rStyle w:val="CharSectno"/>
        </w:rPr>
        <w:t>13</w:t>
      </w:r>
      <w:r>
        <w:t>.</w:t>
      </w:r>
      <w:r>
        <w:tab/>
        <w:t>Section 57A inserted</w:t>
      </w:r>
      <w:bookmarkEnd w:id="1656"/>
    </w:p>
    <w:p>
      <w:pPr>
        <w:pStyle w:val="nzSubsection"/>
      </w:pPr>
      <w:r>
        <w:tab/>
      </w:r>
      <w:r>
        <w:tab/>
        <w:t xml:space="preserve">After section 57 the following section is inserted — </w:t>
      </w:r>
    </w:p>
    <w:p>
      <w:pPr>
        <w:pStyle w:val="MiscOpen"/>
      </w:pPr>
      <w:r>
        <w:t xml:space="preserve">“    </w:t>
      </w:r>
    </w:p>
    <w:p>
      <w:pPr>
        <w:pStyle w:val="nzHeading5"/>
      </w:pPr>
      <w:r>
        <w:t>57A.</w:t>
      </w:r>
      <w:r>
        <w:tab/>
        <w:t>Designation of areas for purposes of s. 57(2aa)</w:t>
      </w:r>
    </w:p>
    <w:p>
      <w:pPr>
        <w:pStyle w:val="nzSubsection"/>
      </w:pPr>
      <w:r>
        <w:tab/>
        <w:t>(1)</w:t>
      </w:r>
      <w:r>
        <w:tab/>
        <w:t xml:space="preserve">The Minister may, by notice published in the </w:t>
      </w:r>
      <w:r>
        <w:rPr>
          <w:i/>
        </w:rPr>
        <w:t>Gazette</w:t>
      </w:r>
      <w:r>
        <w:t>, designate one or more areas of the State for the purposes of section 57(2aa).</w:t>
      </w:r>
    </w:p>
    <w:p>
      <w:pPr>
        <w:pStyle w:val="nzSubsection"/>
      </w:pPr>
      <w:r>
        <w:tab/>
        <w:t>(2)</w:t>
      </w:r>
      <w:r>
        <w:tab/>
        <w:t xml:space="preserve">The Minister may, by notice published in the </w:t>
      </w:r>
      <w:r>
        <w:rPr>
          <w:i/>
        </w:rPr>
        <w:t>Gazette</w:t>
      </w:r>
      <w:r>
        <w:t>, vary or cancel a designation under subsection (1).</w:t>
      </w:r>
    </w:p>
    <w:p>
      <w:pPr>
        <w:pStyle w:val="nz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nzSubsection"/>
      </w:pPr>
      <w:r>
        <w:tab/>
        <w:t>(4)</w:t>
      </w:r>
      <w:r>
        <w:tab/>
        <w:t>The variation or cancellation of a designation under subsection (2) does not affect the operation of any exploration licence granted before the variation or cancellation takes effect.</w:t>
      </w:r>
    </w:p>
    <w:p>
      <w:pPr>
        <w:pStyle w:val="nzSubsection"/>
      </w:pPr>
      <w:r>
        <w:tab/>
        <w:t>(5)</w:t>
      </w:r>
      <w:r>
        <w:tab/>
        <w:t xml:space="preserve">If — </w:t>
      </w:r>
    </w:p>
    <w:p>
      <w:pPr>
        <w:pStyle w:val="nzIndenta"/>
      </w:pPr>
      <w:r>
        <w:tab/>
        <w:t>(a)</w:t>
      </w:r>
      <w:r>
        <w:tab/>
        <w:t xml:space="preserve">an application for an exploration licence is made in respect of an area of land that is in an area of the State designated under subsection (1) (a </w:t>
      </w:r>
      <w:r>
        <w:rPr>
          <w:b/>
        </w:rPr>
        <w:t>“</w:t>
      </w:r>
      <w:r>
        <w:rPr>
          <w:rStyle w:val="CharDefText"/>
        </w:rPr>
        <w:t>designated area</w:t>
      </w:r>
      <w:r>
        <w:rPr>
          <w:b/>
        </w:rPr>
        <w:t>”</w:t>
      </w:r>
      <w:r>
        <w:t>); and</w:t>
      </w:r>
    </w:p>
    <w:p>
      <w:pPr>
        <w:pStyle w:val="nzIndenta"/>
      </w:pPr>
      <w:r>
        <w:tab/>
        <w:t>(b)</w:t>
      </w:r>
      <w:r>
        <w:tab/>
        <w:t>before the application is determined the designation is varied or cancelled under subsection (2) with the result that the area of land to which the application relates ceases to be in a designated area,</w:t>
      </w:r>
    </w:p>
    <w:p>
      <w:pPr>
        <w:pStyle w:val="nzSubsection"/>
      </w:pPr>
      <w:r>
        <w:tab/>
      </w:r>
      <w:r>
        <w:tab/>
        <w:t>then, despite that variation or cancellation, section 57(2aa) applies as if the area of land were in a designated area.</w:t>
      </w:r>
    </w:p>
    <w:p>
      <w:pPr>
        <w:pStyle w:val="MiscClose"/>
      </w:pPr>
      <w:r>
        <w:t xml:space="preserve">    ”.</w:t>
      </w:r>
    </w:p>
    <w:p>
      <w:pPr>
        <w:pStyle w:val="nzHeading5"/>
      </w:pPr>
      <w:bookmarkStart w:id="1657" w:name="_Toc87061465"/>
      <w:r>
        <w:rPr>
          <w:rStyle w:val="CharSectno"/>
        </w:rPr>
        <w:t>14</w:t>
      </w:r>
      <w:r>
        <w:t>.</w:t>
      </w:r>
      <w:r>
        <w:tab/>
        <w:t>Section 61 amended</w:t>
      </w:r>
      <w:bookmarkEnd w:id="1657"/>
    </w:p>
    <w:p>
      <w:pPr>
        <w:pStyle w:val="nzSubsection"/>
      </w:pPr>
      <w:r>
        <w:tab/>
        <w:t>(1)</w:t>
      </w:r>
      <w:r>
        <w:tab/>
        <w:t>Section 61(2) is amended as follows:</w:t>
      </w:r>
    </w:p>
    <w:p>
      <w:pPr>
        <w:pStyle w:val="nzIndenta"/>
      </w:pPr>
      <w:r>
        <w:tab/>
        <w:t>(a)</w:t>
      </w:r>
      <w:r>
        <w:tab/>
        <w:t xml:space="preserve">after “Minister may” by inserting — </w:t>
      </w:r>
    </w:p>
    <w:p>
      <w:pPr>
        <w:pStyle w:val="MiscOpen"/>
        <w:ind w:left="880"/>
      </w:pPr>
      <w:r>
        <w:t xml:space="preserve">“    </w:t>
      </w:r>
    </w:p>
    <w:p>
      <w:pPr>
        <w:pStyle w:val="nzSubsection"/>
      </w:pPr>
      <w:r>
        <w:tab/>
      </w:r>
      <w:r>
        <w:tab/>
        <w:t>, if satisfied that a prescribed ground for extension exists,</w:t>
      </w:r>
    </w:p>
    <w:p>
      <w:pPr>
        <w:pStyle w:val="MiscClose"/>
      </w:pPr>
      <w:r>
        <w:t xml:space="preserve">    ”;</w:t>
      </w:r>
    </w:p>
    <w:p>
      <w:pPr>
        <w:pStyle w:val="nzIndenta"/>
      </w:pPr>
      <w:r>
        <w:tab/>
        <w:t>(b)</w:t>
      </w:r>
      <w:r>
        <w:tab/>
        <w:t xml:space="preserve">by deleting paragraphs (a) and (b), and “and” after paragraph (a), and inserting instead — </w:t>
      </w:r>
    </w:p>
    <w:p>
      <w:pPr>
        <w:pStyle w:val="MiscOpen"/>
        <w:ind w:left="1340"/>
      </w:pPr>
      <w:r>
        <w:t xml:space="preserve">“    </w:t>
      </w:r>
    </w:p>
    <w:p>
      <w:pPr>
        <w:pStyle w:val="nzIndenta"/>
      </w:pPr>
      <w:r>
        <w:tab/>
        <w:t>(a)</w:t>
      </w:r>
      <w:r>
        <w:tab/>
        <w:t>by one period of 5 years; and</w:t>
      </w:r>
    </w:p>
    <w:p>
      <w:pPr>
        <w:pStyle w:val="nzIndenta"/>
      </w:pPr>
      <w:r>
        <w:tab/>
        <w:t>(b)</w:t>
      </w:r>
      <w:r>
        <w:tab/>
        <w:t>by a further period or periods of 2 years,</w:t>
      </w:r>
    </w:p>
    <w:p>
      <w:pPr>
        <w:pStyle w:val="MiscClose"/>
      </w:pPr>
      <w:r>
        <w:t xml:space="preserve">    ”.</w:t>
      </w:r>
    </w:p>
    <w:p>
      <w:pPr>
        <w:pStyle w:val="nzSubsection"/>
      </w:pPr>
      <w:r>
        <w:tab/>
        <w:t>(2)</w:t>
      </w:r>
      <w:r>
        <w:tab/>
        <w:t xml:space="preserve">Section 61(3) is repealed and the following subsections are inserted instead — </w:t>
      </w:r>
    </w:p>
    <w:p>
      <w:pPr>
        <w:pStyle w:val="MiscOpen"/>
        <w:ind w:left="600"/>
      </w:pPr>
      <w:r>
        <w:t xml:space="preserve">“    </w:t>
      </w:r>
    </w:p>
    <w:p>
      <w:pPr>
        <w:pStyle w:val="nzSubsection"/>
      </w:pPr>
      <w:r>
        <w:tab/>
        <w:t>(3)</w:t>
      </w:r>
      <w:r>
        <w:tab/>
        <w:t>An application for the extension of the term of an exploration licence under subsection (2) shall be made within the prescribed time and in the prescribed manner.</w:t>
      </w:r>
    </w:p>
    <w:p>
      <w:pPr>
        <w:pStyle w:val="nz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MiscClose"/>
      </w:pPr>
      <w:r>
        <w:t xml:space="preserve">    ”.</w:t>
      </w:r>
    </w:p>
    <w:p>
      <w:pPr>
        <w:pStyle w:val="nzHeading5"/>
      </w:pPr>
      <w:bookmarkStart w:id="1658" w:name="_Toc87061466"/>
      <w:r>
        <w:rPr>
          <w:rStyle w:val="CharSectno"/>
        </w:rPr>
        <w:t>15</w:t>
      </w:r>
      <w:r>
        <w:t>.</w:t>
      </w:r>
      <w:r>
        <w:tab/>
        <w:t>Section 63 amended and transitional provision</w:t>
      </w:r>
      <w:bookmarkEnd w:id="1658"/>
    </w:p>
    <w:p>
      <w:pPr>
        <w:pStyle w:val="nzSubsection"/>
      </w:pPr>
      <w:r>
        <w:tab/>
        <w:t>(1)</w:t>
      </w:r>
      <w:r>
        <w:tab/>
        <w:t>Section 63 is amended as follows:</w:t>
      </w:r>
    </w:p>
    <w:p>
      <w:pPr>
        <w:pStyle w:val="nzIndenta"/>
      </w:pPr>
      <w:r>
        <w:tab/>
        <w:t>(a)</w:t>
      </w:r>
      <w:r>
        <w:tab/>
        <w:t xml:space="preserve">after paragraph (a) by inserting the following paragraph — </w:t>
      </w:r>
    </w:p>
    <w:p>
      <w:pPr>
        <w:pStyle w:val="MiscOpen"/>
        <w:ind w:left="1340"/>
      </w:pPr>
      <w:r>
        <w:t xml:space="preserve">“    </w:t>
      </w:r>
    </w:p>
    <w:p>
      <w:pPr>
        <w:pStyle w:val="nzIndenta"/>
      </w:pPr>
      <w:r>
        <w:tab/>
        <w:t>(aa)</w:t>
      </w:r>
      <w:r>
        <w:tab/>
        <w:t xml:space="preserve">will not use ground disturbing equipment when exploring for minerals on the land the subject of the exploration licence unless — </w:t>
      </w:r>
    </w:p>
    <w:p>
      <w:pPr>
        <w:pStyle w:val="nzIndenti"/>
      </w:pPr>
      <w:r>
        <w:tab/>
        <w:t>(i)</w:t>
      </w:r>
      <w:r>
        <w:tab/>
        <w:t>the holder has lodged in the prescribed manner a programme of work in respect of that use; and</w:t>
      </w:r>
    </w:p>
    <w:p>
      <w:pPr>
        <w:pStyle w:val="nzIndenti"/>
      </w:pPr>
      <w:r>
        <w:tab/>
        <w:t>(ii)</w:t>
      </w:r>
      <w:r>
        <w:tab/>
        <w:t>the programme of work has been approved in writing by the Minister or a prescribed official;</w:t>
      </w:r>
    </w:p>
    <w:p>
      <w:pPr>
        <w:pStyle w:val="MiscClose"/>
      </w:pPr>
      <w:r>
        <w:t xml:space="preserve">    ”;</w:t>
      </w:r>
    </w:p>
    <w:p>
      <w:pPr>
        <w:pStyle w:val="nzIndenta"/>
      </w:pPr>
      <w:r>
        <w:tab/>
        <w:t>(b)</w:t>
      </w:r>
      <w:r>
        <w:tab/>
        <w:t xml:space="preserve">in paragraph (b) — </w:t>
      </w:r>
    </w:p>
    <w:p>
      <w:pPr>
        <w:pStyle w:val="nzIndenti"/>
      </w:pPr>
      <w:r>
        <w:tab/>
        <w:t>(i)</w:t>
      </w:r>
      <w:r>
        <w:tab/>
        <w:t xml:space="preserve">by deleting “the State Mining Engineer” in the first place where it occurs and inserting instead — </w:t>
      </w:r>
    </w:p>
    <w:p>
      <w:pPr>
        <w:pStyle w:val="nzIndenti"/>
      </w:pPr>
      <w:r>
        <w:tab/>
      </w:r>
      <w:r>
        <w:tab/>
        <w:t>“    a prescribed official    ”;</w:t>
      </w:r>
    </w:p>
    <w:p>
      <w:pPr>
        <w:pStyle w:val="nzIndenti"/>
      </w:pPr>
      <w:r>
        <w:tab/>
        <w:t>(ii)</w:t>
      </w:r>
      <w:r>
        <w:tab/>
        <w:t xml:space="preserve">by deleting “the State Mining Engineer” in the second place where it occurs and inserting instead — </w:t>
      </w:r>
    </w:p>
    <w:p>
      <w:pPr>
        <w:pStyle w:val="nzIndenti"/>
      </w:pPr>
      <w:r>
        <w:tab/>
      </w:r>
      <w:r>
        <w:tab/>
        <w:t>“    the prescribed official    ”.</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nzHeading5"/>
      </w:pPr>
      <w:bookmarkStart w:id="1659" w:name="_Toc87061467"/>
      <w:r>
        <w:rPr>
          <w:rStyle w:val="CharSectno"/>
        </w:rPr>
        <w:t>16</w:t>
      </w:r>
      <w:r>
        <w:t>.</w:t>
      </w:r>
      <w:r>
        <w:tab/>
        <w:t>Section 65 amended</w:t>
      </w:r>
      <w:bookmarkEnd w:id="1659"/>
    </w:p>
    <w:p>
      <w:pPr>
        <w:pStyle w:val="nzSubsection"/>
      </w:pPr>
      <w:r>
        <w:tab/>
        <w:t>(1)</w:t>
      </w:r>
      <w:r>
        <w:tab/>
        <w:t xml:space="preserve">Section 65(1) to (3a) are repealed and the following subsections are inserted instead — </w:t>
      </w:r>
    </w:p>
    <w:p>
      <w:pPr>
        <w:pStyle w:val="MiscOpen"/>
        <w:ind w:left="600"/>
      </w:pPr>
      <w:r>
        <w:t xml:space="preserve">“    </w:t>
      </w:r>
    </w:p>
    <w:p>
      <w:pPr>
        <w:pStyle w:val="nzSubsection"/>
      </w:pPr>
      <w:r>
        <w:tab/>
        <w:t>(1)</w:t>
      </w:r>
      <w:r>
        <w:tab/>
        <w:t xml:space="preserve">In this section — </w:t>
      </w:r>
    </w:p>
    <w:p>
      <w:pPr>
        <w:pStyle w:val="nzDefstart"/>
      </w:pPr>
      <w:r>
        <w:rPr>
          <w:b/>
        </w:rPr>
        <w:tab/>
        <w:t>“</w:t>
      </w:r>
      <w:r>
        <w:rPr>
          <w:rStyle w:val="CharDefText"/>
        </w:rPr>
        <w:t>end day</w:t>
      </w:r>
      <w:r>
        <w:rPr>
          <w:b/>
        </w:rPr>
        <w:t>”</w:t>
      </w:r>
      <w:r>
        <w:t xml:space="preserve"> means the day on which the 5 year period referred to in section 61(1) ends;</w:t>
      </w:r>
    </w:p>
    <w:p>
      <w:pPr>
        <w:pStyle w:val="nzDefstart"/>
      </w:pPr>
      <w:r>
        <w:rPr>
          <w:b/>
        </w:rPr>
        <w:tab/>
        <w:t>“</w:t>
      </w:r>
      <w:r>
        <w:rPr>
          <w:rStyle w:val="CharDefText"/>
        </w:rPr>
        <w:t>surrender day</w:t>
      </w:r>
      <w:r>
        <w:rPr>
          <w:b/>
        </w:rPr>
        <w:t>”</w:t>
      </w:r>
      <w:r>
        <w:t xml:space="preserve">, in relation to a surrender, means — </w:t>
      </w:r>
    </w:p>
    <w:p>
      <w:pPr>
        <w:pStyle w:val="nzDefpara"/>
      </w:pPr>
      <w:r>
        <w:tab/>
        <w:t>(a)</w:t>
      </w:r>
      <w:r>
        <w:tab/>
        <w:t>if the surrender is lodged under subsection (3), the end day;</w:t>
      </w:r>
    </w:p>
    <w:p>
      <w:pPr>
        <w:pStyle w:val="nzDefpara"/>
      </w:pPr>
      <w:r>
        <w:tab/>
        <w:t>(b)</w:t>
      </w:r>
      <w:r>
        <w:tab/>
        <w:t>if the surrender is lodged under subsection (3c), the day that is 12 months after the end day; or</w:t>
      </w:r>
    </w:p>
    <w:p>
      <w:pPr>
        <w:pStyle w:val="nzDefpara"/>
      </w:pPr>
      <w:r>
        <w:tab/>
        <w:t>(c)</w:t>
      </w:r>
      <w:r>
        <w:tab/>
        <w:t>if the surrender is lodged in compliance with a requirement under subsection (4), the day on which the surrender is registered.</w:t>
      </w:r>
    </w:p>
    <w:p>
      <w:pPr>
        <w:pStyle w:val="nzSubsection"/>
      </w:pPr>
      <w:r>
        <w:tab/>
        <w:t>(2)</w:t>
      </w:r>
      <w:r>
        <w:tab/>
        <w:t xml:space="preserve">This section applies in relation to an exploration licence if — </w:t>
      </w:r>
    </w:p>
    <w:p>
      <w:pPr>
        <w:pStyle w:val="nzIndenta"/>
      </w:pPr>
      <w:r>
        <w:tab/>
        <w:t>(a)</w:t>
      </w:r>
      <w:r>
        <w:tab/>
        <w:t>the term of the licence has been extended under section 61; or</w:t>
      </w:r>
    </w:p>
    <w:p>
      <w:pPr>
        <w:pStyle w:val="nzIndenta"/>
      </w:pPr>
      <w:r>
        <w:tab/>
        <w:t>(b)</w:t>
      </w:r>
      <w:r>
        <w:tab/>
        <w:t>an application under section 61 for the extension of the term of the licence has been made but has not been determined.</w:t>
      </w:r>
    </w:p>
    <w:p>
      <w:pPr>
        <w:pStyle w:val="nzSubsection"/>
      </w:pPr>
      <w:r>
        <w:tab/>
        <w:t>(3)</w:t>
      </w:r>
      <w:r>
        <w:tab/>
        <w:t xml:space="preserve">Subject to subsection (3a), on or before the end day the holder of an exploration licence granted in respect of more than one block shall lodge a surrender for registration in respect of — </w:t>
      </w:r>
    </w:p>
    <w:p>
      <w:pPr>
        <w:pStyle w:val="nzIndenta"/>
      </w:pPr>
      <w:r>
        <w:tab/>
        <w:t>(a)</w:t>
      </w:r>
      <w:r>
        <w:tab/>
        <w:t>40% of the number of the blocks that are subject to the licence; or</w:t>
      </w:r>
    </w:p>
    <w:p>
      <w:pPr>
        <w:pStyle w:val="nzIndenta"/>
      </w:pPr>
      <w:r>
        <w:tab/>
        <w:t>(b)</w:t>
      </w:r>
      <w:r>
        <w:tab/>
        <w:t>if 40% of that number is not a whole number, the nearest whole number of the blocks.</w:t>
      </w:r>
    </w:p>
    <w:p>
      <w:pPr>
        <w:pStyle w:val="nzSubsection"/>
      </w:pPr>
      <w:r>
        <w:tab/>
        <w:t>(3a)</w:t>
      </w:r>
      <w:r>
        <w:tab/>
        <w:t xml:space="preserve">Subsection (3) does not apply if — </w:t>
      </w:r>
    </w:p>
    <w:p>
      <w:pPr>
        <w:pStyle w:val="nzIndenta"/>
      </w:pPr>
      <w:r>
        <w:tab/>
        <w:t>(a)</w:t>
      </w:r>
      <w:r>
        <w:tab/>
        <w:t>a deferral has been granted under subsection (3b); or</w:t>
      </w:r>
    </w:p>
    <w:p>
      <w:pPr>
        <w:pStyle w:val="nzIndenta"/>
      </w:pPr>
      <w:r>
        <w:tab/>
        <w:t>(b)</w:t>
      </w:r>
      <w:r>
        <w:tab/>
        <w:t>an application for deferral under subsection (3c) has been made but has not been determined.</w:t>
      </w:r>
    </w:p>
    <w:p>
      <w:pPr>
        <w:pStyle w:val="nzSubsection"/>
      </w:pPr>
      <w:r>
        <w:tab/>
        <w:t>(3b)</w:t>
      </w:r>
      <w:r>
        <w:tab/>
        <w:t>The Minister may, if satisfied that a prescribed ground for deferral exists, defer the requirement in subsection (3).</w:t>
      </w:r>
    </w:p>
    <w:p>
      <w:pPr>
        <w:pStyle w:val="nzSubsection"/>
      </w:pPr>
      <w:r>
        <w:tab/>
        <w:t>(3c)</w:t>
      </w:r>
      <w:r>
        <w:tab/>
        <w:t>An application for deferral shall be made by the holder of an exploration licence on or before the end day in the prescribed manner.</w:t>
      </w:r>
    </w:p>
    <w:p>
      <w:pPr>
        <w:pStyle w:val="nzSubsection"/>
      </w:pPr>
      <w:r>
        <w:tab/>
        <w:t>(3d)</w:t>
      </w:r>
      <w:r>
        <w:tab/>
        <w:t>If a deferral is granted under subsection (3b), the holder of the exploration licence shall lodge the surrender for registration on or before the day that is 12 months after the end day.</w:t>
      </w:r>
    </w:p>
    <w:p>
      <w:pPr>
        <w:pStyle w:val="MiscClose"/>
      </w:pPr>
      <w:r>
        <w:t xml:space="preserve">    ”.</w:t>
      </w:r>
    </w:p>
    <w:p>
      <w:pPr>
        <w:pStyle w:val="nzSubsection"/>
      </w:pPr>
      <w:r>
        <w:tab/>
        <w:t>(2)</w:t>
      </w:r>
      <w:r>
        <w:tab/>
        <w:t xml:space="preserve">Section 65(4) is repealed and the following subsections are inserted instead — </w:t>
      </w:r>
    </w:p>
    <w:p>
      <w:pPr>
        <w:pStyle w:val="MiscOpen"/>
        <w:ind w:left="600"/>
      </w:pPr>
      <w:r>
        <w:t xml:space="preserve">“    </w:t>
      </w:r>
    </w:p>
    <w:p>
      <w:pPr>
        <w:pStyle w:val="nzSubsection"/>
      </w:pPr>
      <w:r>
        <w:tab/>
        <w:t>(4)</w:t>
      </w:r>
      <w:r>
        <w:tab/>
        <w:t xml:space="preserve">If — </w:t>
      </w:r>
    </w:p>
    <w:p>
      <w:pPr>
        <w:pStyle w:val="nzIndenta"/>
      </w:pPr>
      <w:r>
        <w:tab/>
        <w:t>(a)</w:t>
      </w:r>
      <w:r>
        <w:tab/>
        <w:t>the holder of an exploration licence fails to lodge a surrender in accordance with subsection (3) or (3d); or</w:t>
      </w:r>
    </w:p>
    <w:p>
      <w:pPr>
        <w:pStyle w:val="nzIndenta"/>
      </w:pPr>
      <w:r>
        <w:tab/>
        <w:t>(b)</w:t>
      </w:r>
      <w:r>
        <w:tab/>
        <w:t>a deferral under subsection (3b) is refused,</w:t>
      </w:r>
    </w:p>
    <w:p>
      <w:pPr>
        <w:pStyle w:val="nzSubsection"/>
      </w:pPr>
      <w:r>
        <w:tab/>
      </w:r>
      <w:r>
        <w:tab/>
        <w:t>the Minister may, by notice in writing, require the holder to lodge the surrender for registration within a period specified in the notice.</w:t>
      </w:r>
    </w:p>
    <w:p>
      <w:pPr>
        <w:pStyle w:val="nzSubsection"/>
      </w:pPr>
      <w:r>
        <w:tab/>
        <w:t>(4a)</w:t>
      </w:r>
      <w:r>
        <w:tab/>
        <w:t>A surrender under this section takes effect on the surrender day.</w:t>
      </w:r>
    </w:p>
    <w:p>
      <w:pPr>
        <w:pStyle w:val="nzSubsection"/>
      </w:pPr>
      <w:r>
        <w:tab/>
        <w:t>(4b)</w:t>
      </w:r>
      <w:r>
        <w:tab/>
        <w:t xml:space="preserve">The blocks that remain subject to an exploration licence after a surrender under this section are to form not more than 3 discrete areas each consisting of — </w:t>
      </w:r>
    </w:p>
    <w:p>
      <w:pPr>
        <w:pStyle w:val="nzIndenta"/>
      </w:pPr>
      <w:r>
        <w:tab/>
        <w:t>(a)</w:t>
      </w:r>
      <w:r>
        <w:tab/>
        <w:t>a single graticular section; or</w:t>
      </w:r>
    </w:p>
    <w:p>
      <w:pPr>
        <w:pStyle w:val="nzIndenta"/>
      </w:pPr>
      <w:r>
        <w:tab/>
        <w:t>(b)</w:t>
      </w:r>
      <w:r>
        <w:tab/>
        <w:t>a number of graticular sections each having a side in common with at least one other graticular section in that area.</w:t>
      </w:r>
    </w:p>
    <w:p>
      <w:pPr>
        <w:pStyle w:val="nzSubsection"/>
      </w:pPr>
      <w:r>
        <w:tab/>
        <w:t>(4c)</w:t>
      </w:r>
      <w:r>
        <w:tab/>
        <w:t xml:space="preserve">If, before the surrender day, the holder of an exploration licence — </w:t>
      </w:r>
    </w:p>
    <w:p>
      <w:pPr>
        <w:pStyle w:val="nzIndenta"/>
      </w:pPr>
      <w:r>
        <w:tab/>
        <w:t>(a)</w:t>
      </w:r>
      <w:r>
        <w:tab/>
        <w:t xml:space="preserve">is granted a mining lease or general purpose lease in respect of a part of the land the subject of the exploration licence (the </w:t>
      </w:r>
      <w:r>
        <w:rPr>
          <w:b/>
        </w:rPr>
        <w:t>“</w:t>
      </w:r>
      <w:r>
        <w:rPr>
          <w:rStyle w:val="CharDefText"/>
        </w:rPr>
        <w:t>granted land</w:t>
      </w:r>
      <w:r>
        <w:rPr>
          <w:b/>
        </w:rPr>
        <w:t>”</w:t>
      </w:r>
      <w:r>
        <w:t>); or</w:t>
      </w:r>
    </w:p>
    <w:p>
      <w:pPr>
        <w:pStyle w:val="nzIndenta"/>
      </w:pPr>
      <w:r>
        <w:tab/>
        <w:t>(b)</w:t>
      </w:r>
      <w:r>
        <w:tab/>
        <w:t xml:space="preserve">surrenders a part of the land the subject of the exploration licence (the </w:t>
      </w:r>
      <w:r>
        <w:rPr>
          <w:b/>
        </w:rPr>
        <w:t>“</w:t>
      </w:r>
      <w:r>
        <w:rPr>
          <w:rStyle w:val="CharDefText"/>
        </w:rPr>
        <w:t>surrendered land</w:t>
      </w:r>
      <w:r>
        <w:rPr>
          <w:b/>
        </w:rPr>
        <w:t>”</w:t>
      </w:r>
      <w:r>
        <w:t>),</w:t>
      </w:r>
    </w:p>
    <w:p>
      <w:pPr>
        <w:pStyle w:val="nzSubsection"/>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MiscClose"/>
      </w:pPr>
      <w:r>
        <w:t xml:space="preserve">    ”.</w:t>
      </w:r>
    </w:p>
    <w:p>
      <w:pPr>
        <w:pStyle w:val="nzHeading5"/>
      </w:pPr>
      <w:bookmarkStart w:id="1660" w:name="_Toc87061468"/>
      <w:r>
        <w:rPr>
          <w:rStyle w:val="CharSectno"/>
        </w:rPr>
        <w:t>17</w:t>
      </w:r>
      <w:r>
        <w:t>.</w:t>
      </w:r>
      <w:r>
        <w:tab/>
        <w:t>Section 68 amended</w:t>
      </w:r>
      <w:bookmarkEnd w:id="1660"/>
    </w:p>
    <w:p>
      <w:pPr>
        <w:pStyle w:val="nzSubsection"/>
      </w:pPr>
      <w:r>
        <w:tab/>
        <w:t>(1)</w:t>
      </w:r>
      <w:r>
        <w:tab/>
        <w:t>Section 68(1) is amended by deleting the penalty provision.</w:t>
      </w:r>
    </w:p>
    <w:p>
      <w:pPr>
        <w:pStyle w:val="nzSubsection"/>
      </w:pPr>
      <w:r>
        <w:tab/>
        <w:t>(2)</w:t>
      </w:r>
      <w:r>
        <w:tab/>
        <w:t>Section 68(2) is amended by deleting the penalty provision.</w:t>
      </w:r>
    </w:p>
    <w:p>
      <w:pPr>
        <w:pStyle w:val="nzSubsection"/>
      </w:pPr>
      <w:r>
        <w:tab/>
        <w:t>(3)</w:t>
      </w:r>
      <w:r>
        <w:tab/>
        <w:t xml:space="preserve">After section 68(3) the following subsection is inserted — </w:t>
      </w:r>
    </w:p>
    <w:p>
      <w:pPr>
        <w:pStyle w:val="MiscOpen"/>
        <w:ind w:left="600"/>
      </w:pPr>
      <w:r>
        <w:t xml:space="preserve">“    </w:t>
      </w:r>
    </w:p>
    <w:p>
      <w:pPr>
        <w:pStyle w:val="nzSubsection"/>
      </w:pPr>
      <w:r>
        <w:tab/>
        <w:t>(4)</w:t>
      </w:r>
      <w:r>
        <w:tab/>
        <w:t>Notwithstanding section 154(1), a holder of an exploration licence who fails to comply with subsection (1), (2) or (3) does not commit an offence against this Act.</w:t>
      </w:r>
    </w:p>
    <w:p>
      <w:pPr>
        <w:pStyle w:val="MiscClose"/>
      </w:pPr>
      <w:r>
        <w:t xml:space="preserve">    ”.</w:t>
      </w:r>
    </w:p>
    <w:p>
      <w:pPr>
        <w:pStyle w:val="nzHeading5"/>
      </w:pPr>
      <w:bookmarkStart w:id="1661" w:name="_Toc87061469"/>
      <w:r>
        <w:rPr>
          <w:rStyle w:val="CharSectno"/>
        </w:rPr>
        <w:t>18</w:t>
      </w:r>
      <w:r>
        <w:t>.</w:t>
      </w:r>
      <w:r>
        <w:tab/>
        <w:t>Section 69 amended</w:t>
      </w:r>
      <w:bookmarkEnd w:id="1661"/>
    </w:p>
    <w:p>
      <w:pPr>
        <w:pStyle w:val="nzSubsection"/>
      </w:pPr>
      <w:r>
        <w:tab/>
      </w:r>
      <w:r>
        <w:tab/>
        <w:t xml:space="preserve">Section 69(1) is amended by deleting “relinquished” in both places where it occurs and inserting instead — </w:t>
      </w:r>
    </w:p>
    <w:p>
      <w:pPr>
        <w:pStyle w:val="nzSubsection"/>
      </w:pPr>
      <w:r>
        <w:tab/>
      </w:r>
      <w:r>
        <w:tab/>
        <w:t>“    surrendered    ”.</w:t>
      </w:r>
    </w:p>
    <w:p>
      <w:pPr>
        <w:pStyle w:val="nzHeading5"/>
      </w:pPr>
      <w:bookmarkStart w:id="1662" w:name="_Toc87061470"/>
      <w:r>
        <w:rPr>
          <w:rStyle w:val="CharSectno"/>
        </w:rPr>
        <w:t>19</w:t>
      </w:r>
      <w:r>
        <w:t>.</w:t>
      </w:r>
      <w:r>
        <w:tab/>
        <w:t>Transitional and savings provisions</w:t>
      </w:r>
      <w:bookmarkEnd w:id="1662"/>
    </w:p>
    <w:p>
      <w:pPr>
        <w:pStyle w:val="nzSubsection"/>
      </w:pPr>
      <w:r>
        <w:tab/>
        <w:t>(1)</w:t>
      </w:r>
      <w:r>
        <w:tab/>
        <w:t xml:space="preserve">In this section — </w:t>
      </w:r>
    </w:p>
    <w:p>
      <w:pPr>
        <w:pStyle w:val="nzDefstart"/>
      </w:pPr>
      <w:r>
        <w:rPr>
          <w:b/>
        </w:rPr>
        <w:tab/>
        <w:t>“</w:t>
      </w:r>
      <w:r>
        <w:rPr>
          <w:rStyle w:val="CharDefText"/>
        </w:rPr>
        <w:t>commencement</w:t>
      </w:r>
      <w:r>
        <w:rPr>
          <w:b/>
        </w:rPr>
        <w:t>”</w:t>
      </w:r>
      <w:r>
        <w:t xml:space="preserve"> means the commencement of this Part;</w:t>
      </w:r>
    </w:p>
    <w:p>
      <w:pPr>
        <w:pStyle w:val="nzDefstart"/>
      </w:pPr>
      <w:r>
        <w:rPr>
          <w:b/>
        </w:rPr>
        <w:tab/>
        <w:t>“</w:t>
      </w:r>
      <w:r>
        <w:rPr>
          <w:rStyle w:val="CharDefText"/>
        </w:rPr>
        <w:t>old provisions</w:t>
      </w:r>
      <w:r>
        <w:rPr>
          <w:b/>
        </w:rPr>
        <w:t>”</w:t>
      </w:r>
      <w:r>
        <w:t xml:space="preserve"> means the </w:t>
      </w:r>
      <w:r>
        <w:rPr>
          <w:i/>
        </w:rPr>
        <w:t>Mining Act 1978</w:t>
      </w:r>
      <w:r>
        <w:t xml:space="preserve"> as in force immediately before the commencement;</w:t>
      </w:r>
    </w:p>
    <w:p>
      <w:pPr>
        <w:pStyle w:val="nzDefstart"/>
      </w:pPr>
      <w:r>
        <w:rPr>
          <w:b/>
        </w:rPr>
        <w:tab/>
        <w:t>“</w:t>
      </w:r>
      <w:r>
        <w:rPr>
          <w:rStyle w:val="CharDefText"/>
        </w:rPr>
        <w:t>relevant licence</w:t>
      </w:r>
      <w:r>
        <w:rPr>
          <w:b/>
        </w:rPr>
        <w:t>”</w:t>
      </w:r>
      <w:r>
        <w:t xml:space="preserve"> means —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63A, 65(1a) and 65(4)) continue to apply to and in relation to a relevant licence.</w:t>
      </w:r>
    </w:p>
    <w:p>
      <w:pPr>
        <w:pStyle w:val="nzSubsection"/>
      </w:pPr>
      <w:r>
        <w:tab/>
        <w:t>(3)</w:t>
      </w:r>
      <w:r>
        <w:tab/>
        <w:t>If the holder of a relevant licence fails to comply with the requirements for surrender in section 65(1) or (1b) of the old provisions, the Minister may,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 xml:space="preserve">Despite the amendments made by section 16, section 65(1a) of the old provisions continues to apply to and in relation to a relevant licence as if — </w:t>
      </w:r>
    </w:p>
    <w:p>
      <w:pPr>
        <w:pStyle w:val="nzIndenta"/>
      </w:pPr>
      <w:r>
        <w:tab/>
        <w:t>(a)</w:t>
      </w:r>
      <w:r>
        <w:tab/>
        <w:t xml:space="preserve">“licence — ” were replaced by — </w:t>
      </w:r>
    </w:p>
    <w:p>
      <w:pPr>
        <w:pStyle w:val="nzIndenta"/>
      </w:pPr>
      <w:r>
        <w:tab/>
      </w:r>
      <w:r>
        <w:tab/>
        <w:t>“    licence    ”;</w:t>
      </w:r>
    </w:p>
    <w:p>
      <w:pPr>
        <w:pStyle w:val="nzIndenta"/>
      </w:pPr>
      <w:r>
        <w:tab/>
        <w:t>(b)</w:t>
      </w:r>
      <w:r>
        <w:tab/>
        <w:t>paragraphs (a) and (b), and “or” after paragraph (a), were deleted; and</w:t>
      </w:r>
    </w:p>
    <w:p>
      <w:pPr>
        <w:pStyle w:val="nzIndenta"/>
      </w:pPr>
      <w:r>
        <w:tab/>
        <w:t>(c)</w:t>
      </w:r>
      <w:r>
        <w:tab/>
        <w:t xml:space="preserve">“the Minister may exempt” were replaced by — </w:t>
      </w:r>
    </w:p>
    <w:p>
      <w:pPr>
        <w:pStyle w:val="MiscOpen"/>
        <w:ind w:left="880"/>
      </w:pPr>
      <w:r>
        <w:t xml:space="preserve">“    </w:t>
      </w:r>
    </w:p>
    <w:p>
      <w:pPr>
        <w:pStyle w:val="nzSubsection"/>
      </w:pPr>
      <w:r>
        <w:tab/>
      </w:r>
      <w:r>
        <w:tab/>
        <w:t>the Minister may, if satisfied that a ground for exemption exists, exempt</w:t>
      </w:r>
    </w:p>
    <w:p>
      <w:pPr>
        <w:pStyle w:val="MiscClose"/>
      </w:pPr>
      <w:r>
        <w:t xml:space="preserve">    ”.</w:t>
      </w:r>
    </w:p>
    <w:p>
      <w:pPr>
        <w:pStyle w:val="nzSubsection"/>
      </w:pPr>
      <w:r>
        <w:tab/>
        <w:t>(6)</w:t>
      </w:r>
      <w:r>
        <w:tab/>
        <w:t xml:space="preserve">For the purposes of the application of section 65(1a) of the old provisions as modified by subsection (5) a ground for exemption exists if a prescribed ground for deferral exists under section 65(3b) of the </w:t>
      </w:r>
      <w:r>
        <w:rPr>
          <w:i/>
        </w:rPr>
        <w:t>Mining Act 1978</w:t>
      </w:r>
      <w:r>
        <w:t xml:space="preserve"> as inserted by section 16.</w:t>
      </w:r>
    </w:p>
    <w:p>
      <w:pPr>
        <w:pStyle w:val="nzHeading2"/>
        <w:rPr>
          <w:rStyle w:val="CharPartNo"/>
        </w:rPr>
      </w:pPr>
      <w:bookmarkStart w:id="1663" w:name="_Toc65297825"/>
      <w:bookmarkStart w:id="1664" w:name="_Toc65297916"/>
      <w:bookmarkStart w:id="1665" w:name="_Toc65301682"/>
      <w:bookmarkStart w:id="1666" w:name="_Toc65379299"/>
      <w:bookmarkStart w:id="1667" w:name="_Toc65389314"/>
      <w:bookmarkStart w:id="1668" w:name="_Toc65390239"/>
      <w:bookmarkStart w:id="1669" w:name="_Toc65390788"/>
      <w:bookmarkStart w:id="1670" w:name="_Toc65395233"/>
      <w:bookmarkStart w:id="1671" w:name="_Toc65396527"/>
      <w:bookmarkStart w:id="1672" w:name="_Toc65397452"/>
      <w:bookmarkStart w:id="1673" w:name="_Toc65999776"/>
      <w:bookmarkStart w:id="1674" w:name="_Toc65999931"/>
      <w:bookmarkStart w:id="1675" w:name="_Toc66000059"/>
      <w:bookmarkStart w:id="1676" w:name="_Toc66097239"/>
      <w:bookmarkStart w:id="1677" w:name="_Toc66173282"/>
      <w:bookmarkStart w:id="1678" w:name="_Toc66512433"/>
      <w:bookmarkStart w:id="1679" w:name="_Toc66523458"/>
      <w:bookmarkStart w:id="1680" w:name="_Toc66523555"/>
      <w:bookmarkStart w:id="1681" w:name="_Toc66527939"/>
      <w:bookmarkStart w:id="1682" w:name="_Toc66528333"/>
      <w:bookmarkStart w:id="1683" w:name="_Toc66528810"/>
      <w:bookmarkStart w:id="1684" w:name="_Toc66584488"/>
      <w:bookmarkStart w:id="1685" w:name="_Toc66584872"/>
      <w:bookmarkStart w:id="1686" w:name="_Toc66586511"/>
      <w:bookmarkStart w:id="1687" w:name="_Toc66586953"/>
      <w:bookmarkStart w:id="1688" w:name="_Toc66589374"/>
      <w:bookmarkStart w:id="1689" w:name="_Toc66589573"/>
      <w:bookmarkStart w:id="1690" w:name="_Toc66610317"/>
      <w:bookmarkStart w:id="1691" w:name="_Toc66614311"/>
      <w:bookmarkStart w:id="1692" w:name="_Toc66673561"/>
      <w:bookmarkStart w:id="1693" w:name="_Toc66673923"/>
      <w:bookmarkStart w:id="1694" w:name="_Toc66699341"/>
      <w:bookmarkStart w:id="1695" w:name="_Toc66700197"/>
      <w:bookmarkStart w:id="1696" w:name="_Toc66700538"/>
      <w:bookmarkStart w:id="1697" w:name="_Toc66700692"/>
      <w:bookmarkStart w:id="1698" w:name="_Toc66701271"/>
      <w:bookmarkStart w:id="1699" w:name="_Toc66772306"/>
      <w:bookmarkStart w:id="1700" w:name="_Toc66772749"/>
      <w:bookmarkStart w:id="1701" w:name="_Toc66774150"/>
      <w:bookmarkStart w:id="1702" w:name="_Toc66774381"/>
      <w:bookmarkStart w:id="1703" w:name="_Toc67107345"/>
      <w:bookmarkStart w:id="1704" w:name="_Toc67107822"/>
      <w:bookmarkStart w:id="1705" w:name="_Toc67113503"/>
      <w:bookmarkStart w:id="1706" w:name="_Toc67118751"/>
      <w:bookmarkStart w:id="1707" w:name="_Toc67119362"/>
      <w:bookmarkStart w:id="1708" w:name="_Toc67119537"/>
      <w:bookmarkStart w:id="1709" w:name="_Toc67130645"/>
      <w:bookmarkStart w:id="1710" w:name="_Toc67133679"/>
      <w:bookmarkStart w:id="1711" w:name="_Toc67193840"/>
      <w:bookmarkStart w:id="1712" w:name="_Toc67206005"/>
      <w:bookmarkStart w:id="1713" w:name="_Toc67209191"/>
      <w:bookmarkStart w:id="1714" w:name="_Toc67209430"/>
      <w:bookmarkStart w:id="1715" w:name="_Toc67291520"/>
      <w:bookmarkStart w:id="1716" w:name="_Toc67300466"/>
      <w:bookmarkStart w:id="1717" w:name="_Toc67301612"/>
      <w:bookmarkStart w:id="1718" w:name="_Toc67301818"/>
      <w:bookmarkStart w:id="1719" w:name="_Toc67302114"/>
      <w:bookmarkStart w:id="1720" w:name="_Toc67721785"/>
      <w:bookmarkStart w:id="1721" w:name="_Toc67721995"/>
      <w:bookmarkStart w:id="1722" w:name="_Toc67722241"/>
      <w:bookmarkStart w:id="1723" w:name="_Toc67724587"/>
      <w:bookmarkStart w:id="1724" w:name="_Toc67799497"/>
      <w:bookmarkStart w:id="1725" w:name="_Toc67806302"/>
      <w:bookmarkStart w:id="1726" w:name="_Toc67807124"/>
      <w:bookmarkStart w:id="1727" w:name="_Toc67808138"/>
      <w:bookmarkStart w:id="1728" w:name="_Toc67808415"/>
      <w:bookmarkStart w:id="1729" w:name="_Toc67809849"/>
      <w:bookmarkStart w:id="1730" w:name="_Toc67813898"/>
      <w:bookmarkStart w:id="1731" w:name="_Toc67814220"/>
      <w:bookmarkStart w:id="1732" w:name="_Toc67911079"/>
      <w:bookmarkStart w:id="1733" w:name="_Toc67912057"/>
      <w:bookmarkStart w:id="1734" w:name="_Toc67980294"/>
      <w:bookmarkStart w:id="1735" w:name="_Toc67980402"/>
      <w:bookmarkStart w:id="1736" w:name="_Toc67980686"/>
      <w:bookmarkStart w:id="1737" w:name="_Toc67981208"/>
      <w:bookmarkStart w:id="1738" w:name="_Toc67981395"/>
      <w:bookmarkStart w:id="1739" w:name="_Toc67981969"/>
      <w:bookmarkStart w:id="1740" w:name="_Toc67997367"/>
      <w:bookmarkStart w:id="1741" w:name="_Toc68063322"/>
      <w:bookmarkStart w:id="1742" w:name="_Toc68070419"/>
      <w:bookmarkStart w:id="1743" w:name="_Toc68315351"/>
      <w:bookmarkStart w:id="1744" w:name="_Toc68321114"/>
      <w:bookmarkStart w:id="1745" w:name="_Toc68321221"/>
      <w:bookmarkStart w:id="1746" w:name="_Toc68321329"/>
      <w:bookmarkStart w:id="1747" w:name="_Toc68323955"/>
      <w:bookmarkStart w:id="1748" w:name="_Toc68325652"/>
      <w:bookmarkStart w:id="1749" w:name="_Toc68490827"/>
      <w:bookmarkStart w:id="1750" w:name="_Toc68494999"/>
      <w:bookmarkStart w:id="1751" w:name="_Toc68505816"/>
      <w:bookmarkStart w:id="1752" w:name="_Toc68506524"/>
      <w:bookmarkStart w:id="1753" w:name="_Toc68513236"/>
      <w:bookmarkStart w:id="1754" w:name="_Toc68515247"/>
      <w:bookmarkStart w:id="1755" w:name="_Toc68516450"/>
      <w:bookmarkStart w:id="1756" w:name="_Toc68517723"/>
      <w:bookmarkStart w:id="1757" w:name="_Toc68518042"/>
      <w:bookmarkStart w:id="1758" w:name="_Toc68518239"/>
      <w:bookmarkStart w:id="1759" w:name="_Toc68588043"/>
      <w:bookmarkStart w:id="1760" w:name="_Toc68943912"/>
      <w:bookmarkStart w:id="1761" w:name="_Toc68944674"/>
      <w:bookmarkStart w:id="1762" w:name="_Toc68945480"/>
      <w:bookmarkStart w:id="1763" w:name="_Toc68946881"/>
      <w:bookmarkStart w:id="1764" w:name="_Toc68950719"/>
      <w:bookmarkStart w:id="1765" w:name="_Toc69017046"/>
      <w:bookmarkStart w:id="1766" w:name="_Toc69021818"/>
      <w:bookmarkStart w:id="1767" w:name="_Toc69022074"/>
      <w:bookmarkStart w:id="1768" w:name="_Toc69030802"/>
      <w:bookmarkStart w:id="1769" w:name="_Toc69100495"/>
      <w:bookmarkStart w:id="1770" w:name="_Toc69102741"/>
      <w:bookmarkStart w:id="1771" w:name="_Toc69117297"/>
      <w:bookmarkStart w:id="1772" w:name="_Toc69118003"/>
      <w:bookmarkStart w:id="1773" w:name="_Toc69271726"/>
      <w:bookmarkStart w:id="1774" w:name="_Toc69274103"/>
      <w:bookmarkStart w:id="1775" w:name="_Toc69274552"/>
      <w:bookmarkStart w:id="1776" w:name="_Toc69275310"/>
      <w:bookmarkStart w:id="1777" w:name="_Toc69275605"/>
      <w:bookmarkStart w:id="1778" w:name="_Toc69278371"/>
      <w:bookmarkStart w:id="1779" w:name="_Toc69280721"/>
      <w:bookmarkStart w:id="1780" w:name="_Toc69281062"/>
      <w:bookmarkStart w:id="1781" w:name="_Toc69281171"/>
      <w:bookmarkStart w:id="1782" w:name="_Toc69281338"/>
      <w:bookmarkStart w:id="1783" w:name="_Toc70327081"/>
      <w:bookmarkStart w:id="1784" w:name="_Toc70405219"/>
      <w:bookmarkStart w:id="1785" w:name="_Toc70995382"/>
      <w:bookmarkStart w:id="1786" w:name="_Toc71712510"/>
      <w:bookmarkStart w:id="1787" w:name="_Toc71713965"/>
      <w:bookmarkStart w:id="1788" w:name="_Toc71878708"/>
      <w:bookmarkStart w:id="1789" w:name="_Toc71880052"/>
      <w:bookmarkStart w:id="1790" w:name="_Toc71884433"/>
      <w:bookmarkStart w:id="1791" w:name="_Toc71887011"/>
      <w:bookmarkStart w:id="1792" w:name="_Toc71887252"/>
      <w:bookmarkStart w:id="1793" w:name="_Toc71953158"/>
      <w:bookmarkStart w:id="1794" w:name="_Toc71953301"/>
      <w:bookmarkStart w:id="1795" w:name="_Toc71957048"/>
      <w:bookmarkStart w:id="1796" w:name="_Toc71963679"/>
      <w:bookmarkStart w:id="1797" w:name="_Toc71969771"/>
      <w:bookmarkStart w:id="1798" w:name="_Toc71969880"/>
      <w:bookmarkStart w:id="1799" w:name="_Toc71973483"/>
      <w:bookmarkStart w:id="1800" w:name="_Toc71975597"/>
      <w:bookmarkStart w:id="1801" w:name="_Toc71976405"/>
      <w:bookmarkStart w:id="1802" w:name="_Toc72026799"/>
      <w:bookmarkStart w:id="1803" w:name="_Toc72027057"/>
      <w:bookmarkStart w:id="1804" w:name="_Toc72029114"/>
      <w:bookmarkStart w:id="1805" w:name="_Toc72044641"/>
      <w:bookmarkStart w:id="1806" w:name="_Toc72044751"/>
      <w:bookmarkStart w:id="1807" w:name="_Toc72049670"/>
      <w:bookmarkStart w:id="1808" w:name="_Toc72049782"/>
      <w:bookmarkStart w:id="1809" w:name="_Toc72748182"/>
      <w:bookmarkStart w:id="1810" w:name="_Toc72812727"/>
      <w:bookmarkStart w:id="1811" w:name="_Toc72827592"/>
      <w:bookmarkStart w:id="1812" w:name="_Toc73154098"/>
      <w:bookmarkStart w:id="1813" w:name="_Toc73154524"/>
      <w:bookmarkStart w:id="1814" w:name="_Toc73156283"/>
      <w:bookmarkStart w:id="1815" w:name="_Toc73156403"/>
      <w:bookmarkStart w:id="1816" w:name="_Toc73158370"/>
      <w:bookmarkStart w:id="1817" w:name="_Toc73158698"/>
      <w:bookmarkStart w:id="1818" w:name="_Toc73159063"/>
      <w:bookmarkStart w:id="1819" w:name="_Toc73159204"/>
      <w:bookmarkStart w:id="1820" w:name="_Toc73159879"/>
      <w:bookmarkStart w:id="1821" w:name="_Toc73160806"/>
      <w:bookmarkStart w:id="1822" w:name="_Toc73161600"/>
      <w:bookmarkStart w:id="1823" w:name="_Toc73161771"/>
      <w:bookmarkStart w:id="1824" w:name="_Toc73164205"/>
      <w:bookmarkStart w:id="1825" w:name="_Toc73179774"/>
      <w:bookmarkStart w:id="1826" w:name="_Toc73184315"/>
      <w:bookmarkStart w:id="1827" w:name="_Toc73241584"/>
      <w:bookmarkStart w:id="1828" w:name="_Toc73242146"/>
      <w:bookmarkStart w:id="1829" w:name="_Toc73242886"/>
      <w:bookmarkStart w:id="1830" w:name="_Toc73243003"/>
      <w:bookmarkStart w:id="1831" w:name="_Toc73243120"/>
      <w:bookmarkStart w:id="1832" w:name="_Toc73245175"/>
      <w:bookmarkStart w:id="1833" w:name="_Toc73245985"/>
      <w:bookmarkStart w:id="1834" w:name="_Toc73251503"/>
      <w:bookmarkStart w:id="1835" w:name="_Toc73258499"/>
      <w:bookmarkStart w:id="1836" w:name="_Toc73259580"/>
      <w:bookmarkStart w:id="1837" w:name="_Toc73421917"/>
      <w:bookmarkStart w:id="1838" w:name="_Toc73427318"/>
      <w:bookmarkStart w:id="1839" w:name="_Toc73428244"/>
      <w:bookmarkStart w:id="1840" w:name="_Toc73428361"/>
      <w:bookmarkStart w:id="1841" w:name="_Toc73428478"/>
      <w:bookmarkStart w:id="1842" w:name="_Toc73428732"/>
      <w:bookmarkStart w:id="1843" w:name="_Toc73428965"/>
      <w:bookmarkStart w:id="1844" w:name="_Toc73429453"/>
      <w:bookmarkStart w:id="1845" w:name="_Toc73436605"/>
      <w:bookmarkStart w:id="1846" w:name="_Toc73437448"/>
      <w:bookmarkStart w:id="1847" w:name="_Toc81200135"/>
      <w:bookmarkStart w:id="1848" w:name="_Toc81201746"/>
      <w:bookmarkStart w:id="1849" w:name="_Toc81209000"/>
      <w:r>
        <w:rPr>
          <w:rStyle w:val="CharPartNo"/>
        </w:rPr>
        <w:t>Part 5 — Amendments about retention status</w:t>
      </w:r>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p>
    <w:p>
      <w:pPr>
        <w:pStyle w:val="nzHeading5"/>
      </w:pPr>
      <w:bookmarkStart w:id="1850" w:name="_Toc87061471"/>
      <w:r>
        <w:rPr>
          <w:rStyle w:val="CharSectno"/>
        </w:rPr>
        <w:t>20</w:t>
      </w:r>
      <w:r>
        <w:t>.</w:t>
      </w:r>
      <w:r>
        <w:tab/>
        <w:t>Section 8 amended</w:t>
      </w:r>
      <w:bookmarkEnd w:id="1850"/>
    </w:p>
    <w:p>
      <w:pPr>
        <w:pStyle w:val="nzSubsection"/>
      </w:pPr>
      <w:r>
        <w:tab/>
        <w:t>(1)</w:t>
      </w:r>
      <w:r>
        <w:tab/>
        <w:t xml:space="preserve">Section 8(1) is amended by inserting in the appropriate alphabetical positions — </w:t>
      </w:r>
    </w:p>
    <w:p>
      <w:pPr>
        <w:pStyle w:val="MiscOpen"/>
        <w:ind w:left="880"/>
      </w:pPr>
      <w:r>
        <w:t xml:space="preserve">“    </w:t>
      </w:r>
    </w:p>
    <w:p>
      <w:pPr>
        <w:pStyle w:val="nzDefstart"/>
      </w:pPr>
      <w:r>
        <w:rPr>
          <w:b/>
        </w:rPr>
        <w:tab/>
        <w:t>“</w:t>
      </w:r>
      <w:r>
        <w:rPr>
          <w:rStyle w:val="CharDefText"/>
        </w:rPr>
        <w:t>identified mineral resource</w:t>
      </w:r>
      <w:r>
        <w:rPr>
          <w:b/>
        </w:rPr>
        <w:t>”</w:t>
      </w:r>
      <w:r>
        <w:t xml:space="preserve"> means a deposit of minerals identified in the prescribed manner;</w:t>
      </w:r>
    </w:p>
    <w:p>
      <w:pPr>
        <w:pStyle w:val="nzDefstart"/>
      </w:pPr>
      <w:r>
        <w:rPr>
          <w:b/>
        </w:rPr>
        <w:tab/>
        <w:t>“</w:t>
      </w:r>
      <w:r>
        <w:rPr>
          <w:rStyle w:val="CharDefText"/>
        </w:rPr>
        <w:t>retention status</w:t>
      </w:r>
      <w:r>
        <w:rPr>
          <w:b/>
        </w:rPr>
        <w:t>”</w:t>
      </w:r>
      <w:r>
        <w:t xml:space="preserve"> has a meaning affected by subsection (5);</w:t>
      </w:r>
    </w:p>
    <w:p>
      <w:pPr>
        <w:pStyle w:val="MiscClose"/>
      </w:pPr>
      <w:r>
        <w:t xml:space="preserve">    ”.</w:t>
      </w:r>
    </w:p>
    <w:p>
      <w:pPr>
        <w:pStyle w:val="nzSubsection"/>
      </w:pPr>
      <w:r>
        <w:tab/>
        <w:t>(2)</w:t>
      </w:r>
      <w:r>
        <w:tab/>
        <w:t xml:space="preserve">After section 8(4) the following subsection is inserted — </w:t>
      </w:r>
    </w:p>
    <w:p>
      <w:pPr>
        <w:pStyle w:val="MiscOpen"/>
        <w:ind w:left="600"/>
      </w:pPr>
      <w:r>
        <w:t xml:space="preserve">“    </w:t>
      </w:r>
    </w:p>
    <w:p>
      <w:pPr>
        <w:pStyle w:val="nzSubsection"/>
      </w:pPr>
      <w:r>
        <w:tab/>
        <w:t>(5)</w:t>
      </w:r>
      <w:r>
        <w:tab/>
        <w:t xml:space="preserve">For the purposes of this Act — </w:t>
      </w:r>
    </w:p>
    <w:p>
      <w:pPr>
        <w:pStyle w:val="nzIndenta"/>
      </w:pPr>
      <w:r>
        <w:tab/>
        <w:t>(a)</w:t>
      </w:r>
      <w:r>
        <w:tab/>
        <w:t>a prospecting licence has retention status if an approval under section 54 has effect in relation to the licence; and</w:t>
      </w:r>
    </w:p>
    <w:p>
      <w:pPr>
        <w:pStyle w:val="nzIndenta"/>
      </w:pPr>
      <w:r>
        <w:tab/>
        <w:t>(b)</w:t>
      </w:r>
      <w:r>
        <w:tab/>
        <w:t>an exploration licence has retention status if an approval under section 69B has effect in relation to the licence.</w:t>
      </w:r>
    </w:p>
    <w:p>
      <w:pPr>
        <w:pStyle w:val="MiscClose"/>
      </w:pPr>
      <w:r>
        <w:t xml:space="preserve">    ”.</w:t>
      </w:r>
    </w:p>
    <w:p>
      <w:pPr>
        <w:pStyle w:val="nzHeading5"/>
      </w:pPr>
      <w:bookmarkStart w:id="1851" w:name="_Toc87061472"/>
      <w:r>
        <w:rPr>
          <w:rStyle w:val="CharSectno"/>
        </w:rPr>
        <w:t>21</w:t>
      </w:r>
      <w:r>
        <w:t>.</w:t>
      </w:r>
      <w:r>
        <w:tab/>
        <w:t>Section 50 amended</w:t>
      </w:r>
      <w:bookmarkEnd w:id="1851"/>
    </w:p>
    <w:p>
      <w:pPr>
        <w:pStyle w:val="nzSubsection"/>
      </w:pPr>
      <w:r>
        <w:tab/>
        <w:t>(1)</w:t>
      </w:r>
      <w:r>
        <w:tab/>
        <w:t>Section 50 is amended by inserting before “During” the subsection designation “(1)”.</w:t>
      </w:r>
    </w:p>
    <w:p>
      <w:pPr>
        <w:pStyle w:val="nzSubsection"/>
      </w:pPr>
      <w:r>
        <w:tab/>
        <w:t>(2)</w:t>
      </w:r>
      <w:r>
        <w:tab/>
        <w:t xml:space="preserve">At the end of section 50 the following subsection is inserted — </w:t>
      </w:r>
    </w:p>
    <w:p>
      <w:pPr>
        <w:pStyle w:val="MiscOpen"/>
        <w:ind w:left="600"/>
      </w:pPr>
      <w:r>
        <w:t xml:space="preserve">“    </w:t>
      </w:r>
    </w:p>
    <w:p>
      <w:pPr>
        <w:pStyle w:val="nzSubsection"/>
      </w:pPr>
      <w:r>
        <w:tab/>
        <w:t>(2)</w:t>
      </w:r>
      <w:r>
        <w:tab/>
        <w:t xml:space="preserve">In the case of a prospecting licence that has retention status, expenditure conditions prescribed for the purposes of subsection (1) — </w:t>
      </w:r>
    </w:p>
    <w:p>
      <w:pPr>
        <w:pStyle w:val="nzIndenta"/>
      </w:pPr>
      <w:r>
        <w:tab/>
        <w:t>(a)</w:t>
      </w:r>
      <w:r>
        <w:tab/>
        <w:t>shall provide for a reduction calculated in the prescribed manner of the amount of expenditure required during the year of the term of the licence in which retention status is approved; and</w:t>
      </w:r>
    </w:p>
    <w:p>
      <w:pPr>
        <w:pStyle w:val="nzIndenta"/>
      </w:pPr>
      <w:r>
        <w:tab/>
        <w:t>(b)</w:t>
      </w:r>
      <w:r>
        <w:tab/>
        <w:t>shall not require expenditure during any subsequent year of the term of the licence.</w:t>
      </w:r>
    </w:p>
    <w:p>
      <w:pPr>
        <w:pStyle w:val="MiscClose"/>
      </w:pPr>
      <w:r>
        <w:t xml:space="preserve">    ”.</w:t>
      </w:r>
    </w:p>
    <w:p>
      <w:pPr>
        <w:pStyle w:val="nzHeading5"/>
      </w:pPr>
      <w:bookmarkStart w:id="1852" w:name="_Toc87061473"/>
      <w:r>
        <w:rPr>
          <w:rStyle w:val="CharSectno"/>
        </w:rPr>
        <w:t>22</w:t>
      </w:r>
      <w:r>
        <w:t>.</w:t>
      </w:r>
      <w:r>
        <w:tab/>
        <w:t>Sections 53 to 55B inserted</w:t>
      </w:r>
      <w:bookmarkEnd w:id="1852"/>
    </w:p>
    <w:p>
      <w:pPr>
        <w:pStyle w:val="nzSubsection"/>
      </w:pPr>
      <w:r>
        <w:tab/>
      </w:r>
      <w:r>
        <w:tab/>
        <w:t xml:space="preserve">After section 52 the following sections are inserted — </w:t>
      </w:r>
    </w:p>
    <w:p>
      <w:pPr>
        <w:pStyle w:val="MiscOpen"/>
      </w:pPr>
      <w:r>
        <w:t xml:space="preserve">“    </w:t>
      </w:r>
    </w:p>
    <w:p>
      <w:pPr>
        <w:pStyle w:val="nzHeading5"/>
      </w:pPr>
      <w:r>
        <w:t>53.</w:t>
      </w:r>
      <w:r>
        <w:tab/>
        <w:t>Application for retention status</w:t>
      </w:r>
    </w:p>
    <w:p>
      <w:pPr>
        <w:pStyle w:val="nzSubsection"/>
      </w:pPr>
      <w:r>
        <w:tab/>
        <w:t>(1)</w:t>
      </w:r>
      <w:r>
        <w:tab/>
        <w:t xml:space="preserve">In this section — </w:t>
      </w:r>
    </w:p>
    <w:p>
      <w:pPr>
        <w:pStyle w:val="nzDefstart"/>
      </w:pPr>
      <w:r>
        <w:rPr>
          <w:b/>
        </w:rPr>
        <w:tab/>
        <w:t>“</w:t>
      </w:r>
      <w:r>
        <w:rPr>
          <w:rStyle w:val="CharDefText"/>
        </w:rPr>
        <w:t>prospecting licence</w:t>
      </w:r>
      <w:r>
        <w:rPr>
          <w:b/>
        </w:rPr>
        <w:t>”</w:t>
      </w:r>
      <w:r>
        <w:t xml:space="preserve"> does not include a prospecting licence that is a primary tenement for the purposes of Division 2A.</w:t>
      </w:r>
    </w:p>
    <w:p>
      <w:pPr>
        <w:pStyle w:val="nzSubsection"/>
      </w:pPr>
      <w:r>
        <w:tab/>
        <w:t>(2)</w:t>
      </w:r>
      <w:r>
        <w:tab/>
        <w:t>The holder of a prospecting licence may apply to the Minister for approval of retention status under section 54.</w:t>
      </w:r>
    </w:p>
    <w:p>
      <w:pPr>
        <w:pStyle w:val="nzSubsection"/>
      </w:pPr>
      <w:r>
        <w:tab/>
        <w:t>(3)</w:t>
      </w:r>
      <w:r>
        <w:tab/>
        <w:t xml:space="preserve">An application under subsection (2) — </w:t>
      </w:r>
    </w:p>
    <w:p>
      <w:pPr>
        <w:pStyle w:val="nzIndenta"/>
      </w:pPr>
      <w:r>
        <w:tab/>
        <w:t>(a)</w:t>
      </w:r>
      <w:r>
        <w:tab/>
        <w:t>shall be in writing;</w:t>
      </w:r>
    </w:p>
    <w:p>
      <w:pPr>
        <w:pStyle w:val="nzIndenta"/>
      </w:pPr>
      <w:r>
        <w:tab/>
        <w:t>(b)</w:t>
      </w:r>
      <w:r>
        <w:tab/>
        <w:t>shall be made in the prescribed manner;</w:t>
      </w:r>
    </w:p>
    <w:p>
      <w:pPr>
        <w:pStyle w:val="nzIndenta"/>
      </w:pPr>
      <w:r>
        <w:tab/>
        <w:t>(c)</w:t>
      </w:r>
      <w:r>
        <w:tab/>
        <w:t>shall contain the prescribed information;</w:t>
      </w:r>
    </w:p>
    <w:p>
      <w:pPr>
        <w:pStyle w:val="nzIndenta"/>
      </w:pPr>
      <w:r>
        <w:tab/>
        <w:t>(d)</w:t>
      </w:r>
      <w:r>
        <w:tab/>
        <w:t>shall be accompanied by any map, statement or other information required by the regulations; and</w:t>
      </w:r>
    </w:p>
    <w:p>
      <w:pPr>
        <w:pStyle w:val="nzIndenta"/>
      </w:pPr>
      <w:r>
        <w:tab/>
        <w:t>(e)</w:t>
      </w:r>
      <w:r>
        <w:tab/>
        <w:t>shall be accompanied by the prescribed application fee.</w:t>
      </w:r>
    </w:p>
    <w:p>
      <w:pPr>
        <w:pStyle w:val="nzSubsection"/>
      </w:pPr>
      <w:r>
        <w:tab/>
        <w:t>(4)</w:t>
      </w:r>
      <w:r>
        <w:tab/>
        <w:t>For the purposes of subsection (3)(d), but without limiting section 162(5), the regulations may require a statement or other information to be in the form of a statutory declaration.</w:t>
      </w:r>
    </w:p>
    <w:p>
      <w:pPr>
        <w:pStyle w:val="nz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nzHeading5"/>
      </w:pPr>
      <w:r>
        <w:t>54.</w:t>
      </w:r>
      <w:r>
        <w:tab/>
        <w:t>Approval of retention status</w:t>
      </w:r>
    </w:p>
    <w:p>
      <w:pPr>
        <w:pStyle w:val="nzSubsection"/>
      </w:pPr>
      <w:r>
        <w:tab/>
        <w:t>(1)</w:t>
      </w:r>
      <w:r>
        <w:tab/>
        <w:t xml:space="preserve">The Minister may approve retention status for the whole or any part of the land the subject of a prospecting licence if satisfied that — </w:t>
      </w:r>
    </w:p>
    <w:p>
      <w:pPr>
        <w:pStyle w:val="nzIndenta"/>
      </w:pPr>
      <w:r>
        <w:tab/>
        <w:t>(a)</w:t>
      </w:r>
      <w:r>
        <w:tab/>
        <w:t>there is an identified mineral resource located in, on or under that land; and</w:t>
      </w:r>
    </w:p>
    <w:p>
      <w:pPr>
        <w:pStyle w:val="nzIndenta"/>
      </w:pPr>
      <w:r>
        <w:tab/>
        <w:t>(b)</w:t>
      </w:r>
      <w:r>
        <w:tab/>
        <w:t xml:space="preserve">the mining of that identified mineral resource is impracticable because — </w:t>
      </w:r>
    </w:p>
    <w:p>
      <w:pPr>
        <w:pStyle w:val="nzIndenti"/>
      </w:pPr>
      <w:r>
        <w:tab/>
        <w:t>(i)</w:t>
      </w:r>
      <w:r>
        <w:tab/>
        <w:t>the resource is uneconomic or subject to marketing problems although the resource may reasonably be expected to become economic or marketable in the future;</w:t>
      </w:r>
    </w:p>
    <w:p>
      <w:pPr>
        <w:pStyle w:val="nzIndenti"/>
      </w:pPr>
      <w:r>
        <w:tab/>
        <w:t>(ii)</w:t>
      </w:r>
      <w:r>
        <w:tab/>
        <w:t>the resource is required to sustain the future operations of an existing or proposed mining operation; or</w:t>
      </w:r>
    </w:p>
    <w:p>
      <w:pPr>
        <w:pStyle w:val="nzIndenti"/>
      </w:pPr>
      <w:r>
        <w:tab/>
        <w:t>(iii)</w:t>
      </w:r>
      <w:r>
        <w:tab/>
        <w:t>there are existing political, environmental or other difficulties in obtaining requisite approvals.</w:t>
      </w:r>
    </w:p>
    <w:p>
      <w:pPr>
        <w:pStyle w:val="nzSubsection"/>
      </w:pPr>
      <w:r>
        <w:tab/>
        <w:t>(2)</w:t>
      </w:r>
      <w:r>
        <w:tab/>
        <w:t>An approval shall be in writing.</w:t>
      </w:r>
    </w:p>
    <w:p>
      <w:pPr>
        <w:pStyle w:val="nzSubsection"/>
      </w:pPr>
      <w:r>
        <w:tab/>
        <w:t>(3)</w:t>
      </w:r>
      <w:r>
        <w:tab/>
        <w:t xml:space="preserve">An approval takes effect on the day on which notice of the approval is published in the </w:t>
      </w:r>
      <w:r>
        <w:rPr>
          <w:i/>
        </w:rPr>
        <w:t>Gazette</w:t>
      </w:r>
      <w:r>
        <w:t xml:space="preserve"> or on a later day specified in the notice.</w:t>
      </w:r>
    </w:p>
    <w:p>
      <w:pPr>
        <w:pStyle w:val="nzSubsection"/>
      </w:pPr>
      <w:r>
        <w:tab/>
        <w:t>(4)</w:t>
      </w:r>
      <w:r>
        <w:tab/>
        <w:t xml:space="preserve">The area of land to which an approval applies shall be an area that, in the opinion of the Minister, is sufficient to include — </w:t>
      </w:r>
    </w:p>
    <w:p>
      <w:pPr>
        <w:pStyle w:val="nzIndenta"/>
      </w:pPr>
      <w:r>
        <w:tab/>
        <w:t>(a)</w:t>
      </w:r>
      <w:r>
        <w:tab/>
        <w:t>the land in, on or under which the identified mineral resource is located; and</w:t>
      </w:r>
    </w:p>
    <w:p>
      <w:pPr>
        <w:pStyle w:val="nzIndenta"/>
      </w:pPr>
      <w:r>
        <w:tab/>
        <w:t>(b)</w:t>
      </w:r>
      <w:r>
        <w:tab/>
        <w:t>such other land as may be required for future mining operations in respect of that identified mineral resource.</w:t>
      </w:r>
    </w:p>
    <w:p>
      <w:pPr>
        <w:pStyle w:val="nzSubsection"/>
      </w:pPr>
      <w:r>
        <w:tab/>
        <w:t>(5)</w:t>
      </w:r>
      <w:r>
        <w:tab/>
        <w:t>The area of land to which an approval applies may be less than the area of land in respect of which the approval was sought.</w:t>
      </w:r>
    </w:p>
    <w:p>
      <w:pPr>
        <w:pStyle w:val="nz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nz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nzHeading5"/>
      </w:pPr>
      <w:r>
        <w:t>55.</w:t>
      </w:r>
      <w:r>
        <w:tab/>
        <w:t>Consultation with other Ministers</w:t>
      </w:r>
    </w:p>
    <w:p>
      <w:pPr>
        <w:pStyle w:val="nzSubsection"/>
      </w:pPr>
      <w:r>
        <w:tab/>
        <w:t>(1)</w:t>
      </w:r>
      <w:r>
        <w:tab/>
        <w:t>Before approving retention status under section 54 for land of a class referred to in section 24(1), the Minister shall consult and obtain the recommendations of the relevant responsible Minister under section 24(8).</w:t>
      </w:r>
    </w:p>
    <w:p>
      <w:pPr>
        <w:pStyle w:val="nz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nz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nzSubsection"/>
      </w:pPr>
      <w:r>
        <w:tab/>
        <w:t>(4)</w:t>
      </w:r>
      <w:r>
        <w:tab/>
        <w:t>Before approving retention status under section 54 for land of the class referred to in section 25(1)(d), the Minister shall consult and obtain the recommendations of the other Minister referred to in section 25(3)(b).</w:t>
      </w:r>
    </w:p>
    <w:p>
      <w:pPr>
        <w:pStyle w:val="nzHeading5"/>
      </w:pPr>
      <w:r>
        <w:t>55A.</w:t>
      </w:r>
      <w:r>
        <w:tab/>
        <w:t>Programme of work</w:t>
      </w:r>
    </w:p>
    <w:p>
      <w:pPr>
        <w:pStyle w:val="nz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nz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nzSubsection"/>
      </w:pPr>
      <w:r>
        <w:tab/>
        <w:t>(3)</w:t>
      </w:r>
      <w:r>
        <w:tab/>
        <w:t>A condition imposed under subsection (1) may be cancelled or varied by the Minister at any time.</w:t>
      </w:r>
    </w:p>
    <w:p>
      <w:pPr>
        <w:pStyle w:val="nzSubsection"/>
      </w:pPr>
      <w:r>
        <w:tab/>
        <w:t>(4)</w:t>
      </w:r>
      <w:r>
        <w:tab/>
        <w:t xml:space="preserve">A condition imposed under subsection (1) — </w:t>
      </w:r>
    </w:p>
    <w:p>
      <w:pPr>
        <w:pStyle w:val="nzIndenta"/>
      </w:pPr>
      <w:r>
        <w:tab/>
        <w:t>(a)</w:t>
      </w:r>
      <w:r>
        <w:tab/>
        <w:t>may be endorsed on the prospecting licence, for which purpose the holder of the licence shall produce the licence on demand; and</w:t>
      </w:r>
    </w:p>
    <w:p>
      <w:pPr>
        <w:pStyle w:val="nzIndenta"/>
      </w:pPr>
      <w:r>
        <w:tab/>
        <w:t>(b)</w:t>
      </w:r>
      <w:r>
        <w:tab/>
        <w:t>whether or not so endorsed, on notice of the imposition of the condition being given in writing to the holder of the licence shall for all purposes have effect as a condition to which the licence is subject.</w:t>
      </w:r>
    </w:p>
    <w:p>
      <w:pPr>
        <w:pStyle w:val="nzSubsection"/>
      </w:pPr>
      <w:r>
        <w:tab/>
        <w:t>(5)</w:t>
      </w:r>
      <w:r>
        <w:tab/>
        <w:t xml:space="preserve">In subsection (1) — </w:t>
      </w:r>
    </w:p>
    <w:p>
      <w:pPr>
        <w:pStyle w:val="nzDefstart"/>
      </w:pPr>
      <w:r>
        <w:rPr>
          <w:b/>
        </w:rPr>
        <w:tab/>
        <w:t>“</w:t>
      </w:r>
      <w:r>
        <w:rPr>
          <w:rStyle w:val="CharDefText"/>
        </w:rPr>
        <w:t>specified</w:t>
      </w:r>
      <w:r>
        <w:rPr>
          <w:b/>
        </w:rPr>
        <w:t>”</w:t>
      </w:r>
      <w:r>
        <w:t xml:space="preserve"> means specified in writing by the Minister.</w:t>
      </w:r>
    </w:p>
    <w:p>
      <w:pPr>
        <w:pStyle w:val="nzHeading5"/>
      </w:pPr>
      <w:r>
        <w:t>55B.</w:t>
      </w:r>
      <w:r>
        <w:tab/>
        <w:t>Holder of prospecting licence with retention status may be required to apply for mining lease</w:t>
      </w:r>
    </w:p>
    <w:p>
      <w:pPr>
        <w:pStyle w:val="nz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nzSubsection"/>
      </w:pPr>
      <w:r>
        <w:tab/>
        <w:t>(2)</w:t>
      </w:r>
      <w:r>
        <w:tab/>
        <w:t xml:space="preserve">Where — </w:t>
      </w:r>
    </w:p>
    <w:p>
      <w:pPr>
        <w:pStyle w:val="nzIndenta"/>
      </w:pPr>
      <w:r>
        <w:tab/>
        <w:t>(a)</w:t>
      </w:r>
      <w:r>
        <w:tab/>
        <w:t>the holder of a prospecting licence fails to show cause within the time specified in the notice referred to in subsection (1); or</w:t>
      </w:r>
    </w:p>
    <w:p>
      <w:pPr>
        <w:pStyle w:val="nzIndenta"/>
      </w:pPr>
      <w:r>
        <w:tab/>
        <w:t>(b)</w:t>
      </w:r>
      <w:r>
        <w:tab/>
        <w:t>the Minister is of the opinion that the holder of a prospecting licence has shown insufficient cause,</w:t>
      </w:r>
    </w:p>
    <w:p>
      <w:pPr>
        <w:pStyle w:val="nz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MiscClose"/>
      </w:pPr>
      <w:r>
        <w:t xml:space="preserve">    ”.</w:t>
      </w:r>
    </w:p>
    <w:p>
      <w:pPr>
        <w:pStyle w:val="nzHeading5"/>
      </w:pPr>
      <w:bookmarkStart w:id="1853" w:name="_Toc87061474"/>
      <w:r>
        <w:rPr>
          <w:rStyle w:val="CharSectno"/>
        </w:rPr>
        <w:t>23</w:t>
      </w:r>
      <w:r>
        <w:t>.</w:t>
      </w:r>
      <w:r>
        <w:tab/>
        <w:t>Section 62 amended</w:t>
      </w:r>
      <w:bookmarkEnd w:id="1853"/>
    </w:p>
    <w:p>
      <w:pPr>
        <w:pStyle w:val="nzSubsection"/>
      </w:pPr>
      <w:r>
        <w:tab/>
        <w:t>(1)</w:t>
      </w:r>
      <w:r>
        <w:tab/>
        <w:t>Section 62 is amended by inserting before “During” the subsection designation “(1)”.</w:t>
      </w:r>
    </w:p>
    <w:p>
      <w:pPr>
        <w:pStyle w:val="nzSubsection"/>
      </w:pPr>
      <w:r>
        <w:tab/>
        <w:t>(2)</w:t>
      </w:r>
      <w:r>
        <w:tab/>
        <w:t xml:space="preserve">At the end of section 62 the following subsection is inserted — </w:t>
      </w:r>
    </w:p>
    <w:p>
      <w:pPr>
        <w:pStyle w:val="MiscOpen"/>
        <w:ind w:left="600"/>
      </w:pPr>
      <w:r>
        <w:t xml:space="preserve">“    </w:t>
      </w:r>
    </w:p>
    <w:p>
      <w:pPr>
        <w:pStyle w:val="nzSubsection"/>
      </w:pPr>
      <w:r>
        <w:tab/>
        <w:t>(2)</w:t>
      </w:r>
      <w:r>
        <w:tab/>
        <w:t xml:space="preserve">In the case of an exploration licence that has retention status, expenditure conditions prescribed for the purposes of subsection (1) — </w:t>
      </w:r>
    </w:p>
    <w:p>
      <w:pPr>
        <w:pStyle w:val="nzIndenta"/>
      </w:pPr>
      <w:r>
        <w:tab/>
        <w:t>(a)</w:t>
      </w:r>
      <w:r>
        <w:tab/>
        <w:t>are to provide for a reduction calculated in the prescribed manner of the amount of expenditure required during the year of the term of the licence in which retention status is approved; and</w:t>
      </w:r>
    </w:p>
    <w:p>
      <w:pPr>
        <w:pStyle w:val="nzIndenta"/>
      </w:pPr>
      <w:r>
        <w:tab/>
        <w:t>(b)</w:t>
      </w:r>
      <w:r>
        <w:tab/>
        <w:t>are not to require expenditure during any subsequent year of the term of the licence.</w:t>
      </w:r>
    </w:p>
    <w:p>
      <w:pPr>
        <w:pStyle w:val="MiscClose"/>
      </w:pPr>
      <w:r>
        <w:t xml:space="preserve">    ”.</w:t>
      </w:r>
    </w:p>
    <w:p>
      <w:pPr>
        <w:pStyle w:val="nzHeading5"/>
      </w:pPr>
      <w:bookmarkStart w:id="1854" w:name="_Toc87061475"/>
      <w:r>
        <w:rPr>
          <w:rStyle w:val="CharSectno"/>
        </w:rPr>
        <w:t>24</w:t>
      </w:r>
      <w:r>
        <w:t>.</w:t>
      </w:r>
      <w:r>
        <w:tab/>
        <w:t>Sections 69A to 69E inserted</w:t>
      </w:r>
      <w:bookmarkEnd w:id="1854"/>
    </w:p>
    <w:p>
      <w:pPr>
        <w:pStyle w:val="nzSubsection"/>
      </w:pPr>
      <w:r>
        <w:tab/>
      </w:r>
      <w:r>
        <w:tab/>
        <w:t xml:space="preserve">After section 69 the following sections are inserted — </w:t>
      </w:r>
    </w:p>
    <w:p>
      <w:pPr>
        <w:pStyle w:val="MiscOpen"/>
      </w:pPr>
      <w:r>
        <w:t xml:space="preserve">“    </w:t>
      </w:r>
    </w:p>
    <w:p>
      <w:pPr>
        <w:pStyle w:val="nzHeading5"/>
      </w:pPr>
      <w:r>
        <w:t>69A.</w:t>
      </w:r>
      <w:r>
        <w:tab/>
        <w:t>Application for retention status</w:t>
      </w:r>
    </w:p>
    <w:p>
      <w:pPr>
        <w:pStyle w:val="nzSubsection"/>
      </w:pPr>
      <w:r>
        <w:tab/>
        <w:t>(1)</w:t>
      </w:r>
      <w:r>
        <w:tab/>
        <w:t xml:space="preserve">In this section — </w:t>
      </w:r>
    </w:p>
    <w:p>
      <w:pPr>
        <w:pStyle w:val="nzDefstart"/>
      </w:pPr>
      <w:r>
        <w:rPr>
          <w:b/>
        </w:rPr>
        <w:tab/>
        <w:t>“</w:t>
      </w:r>
      <w:r>
        <w:rPr>
          <w:rStyle w:val="CharDefText"/>
        </w:rPr>
        <w:t>exploration licence</w:t>
      </w:r>
      <w:r>
        <w:rPr>
          <w:b/>
        </w:rPr>
        <w:t>”</w:t>
      </w:r>
      <w:r>
        <w:t xml:space="preserve"> does not include an exploration licence that is a primary tenement for the purposes of Division 2A.</w:t>
      </w:r>
    </w:p>
    <w:p>
      <w:pPr>
        <w:pStyle w:val="nzSubsection"/>
      </w:pPr>
      <w:r>
        <w:tab/>
        <w:t>(2)</w:t>
      </w:r>
      <w:r>
        <w:tab/>
        <w:t>The holder of an exploration licence may apply to the Minister for approval of retention status under section 69B.</w:t>
      </w:r>
    </w:p>
    <w:p>
      <w:pPr>
        <w:pStyle w:val="nzSubsection"/>
      </w:pPr>
      <w:r>
        <w:tab/>
        <w:t>(3)</w:t>
      </w:r>
      <w:r>
        <w:tab/>
        <w:t xml:space="preserve">An application under subsection (2) — </w:t>
      </w:r>
    </w:p>
    <w:p>
      <w:pPr>
        <w:pStyle w:val="nzIndenta"/>
      </w:pPr>
      <w:r>
        <w:tab/>
        <w:t>(a)</w:t>
      </w:r>
      <w:r>
        <w:tab/>
        <w:t>shall be in writing;</w:t>
      </w:r>
    </w:p>
    <w:p>
      <w:pPr>
        <w:pStyle w:val="nzIndenta"/>
      </w:pPr>
      <w:r>
        <w:tab/>
        <w:t>(b)</w:t>
      </w:r>
      <w:r>
        <w:tab/>
        <w:t>shall be made in the prescribed manner;</w:t>
      </w:r>
    </w:p>
    <w:p>
      <w:pPr>
        <w:pStyle w:val="nzIndenta"/>
      </w:pPr>
      <w:r>
        <w:tab/>
        <w:t>(c)</w:t>
      </w:r>
      <w:r>
        <w:tab/>
        <w:t>shall contain the prescribed information;</w:t>
      </w:r>
    </w:p>
    <w:p>
      <w:pPr>
        <w:pStyle w:val="nzIndenta"/>
      </w:pPr>
      <w:r>
        <w:tab/>
        <w:t>(d)</w:t>
      </w:r>
      <w:r>
        <w:tab/>
        <w:t>shall be accompanied by any map, statement or other information required by the regulations; and</w:t>
      </w:r>
    </w:p>
    <w:p>
      <w:pPr>
        <w:pStyle w:val="nzIndenta"/>
      </w:pPr>
      <w:r>
        <w:tab/>
        <w:t>(e)</w:t>
      </w:r>
      <w:r>
        <w:tab/>
        <w:t>shall be accompanied by the prescribed application fee.</w:t>
      </w:r>
    </w:p>
    <w:p>
      <w:pPr>
        <w:pStyle w:val="nzSubsection"/>
      </w:pPr>
      <w:r>
        <w:tab/>
        <w:t>(4)</w:t>
      </w:r>
      <w:r>
        <w:tab/>
        <w:t>For the purposes of subsection (3)(d), but without limiting section 162(5), the regulations may require a statement or other information to be in the form of a statutory declaration.</w:t>
      </w:r>
    </w:p>
    <w:p>
      <w:pPr>
        <w:pStyle w:val="nz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nzHeading5"/>
      </w:pPr>
      <w:r>
        <w:t>69B.</w:t>
      </w:r>
      <w:r>
        <w:tab/>
        <w:t>Approval of retention status</w:t>
      </w:r>
    </w:p>
    <w:p>
      <w:pPr>
        <w:pStyle w:val="nzSubsection"/>
      </w:pPr>
      <w:r>
        <w:tab/>
        <w:t>(1)</w:t>
      </w:r>
      <w:r>
        <w:tab/>
        <w:t xml:space="preserve">The Minister may approve retention status for the whole or any part of the land the subject of an exploration licence if satisfied that — </w:t>
      </w:r>
    </w:p>
    <w:p>
      <w:pPr>
        <w:pStyle w:val="nzIndenta"/>
      </w:pPr>
      <w:r>
        <w:tab/>
        <w:t>(a)</w:t>
      </w:r>
      <w:r>
        <w:tab/>
        <w:t>there is an identified mineral resource located in, on or under that land; and</w:t>
      </w:r>
    </w:p>
    <w:p>
      <w:pPr>
        <w:pStyle w:val="nzIndenta"/>
      </w:pPr>
      <w:r>
        <w:tab/>
        <w:t>(b)</w:t>
      </w:r>
      <w:r>
        <w:tab/>
        <w:t xml:space="preserve">the mining of that identified mineral resource is impracticable because — </w:t>
      </w:r>
    </w:p>
    <w:p>
      <w:pPr>
        <w:pStyle w:val="nzIndenti"/>
      </w:pPr>
      <w:r>
        <w:tab/>
        <w:t>(i)</w:t>
      </w:r>
      <w:r>
        <w:tab/>
        <w:t>the resource is uneconomic or subject to marketing problems although the resource may reasonably be expected to become economic or marketable in the future;</w:t>
      </w:r>
    </w:p>
    <w:p>
      <w:pPr>
        <w:pStyle w:val="nzIndenti"/>
      </w:pPr>
      <w:r>
        <w:tab/>
        <w:t>(ii)</w:t>
      </w:r>
      <w:r>
        <w:tab/>
        <w:t>the resource is required to sustain the future operations of an existing or proposed mining operation; or</w:t>
      </w:r>
    </w:p>
    <w:p>
      <w:pPr>
        <w:pStyle w:val="nzIndenti"/>
      </w:pPr>
      <w:r>
        <w:tab/>
        <w:t>(iii)</w:t>
      </w:r>
      <w:r>
        <w:tab/>
        <w:t>there are existing political, environmental or other difficulties in obtaining requisite approvals.</w:t>
      </w:r>
    </w:p>
    <w:p>
      <w:pPr>
        <w:pStyle w:val="nzSubsection"/>
      </w:pPr>
      <w:r>
        <w:tab/>
        <w:t>(2)</w:t>
      </w:r>
      <w:r>
        <w:tab/>
        <w:t>An approval shall be in writing.</w:t>
      </w:r>
    </w:p>
    <w:p>
      <w:pPr>
        <w:pStyle w:val="nzSubsection"/>
      </w:pPr>
      <w:r>
        <w:tab/>
        <w:t>(3)</w:t>
      </w:r>
      <w:r>
        <w:tab/>
        <w:t xml:space="preserve">An approval takes effect on the day on which notice of the approval is published in the </w:t>
      </w:r>
      <w:r>
        <w:rPr>
          <w:i/>
        </w:rPr>
        <w:t>Gazette</w:t>
      </w:r>
      <w:r>
        <w:t xml:space="preserve"> or on a later day specified in the notice.</w:t>
      </w:r>
    </w:p>
    <w:p>
      <w:pPr>
        <w:pStyle w:val="nzSubsection"/>
      </w:pPr>
      <w:r>
        <w:tab/>
        <w:t>(4)</w:t>
      </w:r>
      <w:r>
        <w:tab/>
        <w:t xml:space="preserve">The area of land to which an approval applies — </w:t>
      </w:r>
    </w:p>
    <w:p>
      <w:pPr>
        <w:pStyle w:val="nzIndenta"/>
      </w:pPr>
      <w:r>
        <w:tab/>
        <w:t>(a)</w:t>
      </w:r>
      <w:r>
        <w:tab/>
        <w:t>shall be a block or blocks; and</w:t>
      </w:r>
    </w:p>
    <w:p>
      <w:pPr>
        <w:pStyle w:val="nzIndenta"/>
      </w:pPr>
      <w:r>
        <w:tab/>
        <w:t>(b)</w:t>
      </w:r>
      <w:r>
        <w:tab/>
        <w:t xml:space="preserve">shall be an area that, in the opinion of the Minister, is sufficient to include — </w:t>
      </w:r>
    </w:p>
    <w:p>
      <w:pPr>
        <w:pStyle w:val="nzIndenti"/>
      </w:pPr>
      <w:r>
        <w:tab/>
        <w:t>(i)</w:t>
      </w:r>
      <w:r>
        <w:tab/>
        <w:t>the land in, on or under which the identified mineral resource is located; and</w:t>
      </w:r>
    </w:p>
    <w:p>
      <w:pPr>
        <w:pStyle w:val="nzIndenti"/>
      </w:pPr>
      <w:r>
        <w:tab/>
        <w:t>(ii)</w:t>
      </w:r>
      <w:r>
        <w:tab/>
        <w:t>such other land as may be required for future mining operations in respect of that identified mineral resource.</w:t>
      </w:r>
    </w:p>
    <w:p>
      <w:pPr>
        <w:pStyle w:val="nzSubsection"/>
      </w:pPr>
      <w:r>
        <w:tab/>
        <w:t>(5)</w:t>
      </w:r>
      <w:r>
        <w:tab/>
        <w:t>The area of land to which an approval applies may be less than the area of land in respect of which the approval was sought.</w:t>
      </w:r>
    </w:p>
    <w:p>
      <w:pPr>
        <w:pStyle w:val="nz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nzHeading5"/>
      </w:pPr>
      <w:r>
        <w:t>69C.</w:t>
      </w:r>
      <w:r>
        <w:tab/>
        <w:t>Consultation with other Ministers</w:t>
      </w:r>
    </w:p>
    <w:p>
      <w:pPr>
        <w:pStyle w:val="nzSubsection"/>
      </w:pPr>
      <w:r>
        <w:tab/>
        <w:t>(1)</w:t>
      </w:r>
      <w:r>
        <w:tab/>
        <w:t>Before approving retention status under section 69B for land of a class referred to in section 24(1), the Minister shall consult and obtain the recommendations of the relevant responsible Minister under section 24(8).</w:t>
      </w:r>
    </w:p>
    <w:p>
      <w:pPr>
        <w:pStyle w:val="nzSubsection"/>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nz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nz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nzHeading5"/>
      </w:pPr>
      <w:r>
        <w:t>69D.</w:t>
      </w:r>
      <w:r>
        <w:tab/>
        <w:t>Programme of work</w:t>
      </w:r>
    </w:p>
    <w:p>
      <w:pPr>
        <w:pStyle w:val="nz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nz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nzSubsection"/>
      </w:pPr>
      <w:r>
        <w:tab/>
        <w:t>(3)</w:t>
      </w:r>
      <w:r>
        <w:tab/>
        <w:t>A condition imposed under subsection (1) may be cancelled or varied by the Minister at any time.</w:t>
      </w:r>
    </w:p>
    <w:p>
      <w:pPr>
        <w:pStyle w:val="nzSubsection"/>
      </w:pPr>
      <w:r>
        <w:tab/>
        <w:t>(4)</w:t>
      </w:r>
      <w:r>
        <w:tab/>
        <w:t xml:space="preserve">A condition imposed under subsection (1) — </w:t>
      </w:r>
    </w:p>
    <w:p>
      <w:pPr>
        <w:pStyle w:val="nzIndenta"/>
      </w:pPr>
      <w:r>
        <w:tab/>
        <w:t>(a)</w:t>
      </w:r>
      <w:r>
        <w:tab/>
        <w:t>may be endorsed on the exploration licence, for which purpose the holder of the licence shall produce the licence on demand; and</w:t>
      </w:r>
    </w:p>
    <w:p>
      <w:pPr>
        <w:pStyle w:val="nzIndenta"/>
      </w:pPr>
      <w:r>
        <w:tab/>
        <w:t>(b)</w:t>
      </w:r>
      <w:r>
        <w:tab/>
        <w:t>whether or not so endorsed, on notice of the imposition of the condition being given in writing to the holder of the licence shall for all purposes have effect as a condition to which the licence is subject.</w:t>
      </w:r>
    </w:p>
    <w:p>
      <w:pPr>
        <w:pStyle w:val="nzSubsection"/>
      </w:pPr>
      <w:r>
        <w:tab/>
        <w:t>(5)</w:t>
      </w:r>
      <w:r>
        <w:tab/>
        <w:t xml:space="preserve">In subsection (1) — </w:t>
      </w:r>
    </w:p>
    <w:p>
      <w:pPr>
        <w:pStyle w:val="nzDefstart"/>
      </w:pPr>
      <w:r>
        <w:rPr>
          <w:b/>
        </w:rPr>
        <w:tab/>
        <w:t>“</w:t>
      </w:r>
      <w:r>
        <w:rPr>
          <w:rStyle w:val="CharDefText"/>
        </w:rPr>
        <w:t>specified</w:t>
      </w:r>
      <w:r>
        <w:rPr>
          <w:b/>
        </w:rPr>
        <w:t>”</w:t>
      </w:r>
      <w:r>
        <w:t xml:space="preserve"> means specified in writing by the Minister.</w:t>
      </w:r>
    </w:p>
    <w:p>
      <w:pPr>
        <w:pStyle w:val="nzHeading5"/>
      </w:pPr>
      <w:r>
        <w:t>69E.</w:t>
      </w:r>
      <w:r>
        <w:tab/>
        <w:t>Holder of exploration licence with retention status may be required to apply for mining lease</w:t>
      </w:r>
    </w:p>
    <w:p>
      <w:pPr>
        <w:pStyle w:val="nzSubsection"/>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nzSubsection"/>
      </w:pPr>
      <w:r>
        <w:tab/>
        <w:t>(2)</w:t>
      </w:r>
      <w:r>
        <w:tab/>
        <w:t xml:space="preserve">Where — </w:t>
      </w:r>
    </w:p>
    <w:p>
      <w:pPr>
        <w:pStyle w:val="nzIndenta"/>
      </w:pPr>
      <w:r>
        <w:tab/>
        <w:t>(a)</w:t>
      </w:r>
      <w:r>
        <w:tab/>
        <w:t>the holder of an exploration licence fails to show cause within the time specified in the notice referred to in subsection (1); or</w:t>
      </w:r>
    </w:p>
    <w:p>
      <w:pPr>
        <w:pStyle w:val="nzIndenta"/>
      </w:pPr>
      <w:r>
        <w:tab/>
        <w:t>(b)</w:t>
      </w:r>
      <w:r>
        <w:tab/>
        <w:t>the Minister is of the opinion that the holder of an exploration licence has shown insufficient cause,</w:t>
      </w:r>
    </w:p>
    <w:p>
      <w:pPr>
        <w:pStyle w:val="nzSubsection"/>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MiscClose"/>
      </w:pPr>
      <w:r>
        <w:t xml:space="preserve">    ”.</w:t>
      </w:r>
    </w:p>
    <w:p>
      <w:pPr>
        <w:pStyle w:val="nzHeading5"/>
      </w:pPr>
      <w:bookmarkStart w:id="1855" w:name="_Toc64964349"/>
      <w:bookmarkStart w:id="1856" w:name="_Toc87061476"/>
      <w:r>
        <w:rPr>
          <w:rStyle w:val="CharSectno"/>
        </w:rPr>
        <w:t>25</w:t>
      </w:r>
      <w:r>
        <w:t>.</w:t>
      </w:r>
      <w:r>
        <w:tab/>
        <w:t>Section 70A replaced</w:t>
      </w:r>
      <w:bookmarkEnd w:id="1855"/>
      <w:bookmarkEnd w:id="1856"/>
    </w:p>
    <w:p>
      <w:pPr>
        <w:pStyle w:val="nzSubsection"/>
      </w:pPr>
      <w:r>
        <w:tab/>
      </w:r>
      <w:r>
        <w:tab/>
        <w:t xml:space="preserve">Section 70A is repealed and the following section is inserted instead — </w:t>
      </w:r>
    </w:p>
    <w:p>
      <w:pPr>
        <w:pStyle w:val="MiscOpen"/>
      </w:pPr>
      <w:r>
        <w:t xml:space="preserve">“    </w:t>
      </w:r>
    </w:p>
    <w:p>
      <w:pPr>
        <w:pStyle w:val="nzHeading5"/>
      </w:pPr>
      <w:r>
        <w:t>70A.</w:t>
      </w:r>
      <w:r>
        <w:tab/>
        <w:t>Meaning of “primary tenement”</w:t>
      </w:r>
    </w:p>
    <w:p>
      <w:pPr>
        <w:pStyle w:val="nzSubsection"/>
      </w:pPr>
      <w:r>
        <w:tab/>
      </w:r>
      <w:r>
        <w:tab/>
        <w:t xml:space="preserve">In this Division — </w:t>
      </w:r>
    </w:p>
    <w:p>
      <w:pPr>
        <w:pStyle w:val="nzDefstart"/>
      </w:pPr>
      <w:r>
        <w:rPr>
          <w:b/>
        </w:rPr>
        <w:tab/>
        <w:t>“</w:t>
      </w:r>
      <w:r>
        <w:rPr>
          <w:rStyle w:val="CharDefText"/>
        </w:rPr>
        <w:t>primary tenement</w:t>
      </w:r>
      <w:r>
        <w:rPr>
          <w:b/>
        </w:rPr>
        <w:t>”</w:t>
      </w:r>
      <w:r>
        <w:t xml:space="preserve"> means — </w:t>
      </w:r>
    </w:p>
    <w:p>
      <w:pPr>
        <w:pStyle w:val="nzDefpara"/>
      </w:pPr>
      <w:r>
        <w:tab/>
        <w:t>(a)</w:t>
      </w:r>
      <w:r>
        <w:tab/>
        <w:t xml:space="preserve">a prospecting licence that — </w:t>
      </w:r>
    </w:p>
    <w:p>
      <w:pPr>
        <w:pStyle w:val="nzDefsubpara"/>
      </w:pPr>
      <w:r>
        <w:tab/>
        <w:t>(i)</w:t>
      </w:r>
      <w:r>
        <w:tab/>
        <w:t xml:space="preserve">is in force immediately before the commencement of section 25 of the </w:t>
      </w:r>
      <w:r>
        <w:rPr>
          <w:i/>
        </w:rPr>
        <w:t>Mining Amendment Act 2004</w:t>
      </w:r>
      <w:r>
        <w:t>; or</w:t>
      </w:r>
    </w:p>
    <w:p>
      <w:pPr>
        <w:pStyle w:val="nzDefsubpara"/>
      </w:pPr>
      <w:r>
        <w:tab/>
        <w:t>(ii)</w:t>
      </w:r>
      <w:r>
        <w:tab/>
        <w:t>is granted after that commencement in respect of an application made before that commencement;</w:t>
      </w:r>
    </w:p>
    <w:p>
      <w:pPr>
        <w:pStyle w:val="nzDefpara"/>
      </w:pPr>
      <w:r>
        <w:tab/>
        <w:t>(b)</w:t>
      </w:r>
      <w:r>
        <w:tab/>
        <w:t xml:space="preserve">an exploration licence that — </w:t>
      </w:r>
    </w:p>
    <w:p>
      <w:pPr>
        <w:pStyle w:val="nzDefsubpara"/>
      </w:pPr>
      <w:r>
        <w:tab/>
        <w:t>(i)</w:t>
      </w:r>
      <w:r>
        <w:tab/>
        <w:t xml:space="preserve">is in force immediately before the commencement of section 25 of the </w:t>
      </w:r>
      <w:r>
        <w:rPr>
          <w:i/>
        </w:rPr>
        <w:t>Mining Amendment Act 2004</w:t>
      </w:r>
      <w:r>
        <w:t>; or</w:t>
      </w:r>
    </w:p>
    <w:p>
      <w:pPr>
        <w:pStyle w:val="nzDefsubpara"/>
      </w:pPr>
      <w:r>
        <w:tab/>
        <w:t>(ii)</w:t>
      </w:r>
      <w:r>
        <w:tab/>
        <w:t>is granted after that commencement in respect of an application made before that commencement;</w:t>
      </w:r>
    </w:p>
    <w:p>
      <w:pPr>
        <w:pStyle w:val="nzDefpara"/>
      </w:pPr>
      <w:r>
        <w:tab/>
      </w:r>
      <w:r>
        <w:tab/>
        <w:t>or</w:t>
      </w:r>
    </w:p>
    <w:p>
      <w:pPr>
        <w:pStyle w:val="nzDefpara"/>
      </w:pPr>
      <w:r>
        <w:tab/>
        <w:t>(c)</w:t>
      </w:r>
      <w:r>
        <w:tab/>
        <w:t>a mining lease.</w:t>
      </w:r>
    </w:p>
    <w:p>
      <w:pPr>
        <w:pStyle w:val="MiscClose"/>
      </w:pPr>
      <w:bookmarkStart w:id="1857" w:name="_Toc73164212"/>
      <w:bookmarkStart w:id="1858" w:name="_Toc67302123"/>
      <w:bookmarkStart w:id="1859" w:name="_Toc67721794"/>
      <w:bookmarkStart w:id="1860" w:name="_Toc67722004"/>
      <w:bookmarkStart w:id="1861" w:name="_Toc67722250"/>
      <w:bookmarkStart w:id="1862" w:name="_Toc67724596"/>
      <w:bookmarkStart w:id="1863" w:name="_Toc67799506"/>
      <w:bookmarkStart w:id="1864" w:name="_Toc67806311"/>
      <w:bookmarkStart w:id="1865" w:name="_Toc67807133"/>
      <w:bookmarkStart w:id="1866" w:name="_Toc67808147"/>
      <w:bookmarkStart w:id="1867" w:name="_Toc67808424"/>
      <w:bookmarkStart w:id="1868" w:name="_Toc67809858"/>
      <w:bookmarkStart w:id="1869" w:name="_Toc67813907"/>
      <w:bookmarkStart w:id="1870" w:name="_Toc67814229"/>
      <w:bookmarkStart w:id="1871" w:name="_Toc67911088"/>
      <w:bookmarkStart w:id="1872" w:name="_Toc67912066"/>
      <w:bookmarkStart w:id="1873" w:name="_Toc67980303"/>
      <w:bookmarkStart w:id="1874" w:name="_Toc67980411"/>
      <w:bookmarkStart w:id="1875" w:name="_Toc67980695"/>
      <w:bookmarkStart w:id="1876" w:name="_Toc67981217"/>
      <w:bookmarkStart w:id="1877" w:name="_Toc67981404"/>
      <w:bookmarkStart w:id="1878" w:name="_Toc67981978"/>
      <w:bookmarkStart w:id="1879" w:name="_Toc67997376"/>
      <w:bookmarkStart w:id="1880" w:name="_Toc68063331"/>
      <w:bookmarkStart w:id="1881" w:name="_Toc68070428"/>
      <w:bookmarkStart w:id="1882" w:name="_Toc68315360"/>
      <w:bookmarkStart w:id="1883" w:name="_Toc68321123"/>
      <w:bookmarkStart w:id="1884" w:name="_Toc68321230"/>
      <w:bookmarkStart w:id="1885" w:name="_Toc68321338"/>
      <w:bookmarkStart w:id="1886" w:name="_Toc68323964"/>
      <w:bookmarkStart w:id="1887" w:name="_Toc68325661"/>
      <w:bookmarkStart w:id="1888" w:name="_Toc68490836"/>
      <w:bookmarkStart w:id="1889" w:name="_Toc68495008"/>
      <w:bookmarkStart w:id="1890" w:name="_Toc68505825"/>
      <w:bookmarkStart w:id="1891" w:name="_Toc68506533"/>
      <w:bookmarkStart w:id="1892" w:name="_Toc68513245"/>
      <w:bookmarkStart w:id="1893" w:name="_Toc68515256"/>
      <w:bookmarkStart w:id="1894" w:name="_Toc68516458"/>
      <w:bookmarkStart w:id="1895" w:name="_Toc68517730"/>
      <w:bookmarkStart w:id="1896" w:name="_Toc68518049"/>
      <w:bookmarkStart w:id="1897" w:name="_Toc68518246"/>
      <w:bookmarkStart w:id="1898" w:name="_Toc68588050"/>
      <w:bookmarkStart w:id="1899" w:name="_Toc68943919"/>
      <w:bookmarkStart w:id="1900" w:name="_Toc68944681"/>
      <w:bookmarkStart w:id="1901" w:name="_Toc68945487"/>
      <w:bookmarkStart w:id="1902" w:name="_Toc68946888"/>
      <w:bookmarkStart w:id="1903" w:name="_Toc68950726"/>
      <w:bookmarkStart w:id="1904" w:name="_Toc69017053"/>
      <w:bookmarkStart w:id="1905" w:name="_Toc69021825"/>
      <w:bookmarkStart w:id="1906" w:name="_Toc69022081"/>
      <w:bookmarkStart w:id="1907" w:name="_Toc69030809"/>
      <w:bookmarkStart w:id="1908" w:name="_Toc69100502"/>
      <w:bookmarkStart w:id="1909" w:name="_Toc69102748"/>
      <w:bookmarkStart w:id="1910" w:name="_Toc69117304"/>
      <w:bookmarkStart w:id="1911" w:name="_Toc69118010"/>
      <w:bookmarkStart w:id="1912" w:name="_Toc69271733"/>
      <w:bookmarkStart w:id="1913" w:name="_Toc69274110"/>
      <w:bookmarkStart w:id="1914" w:name="_Toc69274559"/>
      <w:bookmarkStart w:id="1915" w:name="_Toc69275317"/>
      <w:bookmarkStart w:id="1916" w:name="_Toc69275612"/>
      <w:bookmarkStart w:id="1917" w:name="_Toc69278378"/>
      <w:bookmarkStart w:id="1918" w:name="_Toc69280728"/>
      <w:bookmarkStart w:id="1919" w:name="_Toc69281069"/>
      <w:bookmarkStart w:id="1920" w:name="_Toc69281178"/>
      <w:bookmarkStart w:id="1921" w:name="_Toc69281345"/>
      <w:bookmarkStart w:id="1922" w:name="_Toc70327088"/>
      <w:bookmarkStart w:id="1923" w:name="_Toc70405226"/>
      <w:bookmarkStart w:id="1924" w:name="_Toc70995389"/>
      <w:bookmarkStart w:id="1925" w:name="_Toc71712517"/>
      <w:bookmarkStart w:id="1926" w:name="_Toc71713972"/>
      <w:bookmarkStart w:id="1927" w:name="_Toc71878715"/>
      <w:bookmarkStart w:id="1928" w:name="_Toc71880059"/>
      <w:bookmarkStart w:id="1929" w:name="_Toc71884440"/>
      <w:bookmarkStart w:id="1930" w:name="_Toc71887018"/>
      <w:bookmarkStart w:id="1931" w:name="_Toc71887259"/>
      <w:bookmarkStart w:id="1932" w:name="_Toc71953165"/>
      <w:bookmarkStart w:id="1933" w:name="_Toc71953308"/>
      <w:bookmarkStart w:id="1934" w:name="_Toc71957055"/>
      <w:bookmarkStart w:id="1935" w:name="_Toc71963686"/>
      <w:bookmarkStart w:id="1936" w:name="_Toc71969778"/>
      <w:bookmarkStart w:id="1937" w:name="_Toc71969887"/>
      <w:bookmarkStart w:id="1938" w:name="_Toc71973490"/>
      <w:bookmarkStart w:id="1939" w:name="_Toc71975604"/>
      <w:bookmarkStart w:id="1940" w:name="_Toc71976412"/>
      <w:bookmarkStart w:id="1941" w:name="_Toc72026806"/>
      <w:bookmarkStart w:id="1942" w:name="_Toc72027064"/>
      <w:bookmarkStart w:id="1943" w:name="_Toc72029121"/>
      <w:bookmarkStart w:id="1944" w:name="_Toc72044648"/>
      <w:bookmarkStart w:id="1945" w:name="_Toc72044758"/>
      <w:bookmarkStart w:id="1946" w:name="_Toc72049677"/>
      <w:bookmarkStart w:id="1947" w:name="_Toc72049789"/>
      <w:bookmarkStart w:id="1948" w:name="_Toc72748189"/>
      <w:bookmarkStart w:id="1949" w:name="_Toc72812734"/>
      <w:bookmarkStart w:id="1950" w:name="_Toc72827599"/>
      <w:bookmarkStart w:id="1951" w:name="_Toc73154105"/>
      <w:bookmarkStart w:id="1952" w:name="_Toc73154531"/>
      <w:bookmarkStart w:id="1953" w:name="_Toc73156290"/>
      <w:bookmarkStart w:id="1954" w:name="_Toc73156410"/>
      <w:bookmarkStart w:id="1955" w:name="_Toc73158377"/>
      <w:bookmarkStart w:id="1956" w:name="_Toc73158705"/>
      <w:bookmarkStart w:id="1957" w:name="_Toc73159070"/>
      <w:bookmarkStart w:id="1958" w:name="_Toc73159211"/>
      <w:bookmarkStart w:id="1959" w:name="_Toc73159886"/>
      <w:bookmarkStart w:id="1960" w:name="_Toc73160813"/>
      <w:bookmarkStart w:id="1961" w:name="_Toc73161607"/>
      <w:bookmarkStart w:id="1962" w:name="_Toc73161778"/>
      <w:bookmarkStart w:id="1963" w:name="_Toc65297828"/>
      <w:bookmarkStart w:id="1964" w:name="_Toc65297919"/>
      <w:bookmarkStart w:id="1965" w:name="_Toc65301686"/>
      <w:bookmarkStart w:id="1966" w:name="_Toc65379303"/>
      <w:bookmarkStart w:id="1967" w:name="_Toc65389318"/>
      <w:bookmarkStart w:id="1968" w:name="_Toc65390243"/>
      <w:bookmarkStart w:id="1969" w:name="_Toc65390792"/>
      <w:bookmarkStart w:id="1970" w:name="_Toc65395237"/>
      <w:bookmarkStart w:id="1971" w:name="_Toc65396531"/>
      <w:bookmarkStart w:id="1972" w:name="_Toc65397456"/>
      <w:bookmarkStart w:id="1973" w:name="_Toc65999780"/>
      <w:bookmarkStart w:id="1974" w:name="_Toc65999935"/>
      <w:bookmarkStart w:id="1975" w:name="_Toc66000063"/>
      <w:bookmarkStart w:id="1976" w:name="_Toc66097246"/>
      <w:bookmarkStart w:id="1977" w:name="_Toc66173289"/>
      <w:bookmarkStart w:id="1978" w:name="_Toc66512439"/>
      <w:bookmarkStart w:id="1979" w:name="_Toc66523467"/>
      <w:bookmarkStart w:id="1980" w:name="_Toc66523564"/>
      <w:bookmarkStart w:id="1981" w:name="_Toc66527948"/>
      <w:bookmarkStart w:id="1982" w:name="_Toc66528342"/>
      <w:bookmarkStart w:id="1983" w:name="_Toc66528819"/>
      <w:bookmarkStart w:id="1984" w:name="_Toc66584497"/>
      <w:bookmarkStart w:id="1985" w:name="_Toc66584881"/>
      <w:bookmarkStart w:id="1986" w:name="_Toc66586520"/>
      <w:bookmarkStart w:id="1987" w:name="_Toc66586962"/>
      <w:bookmarkStart w:id="1988" w:name="_Toc66589383"/>
      <w:bookmarkStart w:id="1989" w:name="_Toc66589582"/>
      <w:bookmarkStart w:id="1990" w:name="_Toc66610326"/>
      <w:bookmarkStart w:id="1991" w:name="_Toc66614320"/>
      <w:bookmarkStart w:id="1992" w:name="_Toc66673570"/>
      <w:bookmarkStart w:id="1993" w:name="_Toc66673932"/>
      <w:bookmarkStart w:id="1994" w:name="_Toc66699350"/>
      <w:bookmarkStart w:id="1995" w:name="_Toc66700206"/>
      <w:bookmarkStart w:id="1996" w:name="_Toc66700547"/>
      <w:bookmarkStart w:id="1997" w:name="_Toc66700701"/>
      <w:bookmarkStart w:id="1998" w:name="_Toc66701280"/>
      <w:r>
        <w:t xml:space="preserve">    ”.</w:t>
      </w:r>
    </w:p>
    <w:p>
      <w:pPr>
        <w:pStyle w:val="nzHeading2"/>
        <w:rPr>
          <w:rStyle w:val="CharPartNo"/>
        </w:rPr>
      </w:pPr>
      <w:bookmarkStart w:id="1999" w:name="_Toc73179781"/>
      <w:bookmarkStart w:id="2000" w:name="_Toc73184322"/>
      <w:bookmarkStart w:id="2001" w:name="_Toc73241591"/>
      <w:bookmarkStart w:id="2002" w:name="_Toc73242153"/>
      <w:bookmarkStart w:id="2003" w:name="_Toc73242893"/>
      <w:bookmarkStart w:id="2004" w:name="_Toc73243010"/>
      <w:bookmarkStart w:id="2005" w:name="_Toc73243127"/>
      <w:bookmarkStart w:id="2006" w:name="_Toc73245182"/>
      <w:bookmarkStart w:id="2007" w:name="_Toc73245992"/>
      <w:bookmarkStart w:id="2008" w:name="_Toc73251510"/>
      <w:bookmarkStart w:id="2009" w:name="_Toc73258506"/>
      <w:bookmarkStart w:id="2010" w:name="_Toc73259587"/>
      <w:bookmarkStart w:id="2011" w:name="_Toc73421924"/>
      <w:bookmarkStart w:id="2012" w:name="_Toc73427325"/>
      <w:bookmarkStart w:id="2013" w:name="_Toc73428251"/>
      <w:bookmarkStart w:id="2014" w:name="_Toc73428368"/>
      <w:bookmarkStart w:id="2015" w:name="_Toc73428485"/>
      <w:bookmarkStart w:id="2016" w:name="_Toc73428739"/>
      <w:bookmarkStart w:id="2017" w:name="_Toc73428972"/>
      <w:bookmarkStart w:id="2018" w:name="_Toc73429460"/>
      <w:bookmarkStart w:id="2019" w:name="_Toc73436612"/>
      <w:bookmarkStart w:id="2020" w:name="_Toc73437455"/>
      <w:bookmarkStart w:id="2021" w:name="_Toc81200142"/>
      <w:bookmarkStart w:id="2022" w:name="_Toc81201753"/>
      <w:bookmarkStart w:id="2023" w:name="_Toc81209007"/>
      <w:r>
        <w:rPr>
          <w:rStyle w:val="CharPartNo"/>
        </w:rPr>
        <w:t>Part 6 — Amendments about mining leases</w:t>
      </w:r>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p>
    <w:p>
      <w:pPr>
        <w:pStyle w:val="nzHeading5"/>
      </w:pPr>
      <w:bookmarkStart w:id="2024" w:name="_Toc87061477"/>
      <w:r>
        <w:rPr>
          <w:rStyle w:val="CharSectno"/>
        </w:rPr>
        <w:t>26</w:t>
      </w:r>
      <w:r>
        <w:t>.</w:t>
      </w:r>
      <w:r>
        <w:tab/>
        <w:t>Section 6 amended</w:t>
      </w:r>
      <w:bookmarkEnd w:id="2024"/>
    </w:p>
    <w:p>
      <w:pPr>
        <w:pStyle w:val="nzSubsection"/>
      </w:pPr>
      <w:r>
        <w:tab/>
      </w:r>
      <w:r>
        <w:tab/>
        <w:t xml:space="preserve">After section 6(1) the following subsections are inserted — </w:t>
      </w:r>
    </w:p>
    <w:p>
      <w:pPr>
        <w:pStyle w:val="MiscOpen"/>
        <w:spacing w:before="60"/>
        <w:ind w:left="601"/>
      </w:pPr>
      <w:r>
        <w:t xml:space="preserve">“    </w:t>
      </w:r>
    </w:p>
    <w:p>
      <w:pPr>
        <w:pStyle w:val="nzSubsection"/>
      </w:pPr>
      <w:r>
        <w:tab/>
        <w:t>(1a)</w:t>
      </w:r>
      <w:r>
        <w:tab/>
        <w:t xml:space="preserve">Notwithstanding subsection (1) and section 5 of the </w:t>
      </w:r>
      <w:r>
        <w:rPr>
          <w:i/>
        </w:rPr>
        <w:t>Environmental Protection Act 1986</w:t>
      </w:r>
      <w:r>
        <w:t xml:space="preserve">, in the case of an application for a mining lease accompanied by the documentation referred to in section 74(1)(ca)(ii) — </w:t>
      </w:r>
    </w:p>
    <w:p>
      <w:pPr>
        <w:pStyle w:val="nzIndenta"/>
      </w:pPr>
      <w:r>
        <w:tab/>
        <w:t>(a)</w:t>
      </w:r>
      <w:r>
        <w:tab/>
        <w:t>only the applicant can refer a proposal to which the application relates under section 38(1) of that Act; and</w:t>
      </w:r>
    </w:p>
    <w:p>
      <w:pPr>
        <w:pStyle w:val="nzIndenta"/>
      </w:pPr>
      <w:r>
        <w:tab/>
        <w:t>(b)</w:t>
      </w:r>
      <w:r>
        <w:tab/>
        <w:t>section 38(5) of that Act does not apply to such a proposal.</w:t>
      </w:r>
    </w:p>
    <w:p>
      <w:pPr>
        <w:pStyle w:val="nzSubsection"/>
      </w:pPr>
      <w:r>
        <w:tab/>
        <w:t>(1b)</w:t>
      </w:r>
      <w:r>
        <w:tab/>
        <w:t xml:space="preserve">In subsection (1a) — </w:t>
      </w:r>
    </w:p>
    <w:p>
      <w:pPr>
        <w:pStyle w:val="nzDefstart"/>
      </w:pPr>
      <w:r>
        <w:rPr>
          <w:b/>
        </w:rPr>
        <w:tab/>
        <w:t>“</w:t>
      </w:r>
      <w:r>
        <w:rPr>
          <w:rStyle w:val="CharDefText"/>
        </w:rPr>
        <w:t>proposal</w:t>
      </w:r>
      <w:r>
        <w:rPr>
          <w:b/>
        </w:rPr>
        <w:t>”</w:t>
      </w:r>
      <w:r>
        <w:t xml:space="preserve"> has the meaning given to that term in section 3(1) of the </w:t>
      </w:r>
      <w:r>
        <w:rPr>
          <w:i/>
        </w:rPr>
        <w:t>Environmental Protection Act 1986</w:t>
      </w:r>
      <w:r>
        <w:t>.</w:t>
      </w:r>
    </w:p>
    <w:p>
      <w:pPr>
        <w:pStyle w:val="nz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nz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 xml:space="preserve">to — </w:t>
      </w:r>
    </w:p>
    <w:p>
      <w:pPr>
        <w:pStyle w:val="nzIndenta"/>
      </w:pPr>
      <w:r>
        <w:tab/>
        <w:t>(a)</w:t>
      </w:r>
      <w:r>
        <w:tab/>
        <w:t>a programme of work lodged by the holder of the mining lease in compliance with the condition referred to in section 82(1)(ca); or</w:t>
      </w:r>
    </w:p>
    <w:p>
      <w:pPr>
        <w:pStyle w:val="nzIndenta"/>
      </w:pPr>
      <w:r>
        <w:tab/>
        <w:t>(b)</w:t>
      </w:r>
      <w:r>
        <w:tab/>
        <w:t>a mining proposal lodged by the holder of the mining lease in compliance with the condition referred to in section 82A.</w:t>
      </w:r>
    </w:p>
    <w:p>
      <w:pPr>
        <w:pStyle w:val="MiscClose"/>
      </w:pPr>
      <w:r>
        <w:t xml:space="preserve">    ”.</w:t>
      </w:r>
    </w:p>
    <w:p>
      <w:pPr>
        <w:pStyle w:val="nzHeading5"/>
      </w:pPr>
      <w:bookmarkStart w:id="2025" w:name="_Toc87061478"/>
      <w:r>
        <w:rPr>
          <w:rStyle w:val="CharSectno"/>
        </w:rPr>
        <w:t>27</w:t>
      </w:r>
      <w:r>
        <w:t>.</w:t>
      </w:r>
      <w:r>
        <w:tab/>
        <w:t>Sections 70O and 70P inserted</w:t>
      </w:r>
      <w:bookmarkEnd w:id="2025"/>
    </w:p>
    <w:p>
      <w:pPr>
        <w:pStyle w:val="nzSubsection"/>
      </w:pPr>
      <w:r>
        <w:tab/>
      </w:r>
      <w:r>
        <w:tab/>
        <w:t xml:space="preserve">Before section 71 the following sections are inserted in Part IV Division 3 — </w:t>
      </w:r>
    </w:p>
    <w:p>
      <w:pPr>
        <w:pStyle w:val="MiscOpen"/>
      </w:pPr>
      <w:r>
        <w:t xml:space="preserve">“    </w:t>
      </w:r>
    </w:p>
    <w:p>
      <w:pPr>
        <w:pStyle w:val="nzHeading5"/>
      </w:pPr>
      <w:r>
        <w:t>70O.</w:t>
      </w:r>
      <w:r>
        <w:tab/>
        <w:t>Definitions</w:t>
      </w:r>
    </w:p>
    <w:p>
      <w:pPr>
        <w:pStyle w:val="nzSubsection"/>
      </w:pPr>
      <w:r>
        <w:tab/>
        <w:t>(1)</w:t>
      </w:r>
      <w:r>
        <w:tab/>
        <w:t xml:space="preserve">In this Division — </w:t>
      </w:r>
    </w:p>
    <w:p>
      <w:pPr>
        <w:pStyle w:val="nzDefstart"/>
      </w:pPr>
      <w:r>
        <w:rPr>
          <w:b/>
        </w:rPr>
        <w:tab/>
        <w:t>“</w:t>
      </w:r>
      <w:r>
        <w:rPr>
          <w:rStyle w:val="CharDefText"/>
        </w:rPr>
        <w:t>guidelines</w:t>
      </w:r>
      <w:r>
        <w:rPr>
          <w:b/>
        </w:rPr>
        <w:t>”</w:t>
      </w:r>
      <w:r>
        <w:t xml:space="preserve"> means guidelines approved by the Director General of Mines for the purposes of this Division;</w:t>
      </w:r>
    </w:p>
    <w:p>
      <w:pPr>
        <w:pStyle w:val="nzDefstart"/>
      </w:pPr>
      <w:r>
        <w:rPr>
          <w:b/>
        </w:rPr>
        <w:tab/>
        <w:t>“</w:t>
      </w:r>
      <w:r>
        <w:rPr>
          <w:rStyle w:val="CharDefText"/>
        </w:rPr>
        <w:t>mining proposal</w:t>
      </w:r>
      <w:r>
        <w:rPr>
          <w:b/>
        </w:rPr>
        <w:t>”</w:t>
      </w:r>
      <w:r>
        <w:t xml:space="preserve"> means a document that — </w:t>
      </w:r>
    </w:p>
    <w:p>
      <w:pPr>
        <w:pStyle w:val="nzDefpara"/>
      </w:pPr>
      <w:r>
        <w:tab/>
        <w:t>(a)</w:t>
      </w:r>
      <w:r>
        <w:tab/>
        <w:t>is in the form required by the guidelines; and</w:t>
      </w:r>
    </w:p>
    <w:p>
      <w:pPr>
        <w:pStyle w:val="nzDefpara"/>
      </w:pPr>
      <w:r>
        <w:tab/>
        <w:t>(b)</w:t>
      </w:r>
      <w:r>
        <w:tab/>
        <w:t>contains information of the kind required by the guidelines about proposed mining operations in, on or under the land in respect of which a mining lease is sought or granted, as the case requires;</w:t>
      </w:r>
    </w:p>
    <w:p>
      <w:pPr>
        <w:pStyle w:val="nzDefstart"/>
      </w:pPr>
      <w:r>
        <w:rPr>
          <w:b/>
        </w:rPr>
        <w:tab/>
        <w:t>“</w:t>
      </w:r>
      <w:r>
        <w:rPr>
          <w:rStyle w:val="CharDefText"/>
        </w:rPr>
        <w:t>significant mineralisation</w:t>
      </w:r>
      <w:r>
        <w:rPr>
          <w:b/>
        </w:rPr>
        <w:t>”</w:t>
      </w:r>
      <w:r>
        <w:t xml:space="preserve"> has the meaning given in subsection (2).</w:t>
      </w:r>
    </w:p>
    <w:p>
      <w:pPr>
        <w:pStyle w:val="nzSubsection"/>
      </w:pPr>
      <w:r>
        <w:tab/>
        <w:t>(2)</w:t>
      </w:r>
      <w:r>
        <w:tab/>
        <w:t>For the purposes of this Division there is significant mineralisation in, on or under land to which an application for a mining lease relates if exploration results in respect of a deposit of minerals located in, on or under that land indicate that there is a reasonable prospect of minerals being obtained by mining operations.</w:t>
      </w:r>
    </w:p>
    <w:p>
      <w:pPr>
        <w:pStyle w:val="nzHeading5"/>
      </w:pPr>
      <w:r>
        <w:t>70P.</w:t>
      </w:r>
      <w:r>
        <w:tab/>
        <w:t>Guidelines to be publicly available</w:t>
      </w:r>
    </w:p>
    <w:p>
      <w:pPr>
        <w:pStyle w:val="nzSubsection"/>
      </w:pPr>
      <w:r>
        <w:tab/>
      </w:r>
      <w:r>
        <w:tab/>
        <w:t>The Director General of Mines shall ensure that the guidelines are made available, without charge, for public inspection in the prescribed manner.</w:t>
      </w:r>
    </w:p>
    <w:p>
      <w:pPr>
        <w:pStyle w:val="MiscClose"/>
      </w:pPr>
      <w:r>
        <w:t xml:space="preserve">    ”.</w:t>
      </w:r>
    </w:p>
    <w:p>
      <w:pPr>
        <w:pStyle w:val="nzHeading5"/>
      </w:pPr>
      <w:bookmarkStart w:id="2026" w:name="_Toc87061479"/>
      <w:r>
        <w:rPr>
          <w:rStyle w:val="CharSectno"/>
        </w:rPr>
        <w:t>28</w:t>
      </w:r>
      <w:r>
        <w:t>.</w:t>
      </w:r>
      <w:r>
        <w:tab/>
        <w:t>Section 73 replaced</w:t>
      </w:r>
      <w:bookmarkEnd w:id="2026"/>
    </w:p>
    <w:p>
      <w:pPr>
        <w:pStyle w:val="nzSubsection"/>
      </w:pPr>
      <w:r>
        <w:tab/>
      </w:r>
      <w:r>
        <w:tab/>
        <w:t xml:space="preserve">Section 73 is repealed and the following section is inserted instead — </w:t>
      </w:r>
    </w:p>
    <w:p>
      <w:pPr>
        <w:pStyle w:val="MiscOpen"/>
        <w:spacing w:before="60"/>
      </w:pPr>
      <w:r>
        <w:t xml:space="preserve">“    </w:t>
      </w:r>
    </w:p>
    <w:p>
      <w:pPr>
        <w:pStyle w:val="nzHeading5"/>
      </w:pPr>
      <w:r>
        <w:t>73.</w:t>
      </w:r>
      <w:r>
        <w:tab/>
        <w:t>Area of mining lease may be less than area sought</w:t>
      </w:r>
    </w:p>
    <w:p>
      <w:pPr>
        <w:pStyle w:val="nzSubsection"/>
      </w:pPr>
      <w:r>
        <w:tab/>
        <w:t>(1)</w:t>
      </w:r>
      <w:r>
        <w:tab/>
        <w:t>The area of land in respect of which a mining lease is granted may be less than the area of land in respect of which the mining lease is sought.</w:t>
      </w:r>
    </w:p>
    <w:p>
      <w:pPr>
        <w:pStyle w:val="nzSubsection"/>
      </w:pPr>
      <w:r>
        <w:tab/>
        <w:t>(2)</w:t>
      </w:r>
      <w:r>
        <w:tab/>
        <w:t>If the area of land in respect of which a mining lease is granted is as described in subsection (1), the holder of the lease shall mark out in the prescribed manner the boundaries of that area as soon as practicable after the grant of the lease.</w:t>
      </w:r>
    </w:p>
    <w:p>
      <w:pPr>
        <w:pStyle w:val="MiscClose"/>
      </w:pPr>
      <w:r>
        <w:t xml:space="preserve">    ”.</w:t>
      </w:r>
    </w:p>
    <w:p>
      <w:pPr>
        <w:pStyle w:val="nzHeading5"/>
      </w:pPr>
      <w:bookmarkStart w:id="2027" w:name="_Toc87061480"/>
      <w:r>
        <w:rPr>
          <w:rStyle w:val="CharSectno"/>
        </w:rPr>
        <w:t>29</w:t>
      </w:r>
      <w:r>
        <w:t>.</w:t>
      </w:r>
      <w:r>
        <w:tab/>
        <w:t>Section 74 amended</w:t>
      </w:r>
      <w:bookmarkEnd w:id="2027"/>
    </w:p>
    <w:p>
      <w:pPr>
        <w:pStyle w:val="nzSubsection"/>
      </w:pPr>
      <w:r>
        <w:tab/>
        <w:t>(1)</w:t>
      </w:r>
      <w:r>
        <w:tab/>
        <w:t xml:space="preserve">After section 74(1)(c) the following is inserted — </w:t>
      </w:r>
    </w:p>
    <w:p>
      <w:pPr>
        <w:pStyle w:val="MiscOpen"/>
        <w:spacing w:before="60"/>
        <w:ind w:left="1338"/>
      </w:pPr>
      <w:r>
        <w:t xml:space="preserve">“    </w:t>
      </w:r>
    </w:p>
    <w:p>
      <w:pPr>
        <w:pStyle w:val="nzIndenta"/>
      </w:pPr>
      <w:r>
        <w:tab/>
        <w:t>(ca)</w:t>
      </w:r>
      <w:r>
        <w:tab/>
        <w:t xml:space="preserve">shall be accompanied by — </w:t>
      </w:r>
    </w:p>
    <w:p>
      <w:pPr>
        <w:pStyle w:val="nzIndenti"/>
      </w:pPr>
      <w:r>
        <w:tab/>
        <w:t>(i)</w:t>
      </w:r>
      <w:r>
        <w:tab/>
        <w:t>a mining proposal; or</w:t>
      </w:r>
    </w:p>
    <w:p>
      <w:pPr>
        <w:pStyle w:val="nzIndenti"/>
      </w:pPr>
      <w:r>
        <w:tab/>
        <w:t>(ii)</w:t>
      </w:r>
      <w:r>
        <w:tab/>
        <w:t>a statement in accordance with subsection (1a) and a mineralisation report prepared by a qualified person;</w:t>
      </w:r>
    </w:p>
    <w:p>
      <w:pPr>
        <w:pStyle w:val="nzIndenta"/>
      </w:pPr>
      <w:r>
        <w:tab/>
      </w:r>
      <w:r>
        <w:tab/>
        <w:t>and</w:t>
      </w:r>
    </w:p>
    <w:p>
      <w:pPr>
        <w:pStyle w:val="MiscClose"/>
      </w:pPr>
      <w:r>
        <w:t xml:space="preserve">    ”.</w:t>
      </w:r>
    </w:p>
    <w:p>
      <w:pPr>
        <w:pStyle w:val="nzSubsection"/>
      </w:pPr>
      <w:r>
        <w:tab/>
        <w:t>(2)</w:t>
      </w:r>
      <w:r>
        <w:tab/>
        <w:t xml:space="preserve">After section 74(1) the following subsection is inserted — </w:t>
      </w:r>
    </w:p>
    <w:p>
      <w:pPr>
        <w:pStyle w:val="MiscOpen"/>
        <w:spacing w:before="60"/>
        <w:ind w:left="601"/>
      </w:pPr>
      <w:r>
        <w:t xml:space="preserve">“    </w:t>
      </w:r>
    </w:p>
    <w:p>
      <w:pPr>
        <w:pStyle w:val="nzSubsection"/>
      </w:pPr>
      <w:r>
        <w:tab/>
        <w:t>(1a)</w:t>
      </w:r>
      <w:r>
        <w:tab/>
        <w:t xml:space="preserve">The statement referred to in subsection (1)(ca)(ii) shall set out information about the mining operations that are likely to be carried out in, on or under the land to which the application relates including information as to — </w:t>
      </w:r>
    </w:p>
    <w:p>
      <w:pPr>
        <w:pStyle w:val="nzIndenta"/>
      </w:pPr>
      <w:r>
        <w:tab/>
        <w:t>(a)</w:t>
      </w:r>
      <w:r>
        <w:tab/>
        <w:t>when mining is likely to commence;</w:t>
      </w:r>
    </w:p>
    <w:p>
      <w:pPr>
        <w:pStyle w:val="nzIndenta"/>
      </w:pPr>
      <w:r>
        <w:tab/>
        <w:t>(b)</w:t>
      </w:r>
      <w:r>
        <w:tab/>
        <w:t>the most likely method of mining; and</w:t>
      </w:r>
    </w:p>
    <w:p>
      <w:pPr>
        <w:pStyle w:val="nzIndenta"/>
        <w:rPr>
          <w:i/>
        </w:rPr>
      </w:pPr>
      <w:r>
        <w:tab/>
        <w:t>(c)</w:t>
      </w:r>
      <w:r>
        <w:tab/>
        <w:t>the location, and the area, of land that is likely to be required for the operation of plant, machinery and equipment and for other activities associated with those mining operations.</w:t>
      </w:r>
    </w:p>
    <w:p>
      <w:pPr>
        <w:pStyle w:val="MiscClose"/>
      </w:pPr>
      <w:r>
        <w:t xml:space="preserve">    ”.</w:t>
      </w:r>
    </w:p>
    <w:p>
      <w:pPr>
        <w:pStyle w:val="nzSubsection"/>
      </w:pPr>
      <w:r>
        <w:tab/>
        <w:t>(3)</w:t>
      </w:r>
      <w:r>
        <w:tab/>
        <w:t xml:space="preserve">After section 74(4) the following subsections are inserted — </w:t>
      </w:r>
    </w:p>
    <w:p>
      <w:pPr>
        <w:pStyle w:val="MiscOpen"/>
        <w:spacing w:before="60"/>
        <w:ind w:left="601"/>
      </w:pPr>
      <w:r>
        <w:t xml:space="preserve">“    </w:t>
      </w:r>
    </w:p>
    <w:p>
      <w:pPr>
        <w:pStyle w:val="nzSubsection"/>
      </w:pPr>
      <w:r>
        <w:tab/>
        <w:t>(5)</w:t>
      </w:r>
      <w:r>
        <w:tab/>
        <w:t xml:space="preserve">The Director General of Mines shall ensure that — </w:t>
      </w:r>
    </w:p>
    <w:p>
      <w:pPr>
        <w:pStyle w:val="nzIndenta"/>
      </w:pPr>
      <w:r>
        <w:tab/>
        <w:t>(a)</w:t>
      </w:r>
      <w:r>
        <w:tab/>
        <w:t>any document referred to in subsection (1)(ca) that accompanies the application; and</w:t>
      </w:r>
    </w:p>
    <w:p>
      <w:pPr>
        <w:pStyle w:val="nzIndenta"/>
      </w:pPr>
      <w:r>
        <w:tab/>
        <w:t>(b)</w:t>
      </w:r>
      <w:r>
        <w:tab/>
        <w:t>any document furnished by the applicant in response to a request under subsection (2),</w:t>
      </w:r>
    </w:p>
    <w:p>
      <w:pPr>
        <w:pStyle w:val="nzSubsection"/>
      </w:pPr>
      <w:r>
        <w:tab/>
      </w:r>
      <w:r>
        <w:tab/>
        <w:t>are made available for public inspection at reasonable times.</w:t>
      </w:r>
    </w:p>
    <w:p>
      <w:pPr>
        <w:pStyle w:val="nzSubsection"/>
      </w:pPr>
      <w:r>
        <w:tab/>
        <w:t>(6)</w:t>
      </w:r>
      <w:r>
        <w:tab/>
        <w:t xml:space="preserve">The regulations may require a person to pay a fee specified in the regulations — </w:t>
      </w:r>
    </w:p>
    <w:p>
      <w:pPr>
        <w:pStyle w:val="nzIndenta"/>
      </w:pPr>
      <w:r>
        <w:tab/>
        <w:t>(a)</w:t>
      </w:r>
      <w:r>
        <w:tab/>
        <w:t>for inspecting a document referred to in subsection (5); or</w:t>
      </w:r>
    </w:p>
    <w:p>
      <w:pPr>
        <w:pStyle w:val="nzIndenta"/>
      </w:pPr>
      <w:r>
        <w:tab/>
        <w:t>(b)</w:t>
      </w:r>
      <w:r>
        <w:tab/>
        <w:t>for obtaining a copy of the document or any part of it.</w:t>
      </w:r>
    </w:p>
    <w:p>
      <w:pPr>
        <w:pStyle w:val="nzSubsection"/>
      </w:pPr>
      <w:r>
        <w:tab/>
        <w:t>(7)</w:t>
      </w:r>
      <w:r>
        <w:tab/>
        <w:t xml:space="preserve">In this section — </w:t>
      </w:r>
    </w:p>
    <w:p>
      <w:pPr>
        <w:pStyle w:val="nzDefstart"/>
      </w:pPr>
      <w:r>
        <w:rPr>
          <w:b/>
        </w:rPr>
        <w:tab/>
        <w:t>“</w:t>
      </w:r>
      <w:r>
        <w:rPr>
          <w:rStyle w:val="CharDefText"/>
        </w:rPr>
        <w:t>likely</w:t>
      </w:r>
      <w:r>
        <w:rPr>
          <w:b/>
        </w:rPr>
        <w:t>”</w:t>
      </w:r>
      <w:r>
        <w:t xml:space="preserve"> means reasonably likely having regard to the information available to the applicant when the application is made;</w:t>
      </w:r>
    </w:p>
    <w:p>
      <w:pPr>
        <w:pStyle w:val="nzDefstart"/>
      </w:pPr>
      <w:r>
        <w:rPr>
          <w:b/>
        </w:rPr>
        <w:tab/>
        <w:t>“</w:t>
      </w:r>
      <w:r>
        <w:rPr>
          <w:rStyle w:val="CharDefText"/>
        </w:rPr>
        <w:t>mineralisation report</w:t>
      </w:r>
      <w:r>
        <w:rPr>
          <w:b/>
        </w:rPr>
        <w:t>”</w:t>
      </w:r>
      <w:r>
        <w:t xml:space="preserve"> means a report that sets out details of exploration results in respect of a deposit of minerals located in, on or under the land to which the application relates, including details of — </w:t>
      </w:r>
    </w:p>
    <w:p>
      <w:pPr>
        <w:pStyle w:val="nzDefpara"/>
      </w:pPr>
      <w:r>
        <w:tab/>
        <w:t>(a)</w:t>
      </w:r>
      <w:r>
        <w:tab/>
        <w:t>the type of minerals located in, on or under that land;</w:t>
      </w:r>
    </w:p>
    <w:p>
      <w:pPr>
        <w:pStyle w:val="nzDefpara"/>
      </w:pPr>
      <w:r>
        <w:tab/>
        <w:t>(b)</w:t>
      </w:r>
      <w:r>
        <w:tab/>
        <w:t>the location, depth and extent of those minerals and the way in which that extent has been determined; and</w:t>
      </w:r>
    </w:p>
    <w:p>
      <w:pPr>
        <w:pStyle w:val="nzDefpara"/>
      </w:pPr>
      <w:r>
        <w:tab/>
        <w:t>(c)</w:t>
      </w:r>
      <w:r>
        <w:tab/>
        <w:t>analytical results obtained from samples of those minerals;</w:t>
      </w:r>
    </w:p>
    <w:p>
      <w:pPr>
        <w:pStyle w:val="nzDefstart"/>
      </w:pPr>
      <w:r>
        <w:rPr>
          <w:b/>
        </w:rPr>
        <w:tab/>
        <w:t>“</w:t>
      </w:r>
      <w:r>
        <w:rPr>
          <w:rStyle w:val="CharDefText"/>
        </w:rPr>
        <w:t>qualified person</w:t>
      </w:r>
      <w:r>
        <w:rPr>
          <w:b/>
        </w:rPr>
        <w:t>”</w:t>
      </w:r>
      <w:r>
        <w:t xml:space="preserve"> means a person who — </w:t>
      </w:r>
    </w:p>
    <w:p>
      <w:pPr>
        <w:pStyle w:val="nzDefpara"/>
      </w:pPr>
      <w:r>
        <w:tab/>
        <w:t>(a)</w:t>
      </w:r>
      <w:r>
        <w:tab/>
        <w:t>is a member of a prescribed body; and</w:t>
      </w:r>
    </w:p>
    <w:p>
      <w:pPr>
        <w:pStyle w:val="nzDefpara"/>
      </w:pPr>
      <w:r>
        <w:tab/>
        <w:t>(b)</w:t>
      </w:r>
      <w:r>
        <w:tab/>
        <w:t>complies with any requirement of the regulations as to relevant qualifications or experience.</w:t>
      </w:r>
    </w:p>
    <w:p>
      <w:pPr>
        <w:pStyle w:val="MiscClose"/>
      </w:pPr>
      <w:bookmarkStart w:id="2028" w:name="_Toc66772318"/>
      <w:r>
        <w:t xml:space="preserve">    ”.</w:t>
      </w:r>
    </w:p>
    <w:p>
      <w:pPr>
        <w:pStyle w:val="nzHeading5"/>
      </w:pPr>
      <w:bookmarkStart w:id="2029" w:name="_Toc87061481"/>
      <w:r>
        <w:rPr>
          <w:rStyle w:val="CharSectno"/>
        </w:rPr>
        <w:t>30</w:t>
      </w:r>
      <w:r>
        <w:t>.</w:t>
      </w:r>
      <w:r>
        <w:tab/>
        <w:t>Section 74A inserted</w:t>
      </w:r>
      <w:bookmarkEnd w:id="2029"/>
    </w:p>
    <w:p>
      <w:pPr>
        <w:pStyle w:val="nzSubsection"/>
      </w:pPr>
      <w:r>
        <w:tab/>
      </w:r>
      <w:r>
        <w:tab/>
        <w:t xml:space="preserve">After section 74 the following section is inserted — </w:t>
      </w:r>
    </w:p>
    <w:p>
      <w:pPr>
        <w:pStyle w:val="MiscOpen"/>
      </w:pPr>
      <w:r>
        <w:t xml:space="preserve">“    </w:t>
      </w:r>
    </w:p>
    <w:p>
      <w:pPr>
        <w:pStyle w:val="nzHeading5"/>
      </w:pPr>
      <w:r>
        <w:t>74A.</w:t>
      </w:r>
      <w:r>
        <w:tab/>
        <w:t>Report on significant mineralisation required for certain applications</w:t>
      </w:r>
    </w:p>
    <w:p>
      <w:pPr>
        <w:pStyle w:val="nz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nzSubsection"/>
      </w:pPr>
      <w:r>
        <w:tab/>
        <w:t>(2)</w:t>
      </w:r>
      <w:r>
        <w:tab/>
        <w:t>For the purposes of preparing the report, the Director, Geological Survey may request the applicant to provide further information in relation to matters dealt with in the mineralisation report.</w:t>
      </w:r>
    </w:p>
    <w:p>
      <w:pPr>
        <w:pStyle w:val="nzSubsection"/>
      </w:pPr>
      <w:r>
        <w:tab/>
        <w:t>(3)</w:t>
      </w:r>
      <w:r>
        <w:tab/>
        <w:t>The report shall be based solely on information contained in the mineralisation report and any further information provided by the applicant in response to a request under subsection (2).</w:t>
      </w:r>
    </w:p>
    <w:p>
      <w:pPr>
        <w:pStyle w:val="nzSubsection"/>
      </w:pPr>
      <w:r>
        <w:tab/>
        <w:t>(4)</w:t>
      </w:r>
      <w:r>
        <w:tab/>
        <w:t>The Director, Geological Survey shall give a copy of the report to the mining registrar and the warden.</w:t>
      </w:r>
    </w:p>
    <w:p>
      <w:pPr>
        <w:pStyle w:val="nzSubsection"/>
      </w:pPr>
      <w:r>
        <w:tab/>
        <w:t>(5)</w:t>
      </w:r>
      <w:r>
        <w:tab/>
        <w:t>The Director General of Mines shall ensure that the report is made available for public inspection at reasonable times.</w:t>
      </w:r>
    </w:p>
    <w:p>
      <w:pPr>
        <w:pStyle w:val="nzSubsection"/>
      </w:pPr>
      <w:r>
        <w:tab/>
        <w:t>(6)</w:t>
      </w:r>
      <w:r>
        <w:tab/>
        <w:t xml:space="preserve">The regulations may require a person to pay a fee specified in the regulations — </w:t>
      </w:r>
    </w:p>
    <w:p>
      <w:pPr>
        <w:pStyle w:val="nzIndenta"/>
      </w:pPr>
      <w:r>
        <w:tab/>
        <w:t>(a)</w:t>
      </w:r>
      <w:r>
        <w:tab/>
        <w:t>for inspecting the report; or</w:t>
      </w:r>
    </w:p>
    <w:p>
      <w:pPr>
        <w:pStyle w:val="nzIndenta"/>
      </w:pPr>
      <w:r>
        <w:tab/>
        <w:t>(b)</w:t>
      </w:r>
      <w:r>
        <w:tab/>
        <w:t>for obtaining a copy of the report or any part of it.</w:t>
      </w:r>
    </w:p>
    <w:p>
      <w:pPr>
        <w:pStyle w:val="nzSubsection"/>
      </w:pPr>
      <w:r>
        <w:tab/>
        <w:t>(7)</w:t>
      </w:r>
      <w:r>
        <w:tab/>
        <w:t xml:space="preserve">In this section — </w:t>
      </w:r>
    </w:p>
    <w:p>
      <w:pPr>
        <w:pStyle w:val="nzDefstart"/>
      </w:pPr>
      <w:r>
        <w:rPr>
          <w:b/>
        </w:rPr>
        <w:tab/>
        <w:t>“</w:t>
      </w:r>
      <w:r>
        <w:rPr>
          <w:rStyle w:val="CharDefText"/>
        </w:rPr>
        <w:t>mineralisation report</w:t>
      </w:r>
      <w:r>
        <w:rPr>
          <w:b/>
        </w:rPr>
        <w:t>”</w:t>
      </w:r>
      <w:r>
        <w:t xml:space="preserve"> means the mineralisation report that accompanied the application.</w:t>
      </w:r>
    </w:p>
    <w:p>
      <w:pPr>
        <w:pStyle w:val="MiscClose"/>
      </w:pPr>
      <w:r>
        <w:t xml:space="preserve">    ”.</w:t>
      </w:r>
    </w:p>
    <w:p>
      <w:pPr>
        <w:pStyle w:val="nzHeading5"/>
      </w:pPr>
      <w:bookmarkStart w:id="2030" w:name="_Toc87061482"/>
      <w:r>
        <w:rPr>
          <w:rStyle w:val="CharSectno"/>
        </w:rPr>
        <w:t>31</w:t>
      </w:r>
      <w:r>
        <w:t>.</w:t>
      </w:r>
      <w:r>
        <w:tab/>
        <w:t>Section 75 amended</w:t>
      </w:r>
      <w:bookmarkEnd w:id="2030"/>
    </w:p>
    <w:p>
      <w:pPr>
        <w:pStyle w:val="nzSubsection"/>
      </w:pPr>
      <w:r>
        <w:tab/>
        <w:t>(1)</w:t>
      </w:r>
      <w:r>
        <w:tab/>
        <w:t xml:space="preserve">After section 75(1) the following subsection is inserted — </w:t>
      </w:r>
    </w:p>
    <w:p>
      <w:pPr>
        <w:pStyle w:val="MiscOpen"/>
        <w:spacing w:before="60"/>
        <w:ind w:left="601"/>
      </w:pPr>
      <w:r>
        <w:t xml:space="preserve">“    </w:t>
      </w:r>
    </w:p>
    <w:p>
      <w:pPr>
        <w:pStyle w:val="nzSubsection"/>
      </w:pPr>
      <w:r>
        <w:tab/>
        <w:t>(1a)</w:t>
      </w:r>
      <w:r>
        <w:tab/>
        <w:t>A person is not entitled to lodge a notice of objection if the basis for the objection is that there is no significant mineralisation in, on or under the land to which the application relates.</w:t>
      </w:r>
    </w:p>
    <w:p>
      <w:pPr>
        <w:pStyle w:val="MiscClose"/>
      </w:pPr>
      <w:r>
        <w:t xml:space="preserve">    ”.</w:t>
      </w:r>
    </w:p>
    <w:p>
      <w:pPr>
        <w:pStyle w:val="nzSubsection"/>
      </w:pPr>
      <w:r>
        <w:tab/>
        <w:t>(2)</w:t>
      </w:r>
      <w:r>
        <w:tab/>
        <w:t xml:space="preserve">Section 75(2) is amended by deleting “Where” and inserting instead — </w:t>
      </w:r>
    </w:p>
    <w:p>
      <w:pPr>
        <w:pStyle w:val="nzSubsection"/>
      </w:pPr>
      <w:r>
        <w:tab/>
      </w:r>
      <w:r>
        <w:tab/>
        <w:t>“    Subject to subsection (2a), if    ”.</w:t>
      </w:r>
    </w:p>
    <w:p>
      <w:pPr>
        <w:pStyle w:val="nzSubsection"/>
      </w:pPr>
      <w:r>
        <w:tab/>
        <w:t>(3)</w:t>
      </w:r>
      <w:r>
        <w:tab/>
        <w:t xml:space="preserve">After section 75(2) the following subsection is inserted — </w:t>
      </w:r>
    </w:p>
    <w:p>
      <w:pPr>
        <w:pStyle w:val="MiscOpen"/>
        <w:ind w:left="600"/>
      </w:pPr>
      <w:r>
        <w:t xml:space="preserve">“    </w:t>
      </w:r>
    </w:p>
    <w:p>
      <w:pPr>
        <w:pStyle w:val="nzSubsection"/>
      </w:pPr>
      <w:r>
        <w:tab/>
        <w:t>(2a)</w:t>
      </w:r>
      <w:r>
        <w:tab/>
        <w:t xml:space="preserve">If the application for the mining lease is accompanied by the documentation referred to in section 74(1)(ca)(ii), the mining registrar shall not forward a report under subsection (2) unless — </w:t>
      </w:r>
    </w:p>
    <w:p>
      <w:pPr>
        <w:pStyle w:val="nzIndenta"/>
      </w:pPr>
      <w:r>
        <w:tab/>
        <w:t>(a)</w:t>
      </w:r>
      <w:r>
        <w:tab/>
        <w:t>the mining registrar has received a copy of the section 74A report in relation to the application; and</w:t>
      </w:r>
    </w:p>
    <w:p>
      <w:pPr>
        <w:pStyle w:val="nzIndenta"/>
      </w:pPr>
      <w:r>
        <w:tab/>
        <w:t>(b)</w:t>
      </w:r>
      <w:r>
        <w:tab/>
        <w:t>the section 74A report states that there is significant mineralisation in, on or under the land to which the application relates.</w:t>
      </w:r>
    </w:p>
    <w:p>
      <w:pPr>
        <w:pStyle w:val="MiscClose"/>
      </w:pPr>
      <w:r>
        <w:t xml:space="preserve">    ”.</w:t>
      </w:r>
    </w:p>
    <w:p>
      <w:pPr>
        <w:pStyle w:val="nzSubsection"/>
      </w:pPr>
      <w:r>
        <w:tab/>
        <w:t>(4)</w:t>
      </w:r>
      <w:r>
        <w:tab/>
        <w:t xml:space="preserve">Section 75(4) is amended by deleting “Where” and inserting instead — </w:t>
      </w:r>
    </w:p>
    <w:p>
      <w:pPr>
        <w:pStyle w:val="MiscOpen"/>
        <w:ind w:left="880"/>
      </w:pPr>
      <w:r>
        <w:t>“    Subject to subsection (4a), if    ”.</w:t>
      </w:r>
    </w:p>
    <w:p>
      <w:pPr>
        <w:pStyle w:val="nzSubsection"/>
      </w:pPr>
      <w:r>
        <w:tab/>
        <w:t>(5)</w:t>
      </w:r>
      <w:r>
        <w:tab/>
        <w:t xml:space="preserve">After section 75(4) the following subsection is inserted — </w:t>
      </w:r>
    </w:p>
    <w:p>
      <w:pPr>
        <w:pStyle w:val="MiscOpen"/>
        <w:ind w:left="600"/>
      </w:pPr>
      <w:r>
        <w:t xml:space="preserve">“    </w:t>
      </w:r>
    </w:p>
    <w:p>
      <w:pPr>
        <w:pStyle w:val="nzSubsection"/>
      </w:pPr>
      <w:r>
        <w:tab/>
        <w:t>(4a)</w:t>
      </w:r>
      <w:r>
        <w:tab/>
        <w:t xml:space="preserve">If the application for the mining lease is accompanied by the documentation referred to in section 74(1)(ca)(ii), the warden shall not hear the application unless — </w:t>
      </w:r>
    </w:p>
    <w:p>
      <w:pPr>
        <w:pStyle w:val="nzIndenta"/>
      </w:pPr>
      <w:r>
        <w:tab/>
        <w:t>(a)</w:t>
      </w:r>
      <w:r>
        <w:tab/>
        <w:t>the warden has received a copy of the section 74A report in relation to the application; and</w:t>
      </w:r>
    </w:p>
    <w:p>
      <w:pPr>
        <w:pStyle w:val="nzIndenta"/>
      </w:pPr>
      <w:r>
        <w:tab/>
        <w:t>(b)</w:t>
      </w:r>
      <w:r>
        <w:tab/>
        <w:t>the section 74A report states that there is significant mineralisation in, on or under the land to which the application relates.</w:t>
      </w:r>
    </w:p>
    <w:p>
      <w:pPr>
        <w:pStyle w:val="MiscClose"/>
      </w:pPr>
      <w:r>
        <w:t xml:space="preserve">    ”.</w:t>
      </w:r>
    </w:p>
    <w:p>
      <w:pPr>
        <w:pStyle w:val="nzSubsection"/>
      </w:pPr>
      <w:r>
        <w:tab/>
        <w:t>(6)</w:t>
      </w:r>
      <w:r>
        <w:tab/>
        <w:t xml:space="preserve">Section 75(7) is amended by inserting after “subject to” — </w:t>
      </w:r>
    </w:p>
    <w:p>
      <w:pPr>
        <w:pStyle w:val="nzSubsection"/>
      </w:pPr>
      <w:r>
        <w:tab/>
      </w:r>
      <w:r>
        <w:tab/>
        <w:t>“    subsection (8) and the other provisions of    ”.</w:t>
      </w:r>
    </w:p>
    <w:p>
      <w:pPr>
        <w:pStyle w:val="nzSubsection"/>
      </w:pPr>
      <w:r>
        <w:tab/>
        <w:t>(7)</w:t>
      </w:r>
      <w:r>
        <w:tab/>
        <w:t xml:space="preserve">After section 75(7) the following subsection is inserted — </w:t>
      </w:r>
    </w:p>
    <w:p>
      <w:pPr>
        <w:pStyle w:val="MiscOpen"/>
        <w:ind w:left="600"/>
      </w:pPr>
      <w:r>
        <w:t xml:space="preserve">“    </w:t>
      </w:r>
    </w:p>
    <w:p>
      <w:pPr>
        <w:pStyle w:val="nz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MiscClose"/>
      </w:pPr>
      <w:r>
        <w:t xml:space="preserve">    ”.</w:t>
      </w:r>
    </w:p>
    <w:p>
      <w:pPr>
        <w:pStyle w:val="nzSubsection"/>
      </w:pPr>
      <w:r>
        <w:tab/>
        <w:t>(8)</w:t>
      </w:r>
      <w:r>
        <w:tab/>
        <w:t xml:space="preserve">After section 75(9) the following subsection is inserted — </w:t>
      </w:r>
    </w:p>
    <w:p>
      <w:pPr>
        <w:pStyle w:val="MiscOpen"/>
        <w:ind w:left="600"/>
      </w:pPr>
      <w:r>
        <w:t xml:space="preserve">“    </w:t>
      </w:r>
    </w:p>
    <w:p>
      <w:pPr>
        <w:pStyle w:val="nzSubsection"/>
      </w:pPr>
      <w:r>
        <w:tab/>
        <w:t>(10)</w:t>
      </w:r>
      <w:r>
        <w:tab/>
        <w:t xml:space="preserve">In this section — </w:t>
      </w:r>
    </w:p>
    <w:p>
      <w:pPr>
        <w:pStyle w:val="nzDefstart"/>
      </w:pPr>
      <w:r>
        <w:rPr>
          <w:b/>
        </w:rPr>
        <w:tab/>
        <w:t>“</w:t>
      </w:r>
      <w:r>
        <w:rPr>
          <w:rStyle w:val="CharDefText"/>
        </w:rPr>
        <w:t>section 74A report</w:t>
      </w:r>
      <w:r>
        <w:rPr>
          <w:b/>
        </w:rPr>
        <w:t>”</w:t>
      </w:r>
      <w:r>
        <w:t xml:space="preserve"> means the report given to the Minister under section 74A.</w:t>
      </w:r>
    </w:p>
    <w:p>
      <w:pPr>
        <w:pStyle w:val="MiscClose"/>
      </w:pPr>
      <w:r>
        <w:t xml:space="preserve">    ”.</w:t>
      </w:r>
    </w:p>
    <w:p>
      <w:pPr>
        <w:pStyle w:val="nzHeading5"/>
      </w:pPr>
      <w:bookmarkStart w:id="2031" w:name="_Toc87061483"/>
      <w:r>
        <w:rPr>
          <w:rStyle w:val="CharSectno"/>
        </w:rPr>
        <w:t>32</w:t>
      </w:r>
      <w:r>
        <w:t>.</w:t>
      </w:r>
      <w:r>
        <w:tab/>
        <w:t>Section 82 amended and transitional provision</w:t>
      </w:r>
      <w:bookmarkEnd w:id="2031"/>
    </w:p>
    <w:p>
      <w:pPr>
        <w:pStyle w:val="nzSubsection"/>
      </w:pPr>
      <w:r>
        <w:tab/>
        <w:t>(1)</w:t>
      </w:r>
      <w:r>
        <w:tab/>
        <w:t xml:space="preserve">After section 82(1)(c) the following paragraph is inserted — </w:t>
      </w:r>
    </w:p>
    <w:p>
      <w:pPr>
        <w:pStyle w:val="MiscOpen"/>
        <w:ind w:left="1340"/>
      </w:pPr>
      <w:r>
        <w:t xml:space="preserve">“    </w:t>
      </w:r>
    </w:p>
    <w:p>
      <w:pPr>
        <w:pStyle w:val="nzIndenta"/>
      </w:pPr>
      <w:r>
        <w:tab/>
        <w:t>(ca)</w:t>
      </w:r>
      <w:r>
        <w:tab/>
        <w:t xml:space="preserve">not use ground disturbing equipment when mining on such land unless — </w:t>
      </w:r>
    </w:p>
    <w:p>
      <w:pPr>
        <w:pStyle w:val="nzIndenti"/>
      </w:pPr>
      <w:r>
        <w:tab/>
        <w:t>(i)</w:t>
      </w:r>
      <w:r>
        <w:tab/>
        <w:t>the lessee has lodged in the prescribed manner a programme of work in respect of that use and the programme has been approved in writing by the Minister or a prescribed official; or</w:t>
      </w:r>
    </w:p>
    <w:p>
      <w:pPr>
        <w:pStyle w:val="nzIndenti"/>
      </w:pPr>
      <w:r>
        <w:tab/>
        <w:t>(ii)</w:t>
      </w:r>
      <w:r>
        <w:tab/>
        <w:t>that use is dealt with in a relevant mining proposal;</w:t>
      </w:r>
    </w:p>
    <w:p>
      <w:pPr>
        <w:pStyle w:val="MiscClose"/>
      </w:pPr>
      <w:r>
        <w:t xml:space="preserve">    ”.</w:t>
      </w:r>
    </w:p>
    <w:p>
      <w:pPr>
        <w:pStyle w:val="nzSubsection"/>
      </w:pPr>
      <w:r>
        <w:tab/>
        <w:t>(2)</w:t>
      </w:r>
      <w:r>
        <w:tab/>
        <w:t xml:space="preserve">After section 82(1) the following subsections are inserted — </w:t>
      </w:r>
    </w:p>
    <w:p>
      <w:pPr>
        <w:pStyle w:val="MiscOpen"/>
        <w:ind w:left="600"/>
      </w:pPr>
      <w:r>
        <w:t xml:space="preserve">“    </w:t>
      </w:r>
    </w:p>
    <w:p>
      <w:pPr>
        <w:pStyle w:val="nzSubsection"/>
      </w:pPr>
      <w:r>
        <w:tab/>
        <w:t>(1a)</w:t>
      </w:r>
      <w:r>
        <w:tab/>
        <w:t xml:space="preserve">In subsection (1)(ca)(ii) — </w:t>
      </w:r>
    </w:p>
    <w:p>
      <w:pPr>
        <w:pStyle w:val="nzDefstart"/>
      </w:pPr>
      <w:r>
        <w:rPr>
          <w:b/>
        </w:rPr>
        <w:tab/>
        <w:t>“</w:t>
      </w:r>
      <w:r>
        <w:rPr>
          <w:rStyle w:val="CharDefText"/>
        </w:rPr>
        <w:t>relevant mining proposal</w:t>
      </w:r>
      <w:r>
        <w:rPr>
          <w:b/>
        </w:rPr>
        <w:t>”</w:t>
      </w:r>
      <w:r>
        <w:t xml:space="preserve"> means — </w:t>
      </w:r>
    </w:p>
    <w:p>
      <w:pPr>
        <w:pStyle w:val="nzDefpara"/>
      </w:pPr>
      <w:r>
        <w:tab/>
        <w:t>(a)</w:t>
      </w:r>
      <w:r>
        <w:tab/>
        <w:t>a mining proposal that accompanied the application for the mining lease under section 74(1)(ca); or</w:t>
      </w:r>
    </w:p>
    <w:p>
      <w:pPr>
        <w:pStyle w:val="nzDefpara"/>
      </w:pPr>
      <w:r>
        <w:tab/>
        <w:t>(b)</w:t>
      </w:r>
      <w:r>
        <w:tab/>
        <w:t>a mining proposal for which there is approval as described in section 82A(2)(b).</w:t>
      </w:r>
    </w:p>
    <w:p>
      <w:pPr>
        <w:pStyle w:val="nz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MiscClose"/>
      </w:pPr>
      <w:r>
        <w:t xml:space="preserve">    ”.</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nzHeading5"/>
      </w:pPr>
      <w:bookmarkStart w:id="2032" w:name="_Toc87061484"/>
      <w:r>
        <w:rPr>
          <w:rStyle w:val="CharSectno"/>
        </w:rPr>
        <w:t>33</w:t>
      </w:r>
      <w:r>
        <w:t>.</w:t>
      </w:r>
      <w:r>
        <w:tab/>
        <w:t>Section 82A inserted</w:t>
      </w:r>
      <w:bookmarkEnd w:id="2032"/>
    </w:p>
    <w:p>
      <w:pPr>
        <w:pStyle w:val="nzSubsection"/>
      </w:pPr>
      <w:r>
        <w:tab/>
      </w:r>
      <w:r>
        <w:tab/>
        <w:t xml:space="preserve">After section 82 the following section is inserted — </w:t>
      </w:r>
    </w:p>
    <w:p>
      <w:pPr>
        <w:pStyle w:val="MiscOpen"/>
      </w:pPr>
      <w:r>
        <w:t xml:space="preserve">“    </w:t>
      </w:r>
    </w:p>
    <w:p>
      <w:pPr>
        <w:pStyle w:val="nzHeading5"/>
      </w:pPr>
      <w:r>
        <w:t>82A.</w:t>
      </w:r>
      <w:r>
        <w:tab/>
        <w:t>Condition to be included in certain mining leases</w:t>
      </w:r>
    </w:p>
    <w:p>
      <w:pPr>
        <w:pStyle w:val="nzSubsection"/>
      </w:pPr>
      <w:r>
        <w:tab/>
        <w:t>(1)</w:t>
      </w:r>
      <w:r>
        <w:tab/>
        <w:t>This section applies to a mining lease if —</w:t>
      </w:r>
    </w:p>
    <w:p>
      <w:pPr>
        <w:pStyle w:val="nzIndenta"/>
      </w:pPr>
      <w:r>
        <w:tab/>
        <w:t>(a)</w:t>
      </w:r>
      <w:r>
        <w:tab/>
        <w:t xml:space="preserve">the application for the mining lease was made under this Act, but was not determined, before the commencement of section 33 of the </w:t>
      </w:r>
      <w:r>
        <w:rPr>
          <w:i/>
        </w:rPr>
        <w:t>Mining Amendment Act 2004</w:t>
      </w:r>
      <w:r>
        <w:t>; or</w:t>
      </w:r>
    </w:p>
    <w:p>
      <w:pPr>
        <w:pStyle w:val="nzIndenta"/>
      </w:pPr>
      <w:r>
        <w:tab/>
        <w:t>(b)</w:t>
      </w:r>
      <w:r>
        <w:tab/>
        <w:t>the application for the mining lease was accompanied by the documentation referred to in section 74(1)(ca)(ii).</w:t>
      </w:r>
    </w:p>
    <w:p>
      <w:pPr>
        <w:pStyle w:val="nzSubsection"/>
      </w:pPr>
      <w:r>
        <w:tab/>
        <w:t>(2)</w:t>
      </w:r>
      <w:r>
        <w:tab/>
        <w:t xml:space="preserve">Every mining lease to which this section applies shall be deemed to be granted subject to a condition requiring the lessee, before the lessee carries out mining operations of a prescribed kind on any part of the land the subject of the mining lease — </w:t>
      </w:r>
    </w:p>
    <w:p>
      <w:pPr>
        <w:pStyle w:val="nzIndenta"/>
      </w:pPr>
      <w:r>
        <w:tab/>
        <w:t>(a)</w:t>
      </w:r>
      <w:r>
        <w:tab/>
        <w:t>to lodge in the prescribed manner a mining proposal in respect of those operations; and</w:t>
      </w:r>
    </w:p>
    <w:p>
      <w:pPr>
        <w:pStyle w:val="nzIndenta"/>
      </w:pPr>
      <w:r>
        <w:tab/>
        <w:t>(b)</w:t>
      </w:r>
      <w:r>
        <w:tab/>
        <w:t>to obtain written approval for the mining proposal from a prescribed official.</w:t>
      </w:r>
    </w:p>
    <w:p>
      <w:pPr>
        <w:pStyle w:val="MiscClose"/>
      </w:pPr>
      <w:r>
        <w:t xml:space="preserve">    ”.</w:t>
      </w:r>
    </w:p>
    <w:p>
      <w:pPr>
        <w:pStyle w:val="nzHeading5"/>
      </w:pPr>
      <w:bookmarkStart w:id="2033" w:name="_Toc87061485"/>
      <w:r>
        <w:rPr>
          <w:rStyle w:val="CharSectno"/>
        </w:rPr>
        <w:t>34</w:t>
      </w:r>
      <w:r>
        <w:t>.</w:t>
      </w:r>
      <w:r>
        <w:tab/>
        <w:t>Section 85 amended</w:t>
      </w:r>
      <w:bookmarkEnd w:id="2033"/>
    </w:p>
    <w:p>
      <w:pPr>
        <w:pStyle w:val="nzSubsection"/>
      </w:pPr>
      <w:r>
        <w:tab/>
      </w:r>
      <w:r>
        <w:tab/>
        <w:t xml:space="preserve">Section 85(1) and (2) are each amended by inserting after “this Act” — </w:t>
      </w:r>
    </w:p>
    <w:p>
      <w:pPr>
        <w:pStyle w:val="MiscOpen"/>
        <w:ind w:left="880"/>
      </w:pPr>
      <w:r>
        <w:t xml:space="preserve">“    </w:t>
      </w:r>
    </w:p>
    <w:p>
      <w:pPr>
        <w:pStyle w:val="nzSubsection"/>
      </w:pPr>
      <w:r>
        <w:tab/>
      </w:r>
      <w:r>
        <w:tab/>
        <w:t>and to any conditions to which the mining lease is subject</w:t>
      </w:r>
    </w:p>
    <w:p>
      <w:pPr>
        <w:pStyle w:val="MiscClose"/>
      </w:pPr>
      <w:r>
        <w:t xml:space="preserve">    ”.</w:t>
      </w:r>
    </w:p>
    <w:p>
      <w:pPr>
        <w:pStyle w:val="nzHeading5"/>
      </w:pPr>
      <w:bookmarkStart w:id="2034" w:name="_Toc87061486"/>
      <w:r>
        <w:rPr>
          <w:rStyle w:val="CharSectno"/>
        </w:rPr>
        <w:t>35</w:t>
      </w:r>
      <w:r>
        <w:t>.</w:t>
      </w:r>
      <w:r>
        <w:tab/>
        <w:t>Transitional provision</w:t>
      </w:r>
      <w:bookmarkEnd w:id="2034"/>
    </w:p>
    <w:p>
      <w:pPr>
        <w:pStyle w:val="nzSubsection"/>
      </w:pPr>
      <w:r>
        <w:tab/>
        <w:t>(1)</w:t>
      </w:r>
      <w:r>
        <w:tab/>
        <w:t xml:space="preserve">In this section — </w:t>
      </w:r>
    </w:p>
    <w:p>
      <w:pPr>
        <w:pStyle w:val="nzDefstart"/>
      </w:pPr>
      <w:r>
        <w:rPr>
          <w:b/>
        </w:rPr>
        <w:tab/>
        <w:t>“</w:t>
      </w:r>
      <w:r>
        <w:rPr>
          <w:rStyle w:val="CharDefText"/>
        </w:rPr>
        <w:t>commencement</w:t>
      </w:r>
      <w:r>
        <w:rPr>
          <w:b/>
        </w:rPr>
        <w:t>”</w:t>
      </w:r>
      <w:r>
        <w:t xml:space="preserve"> means the commencement of this Part;</w:t>
      </w:r>
    </w:p>
    <w:p>
      <w:pPr>
        <w:pStyle w:val="nzDefstart"/>
      </w:pPr>
      <w:r>
        <w:rPr>
          <w:b/>
        </w:rPr>
        <w:tab/>
        <w:t>“</w:t>
      </w:r>
      <w:r>
        <w:rPr>
          <w:rStyle w:val="CharDefText"/>
        </w:rPr>
        <w:t>old provisions</w:t>
      </w:r>
      <w:r>
        <w:rPr>
          <w:b/>
        </w:rPr>
        <w:t>”</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nzHeading2"/>
        <w:rPr>
          <w:rStyle w:val="CharPartNo"/>
        </w:rPr>
      </w:pPr>
      <w:bookmarkStart w:id="2035" w:name="_Toc66772761"/>
      <w:bookmarkStart w:id="2036" w:name="_Toc66774162"/>
      <w:bookmarkStart w:id="2037" w:name="_Toc66774393"/>
      <w:bookmarkStart w:id="2038" w:name="_Toc67107357"/>
      <w:bookmarkStart w:id="2039" w:name="_Toc67107834"/>
      <w:bookmarkStart w:id="2040" w:name="_Toc67113515"/>
      <w:bookmarkStart w:id="2041" w:name="_Toc67118765"/>
      <w:bookmarkStart w:id="2042" w:name="_Toc67119376"/>
      <w:bookmarkStart w:id="2043" w:name="_Toc67119551"/>
      <w:bookmarkStart w:id="2044" w:name="_Toc67130660"/>
      <w:bookmarkStart w:id="2045" w:name="_Toc67133695"/>
      <w:bookmarkStart w:id="2046" w:name="_Toc67193857"/>
      <w:bookmarkStart w:id="2047" w:name="_Toc67206022"/>
      <w:bookmarkStart w:id="2048" w:name="_Toc67209208"/>
      <w:bookmarkStart w:id="2049" w:name="_Toc67209447"/>
      <w:bookmarkStart w:id="2050" w:name="_Toc67291537"/>
      <w:bookmarkStart w:id="2051" w:name="_Toc67300483"/>
      <w:bookmarkStart w:id="2052" w:name="_Toc67301629"/>
      <w:bookmarkStart w:id="2053" w:name="_Toc67301835"/>
      <w:bookmarkStart w:id="2054" w:name="_Toc67302131"/>
      <w:bookmarkStart w:id="2055" w:name="_Toc67721802"/>
      <w:bookmarkStart w:id="2056" w:name="_Toc67722012"/>
      <w:bookmarkStart w:id="2057" w:name="_Toc67722258"/>
      <w:bookmarkStart w:id="2058" w:name="_Toc67724604"/>
      <w:bookmarkStart w:id="2059" w:name="_Toc67799515"/>
      <w:bookmarkStart w:id="2060" w:name="_Toc67806320"/>
      <w:bookmarkStart w:id="2061" w:name="_Toc67807142"/>
      <w:bookmarkStart w:id="2062" w:name="_Toc67808156"/>
      <w:bookmarkStart w:id="2063" w:name="_Toc67808433"/>
      <w:bookmarkStart w:id="2064" w:name="_Toc67809867"/>
      <w:bookmarkStart w:id="2065" w:name="_Toc67813916"/>
      <w:bookmarkStart w:id="2066" w:name="_Toc67814238"/>
      <w:bookmarkStart w:id="2067" w:name="_Toc67911097"/>
      <w:bookmarkStart w:id="2068" w:name="_Toc67912075"/>
      <w:bookmarkStart w:id="2069" w:name="_Toc67980312"/>
      <w:bookmarkStart w:id="2070" w:name="_Toc67980420"/>
      <w:bookmarkStart w:id="2071" w:name="_Toc67980704"/>
      <w:bookmarkStart w:id="2072" w:name="_Toc67981226"/>
      <w:bookmarkStart w:id="2073" w:name="_Toc67981413"/>
      <w:bookmarkStart w:id="2074" w:name="_Toc67981987"/>
      <w:bookmarkStart w:id="2075" w:name="_Toc67997385"/>
      <w:bookmarkStart w:id="2076" w:name="_Toc68063340"/>
      <w:bookmarkStart w:id="2077" w:name="_Toc68070437"/>
      <w:bookmarkStart w:id="2078" w:name="_Toc68315369"/>
      <w:bookmarkStart w:id="2079" w:name="_Toc68321132"/>
      <w:bookmarkStart w:id="2080" w:name="_Toc68321239"/>
      <w:bookmarkStart w:id="2081" w:name="_Toc68321346"/>
      <w:bookmarkStart w:id="2082" w:name="_Toc68323972"/>
      <w:bookmarkStart w:id="2083" w:name="_Toc68325669"/>
      <w:bookmarkStart w:id="2084" w:name="_Toc68490844"/>
      <w:bookmarkStart w:id="2085" w:name="_Toc68495016"/>
      <w:bookmarkStart w:id="2086" w:name="_Toc68505833"/>
      <w:bookmarkStart w:id="2087" w:name="_Toc68506541"/>
      <w:bookmarkStart w:id="2088" w:name="_Toc68513253"/>
      <w:bookmarkStart w:id="2089" w:name="_Toc68515264"/>
      <w:bookmarkStart w:id="2090" w:name="_Toc68516466"/>
      <w:bookmarkStart w:id="2091" w:name="_Toc68517738"/>
      <w:bookmarkStart w:id="2092" w:name="_Toc68518057"/>
      <w:bookmarkStart w:id="2093" w:name="_Toc68518254"/>
      <w:bookmarkStart w:id="2094" w:name="_Toc68588058"/>
      <w:bookmarkStart w:id="2095" w:name="_Toc68943927"/>
      <w:bookmarkStart w:id="2096" w:name="_Toc68944689"/>
      <w:bookmarkStart w:id="2097" w:name="_Toc68945496"/>
      <w:bookmarkStart w:id="2098" w:name="_Toc68946897"/>
      <w:bookmarkStart w:id="2099" w:name="_Toc68950735"/>
      <w:bookmarkStart w:id="2100" w:name="_Toc69017062"/>
      <w:bookmarkStart w:id="2101" w:name="_Toc69021834"/>
      <w:bookmarkStart w:id="2102" w:name="_Toc69022090"/>
      <w:bookmarkStart w:id="2103" w:name="_Toc69030818"/>
      <w:bookmarkStart w:id="2104" w:name="_Toc69100511"/>
      <w:bookmarkStart w:id="2105" w:name="_Toc69102757"/>
      <w:bookmarkStart w:id="2106" w:name="_Toc69117313"/>
      <w:bookmarkStart w:id="2107" w:name="_Toc69118019"/>
      <w:bookmarkStart w:id="2108" w:name="_Toc69271742"/>
      <w:bookmarkStart w:id="2109" w:name="_Toc69274119"/>
      <w:bookmarkStart w:id="2110" w:name="_Toc69274568"/>
      <w:bookmarkStart w:id="2111" w:name="_Toc69275326"/>
      <w:bookmarkStart w:id="2112" w:name="_Toc69275621"/>
      <w:bookmarkStart w:id="2113" w:name="_Toc69278387"/>
      <w:bookmarkStart w:id="2114" w:name="_Toc69280737"/>
      <w:bookmarkStart w:id="2115" w:name="_Toc69281078"/>
      <w:bookmarkStart w:id="2116" w:name="_Toc69281187"/>
      <w:bookmarkStart w:id="2117" w:name="_Toc69281354"/>
      <w:bookmarkStart w:id="2118" w:name="_Toc70327097"/>
      <w:bookmarkStart w:id="2119" w:name="_Toc70405235"/>
      <w:bookmarkStart w:id="2120" w:name="_Toc70995398"/>
      <w:bookmarkStart w:id="2121" w:name="_Toc71712526"/>
      <w:bookmarkStart w:id="2122" w:name="_Toc71713981"/>
      <w:bookmarkStart w:id="2123" w:name="_Toc71878724"/>
      <w:bookmarkStart w:id="2124" w:name="_Toc71880068"/>
      <w:bookmarkStart w:id="2125" w:name="_Toc71884449"/>
      <w:bookmarkStart w:id="2126" w:name="_Toc71887027"/>
      <w:bookmarkStart w:id="2127" w:name="_Toc71887268"/>
      <w:bookmarkStart w:id="2128" w:name="_Toc71953174"/>
      <w:bookmarkStart w:id="2129" w:name="_Toc71953317"/>
      <w:bookmarkStart w:id="2130" w:name="_Toc71957064"/>
      <w:bookmarkStart w:id="2131" w:name="_Toc71963695"/>
      <w:bookmarkStart w:id="2132" w:name="_Toc71969787"/>
      <w:bookmarkStart w:id="2133" w:name="_Toc71969896"/>
      <w:bookmarkStart w:id="2134" w:name="_Toc71973499"/>
      <w:bookmarkStart w:id="2135" w:name="_Toc71975613"/>
      <w:bookmarkStart w:id="2136" w:name="_Toc71976421"/>
      <w:bookmarkStart w:id="2137" w:name="_Toc72026815"/>
      <w:bookmarkStart w:id="2138" w:name="_Toc72027073"/>
      <w:bookmarkStart w:id="2139" w:name="_Toc72029130"/>
      <w:bookmarkStart w:id="2140" w:name="_Toc72044657"/>
      <w:bookmarkStart w:id="2141" w:name="_Toc72044767"/>
      <w:bookmarkStart w:id="2142" w:name="_Toc72049686"/>
      <w:bookmarkStart w:id="2143" w:name="_Toc72049798"/>
      <w:bookmarkStart w:id="2144" w:name="_Toc72748200"/>
      <w:bookmarkStart w:id="2145" w:name="_Toc72812745"/>
      <w:bookmarkStart w:id="2146" w:name="_Toc72827610"/>
      <w:bookmarkStart w:id="2147" w:name="_Toc73154116"/>
      <w:bookmarkStart w:id="2148" w:name="_Toc73154543"/>
      <w:bookmarkStart w:id="2149" w:name="_Toc73156302"/>
      <w:bookmarkStart w:id="2150" w:name="_Toc73156422"/>
      <w:bookmarkStart w:id="2151" w:name="_Toc73158389"/>
      <w:bookmarkStart w:id="2152" w:name="_Toc73158717"/>
      <w:bookmarkStart w:id="2153" w:name="_Toc73159082"/>
      <w:bookmarkStart w:id="2154" w:name="_Toc73159223"/>
      <w:bookmarkStart w:id="2155" w:name="_Toc73159898"/>
      <w:bookmarkStart w:id="2156" w:name="_Toc73160825"/>
      <w:bookmarkStart w:id="2157" w:name="_Toc73161619"/>
      <w:bookmarkStart w:id="2158" w:name="_Toc73161790"/>
      <w:bookmarkStart w:id="2159" w:name="_Toc73164223"/>
      <w:bookmarkStart w:id="2160" w:name="_Toc73179792"/>
      <w:bookmarkStart w:id="2161" w:name="_Toc73184333"/>
      <w:bookmarkStart w:id="2162" w:name="_Toc73241602"/>
      <w:bookmarkStart w:id="2163" w:name="_Toc73242164"/>
      <w:bookmarkStart w:id="2164" w:name="_Toc73242904"/>
      <w:bookmarkStart w:id="2165" w:name="_Toc73243021"/>
      <w:bookmarkStart w:id="2166" w:name="_Toc73243138"/>
      <w:bookmarkStart w:id="2167" w:name="_Toc73245193"/>
      <w:bookmarkStart w:id="2168" w:name="_Toc73246003"/>
      <w:bookmarkStart w:id="2169" w:name="_Toc73251521"/>
      <w:bookmarkStart w:id="2170" w:name="_Toc73258517"/>
      <w:bookmarkStart w:id="2171" w:name="_Toc73259598"/>
      <w:bookmarkStart w:id="2172" w:name="_Toc73421935"/>
      <w:bookmarkStart w:id="2173" w:name="_Toc73427336"/>
      <w:bookmarkStart w:id="2174" w:name="_Toc73428262"/>
      <w:bookmarkStart w:id="2175" w:name="_Toc73428379"/>
      <w:bookmarkStart w:id="2176" w:name="_Toc73428496"/>
      <w:bookmarkStart w:id="2177" w:name="_Toc73428750"/>
      <w:bookmarkStart w:id="2178" w:name="_Toc73428983"/>
      <w:bookmarkStart w:id="2179" w:name="_Toc73429471"/>
      <w:bookmarkStart w:id="2180" w:name="_Toc73436623"/>
      <w:bookmarkStart w:id="2181" w:name="_Toc73437466"/>
      <w:bookmarkStart w:id="2182" w:name="_Toc81200153"/>
      <w:bookmarkStart w:id="2183" w:name="_Toc81201764"/>
      <w:bookmarkStart w:id="2184" w:name="_Toc81209018"/>
      <w:r>
        <w:rPr>
          <w:rStyle w:val="CharPartNo"/>
        </w:rPr>
        <w:t>Part 7 — Amendments about securities</w:t>
      </w:r>
      <w:bookmarkEnd w:id="1653"/>
      <w:bookmarkEnd w:id="1654"/>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2028"/>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p>
    <w:p>
      <w:pPr>
        <w:pStyle w:val="nzHeading5"/>
      </w:pPr>
      <w:bookmarkStart w:id="2185" w:name="_Toc87061487"/>
      <w:r>
        <w:rPr>
          <w:rStyle w:val="CharSectno"/>
        </w:rPr>
        <w:t>36</w:t>
      </w:r>
      <w:r>
        <w:t>.</w:t>
      </w:r>
      <w:r>
        <w:tab/>
        <w:t>Section 70F replaced and transitional provision</w:t>
      </w:r>
      <w:bookmarkEnd w:id="2185"/>
    </w:p>
    <w:p>
      <w:pPr>
        <w:pStyle w:val="nzSubsection"/>
      </w:pPr>
      <w:r>
        <w:tab/>
        <w:t>(1)</w:t>
      </w:r>
      <w:r>
        <w:tab/>
        <w:t xml:space="preserve">Section 70F is repealed and the following section is inserted instead — </w:t>
      </w:r>
    </w:p>
    <w:p>
      <w:pPr>
        <w:pStyle w:val="MiscOpen"/>
      </w:pPr>
      <w:r>
        <w:t xml:space="preserve">“    </w:t>
      </w:r>
    </w:p>
    <w:p>
      <w:pPr>
        <w:pStyle w:val="nzHeading5"/>
      </w:pPr>
      <w:r>
        <w:t>70F.</w:t>
      </w:r>
      <w:r>
        <w:tab/>
        <w:t>Security relating to retention licence</w:t>
      </w:r>
    </w:p>
    <w:p>
      <w:pPr>
        <w:pStyle w:val="nzSubsection"/>
      </w:pPr>
      <w:r>
        <w:tab/>
        <w:t>(1)</w:t>
      </w:r>
      <w:r>
        <w:tab/>
        <w:t>The applicant for a retention licence shall lodge at the office of the mining registrar, within the prescribed period, a security for compliance with —</w:t>
      </w:r>
    </w:p>
    <w:p>
      <w:pPr>
        <w:pStyle w:val="nzIndenta"/>
      </w:pPr>
      <w:r>
        <w:tab/>
        <w:t>(a)</w:t>
      </w:r>
      <w:r>
        <w:tab/>
        <w:t>the conditions to which the retention licence, if granted, will from time to time be subject; and</w:t>
      </w:r>
    </w:p>
    <w:p>
      <w:pPr>
        <w:pStyle w:val="nzIndenta"/>
      </w:pPr>
      <w:r>
        <w:tab/>
        <w:t>(b)</w:t>
      </w:r>
      <w:r>
        <w:tab/>
        <w:t>the provisions of this Part and the regulations.</w:t>
      </w:r>
    </w:p>
    <w:p>
      <w:pPr>
        <w:pStyle w:val="nzSubsection"/>
      </w:pPr>
      <w:r>
        <w:tab/>
        <w:t>(2)</w:t>
      </w:r>
      <w:r>
        <w:tab/>
        <w:t>The Minister may require the holder of a retention licence to lodge at the office of the mining registrar or the Department at Perth, within such period as the Minister specifies in writing, an additional security for compliance with conditions imposed in relation to the licence under section 70I.</w:t>
      </w:r>
    </w:p>
    <w:p>
      <w:pPr>
        <w:pStyle w:val="nzSubsection"/>
      </w:pPr>
      <w:r>
        <w:tab/>
        <w:t>(3)</w:t>
      </w:r>
      <w:r>
        <w:tab/>
        <w:t>A security referred to in subsection (1) or (2) shall be in accordance with and subject to section 126.</w:t>
      </w:r>
    </w:p>
    <w:p>
      <w:pPr>
        <w:pStyle w:val="nzSubsection"/>
      </w:pPr>
      <w:r>
        <w:tab/>
        <w:t>(4)</w:t>
      </w:r>
      <w:r>
        <w:tab/>
        <w:t>A retention licence shall not be granted unless a security has been lodged by the applicant for the retention licence in accordance with subsection (1).</w:t>
      </w:r>
    </w:p>
    <w:p>
      <w:pPr>
        <w:pStyle w:val="nzSubsection"/>
      </w:pPr>
      <w:r>
        <w:tab/>
        <w:t>(5)</w:t>
      </w:r>
      <w:r>
        <w:tab/>
        <w:t>Notwithstanding section 154(1), an applicant for a retention licence who fails to comply with subsection (1) does not commit an offence against this Act.</w:t>
      </w:r>
    </w:p>
    <w:p>
      <w:pPr>
        <w:pStyle w:val="MiscClose"/>
      </w:pPr>
      <w:r>
        <w:t xml:space="preserve">    ”.</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xml:space="preserve"> —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nzHeading5"/>
      </w:pPr>
      <w:bookmarkStart w:id="2186" w:name="_Toc87061488"/>
      <w:r>
        <w:rPr>
          <w:rStyle w:val="CharSectno"/>
        </w:rPr>
        <w:t>37</w:t>
      </w:r>
      <w:r>
        <w:t>.</w:t>
      </w:r>
      <w:r>
        <w:tab/>
        <w:t>Section 70K amended</w:t>
      </w:r>
      <w:bookmarkEnd w:id="2186"/>
    </w:p>
    <w:p>
      <w:pPr>
        <w:pStyle w:val="nzSubsection"/>
      </w:pPr>
      <w:r>
        <w:tab/>
      </w:r>
      <w:r>
        <w:tab/>
        <w:t xml:space="preserve">Section 70K(bb) is amended by deleting “70F(1)” and inserting instead — </w:t>
      </w:r>
    </w:p>
    <w:p>
      <w:pPr>
        <w:pStyle w:val="nzSubsection"/>
      </w:pPr>
      <w:r>
        <w:tab/>
      </w:r>
      <w:r>
        <w:tab/>
        <w:t>“    70F(2)    ”.</w:t>
      </w:r>
    </w:p>
    <w:p>
      <w:pPr>
        <w:pStyle w:val="nzHeading5"/>
      </w:pPr>
      <w:bookmarkStart w:id="2187" w:name="_Toc87061489"/>
      <w:r>
        <w:rPr>
          <w:rStyle w:val="CharSectno"/>
        </w:rPr>
        <w:t>38</w:t>
      </w:r>
      <w:r>
        <w:t>.</w:t>
      </w:r>
      <w:r>
        <w:tab/>
        <w:t>Section 82 amended</w:t>
      </w:r>
      <w:bookmarkEnd w:id="2187"/>
    </w:p>
    <w:p>
      <w:pPr>
        <w:pStyle w:val="nzSubsection"/>
      </w:pPr>
      <w:r>
        <w:tab/>
      </w:r>
      <w:r>
        <w:tab/>
        <w:t xml:space="preserve">Section 82(1)(g) is amended by deleting “84A(1)” and inserting instead — </w:t>
      </w:r>
    </w:p>
    <w:p>
      <w:pPr>
        <w:pStyle w:val="nzSubsection"/>
      </w:pPr>
      <w:r>
        <w:tab/>
      </w:r>
      <w:r>
        <w:tab/>
        <w:t>“    84A(2)    ”.</w:t>
      </w:r>
    </w:p>
    <w:p>
      <w:pPr>
        <w:pStyle w:val="nzHeading5"/>
      </w:pPr>
      <w:bookmarkStart w:id="2188" w:name="_Toc87061490"/>
      <w:r>
        <w:rPr>
          <w:rStyle w:val="CharSectno"/>
        </w:rPr>
        <w:t>39</w:t>
      </w:r>
      <w:r>
        <w:t>.</w:t>
      </w:r>
      <w:r>
        <w:tab/>
        <w:t>Section 84A replaced and transitional provision</w:t>
      </w:r>
      <w:bookmarkEnd w:id="2188"/>
    </w:p>
    <w:p>
      <w:pPr>
        <w:pStyle w:val="nzSubsection"/>
      </w:pPr>
      <w:r>
        <w:tab/>
        <w:t>(1)</w:t>
      </w:r>
      <w:r>
        <w:tab/>
        <w:t xml:space="preserve">Section 84A is repealed and the following section is inserted instead — </w:t>
      </w:r>
    </w:p>
    <w:p>
      <w:pPr>
        <w:pStyle w:val="MiscOpen"/>
      </w:pPr>
      <w:r>
        <w:t xml:space="preserve">“    </w:t>
      </w:r>
    </w:p>
    <w:p>
      <w:pPr>
        <w:pStyle w:val="nzHeading5"/>
      </w:pPr>
      <w:r>
        <w:t>84A.</w:t>
      </w:r>
      <w:r>
        <w:tab/>
        <w:t>Security relating to mining lease</w:t>
      </w:r>
    </w:p>
    <w:p>
      <w:pPr>
        <w:pStyle w:val="nzSubsection"/>
      </w:pPr>
      <w:r>
        <w:tab/>
        <w:t>(1)</w:t>
      </w:r>
      <w:r>
        <w:tab/>
        <w:t xml:space="preserve">The applicant for a mining lease shall lodge at the office of the mining registrar, within the prescribed period, a security for compliance with — </w:t>
      </w:r>
    </w:p>
    <w:p>
      <w:pPr>
        <w:pStyle w:val="nzIndenta"/>
      </w:pPr>
      <w:r>
        <w:tab/>
        <w:t>(a)</w:t>
      </w:r>
      <w:r>
        <w:tab/>
        <w:t>the conditions to which the mining lease, if granted, will from time to time be subject; and</w:t>
      </w:r>
    </w:p>
    <w:p>
      <w:pPr>
        <w:pStyle w:val="nzIndenta"/>
      </w:pPr>
      <w:r>
        <w:tab/>
        <w:t>(b)</w:t>
      </w:r>
      <w:r>
        <w:tab/>
        <w:t>the provisions of this Part and the regulations.</w:t>
      </w:r>
    </w:p>
    <w:p>
      <w:pPr>
        <w:pStyle w:val="nzSubsection"/>
      </w:pPr>
      <w:r>
        <w:tab/>
        <w:t>(2)</w:t>
      </w:r>
      <w:r>
        <w:tab/>
        <w:t>The Minister may require the holder of a mining lease to lodge at the office of the mining registrar or the Department at Perth, within such period as the Minister specifies in writing, an additional security for compliance with conditions imposed in relation to the lease under section 84.</w:t>
      </w:r>
    </w:p>
    <w:p>
      <w:pPr>
        <w:pStyle w:val="nzSubsection"/>
      </w:pPr>
      <w:r>
        <w:tab/>
        <w:t>(3)</w:t>
      </w:r>
      <w:r>
        <w:tab/>
        <w:t>A security referred to in subsection (1) or (2) shall be in accordance with and subject to section 126.</w:t>
      </w:r>
    </w:p>
    <w:p>
      <w:pPr>
        <w:pStyle w:val="nzSubsection"/>
      </w:pPr>
      <w:r>
        <w:tab/>
        <w:t>(4)</w:t>
      </w:r>
      <w:r>
        <w:tab/>
        <w:t>A mining lease shall not be granted unless a security has been lodged by the applicant for the mining lease in accordance with subsection (1).</w:t>
      </w:r>
    </w:p>
    <w:p>
      <w:pPr>
        <w:pStyle w:val="nzSubsection"/>
      </w:pPr>
      <w:r>
        <w:tab/>
        <w:t>(5)</w:t>
      </w:r>
      <w:r>
        <w:tab/>
        <w:t>Notwithstanding section 154(1), an applicant for a mining lease who fails to comply with subsection (1) does not commit an offence against this Act.</w:t>
      </w:r>
    </w:p>
    <w:p>
      <w:pPr>
        <w:pStyle w:val="MiscClose"/>
      </w:pPr>
      <w:r>
        <w:t xml:space="preserve">    ”.</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xml:space="preserve"> —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nzHeading5"/>
      </w:pPr>
      <w:bookmarkStart w:id="2189" w:name="_Toc87061491"/>
      <w:r>
        <w:rPr>
          <w:rStyle w:val="CharSectno"/>
        </w:rPr>
        <w:t>40</w:t>
      </w:r>
      <w:r>
        <w:t>.</w:t>
      </w:r>
      <w:r>
        <w:tab/>
        <w:t>Section 92 amended</w:t>
      </w:r>
      <w:bookmarkEnd w:id="2189"/>
    </w:p>
    <w:p>
      <w:pPr>
        <w:pStyle w:val="nzSubsection"/>
      </w:pPr>
      <w:r>
        <w:tab/>
      </w:r>
      <w:r>
        <w:tab/>
        <w:t>Section 92 is amended by deleting “(1a)”.</w:t>
      </w:r>
    </w:p>
    <w:p>
      <w:pPr>
        <w:pStyle w:val="nzHeading5"/>
      </w:pPr>
      <w:bookmarkStart w:id="2190" w:name="_Toc87061492"/>
      <w:r>
        <w:rPr>
          <w:rStyle w:val="CharSectno"/>
        </w:rPr>
        <w:t>41</w:t>
      </w:r>
      <w:r>
        <w:t>.</w:t>
      </w:r>
      <w:r>
        <w:tab/>
        <w:t>Section 126 amended</w:t>
      </w:r>
      <w:bookmarkEnd w:id="2190"/>
    </w:p>
    <w:p>
      <w:pPr>
        <w:pStyle w:val="nzSubsection"/>
      </w:pPr>
      <w:r>
        <w:tab/>
        <w:t>(1)</w:t>
      </w:r>
      <w:r>
        <w:tab/>
        <w:t>Section 126(1)(a) is amended as follows:</w:t>
      </w:r>
    </w:p>
    <w:p>
      <w:pPr>
        <w:pStyle w:val="nzIndenta"/>
      </w:pPr>
      <w:r>
        <w:tab/>
        <w:t>(a)</w:t>
      </w:r>
      <w:r>
        <w:tab/>
        <w:t xml:space="preserve">in subparagraph (i) by deleting “70F or 84A” and inserting instead — </w:t>
      </w:r>
    </w:p>
    <w:p>
      <w:pPr>
        <w:pStyle w:val="nzIndenta"/>
      </w:pPr>
      <w:r>
        <w:tab/>
      </w:r>
      <w:r>
        <w:tab/>
        <w:t>“    70F(2) or 84A(2)    ”;</w:t>
      </w:r>
    </w:p>
    <w:p>
      <w:pPr>
        <w:pStyle w:val="nzIndenta"/>
      </w:pPr>
      <w:r>
        <w:tab/>
        <w:t>(b)</w:t>
      </w:r>
      <w:r>
        <w:tab/>
        <w:t xml:space="preserve">by deleting subparagraph (ii) and inserting the following subparagraph instead — </w:t>
      </w:r>
    </w:p>
    <w:p>
      <w:pPr>
        <w:pStyle w:val="MiscOpen"/>
        <w:ind w:left="2041"/>
      </w:pPr>
      <w:r>
        <w:t xml:space="preserve">“    </w:t>
      </w:r>
    </w:p>
    <w:p>
      <w:pPr>
        <w:pStyle w:val="nzIndenti"/>
      </w:pPr>
      <w:r>
        <w:tab/>
        <w:t>(ii)</w:t>
      </w:r>
      <w:r>
        <w:tab/>
        <w:t>in the case of a security referred to in section 52(1), 60(1), 70F(1) or 84A(1), as is prescribed;</w:t>
      </w:r>
    </w:p>
    <w:p>
      <w:pPr>
        <w:pStyle w:val="MiscClose"/>
      </w:pPr>
      <w:r>
        <w:t xml:space="preserve">    ”.</w:t>
      </w:r>
    </w:p>
    <w:p>
      <w:pPr>
        <w:pStyle w:val="nzSubsection"/>
      </w:pPr>
      <w:r>
        <w:tab/>
        <w:t>(2)</w:t>
      </w:r>
      <w:r>
        <w:tab/>
        <w:t xml:space="preserve">After section 126(7) the following subsection is inserted — </w:t>
      </w:r>
    </w:p>
    <w:p>
      <w:pPr>
        <w:pStyle w:val="MiscOpen"/>
        <w:ind w:left="595"/>
      </w:pPr>
      <w:r>
        <w:t xml:space="preserve">“    </w:t>
      </w:r>
    </w:p>
    <w:p>
      <w:pPr>
        <w:pStyle w:val="nz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MiscClose"/>
      </w:pPr>
      <w:r>
        <w:t xml:space="preserve">    ”.</w:t>
      </w:r>
    </w:p>
    <w:p>
      <w:pPr>
        <w:pStyle w:val="nzHeading2"/>
        <w:rPr>
          <w:rStyle w:val="CharPartNo"/>
        </w:rPr>
      </w:pPr>
      <w:bookmarkStart w:id="2191" w:name="_Toc57629794"/>
      <w:bookmarkStart w:id="2192" w:name="_Toc57689970"/>
      <w:bookmarkStart w:id="2193" w:name="_Toc65297835"/>
      <w:bookmarkStart w:id="2194" w:name="_Toc65297926"/>
      <w:bookmarkStart w:id="2195" w:name="_Toc65301693"/>
      <w:bookmarkStart w:id="2196" w:name="_Toc65379310"/>
      <w:bookmarkStart w:id="2197" w:name="_Toc65389325"/>
      <w:bookmarkStart w:id="2198" w:name="_Toc65390250"/>
      <w:bookmarkStart w:id="2199" w:name="_Toc65390799"/>
      <w:bookmarkStart w:id="2200" w:name="_Toc65395244"/>
      <w:bookmarkStart w:id="2201" w:name="_Toc65396538"/>
      <w:bookmarkStart w:id="2202" w:name="_Toc65397463"/>
      <w:bookmarkStart w:id="2203" w:name="_Toc65999787"/>
      <w:bookmarkStart w:id="2204" w:name="_Toc65999942"/>
      <w:bookmarkStart w:id="2205" w:name="_Toc66000070"/>
      <w:bookmarkStart w:id="2206" w:name="_Toc66097253"/>
      <w:bookmarkStart w:id="2207" w:name="_Toc66173296"/>
      <w:bookmarkStart w:id="2208" w:name="_Toc66512446"/>
      <w:bookmarkStart w:id="2209" w:name="_Toc66523474"/>
      <w:bookmarkStart w:id="2210" w:name="_Toc66523571"/>
      <w:bookmarkStart w:id="2211" w:name="_Toc66527955"/>
      <w:bookmarkStart w:id="2212" w:name="_Toc66528349"/>
      <w:bookmarkStart w:id="2213" w:name="_Toc66528826"/>
      <w:bookmarkStart w:id="2214" w:name="_Toc66584504"/>
      <w:bookmarkStart w:id="2215" w:name="_Toc66584888"/>
      <w:bookmarkStart w:id="2216" w:name="_Toc66586527"/>
      <w:bookmarkStart w:id="2217" w:name="_Toc66586969"/>
      <w:bookmarkStart w:id="2218" w:name="_Toc66589390"/>
      <w:bookmarkStart w:id="2219" w:name="_Toc66589589"/>
      <w:bookmarkStart w:id="2220" w:name="_Toc66610333"/>
      <w:bookmarkStart w:id="2221" w:name="_Toc66614327"/>
      <w:bookmarkStart w:id="2222" w:name="_Toc66673577"/>
      <w:bookmarkStart w:id="2223" w:name="_Toc66673939"/>
      <w:bookmarkStart w:id="2224" w:name="_Toc66699357"/>
      <w:bookmarkStart w:id="2225" w:name="_Toc66700213"/>
      <w:bookmarkStart w:id="2226" w:name="_Toc66700554"/>
      <w:bookmarkStart w:id="2227" w:name="_Toc66700708"/>
      <w:bookmarkStart w:id="2228" w:name="_Toc66701287"/>
      <w:bookmarkStart w:id="2229" w:name="_Toc66772325"/>
      <w:bookmarkStart w:id="2230" w:name="_Toc66772768"/>
      <w:bookmarkStart w:id="2231" w:name="_Toc66774169"/>
      <w:bookmarkStart w:id="2232" w:name="_Toc66774400"/>
      <w:bookmarkStart w:id="2233" w:name="_Toc67107364"/>
      <w:bookmarkStart w:id="2234" w:name="_Toc67107841"/>
      <w:bookmarkStart w:id="2235" w:name="_Toc67113522"/>
      <w:bookmarkStart w:id="2236" w:name="_Toc67118772"/>
      <w:bookmarkStart w:id="2237" w:name="_Toc67119383"/>
      <w:bookmarkStart w:id="2238" w:name="_Toc67119558"/>
      <w:bookmarkStart w:id="2239" w:name="_Toc67130667"/>
      <w:bookmarkStart w:id="2240" w:name="_Toc67133702"/>
      <w:bookmarkStart w:id="2241" w:name="_Toc67193864"/>
      <w:bookmarkStart w:id="2242" w:name="_Toc67206029"/>
      <w:bookmarkStart w:id="2243" w:name="_Toc67209215"/>
      <w:bookmarkStart w:id="2244" w:name="_Toc67209454"/>
      <w:bookmarkStart w:id="2245" w:name="_Toc67291544"/>
      <w:bookmarkStart w:id="2246" w:name="_Toc67300490"/>
      <w:bookmarkStart w:id="2247" w:name="_Toc67301636"/>
      <w:bookmarkStart w:id="2248" w:name="_Toc67301842"/>
      <w:bookmarkStart w:id="2249" w:name="_Toc67302138"/>
      <w:bookmarkStart w:id="2250" w:name="_Toc67721809"/>
      <w:bookmarkStart w:id="2251" w:name="_Toc67722019"/>
      <w:bookmarkStart w:id="2252" w:name="_Toc67722265"/>
      <w:bookmarkStart w:id="2253" w:name="_Toc67724611"/>
      <w:bookmarkStart w:id="2254" w:name="_Toc67799522"/>
      <w:bookmarkStart w:id="2255" w:name="_Toc67806327"/>
      <w:bookmarkStart w:id="2256" w:name="_Toc67807149"/>
      <w:bookmarkStart w:id="2257" w:name="_Toc67808163"/>
      <w:bookmarkStart w:id="2258" w:name="_Toc67808440"/>
      <w:bookmarkStart w:id="2259" w:name="_Toc67809874"/>
      <w:bookmarkStart w:id="2260" w:name="_Toc67813923"/>
      <w:bookmarkStart w:id="2261" w:name="_Toc67814245"/>
      <w:bookmarkStart w:id="2262" w:name="_Toc67911104"/>
      <w:bookmarkStart w:id="2263" w:name="_Toc67912082"/>
      <w:bookmarkStart w:id="2264" w:name="_Toc67980319"/>
      <w:bookmarkStart w:id="2265" w:name="_Toc67980427"/>
      <w:bookmarkStart w:id="2266" w:name="_Toc67980711"/>
      <w:bookmarkStart w:id="2267" w:name="_Toc67981233"/>
      <w:bookmarkStart w:id="2268" w:name="_Toc67981420"/>
      <w:bookmarkStart w:id="2269" w:name="_Toc67981994"/>
      <w:bookmarkStart w:id="2270" w:name="_Toc67997392"/>
      <w:bookmarkStart w:id="2271" w:name="_Toc68063347"/>
      <w:bookmarkStart w:id="2272" w:name="_Toc68070444"/>
      <w:bookmarkStart w:id="2273" w:name="_Toc68315376"/>
      <w:bookmarkStart w:id="2274" w:name="_Toc68321139"/>
      <w:bookmarkStart w:id="2275" w:name="_Toc68321246"/>
      <w:bookmarkStart w:id="2276" w:name="_Toc68321353"/>
      <w:bookmarkStart w:id="2277" w:name="_Toc68323979"/>
      <w:bookmarkStart w:id="2278" w:name="_Toc68325676"/>
      <w:bookmarkStart w:id="2279" w:name="_Toc68490851"/>
      <w:bookmarkStart w:id="2280" w:name="_Toc68495023"/>
      <w:bookmarkStart w:id="2281" w:name="_Toc68505840"/>
      <w:bookmarkStart w:id="2282" w:name="_Toc68506548"/>
      <w:bookmarkStart w:id="2283" w:name="_Toc68513260"/>
      <w:bookmarkStart w:id="2284" w:name="_Toc68515271"/>
      <w:bookmarkStart w:id="2285" w:name="_Toc68516473"/>
      <w:bookmarkStart w:id="2286" w:name="_Toc68517745"/>
      <w:bookmarkStart w:id="2287" w:name="_Toc68518064"/>
      <w:bookmarkStart w:id="2288" w:name="_Toc68518261"/>
      <w:bookmarkStart w:id="2289" w:name="_Toc68588065"/>
      <w:bookmarkStart w:id="2290" w:name="_Toc68943934"/>
      <w:bookmarkStart w:id="2291" w:name="_Toc68944696"/>
      <w:bookmarkStart w:id="2292" w:name="_Toc68945503"/>
      <w:bookmarkStart w:id="2293" w:name="_Toc68946904"/>
      <w:bookmarkStart w:id="2294" w:name="_Toc68950742"/>
      <w:bookmarkStart w:id="2295" w:name="_Toc69017069"/>
      <w:bookmarkStart w:id="2296" w:name="_Toc69021841"/>
      <w:bookmarkStart w:id="2297" w:name="_Toc69022097"/>
      <w:bookmarkStart w:id="2298" w:name="_Toc69030825"/>
      <w:bookmarkStart w:id="2299" w:name="_Toc69100518"/>
      <w:bookmarkStart w:id="2300" w:name="_Toc69102764"/>
      <w:bookmarkStart w:id="2301" w:name="_Toc69117320"/>
      <w:bookmarkStart w:id="2302" w:name="_Toc69118026"/>
      <w:bookmarkStart w:id="2303" w:name="_Toc69271749"/>
      <w:bookmarkStart w:id="2304" w:name="_Toc69274126"/>
      <w:bookmarkStart w:id="2305" w:name="_Toc69274575"/>
      <w:bookmarkStart w:id="2306" w:name="_Toc69275333"/>
      <w:bookmarkStart w:id="2307" w:name="_Toc69275628"/>
      <w:bookmarkStart w:id="2308" w:name="_Toc69278394"/>
      <w:bookmarkStart w:id="2309" w:name="_Toc69280744"/>
      <w:bookmarkStart w:id="2310" w:name="_Toc69281085"/>
      <w:bookmarkStart w:id="2311" w:name="_Toc69281194"/>
      <w:bookmarkStart w:id="2312" w:name="_Toc69281361"/>
      <w:bookmarkStart w:id="2313" w:name="_Toc70327104"/>
      <w:bookmarkStart w:id="2314" w:name="_Toc70405242"/>
      <w:bookmarkStart w:id="2315" w:name="_Toc70995405"/>
      <w:bookmarkStart w:id="2316" w:name="_Toc71712533"/>
      <w:bookmarkStart w:id="2317" w:name="_Toc71713988"/>
      <w:bookmarkStart w:id="2318" w:name="_Toc71878731"/>
      <w:bookmarkStart w:id="2319" w:name="_Toc71880075"/>
      <w:bookmarkStart w:id="2320" w:name="_Toc71884456"/>
      <w:bookmarkStart w:id="2321" w:name="_Toc71887034"/>
      <w:bookmarkStart w:id="2322" w:name="_Toc71887275"/>
      <w:bookmarkStart w:id="2323" w:name="_Toc71953181"/>
      <w:bookmarkStart w:id="2324" w:name="_Toc71953324"/>
      <w:bookmarkStart w:id="2325" w:name="_Toc71957071"/>
      <w:bookmarkStart w:id="2326" w:name="_Toc71963702"/>
      <w:bookmarkStart w:id="2327" w:name="_Toc71969794"/>
      <w:bookmarkStart w:id="2328" w:name="_Toc71969903"/>
      <w:bookmarkStart w:id="2329" w:name="_Toc71973506"/>
      <w:bookmarkStart w:id="2330" w:name="_Toc71975620"/>
      <w:bookmarkStart w:id="2331" w:name="_Toc71976428"/>
      <w:bookmarkStart w:id="2332" w:name="_Toc72026822"/>
      <w:bookmarkStart w:id="2333" w:name="_Toc72027080"/>
      <w:bookmarkStart w:id="2334" w:name="_Toc72029137"/>
      <w:bookmarkStart w:id="2335" w:name="_Toc72044664"/>
      <w:bookmarkStart w:id="2336" w:name="_Toc72044774"/>
      <w:bookmarkStart w:id="2337" w:name="_Toc72049693"/>
      <w:bookmarkStart w:id="2338" w:name="_Toc72049805"/>
      <w:bookmarkStart w:id="2339" w:name="_Toc72748207"/>
      <w:bookmarkStart w:id="2340" w:name="_Toc72812752"/>
      <w:bookmarkStart w:id="2341" w:name="_Toc72827617"/>
      <w:bookmarkStart w:id="2342" w:name="_Toc73154123"/>
      <w:bookmarkStart w:id="2343" w:name="_Toc73154550"/>
      <w:bookmarkStart w:id="2344" w:name="_Toc73156309"/>
      <w:bookmarkStart w:id="2345" w:name="_Toc73156429"/>
      <w:bookmarkStart w:id="2346" w:name="_Toc73158396"/>
      <w:bookmarkStart w:id="2347" w:name="_Toc73158724"/>
      <w:bookmarkStart w:id="2348" w:name="_Toc73159089"/>
      <w:bookmarkStart w:id="2349" w:name="_Toc73159230"/>
      <w:bookmarkStart w:id="2350" w:name="_Toc73159905"/>
      <w:bookmarkStart w:id="2351" w:name="_Toc73160832"/>
      <w:bookmarkStart w:id="2352" w:name="_Toc73161626"/>
      <w:bookmarkStart w:id="2353" w:name="_Toc73161797"/>
      <w:bookmarkStart w:id="2354" w:name="_Toc73164230"/>
      <w:bookmarkStart w:id="2355" w:name="_Toc73179799"/>
      <w:bookmarkStart w:id="2356" w:name="_Toc73184340"/>
      <w:bookmarkStart w:id="2357" w:name="_Toc73241609"/>
      <w:bookmarkStart w:id="2358" w:name="_Toc73242171"/>
      <w:bookmarkStart w:id="2359" w:name="_Toc73242911"/>
      <w:bookmarkStart w:id="2360" w:name="_Toc73243028"/>
      <w:bookmarkStart w:id="2361" w:name="_Toc73243145"/>
      <w:bookmarkStart w:id="2362" w:name="_Toc73245200"/>
      <w:bookmarkStart w:id="2363" w:name="_Toc73246010"/>
      <w:bookmarkStart w:id="2364" w:name="_Toc73251528"/>
      <w:bookmarkStart w:id="2365" w:name="_Toc73258524"/>
      <w:bookmarkStart w:id="2366" w:name="_Toc73259605"/>
      <w:bookmarkStart w:id="2367" w:name="_Toc73421942"/>
      <w:bookmarkStart w:id="2368" w:name="_Toc73427343"/>
      <w:bookmarkStart w:id="2369" w:name="_Toc73428269"/>
      <w:bookmarkStart w:id="2370" w:name="_Toc73428386"/>
      <w:bookmarkStart w:id="2371" w:name="_Toc73428503"/>
      <w:bookmarkStart w:id="2372" w:name="_Toc73428757"/>
      <w:bookmarkStart w:id="2373" w:name="_Toc73428990"/>
      <w:bookmarkStart w:id="2374" w:name="_Toc73429478"/>
      <w:bookmarkStart w:id="2375" w:name="_Toc73436630"/>
      <w:bookmarkStart w:id="2376" w:name="_Toc73437473"/>
      <w:bookmarkStart w:id="2377" w:name="_Toc81200160"/>
      <w:bookmarkStart w:id="2378" w:name="_Toc81201771"/>
      <w:bookmarkStart w:id="2379" w:name="_Toc81209025"/>
      <w:r>
        <w:rPr>
          <w:rStyle w:val="CharPartNo"/>
        </w:rPr>
        <w:t>Part 8 — Amendments about geological samples</w:t>
      </w:r>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p>
    <w:p>
      <w:pPr>
        <w:pStyle w:val="nzHeading5"/>
      </w:pPr>
      <w:bookmarkStart w:id="2380" w:name="_Toc87061493"/>
      <w:r>
        <w:rPr>
          <w:rStyle w:val="CharSectno"/>
        </w:rPr>
        <w:t>42</w:t>
      </w:r>
      <w:r>
        <w:t>.</w:t>
      </w:r>
      <w:r>
        <w:tab/>
        <w:t>Section 8 amended</w:t>
      </w:r>
      <w:bookmarkEnd w:id="2380"/>
    </w:p>
    <w:p>
      <w:pPr>
        <w:pStyle w:val="nzSubsection"/>
      </w:pPr>
      <w:r>
        <w:tab/>
      </w:r>
      <w:r>
        <w:tab/>
        <w:t xml:space="preserve">Section 8(1) is amended by inserting after the definition of “fossick” the following definition — </w:t>
      </w:r>
    </w:p>
    <w:p>
      <w:pPr>
        <w:pStyle w:val="MiscOpen"/>
        <w:ind w:left="879"/>
      </w:pPr>
      <w:r>
        <w:t xml:space="preserve">“    </w:t>
      </w:r>
    </w:p>
    <w:p>
      <w:pPr>
        <w:pStyle w:val="nzDefstart"/>
      </w:pPr>
      <w:r>
        <w:rPr>
          <w:b/>
        </w:rPr>
        <w:tab/>
        <w:t>“</w:t>
      </w:r>
      <w:r>
        <w:rPr>
          <w:rStyle w:val="CharDefText"/>
        </w:rPr>
        <w:t>geological sample</w:t>
      </w:r>
      <w:r>
        <w:rPr>
          <w:b/>
        </w:rPr>
        <w:t>”</w:t>
      </w:r>
      <w:r>
        <w:t xml:space="preserve"> includes a drill core;</w:t>
      </w:r>
    </w:p>
    <w:p>
      <w:pPr>
        <w:pStyle w:val="MiscClose"/>
      </w:pPr>
      <w:r>
        <w:t xml:space="preserve">    ”.</w:t>
      </w:r>
    </w:p>
    <w:p>
      <w:pPr>
        <w:pStyle w:val="nzHeading5"/>
      </w:pPr>
      <w:bookmarkStart w:id="2381" w:name="_Toc87061494"/>
      <w:r>
        <w:rPr>
          <w:rStyle w:val="CharSectno"/>
        </w:rPr>
        <w:t>43</w:t>
      </w:r>
      <w:r>
        <w:t>.</w:t>
      </w:r>
      <w:r>
        <w:tab/>
        <w:t>Section 51A inserted</w:t>
      </w:r>
      <w:bookmarkEnd w:id="2381"/>
    </w:p>
    <w:p>
      <w:pPr>
        <w:pStyle w:val="nzSubsection"/>
      </w:pPr>
      <w:r>
        <w:tab/>
      </w:r>
      <w:r>
        <w:tab/>
        <w:t xml:space="preserve">After section 51 the following section is inserted — </w:t>
      </w:r>
    </w:p>
    <w:p>
      <w:pPr>
        <w:pStyle w:val="MiscOpen"/>
      </w:pPr>
      <w:r>
        <w:t xml:space="preserve">“    </w:t>
      </w:r>
    </w:p>
    <w:p>
      <w:pPr>
        <w:pStyle w:val="nzHeading5"/>
      </w:pPr>
      <w:r>
        <w:t>51A.</w:t>
      </w:r>
      <w:r>
        <w:tab/>
        <w:t>Geological samples</w:t>
      </w:r>
    </w:p>
    <w:p>
      <w:pPr>
        <w:pStyle w:val="nzSubsection"/>
      </w:pPr>
      <w:r>
        <w:tab/>
      </w:r>
      <w:r>
        <w:tab/>
        <w:t>The holder of a prospecting licence shall furnish to the Minister such geological samples obtained in the course of operations conducted by the holder under the licence as the Minister may request.</w:t>
      </w:r>
    </w:p>
    <w:p>
      <w:pPr>
        <w:pStyle w:val="MiscClose"/>
      </w:pPr>
      <w:r>
        <w:t xml:space="preserve">    ”.</w:t>
      </w:r>
    </w:p>
    <w:p>
      <w:pPr>
        <w:pStyle w:val="nzHeading5"/>
      </w:pPr>
      <w:bookmarkStart w:id="2382" w:name="_Toc87061495"/>
      <w:r>
        <w:rPr>
          <w:rStyle w:val="CharSectno"/>
        </w:rPr>
        <w:t>44</w:t>
      </w:r>
      <w:r>
        <w:t>.</w:t>
      </w:r>
      <w:r>
        <w:tab/>
        <w:t>Section 70H amended</w:t>
      </w:r>
      <w:bookmarkEnd w:id="2382"/>
    </w:p>
    <w:p>
      <w:pPr>
        <w:pStyle w:val="nzSubsection"/>
      </w:pPr>
      <w:r>
        <w:tab/>
      </w:r>
      <w:r>
        <w:tab/>
        <w:t>Section 70H(1) is amended as follows:</w:t>
      </w:r>
    </w:p>
    <w:p>
      <w:pPr>
        <w:pStyle w:val="nzIndenta"/>
      </w:pPr>
      <w:r>
        <w:tab/>
        <w:t>(a)</w:t>
      </w:r>
      <w:r>
        <w:tab/>
        <w:t>after paragraph (e) by deleting “and”;</w:t>
      </w:r>
    </w:p>
    <w:p>
      <w:pPr>
        <w:pStyle w:val="nzIndenta"/>
      </w:pPr>
      <w:r>
        <w:tab/>
        <w:t>(b)</w:t>
      </w:r>
      <w:r>
        <w:tab/>
        <w:t xml:space="preserve">after paragraph (f) by deleting the full stop and inserting — </w:t>
      </w:r>
    </w:p>
    <w:p>
      <w:pPr>
        <w:pStyle w:val="MiscOpen"/>
        <w:ind w:left="1616"/>
      </w:pPr>
      <w:r>
        <w:t xml:space="preserve">“    </w:t>
      </w:r>
    </w:p>
    <w:p>
      <w:pPr>
        <w:pStyle w:val="nzIndenta"/>
      </w:pPr>
      <w:r>
        <w:tab/>
      </w:r>
      <w:r>
        <w:tab/>
        <w:t>; and</w:t>
      </w:r>
    </w:p>
    <w:p>
      <w:pPr>
        <w:pStyle w:val="nzIndenta"/>
      </w:pPr>
      <w:r>
        <w:tab/>
        <w:t>(g)</w:t>
      </w:r>
      <w:r>
        <w:tab/>
        <w:t>furnish to the Minister such geological samples obtained in the course of operations conducted by the holder under the licence as the Minister may request.</w:t>
      </w:r>
    </w:p>
    <w:p>
      <w:pPr>
        <w:pStyle w:val="MiscClose"/>
      </w:pPr>
      <w:r>
        <w:t xml:space="preserve">    ”.</w:t>
      </w:r>
    </w:p>
    <w:p>
      <w:pPr>
        <w:pStyle w:val="nzHeading5"/>
      </w:pPr>
      <w:bookmarkStart w:id="2383" w:name="_Toc87061496"/>
      <w:r>
        <w:rPr>
          <w:rStyle w:val="CharSectno"/>
        </w:rPr>
        <w:t>45</w:t>
      </w:r>
      <w:r>
        <w:t>.</w:t>
      </w:r>
      <w:r>
        <w:tab/>
        <w:t>Section 82 amended</w:t>
      </w:r>
      <w:bookmarkEnd w:id="2383"/>
    </w:p>
    <w:p>
      <w:pPr>
        <w:pStyle w:val="nzSubsection"/>
      </w:pPr>
      <w:r>
        <w:tab/>
      </w:r>
      <w:r>
        <w:tab/>
        <w:t xml:space="preserve">After section 82(1)(e) the following paragraph is inserted — </w:t>
      </w:r>
    </w:p>
    <w:p>
      <w:pPr>
        <w:pStyle w:val="MiscOpen"/>
        <w:ind w:left="1332"/>
      </w:pPr>
      <w:r>
        <w:t xml:space="preserve">“    </w:t>
      </w:r>
    </w:p>
    <w:p>
      <w:pPr>
        <w:pStyle w:val="nzIndenta"/>
      </w:pPr>
      <w:r>
        <w:tab/>
        <w:t>(ea)</w:t>
      </w:r>
      <w:r>
        <w:tab/>
        <w:t>furnish to the Minister such geological samples obtained in the course of operations conducted by the lessee under the lease as the Minister may request;</w:t>
      </w:r>
    </w:p>
    <w:p>
      <w:pPr>
        <w:pStyle w:val="MiscClose"/>
      </w:pPr>
      <w:r>
        <w:t xml:space="preserve">    ”.</w:t>
      </w:r>
    </w:p>
    <w:p>
      <w:pPr>
        <w:pStyle w:val="nzHeading5"/>
      </w:pPr>
      <w:bookmarkStart w:id="2384" w:name="_Toc87061497"/>
      <w:r>
        <w:rPr>
          <w:rStyle w:val="CharSectno"/>
        </w:rPr>
        <w:t>46</w:t>
      </w:r>
      <w:r>
        <w:t>.</w:t>
      </w:r>
      <w:r>
        <w:tab/>
        <w:t>Section 96 amended</w:t>
      </w:r>
      <w:bookmarkEnd w:id="2384"/>
    </w:p>
    <w:p>
      <w:pPr>
        <w:pStyle w:val="nzSubsection"/>
      </w:pPr>
      <w:r>
        <w:tab/>
      </w:r>
      <w:r>
        <w:tab/>
        <w:t xml:space="preserve">After section 96(2)(ba) the following paragraph is inserted — </w:t>
      </w:r>
    </w:p>
    <w:p>
      <w:pPr>
        <w:pStyle w:val="MiscOpen"/>
        <w:ind w:left="1332"/>
      </w:pPr>
      <w:r>
        <w:t xml:space="preserve">“    </w:t>
      </w:r>
    </w:p>
    <w:p>
      <w:pPr>
        <w:pStyle w:val="nzIndenta"/>
      </w:pPr>
      <w:r>
        <w:tab/>
        <w:t>(baa)</w:t>
      </w:r>
      <w:r>
        <w:tab/>
        <w:t>any request under section 51A is not complied with;</w:t>
      </w:r>
    </w:p>
    <w:p>
      <w:pPr>
        <w:pStyle w:val="MiscClose"/>
      </w:pPr>
      <w:r>
        <w:t xml:space="preserve">    ”.</w:t>
      </w:r>
    </w:p>
    <w:p>
      <w:pPr>
        <w:pStyle w:val="nzHeading2"/>
      </w:pPr>
      <w:bookmarkStart w:id="2385" w:name="_Toc57629800"/>
      <w:bookmarkStart w:id="2386" w:name="_Toc57689976"/>
      <w:bookmarkStart w:id="2387" w:name="_Toc65297841"/>
      <w:bookmarkStart w:id="2388" w:name="_Toc65297932"/>
      <w:bookmarkStart w:id="2389" w:name="_Toc65301699"/>
      <w:bookmarkStart w:id="2390" w:name="_Toc65379316"/>
      <w:bookmarkStart w:id="2391" w:name="_Toc65389331"/>
      <w:bookmarkStart w:id="2392" w:name="_Toc65390256"/>
      <w:bookmarkStart w:id="2393" w:name="_Toc65390805"/>
      <w:bookmarkStart w:id="2394" w:name="_Toc65395250"/>
      <w:bookmarkStart w:id="2395" w:name="_Toc65396544"/>
      <w:bookmarkStart w:id="2396" w:name="_Toc65397469"/>
      <w:bookmarkStart w:id="2397" w:name="_Toc65999793"/>
      <w:bookmarkStart w:id="2398" w:name="_Toc65999948"/>
      <w:bookmarkStart w:id="2399" w:name="_Toc66000076"/>
      <w:bookmarkStart w:id="2400" w:name="_Toc66097259"/>
      <w:bookmarkStart w:id="2401" w:name="_Toc66173302"/>
      <w:bookmarkStart w:id="2402" w:name="_Toc66512452"/>
      <w:bookmarkStart w:id="2403" w:name="_Toc66523480"/>
      <w:bookmarkStart w:id="2404" w:name="_Toc66523577"/>
      <w:bookmarkStart w:id="2405" w:name="_Toc66527961"/>
      <w:bookmarkStart w:id="2406" w:name="_Toc66528355"/>
      <w:bookmarkStart w:id="2407" w:name="_Toc66528832"/>
      <w:bookmarkStart w:id="2408" w:name="_Toc66584510"/>
      <w:bookmarkStart w:id="2409" w:name="_Toc66584894"/>
      <w:bookmarkStart w:id="2410" w:name="_Toc66586533"/>
      <w:bookmarkStart w:id="2411" w:name="_Toc66586975"/>
      <w:bookmarkStart w:id="2412" w:name="_Toc66589396"/>
      <w:bookmarkStart w:id="2413" w:name="_Toc66589595"/>
      <w:bookmarkStart w:id="2414" w:name="_Toc66610339"/>
      <w:bookmarkStart w:id="2415" w:name="_Toc66614333"/>
      <w:bookmarkStart w:id="2416" w:name="_Toc66673583"/>
      <w:bookmarkStart w:id="2417" w:name="_Toc66673945"/>
      <w:bookmarkStart w:id="2418" w:name="_Toc66699363"/>
      <w:bookmarkStart w:id="2419" w:name="_Toc66700219"/>
      <w:bookmarkStart w:id="2420" w:name="_Toc66700560"/>
      <w:bookmarkStart w:id="2421" w:name="_Toc66700714"/>
      <w:bookmarkStart w:id="2422" w:name="_Toc66701293"/>
      <w:bookmarkStart w:id="2423" w:name="_Toc66772331"/>
      <w:bookmarkStart w:id="2424" w:name="_Toc66772774"/>
      <w:bookmarkStart w:id="2425" w:name="_Toc66774175"/>
      <w:bookmarkStart w:id="2426" w:name="_Toc66774406"/>
      <w:bookmarkStart w:id="2427" w:name="_Toc67107370"/>
      <w:bookmarkStart w:id="2428" w:name="_Toc67107847"/>
      <w:bookmarkStart w:id="2429" w:name="_Toc67113528"/>
      <w:bookmarkStart w:id="2430" w:name="_Toc67118778"/>
      <w:bookmarkStart w:id="2431" w:name="_Toc67119389"/>
      <w:bookmarkStart w:id="2432" w:name="_Toc67119564"/>
      <w:bookmarkStart w:id="2433" w:name="_Toc67130673"/>
      <w:bookmarkStart w:id="2434" w:name="_Toc67133708"/>
      <w:bookmarkStart w:id="2435" w:name="_Toc67193870"/>
      <w:bookmarkStart w:id="2436" w:name="_Toc67206035"/>
      <w:bookmarkStart w:id="2437" w:name="_Toc67209221"/>
      <w:bookmarkStart w:id="2438" w:name="_Toc67209460"/>
      <w:bookmarkStart w:id="2439" w:name="_Toc67291550"/>
      <w:bookmarkStart w:id="2440" w:name="_Toc67300496"/>
      <w:bookmarkStart w:id="2441" w:name="_Toc67301642"/>
      <w:bookmarkStart w:id="2442" w:name="_Toc67301848"/>
      <w:bookmarkStart w:id="2443" w:name="_Toc67302144"/>
      <w:bookmarkStart w:id="2444" w:name="_Toc67721815"/>
      <w:bookmarkStart w:id="2445" w:name="_Toc67722025"/>
      <w:bookmarkStart w:id="2446" w:name="_Toc67722271"/>
      <w:bookmarkStart w:id="2447" w:name="_Toc67724617"/>
      <w:bookmarkStart w:id="2448" w:name="_Toc67799528"/>
      <w:bookmarkStart w:id="2449" w:name="_Toc67806333"/>
      <w:bookmarkStart w:id="2450" w:name="_Toc67807155"/>
      <w:bookmarkStart w:id="2451" w:name="_Toc67808169"/>
      <w:bookmarkStart w:id="2452" w:name="_Toc67808446"/>
      <w:bookmarkStart w:id="2453" w:name="_Toc67809880"/>
      <w:bookmarkStart w:id="2454" w:name="_Toc67813929"/>
      <w:bookmarkStart w:id="2455" w:name="_Toc67814251"/>
      <w:bookmarkStart w:id="2456" w:name="_Toc67911110"/>
      <w:bookmarkStart w:id="2457" w:name="_Toc67912088"/>
      <w:bookmarkStart w:id="2458" w:name="_Toc67980325"/>
      <w:bookmarkStart w:id="2459" w:name="_Toc67980433"/>
      <w:bookmarkStart w:id="2460" w:name="_Toc67980717"/>
      <w:bookmarkStart w:id="2461" w:name="_Toc67981239"/>
      <w:bookmarkStart w:id="2462" w:name="_Toc67981426"/>
      <w:bookmarkStart w:id="2463" w:name="_Toc67982000"/>
      <w:bookmarkStart w:id="2464" w:name="_Toc67997398"/>
      <w:bookmarkStart w:id="2465" w:name="_Toc68063353"/>
      <w:bookmarkStart w:id="2466" w:name="_Toc68070450"/>
      <w:bookmarkStart w:id="2467" w:name="_Toc68315382"/>
      <w:bookmarkStart w:id="2468" w:name="_Toc68321145"/>
      <w:bookmarkStart w:id="2469" w:name="_Toc68321252"/>
      <w:bookmarkStart w:id="2470" w:name="_Toc68321359"/>
      <w:bookmarkStart w:id="2471" w:name="_Toc68323985"/>
      <w:bookmarkStart w:id="2472" w:name="_Toc68325682"/>
      <w:bookmarkStart w:id="2473" w:name="_Toc68490857"/>
      <w:bookmarkStart w:id="2474" w:name="_Toc68495029"/>
      <w:bookmarkStart w:id="2475" w:name="_Toc68505846"/>
      <w:bookmarkStart w:id="2476" w:name="_Toc68506554"/>
      <w:bookmarkStart w:id="2477" w:name="_Toc68513266"/>
      <w:bookmarkStart w:id="2478" w:name="_Toc68515277"/>
      <w:bookmarkStart w:id="2479" w:name="_Toc68516479"/>
      <w:bookmarkStart w:id="2480" w:name="_Toc68517751"/>
      <w:bookmarkStart w:id="2481" w:name="_Toc68518070"/>
      <w:bookmarkStart w:id="2482" w:name="_Toc68518267"/>
      <w:bookmarkStart w:id="2483" w:name="_Toc68588071"/>
      <w:bookmarkStart w:id="2484" w:name="_Toc68943940"/>
      <w:bookmarkStart w:id="2485" w:name="_Toc68944702"/>
      <w:bookmarkStart w:id="2486" w:name="_Toc68945509"/>
      <w:bookmarkStart w:id="2487" w:name="_Toc68946910"/>
      <w:bookmarkStart w:id="2488" w:name="_Toc68950748"/>
      <w:bookmarkStart w:id="2489" w:name="_Toc69017075"/>
      <w:bookmarkStart w:id="2490" w:name="_Toc69021847"/>
      <w:bookmarkStart w:id="2491" w:name="_Toc69022103"/>
      <w:bookmarkStart w:id="2492" w:name="_Toc69030831"/>
      <w:bookmarkStart w:id="2493" w:name="_Toc69100524"/>
      <w:bookmarkStart w:id="2494" w:name="_Toc69102770"/>
      <w:bookmarkStart w:id="2495" w:name="_Toc69117326"/>
      <w:bookmarkStart w:id="2496" w:name="_Toc69118032"/>
      <w:bookmarkStart w:id="2497" w:name="_Toc69271755"/>
      <w:bookmarkStart w:id="2498" w:name="_Toc69274132"/>
      <w:bookmarkStart w:id="2499" w:name="_Toc69274581"/>
      <w:bookmarkStart w:id="2500" w:name="_Toc69275339"/>
      <w:bookmarkStart w:id="2501" w:name="_Toc69275634"/>
      <w:bookmarkStart w:id="2502" w:name="_Toc69278400"/>
      <w:bookmarkStart w:id="2503" w:name="_Toc69280750"/>
      <w:bookmarkStart w:id="2504" w:name="_Toc69281091"/>
      <w:bookmarkStart w:id="2505" w:name="_Toc69281200"/>
      <w:bookmarkStart w:id="2506" w:name="_Toc69281367"/>
      <w:bookmarkStart w:id="2507" w:name="_Toc70327110"/>
      <w:bookmarkStart w:id="2508" w:name="_Toc70405248"/>
      <w:bookmarkStart w:id="2509" w:name="_Toc70995411"/>
      <w:bookmarkStart w:id="2510" w:name="_Toc71712539"/>
      <w:bookmarkStart w:id="2511" w:name="_Toc71713994"/>
      <w:bookmarkStart w:id="2512" w:name="_Toc71878737"/>
      <w:bookmarkStart w:id="2513" w:name="_Toc71880081"/>
      <w:bookmarkStart w:id="2514" w:name="_Toc71884462"/>
      <w:bookmarkStart w:id="2515" w:name="_Toc71887040"/>
      <w:bookmarkStart w:id="2516" w:name="_Toc71887281"/>
      <w:bookmarkStart w:id="2517" w:name="_Toc71953187"/>
      <w:bookmarkStart w:id="2518" w:name="_Toc71953330"/>
      <w:bookmarkStart w:id="2519" w:name="_Toc71957077"/>
      <w:bookmarkStart w:id="2520" w:name="_Toc71963708"/>
      <w:bookmarkStart w:id="2521" w:name="_Toc71969800"/>
      <w:bookmarkStart w:id="2522" w:name="_Toc71969909"/>
      <w:bookmarkStart w:id="2523" w:name="_Toc71973512"/>
      <w:bookmarkStart w:id="2524" w:name="_Toc71975626"/>
      <w:bookmarkStart w:id="2525" w:name="_Toc71976434"/>
      <w:bookmarkStart w:id="2526" w:name="_Toc72026828"/>
      <w:bookmarkStart w:id="2527" w:name="_Toc72027086"/>
      <w:bookmarkStart w:id="2528" w:name="_Toc72029143"/>
      <w:bookmarkStart w:id="2529" w:name="_Toc72044670"/>
      <w:bookmarkStart w:id="2530" w:name="_Toc72044780"/>
      <w:bookmarkStart w:id="2531" w:name="_Toc72049699"/>
      <w:bookmarkStart w:id="2532" w:name="_Toc72049811"/>
      <w:bookmarkStart w:id="2533" w:name="_Toc72748213"/>
      <w:bookmarkStart w:id="2534" w:name="_Toc72812758"/>
      <w:bookmarkStart w:id="2535" w:name="_Toc72827623"/>
      <w:bookmarkStart w:id="2536" w:name="_Toc73154129"/>
      <w:bookmarkStart w:id="2537" w:name="_Toc73154556"/>
      <w:bookmarkStart w:id="2538" w:name="_Toc73156315"/>
      <w:bookmarkStart w:id="2539" w:name="_Toc73156435"/>
      <w:bookmarkStart w:id="2540" w:name="_Toc73158402"/>
      <w:bookmarkStart w:id="2541" w:name="_Toc73158730"/>
      <w:bookmarkStart w:id="2542" w:name="_Toc73159095"/>
      <w:bookmarkStart w:id="2543" w:name="_Toc73159236"/>
      <w:bookmarkStart w:id="2544" w:name="_Toc73159911"/>
      <w:bookmarkStart w:id="2545" w:name="_Toc73160838"/>
      <w:bookmarkStart w:id="2546" w:name="_Toc73161632"/>
      <w:bookmarkStart w:id="2547" w:name="_Toc73161803"/>
      <w:bookmarkStart w:id="2548" w:name="_Toc73164236"/>
      <w:bookmarkStart w:id="2549" w:name="_Toc73179805"/>
      <w:bookmarkStart w:id="2550" w:name="_Toc73184346"/>
      <w:bookmarkStart w:id="2551" w:name="_Toc73241615"/>
      <w:bookmarkStart w:id="2552" w:name="_Toc73242177"/>
      <w:bookmarkStart w:id="2553" w:name="_Toc73242917"/>
      <w:bookmarkStart w:id="2554" w:name="_Toc73243034"/>
      <w:bookmarkStart w:id="2555" w:name="_Toc73243151"/>
      <w:bookmarkStart w:id="2556" w:name="_Toc73245206"/>
      <w:bookmarkStart w:id="2557" w:name="_Toc73246016"/>
      <w:bookmarkStart w:id="2558" w:name="_Toc73251534"/>
      <w:bookmarkStart w:id="2559" w:name="_Toc73258530"/>
      <w:bookmarkStart w:id="2560" w:name="_Toc73259611"/>
      <w:bookmarkStart w:id="2561" w:name="_Toc73421948"/>
      <w:bookmarkStart w:id="2562" w:name="_Toc73427349"/>
      <w:bookmarkStart w:id="2563" w:name="_Toc73428275"/>
      <w:bookmarkStart w:id="2564" w:name="_Toc73428392"/>
      <w:bookmarkStart w:id="2565" w:name="_Toc73428509"/>
      <w:bookmarkStart w:id="2566" w:name="_Toc73428763"/>
      <w:bookmarkStart w:id="2567" w:name="_Toc73428996"/>
      <w:bookmarkStart w:id="2568" w:name="_Toc73429484"/>
      <w:bookmarkStart w:id="2569" w:name="_Toc73436636"/>
      <w:bookmarkStart w:id="2570" w:name="_Toc73437479"/>
      <w:bookmarkStart w:id="2571" w:name="_Toc81200166"/>
      <w:bookmarkStart w:id="2572" w:name="_Toc81201777"/>
      <w:bookmarkStart w:id="2573" w:name="_Toc81209031"/>
      <w:r>
        <w:rPr>
          <w:rStyle w:val="CharPartNo"/>
        </w:rPr>
        <w:t>Part 9</w:t>
      </w:r>
      <w:r>
        <w:rPr>
          <w:rStyle w:val="CharDivNo"/>
        </w:rPr>
        <w:t> </w:t>
      </w:r>
      <w:r>
        <w:t>—</w:t>
      </w:r>
      <w:r>
        <w:rPr>
          <w:rStyle w:val="CharDivText"/>
        </w:rPr>
        <w:t> </w:t>
      </w:r>
      <w:r>
        <w:rPr>
          <w:rStyle w:val="CharPartText"/>
        </w:rPr>
        <w:t>Amendments about wardens and wardens’ courts</w:t>
      </w:r>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p>
    <w:p>
      <w:pPr>
        <w:pStyle w:val="nzHeading5"/>
      </w:pPr>
      <w:bookmarkStart w:id="2574" w:name="_Toc87061498"/>
      <w:r>
        <w:rPr>
          <w:rStyle w:val="CharSectno"/>
        </w:rPr>
        <w:t>47</w:t>
      </w:r>
      <w:r>
        <w:t>.</w:t>
      </w:r>
      <w:r>
        <w:tab/>
        <w:t>Section 8 amended</w:t>
      </w:r>
      <w:bookmarkEnd w:id="2574"/>
    </w:p>
    <w:p>
      <w:pPr>
        <w:pStyle w:val="nzSubsection"/>
      </w:pPr>
      <w:r>
        <w:tab/>
      </w:r>
      <w:r>
        <w:tab/>
        <w:t>Section 8(1) is amended in the definition of “warden” by deleting “or deemed so to be and includes a person appointed to be an acting warden”.</w:t>
      </w:r>
    </w:p>
    <w:p>
      <w:pPr>
        <w:pStyle w:val="nzHeading5"/>
      </w:pPr>
      <w:bookmarkStart w:id="2575" w:name="_Toc87061499"/>
      <w:r>
        <w:rPr>
          <w:rStyle w:val="CharSectno"/>
        </w:rPr>
        <w:t>48</w:t>
      </w:r>
      <w:r>
        <w:t>.</w:t>
      </w:r>
      <w:r>
        <w:tab/>
        <w:t>Section 13 amended</w:t>
      </w:r>
      <w:bookmarkEnd w:id="2575"/>
    </w:p>
    <w:p>
      <w:pPr>
        <w:pStyle w:val="nzSubsection"/>
      </w:pPr>
      <w:r>
        <w:tab/>
      </w:r>
      <w:r>
        <w:tab/>
        <w:t>Section 13(2) and (3) are repealed.</w:t>
      </w:r>
    </w:p>
    <w:p>
      <w:pPr>
        <w:pStyle w:val="nzHeading5"/>
      </w:pPr>
      <w:bookmarkStart w:id="2576" w:name="_Toc87061500"/>
      <w:r>
        <w:rPr>
          <w:rStyle w:val="CharSectno"/>
        </w:rPr>
        <w:t>49</w:t>
      </w:r>
      <w:r>
        <w:t>.</w:t>
      </w:r>
      <w:r>
        <w:tab/>
        <w:t>Section 14 repealed</w:t>
      </w:r>
      <w:bookmarkEnd w:id="2576"/>
    </w:p>
    <w:p>
      <w:pPr>
        <w:pStyle w:val="nzSubsection"/>
      </w:pPr>
      <w:r>
        <w:tab/>
      </w:r>
      <w:r>
        <w:tab/>
        <w:t>Section 14 is repealed.</w:t>
      </w:r>
    </w:p>
    <w:p>
      <w:pPr>
        <w:pStyle w:val="nzHeading5"/>
      </w:pPr>
      <w:bookmarkStart w:id="2577" w:name="_Toc87061501"/>
      <w:r>
        <w:rPr>
          <w:rStyle w:val="CharSectno"/>
        </w:rPr>
        <w:t>50</w:t>
      </w:r>
      <w:r>
        <w:t>.</w:t>
      </w:r>
      <w:r>
        <w:tab/>
        <w:t>Section 20 amended</w:t>
      </w:r>
      <w:bookmarkEnd w:id="2577"/>
    </w:p>
    <w:p>
      <w:pPr>
        <w:pStyle w:val="nzSubsection"/>
      </w:pPr>
      <w:r>
        <w:tab/>
        <w:t>(1)</w:t>
      </w:r>
      <w:r>
        <w:tab/>
        <w:t>Section 20(1) is amended by deleting “, a warden”.</w:t>
      </w:r>
    </w:p>
    <w:p>
      <w:pPr>
        <w:pStyle w:val="nzSubsection"/>
      </w:pPr>
      <w:r>
        <w:tab/>
        <w:t>(2)</w:t>
      </w:r>
      <w:r>
        <w:tab/>
        <w:t>Section 20(5) is amended as follows:</w:t>
      </w:r>
    </w:p>
    <w:p>
      <w:pPr>
        <w:pStyle w:val="nzIndenta"/>
      </w:pPr>
      <w:r>
        <w:tab/>
        <w:t>(a)</w:t>
      </w:r>
      <w:r>
        <w:tab/>
        <w:t>in paragraph (ea) by deleting “by order”;</w:t>
      </w:r>
    </w:p>
    <w:p>
      <w:pPr>
        <w:pStyle w:val="nzIndenta"/>
      </w:pPr>
      <w:r>
        <w:tab/>
        <w:t>(b)</w:t>
      </w:r>
      <w:r>
        <w:tab/>
        <w:t xml:space="preserve">by deleting “make an order under this subsection” and inserting instead — </w:t>
      </w:r>
    </w:p>
    <w:p>
      <w:pPr>
        <w:pStyle w:val="nzIndenta"/>
      </w:pPr>
      <w:r>
        <w:tab/>
      </w:r>
      <w:r>
        <w:tab/>
        <w:t>“    give a direction under paragraph (ea)    ”;</w:t>
      </w:r>
    </w:p>
    <w:p>
      <w:pPr>
        <w:pStyle w:val="nzIndenta"/>
      </w:pPr>
      <w:r>
        <w:tab/>
        <w:t>(c)</w:t>
      </w:r>
      <w:r>
        <w:tab/>
        <w:t>by deleting “by the warden”.</w:t>
      </w:r>
    </w:p>
    <w:p>
      <w:pPr>
        <w:pStyle w:val="nzHeading5"/>
      </w:pPr>
      <w:bookmarkStart w:id="2578" w:name="_Toc87061502"/>
      <w:r>
        <w:rPr>
          <w:rStyle w:val="CharSectno"/>
        </w:rPr>
        <w:t>51</w:t>
      </w:r>
      <w:r>
        <w:t>.</w:t>
      </w:r>
      <w:r>
        <w:tab/>
        <w:t>Section 28 amended</w:t>
      </w:r>
      <w:bookmarkEnd w:id="2578"/>
    </w:p>
    <w:p>
      <w:pPr>
        <w:pStyle w:val="nzSubsection"/>
      </w:pPr>
      <w:r>
        <w:tab/>
      </w:r>
      <w:r>
        <w:tab/>
        <w:t>Section 28(b) is amended by deleting “by the warden”.</w:t>
      </w:r>
    </w:p>
    <w:p>
      <w:pPr>
        <w:pStyle w:val="nzHeading5"/>
      </w:pPr>
      <w:bookmarkStart w:id="2579" w:name="_Toc87061503"/>
      <w:r>
        <w:rPr>
          <w:rStyle w:val="CharSectno"/>
        </w:rPr>
        <w:t>52</w:t>
      </w:r>
      <w:r>
        <w:t>.</w:t>
      </w:r>
      <w:r>
        <w:tab/>
        <w:t>Section 29 amended</w:t>
      </w:r>
      <w:bookmarkEnd w:id="2579"/>
    </w:p>
    <w:p>
      <w:pPr>
        <w:pStyle w:val="nzSubsection"/>
      </w:pPr>
      <w:r>
        <w:tab/>
      </w:r>
      <w:r>
        <w:tab/>
        <w:t xml:space="preserve">Section 29(4) is repealed and the following subsection is inserted instead — </w:t>
      </w:r>
    </w:p>
    <w:p>
      <w:pPr>
        <w:pStyle w:val="MiscOpen"/>
        <w:ind w:left="600"/>
      </w:pPr>
      <w:r>
        <w:t xml:space="preserve">“    </w:t>
      </w:r>
    </w:p>
    <w:p>
      <w:pPr>
        <w:pStyle w:val="nz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MiscClose"/>
      </w:pPr>
      <w:r>
        <w:t xml:space="preserve">    ”.</w:t>
      </w:r>
    </w:p>
    <w:p>
      <w:pPr>
        <w:pStyle w:val="nzHeading5"/>
      </w:pPr>
      <w:bookmarkStart w:id="2580" w:name="_Toc87061504"/>
      <w:r>
        <w:rPr>
          <w:rStyle w:val="CharSectno"/>
        </w:rPr>
        <w:t>53</w:t>
      </w:r>
      <w:r>
        <w:t>.</w:t>
      </w:r>
      <w:r>
        <w:tab/>
        <w:t>Section 30 amended</w:t>
      </w:r>
      <w:bookmarkEnd w:id="2580"/>
    </w:p>
    <w:p>
      <w:pPr>
        <w:pStyle w:val="nzSubsection"/>
      </w:pPr>
      <w:r>
        <w:tab/>
        <w:t>(1)</w:t>
      </w:r>
      <w:r>
        <w:tab/>
        <w:t>Section 30(1) is amended by deleting “in writing to a warden”.</w:t>
      </w:r>
    </w:p>
    <w:p>
      <w:pPr>
        <w:pStyle w:val="nzSubsection"/>
      </w:pPr>
      <w:r>
        <w:tab/>
        <w:t>(2)</w:t>
      </w:r>
      <w:r>
        <w:tab/>
        <w:t xml:space="preserve">Section 30(2) is amended by deleting “contain — ”, paragraphs (a) and (b), and “and” after paragraph (a), and inserting instead — </w:t>
      </w:r>
    </w:p>
    <w:p>
      <w:pPr>
        <w:pStyle w:val="MiscOpen"/>
        <w:ind w:left="880"/>
      </w:pPr>
      <w:r>
        <w:t xml:space="preserve">“    </w:t>
      </w:r>
    </w:p>
    <w:p>
      <w:pPr>
        <w:pStyle w:val="nzSubsection"/>
      </w:pPr>
      <w:r>
        <w:tab/>
      </w:r>
      <w:r>
        <w:tab/>
        <w:t>contain a description of the private land concerned that is sufficient to enable the land to be identified.</w:t>
      </w:r>
    </w:p>
    <w:p>
      <w:pPr>
        <w:pStyle w:val="MiscClose"/>
      </w:pPr>
      <w:r>
        <w:t xml:space="preserve">    ”.</w:t>
      </w:r>
    </w:p>
    <w:p>
      <w:pPr>
        <w:pStyle w:val="nzSubsection"/>
      </w:pPr>
      <w:r>
        <w:tab/>
        <w:t>(3)</w:t>
      </w:r>
      <w:r>
        <w:tab/>
        <w:t xml:space="preserve">Section 30(3) is amended by inserting after “warden” — </w:t>
      </w:r>
    </w:p>
    <w:p>
      <w:pPr>
        <w:pStyle w:val="nzSubsection"/>
      </w:pPr>
      <w:r>
        <w:tab/>
      </w:r>
      <w:r>
        <w:tab/>
        <w:t>“    or a prescribed official    ”.</w:t>
      </w:r>
    </w:p>
    <w:p>
      <w:pPr>
        <w:pStyle w:val="nzSubsection"/>
      </w:pPr>
      <w:r>
        <w:tab/>
        <w:t>(4)</w:t>
      </w:r>
      <w:r>
        <w:tab/>
        <w:t>Section 30(4) is amended as follows:</w:t>
      </w:r>
    </w:p>
    <w:p>
      <w:pPr>
        <w:pStyle w:val="nzIndenta"/>
      </w:pPr>
      <w:r>
        <w:tab/>
        <w:t>(a)</w:t>
      </w:r>
      <w:r>
        <w:tab/>
        <w:t xml:space="preserve">by inserting after “warden” — </w:t>
      </w:r>
    </w:p>
    <w:p>
      <w:pPr>
        <w:pStyle w:val="nzIndenta"/>
      </w:pPr>
      <w:r>
        <w:tab/>
      </w:r>
      <w:r>
        <w:tab/>
        <w:t>“    or a prescribed official    ”;</w:t>
      </w:r>
    </w:p>
    <w:p>
      <w:pPr>
        <w:pStyle w:val="nzIndenta"/>
      </w:pPr>
      <w:r>
        <w:tab/>
        <w:t>(b)</w:t>
      </w:r>
      <w:r>
        <w:tab/>
        <w:t xml:space="preserve">by deleting “him” and inserting instead — </w:t>
      </w:r>
    </w:p>
    <w:p>
      <w:pPr>
        <w:pStyle w:val="nzIndenta"/>
      </w:pPr>
      <w:r>
        <w:tab/>
      </w:r>
      <w:r>
        <w:tab/>
        <w:t>“    the Director General of Mines    ”.</w:t>
      </w:r>
    </w:p>
    <w:p>
      <w:pPr>
        <w:pStyle w:val="nzSubsection"/>
      </w:pPr>
      <w:r>
        <w:tab/>
        <w:t>(5)</w:t>
      </w:r>
      <w:r>
        <w:tab/>
        <w:t xml:space="preserve">Section 30(5) and (6) are repealed and the following subsections are inserted instead — </w:t>
      </w:r>
    </w:p>
    <w:p>
      <w:pPr>
        <w:pStyle w:val="MiscOpen"/>
        <w:ind w:left="600"/>
      </w:pPr>
      <w:r>
        <w:t xml:space="preserve">“    </w:t>
      </w:r>
    </w:p>
    <w:p>
      <w:pPr>
        <w:pStyle w:val="nz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nz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nz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nzSubsection"/>
      </w:pPr>
      <w:r>
        <w:tab/>
        <w:t>(6b)</w:t>
      </w:r>
      <w:r>
        <w:tab/>
        <w:t>If an order is made under subsection (6a) that all of the sum be paid to the applicant, the Director General of Mines shall give effect to the order.</w:t>
      </w:r>
    </w:p>
    <w:p>
      <w:pPr>
        <w:pStyle w:val="nzSubsection"/>
      </w:pPr>
      <w:r>
        <w:tab/>
        <w:t>(6c)</w:t>
      </w:r>
      <w:r>
        <w:tab/>
        <w:t xml:space="preserve">If an order is made under subsection (6a) that part of the sum be paid to the applicant, the Director General of Mines shall — </w:t>
      </w:r>
    </w:p>
    <w:p>
      <w:pPr>
        <w:pStyle w:val="nzIndenta"/>
      </w:pPr>
      <w:r>
        <w:tab/>
        <w:t>(a)</w:t>
      </w:r>
      <w:r>
        <w:tab/>
        <w:t>give effect to the order; and</w:t>
      </w:r>
    </w:p>
    <w:p>
      <w:pPr>
        <w:pStyle w:val="nzIndenta"/>
      </w:pPr>
      <w:r>
        <w:tab/>
        <w:t>(b)</w:t>
      </w:r>
      <w:r>
        <w:tab/>
        <w:t>pay the balance of the sum to the holder of the permit.</w:t>
      </w:r>
    </w:p>
    <w:p>
      <w:pPr>
        <w:pStyle w:val="nzSubsection"/>
      </w:pPr>
      <w:r>
        <w:tab/>
        <w:t>(6d)</w:t>
      </w:r>
      <w:r>
        <w:tab/>
        <w:t xml:space="preserve">If — </w:t>
      </w:r>
    </w:p>
    <w:p>
      <w:pPr>
        <w:pStyle w:val="nzIndenta"/>
      </w:pPr>
      <w:r>
        <w:tab/>
        <w:t>(a)</w:t>
      </w:r>
      <w:r>
        <w:tab/>
        <w:t>no application is made under subsection (6); or</w:t>
      </w:r>
    </w:p>
    <w:p>
      <w:pPr>
        <w:pStyle w:val="nzIndenta"/>
      </w:pPr>
      <w:r>
        <w:tab/>
        <w:t>(b)</w:t>
      </w:r>
      <w:r>
        <w:tab/>
        <w:t>an application made under subsection (6) is refused, withdrawn or discontinued,</w:t>
      </w:r>
    </w:p>
    <w:p>
      <w:pPr>
        <w:pStyle w:val="nzSubsection"/>
      </w:pPr>
      <w:r>
        <w:tab/>
      </w:r>
      <w:r>
        <w:tab/>
        <w:t>the Director General of Mines shall pay the sum to the holder of the permit.</w:t>
      </w:r>
    </w:p>
    <w:p>
      <w:pPr>
        <w:pStyle w:val="MiscClose"/>
      </w:pPr>
      <w:r>
        <w:t xml:space="preserve">    ”.</w:t>
      </w:r>
    </w:p>
    <w:p>
      <w:pPr>
        <w:pStyle w:val="nzSubsection"/>
      </w:pPr>
      <w:r>
        <w:tab/>
        <w:t>(6)</w:t>
      </w:r>
      <w:r>
        <w:tab/>
        <w:t xml:space="preserve">After section 30(7) the following subsection is inserted — </w:t>
      </w:r>
    </w:p>
    <w:p>
      <w:pPr>
        <w:pStyle w:val="MiscOpen"/>
        <w:ind w:left="600"/>
      </w:pPr>
      <w:r>
        <w:t xml:space="preserve">“    </w:t>
      </w:r>
    </w:p>
    <w:p>
      <w:pPr>
        <w:pStyle w:val="nzSubsection"/>
      </w:pPr>
      <w:r>
        <w:tab/>
        <w:t>(8)</w:t>
      </w:r>
      <w:r>
        <w:tab/>
        <w:t xml:space="preserve">In this section — </w:t>
      </w:r>
    </w:p>
    <w:p>
      <w:pPr>
        <w:pStyle w:val="nzDefstart"/>
      </w:pPr>
      <w:r>
        <w:rPr>
          <w:b/>
        </w:rPr>
        <w:tab/>
        <w:t>“</w:t>
      </w:r>
      <w:r>
        <w:rPr>
          <w:rStyle w:val="CharDefText"/>
        </w:rPr>
        <w:t>prescribed official</w:t>
      </w:r>
      <w:r>
        <w:rPr>
          <w:b/>
        </w:rPr>
        <w:t>”</w:t>
      </w:r>
      <w:r>
        <w:t xml:space="preserve"> means a person who holds or acts in an office or position in the Department that is prescribed for the purposes of this section.</w:t>
      </w:r>
    </w:p>
    <w:p>
      <w:pPr>
        <w:pStyle w:val="MiscClose"/>
      </w:pPr>
      <w:r>
        <w:t xml:space="preserve">    ”.</w:t>
      </w:r>
    </w:p>
    <w:p>
      <w:pPr>
        <w:pStyle w:val="nzHeading5"/>
      </w:pPr>
      <w:bookmarkStart w:id="2581" w:name="_Toc87061505"/>
      <w:r>
        <w:rPr>
          <w:rStyle w:val="CharSectno"/>
        </w:rPr>
        <w:t>54</w:t>
      </w:r>
      <w:r>
        <w:t>.</w:t>
      </w:r>
      <w:r>
        <w:tab/>
        <w:t>Section 32 amended</w:t>
      </w:r>
      <w:bookmarkEnd w:id="2581"/>
    </w:p>
    <w:p>
      <w:pPr>
        <w:pStyle w:val="nzSubsection"/>
      </w:pPr>
      <w:r>
        <w:tab/>
      </w:r>
      <w:r>
        <w:tab/>
        <w:t xml:space="preserve">Section 32(2) is amended by deleting “the warden” and inserting instead — </w:t>
      </w:r>
    </w:p>
    <w:p>
      <w:pPr>
        <w:pStyle w:val="nzSubsection"/>
      </w:pPr>
      <w:r>
        <w:tab/>
      </w:r>
      <w:r>
        <w:tab/>
        <w:t>“    a warden or a prescribed official    ”.</w:t>
      </w:r>
    </w:p>
    <w:p>
      <w:pPr>
        <w:pStyle w:val="nzHeading5"/>
      </w:pPr>
      <w:bookmarkStart w:id="2582" w:name="_Toc87061506"/>
      <w:r>
        <w:rPr>
          <w:rStyle w:val="CharSectno"/>
        </w:rPr>
        <w:t>55</w:t>
      </w:r>
      <w:r>
        <w:t>.</w:t>
      </w:r>
      <w:r>
        <w:tab/>
        <w:t>Section 33 amended</w:t>
      </w:r>
      <w:bookmarkEnd w:id="2582"/>
    </w:p>
    <w:p>
      <w:pPr>
        <w:pStyle w:val="nzSubsection"/>
      </w:pPr>
      <w:r>
        <w:tab/>
      </w:r>
      <w:r>
        <w:tab/>
        <w:t xml:space="preserve">After section 33(2) the following subsection is inserted — </w:t>
      </w:r>
    </w:p>
    <w:p>
      <w:pPr>
        <w:pStyle w:val="MiscOpen"/>
        <w:ind w:left="600"/>
      </w:pPr>
      <w:r>
        <w:t xml:space="preserve">“    </w:t>
      </w:r>
    </w:p>
    <w:p>
      <w:pPr>
        <w:pStyle w:val="nzSubsection"/>
      </w:pPr>
      <w:r>
        <w:tab/>
        <w:t>(2a)</w:t>
      </w:r>
      <w:r>
        <w:tab/>
        <w:t>If a warden makes an order for the payment of costs under subsection (2), those costs are recoverable in accordance with the regulations.</w:t>
      </w:r>
    </w:p>
    <w:p>
      <w:pPr>
        <w:pStyle w:val="MiscClose"/>
      </w:pPr>
      <w:r>
        <w:t xml:space="preserve">    ”.</w:t>
      </w:r>
    </w:p>
    <w:p>
      <w:pPr>
        <w:pStyle w:val="nzHeading5"/>
      </w:pPr>
      <w:bookmarkStart w:id="2583" w:name="_Toc87061507"/>
      <w:r>
        <w:rPr>
          <w:rStyle w:val="CharSectno"/>
        </w:rPr>
        <w:t>56</w:t>
      </w:r>
      <w:r>
        <w:t>.</w:t>
      </w:r>
      <w:r>
        <w:tab/>
        <w:t>Section 42 amended</w:t>
      </w:r>
      <w:bookmarkEnd w:id="2583"/>
    </w:p>
    <w:p>
      <w:pPr>
        <w:pStyle w:val="nzSubsection"/>
      </w:pPr>
      <w:r>
        <w:tab/>
        <w:t>(1)</w:t>
      </w:r>
      <w:r>
        <w:tab/>
        <w:t xml:space="preserve">Section 42(2) is amended by inserting after “prescribed time” — </w:t>
      </w:r>
    </w:p>
    <w:p>
      <w:pPr>
        <w:pStyle w:val="nzSubsection"/>
      </w:pPr>
      <w:r>
        <w:tab/>
      </w:r>
      <w:r>
        <w:tab/>
        <w:t>“    , or any notice of objection is withdrawn,    ”.</w:t>
      </w:r>
    </w:p>
    <w:p>
      <w:pPr>
        <w:pStyle w:val="nzSubsection"/>
      </w:pPr>
      <w:r>
        <w:tab/>
        <w:t>(2)</w:t>
      </w:r>
      <w:r>
        <w:tab/>
        <w:t>Section 42(3) is amended as follows:</w:t>
      </w:r>
    </w:p>
    <w:p>
      <w:pPr>
        <w:pStyle w:val="nzIndenta"/>
      </w:pPr>
      <w:r>
        <w:tab/>
        <w:t>(a)</w:t>
      </w:r>
      <w:r>
        <w:tab/>
        <w:t xml:space="preserve">by inserting before “the warden shall” — </w:t>
      </w:r>
    </w:p>
    <w:p>
      <w:pPr>
        <w:pStyle w:val="nzIndenta"/>
      </w:pPr>
      <w:r>
        <w:tab/>
      </w:r>
      <w:r>
        <w:tab/>
        <w:t>“    and the notice of objection is not withdrawn,    ”;</w:t>
      </w:r>
    </w:p>
    <w:p>
      <w:pPr>
        <w:pStyle w:val="nzIndenta"/>
      </w:pPr>
      <w:r>
        <w:tab/>
        <w:t>(b)</w:t>
      </w:r>
      <w:r>
        <w:tab/>
        <w:t>by deleting “in open court”.</w:t>
      </w:r>
    </w:p>
    <w:p>
      <w:pPr>
        <w:pStyle w:val="nzHeading5"/>
      </w:pPr>
      <w:bookmarkStart w:id="2584" w:name="_Toc87061508"/>
      <w:r>
        <w:rPr>
          <w:rStyle w:val="CharSectno"/>
        </w:rPr>
        <w:t>57</w:t>
      </w:r>
      <w:r>
        <w:t>.</w:t>
      </w:r>
      <w:r>
        <w:tab/>
        <w:t>Section 47 amended</w:t>
      </w:r>
      <w:bookmarkEnd w:id="2584"/>
    </w:p>
    <w:p>
      <w:pPr>
        <w:pStyle w:val="nzSubsection"/>
      </w:pPr>
      <w:r>
        <w:tab/>
        <w:t>(1)</w:t>
      </w:r>
      <w:r>
        <w:tab/>
        <w:t xml:space="preserve">Section 47(1) is amended by deleting “order” in the first place where it occurs and inserting instead — </w:t>
      </w:r>
    </w:p>
    <w:p>
      <w:pPr>
        <w:pStyle w:val="nzSubsection"/>
      </w:pPr>
      <w:r>
        <w:tab/>
      </w:r>
      <w:r>
        <w:tab/>
        <w:t>“    require    ”.</w:t>
      </w:r>
    </w:p>
    <w:p>
      <w:pPr>
        <w:pStyle w:val="nzSubsection"/>
      </w:pPr>
      <w:r>
        <w:tab/>
        <w:t>(2)</w:t>
      </w:r>
      <w:r>
        <w:tab/>
        <w:t xml:space="preserve">Section 47(2) is repealed and the following subsection is inserted instead — </w:t>
      </w:r>
    </w:p>
    <w:p>
      <w:pPr>
        <w:pStyle w:val="MiscOpen"/>
        <w:ind w:left="600"/>
      </w:pPr>
      <w:r>
        <w:t xml:space="preserve">“    </w:t>
      </w:r>
    </w:p>
    <w:p>
      <w:pPr>
        <w:pStyle w:val="nzSubsection"/>
      </w:pPr>
      <w:r>
        <w:tab/>
        <w:t>(2)</w:t>
      </w:r>
      <w:r>
        <w:tab/>
        <w:t xml:space="preserve">A survey required under subsection (1) shall be — </w:t>
      </w:r>
    </w:p>
    <w:p>
      <w:pPr>
        <w:pStyle w:val="nzIndenta"/>
      </w:pPr>
      <w:r>
        <w:tab/>
        <w:t>(a)</w:t>
      </w:r>
      <w:r>
        <w:tab/>
        <w:t>arranged in accordance with the regulations; and</w:t>
      </w:r>
    </w:p>
    <w:p>
      <w:pPr>
        <w:pStyle w:val="nzIndenta"/>
      </w:pPr>
      <w:r>
        <w:tab/>
        <w:t>(b)</w:t>
      </w:r>
      <w:r>
        <w:tab/>
        <w:t>paid for by such party or parties to the dispute as the warden or the Minister determines.</w:t>
      </w:r>
    </w:p>
    <w:p>
      <w:pPr>
        <w:pStyle w:val="MiscClose"/>
      </w:pPr>
      <w:r>
        <w:t xml:space="preserve">    ”.</w:t>
      </w:r>
    </w:p>
    <w:p>
      <w:pPr>
        <w:pStyle w:val="nzHeading5"/>
      </w:pPr>
      <w:bookmarkStart w:id="2585" w:name="_Toc87061509"/>
      <w:r>
        <w:rPr>
          <w:rStyle w:val="CharSectno"/>
        </w:rPr>
        <w:t>58</w:t>
      </w:r>
      <w:r>
        <w:t>.</w:t>
      </w:r>
      <w:r>
        <w:tab/>
        <w:t>Section 58 amended</w:t>
      </w:r>
      <w:bookmarkEnd w:id="2585"/>
    </w:p>
    <w:p>
      <w:pPr>
        <w:pStyle w:val="nzSubsection"/>
      </w:pPr>
      <w:r>
        <w:tab/>
        <w:t>(1)</w:t>
      </w:r>
      <w:r>
        <w:tab/>
        <w:t>Section 58(2) is amended as follows:</w:t>
      </w:r>
    </w:p>
    <w:p>
      <w:pPr>
        <w:pStyle w:val="nzIndenta"/>
      </w:pPr>
      <w:r>
        <w:tab/>
        <w:t>(a)</w:t>
      </w:r>
      <w:r>
        <w:tab/>
        <w:t>by deleting the paragraph designation “(a)”;</w:t>
      </w:r>
    </w:p>
    <w:p>
      <w:pPr>
        <w:pStyle w:val="nzIndenta"/>
      </w:pPr>
      <w:r>
        <w:tab/>
        <w:t>(b)</w:t>
      </w:r>
      <w:r>
        <w:tab/>
        <w:t>by redesignating paragraph (b) as subsection (2a);</w:t>
      </w:r>
    </w:p>
    <w:p>
      <w:pPr>
        <w:pStyle w:val="nzIndenta"/>
      </w:pPr>
      <w:r>
        <w:tab/>
        <w:t>(c)</w:t>
      </w:r>
      <w:r>
        <w:tab/>
        <w:t xml:space="preserve">by deleting “order” in the first place where it occurs and inserting instead — </w:t>
      </w:r>
    </w:p>
    <w:p>
      <w:pPr>
        <w:pStyle w:val="nzIndenta"/>
      </w:pPr>
      <w:r>
        <w:tab/>
      </w:r>
      <w:r>
        <w:tab/>
        <w:t>“    require    ”;</w:t>
      </w:r>
    </w:p>
    <w:p>
      <w:pPr>
        <w:pStyle w:val="nzIndenta"/>
      </w:pPr>
      <w:r>
        <w:tab/>
        <w:t>(d)</w:t>
      </w:r>
      <w:r>
        <w:tab/>
        <w:t>by deleting paragraph (c).</w:t>
      </w:r>
    </w:p>
    <w:p>
      <w:pPr>
        <w:pStyle w:val="nzSubsection"/>
      </w:pPr>
      <w:r>
        <w:tab/>
        <w:t>(2)</w:t>
      </w:r>
      <w:r>
        <w:tab/>
        <w:t xml:space="preserve">Before section 58(3) the following subsection is inserted — </w:t>
      </w:r>
    </w:p>
    <w:p>
      <w:pPr>
        <w:pStyle w:val="MiscOpen"/>
        <w:ind w:left="600"/>
      </w:pPr>
      <w:r>
        <w:t xml:space="preserve">“    </w:t>
      </w:r>
    </w:p>
    <w:p>
      <w:pPr>
        <w:pStyle w:val="nzSubsection"/>
      </w:pPr>
      <w:r>
        <w:tab/>
        <w:t>(2b)</w:t>
      </w:r>
      <w:r>
        <w:tab/>
        <w:t xml:space="preserve">A survey required under subsection (2a) shall be — </w:t>
      </w:r>
    </w:p>
    <w:p>
      <w:pPr>
        <w:pStyle w:val="nzIndenta"/>
      </w:pPr>
      <w:r>
        <w:tab/>
        <w:t>(a)</w:t>
      </w:r>
      <w:r>
        <w:tab/>
        <w:t>arranged in accordance with the regulations; and</w:t>
      </w:r>
    </w:p>
    <w:p>
      <w:pPr>
        <w:pStyle w:val="nzIndenta"/>
      </w:pPr>
      <w:r>
        <w:tab/>
        <w:t>(b)</w:t>
      </w:r>
      <w:r>
        <w:tab/>
        <w:t>paid for by such party or parties to the dispute as the warden or the Minister determines.</w:t>
      </w:r>
    </w:p>
    <w:p>
      <w:pPr>
        <w:pStyle w:val="MiscClose"/>
      </w:pPr>
      <w:r>
        <w:t xml:space="preserve">    ”.</w:t>
      </w:r>
    </w:p>
    <w:p>
      <w:pPr>
        <w:pStyle w:val="nzHeading5"/>
      </w:pPr>
      <w:bookmarkStart w:id="2586" w:name="_Toc87061510"/>
      <w:r>
        <w:rPr>
          <w:rStyle w:val="CharSectno"/>
        </w:rPr>
        <w:t>59</w:t>
      </w:r>
      <w:r>
        <w:t>.</w:t>
      </w:r>
      <w:r>
        <w:tab/>
        <w:t>Section 59 amended</w:t>
      </w:r>
      <w:bookmarkEnd w:id="2586"/>
    </w:p>
    <w:p>
      <w:pPr>
        <w:pStyle w:val="nzSubsection"/>
      </w:pPr>
      <w:r>
        <w:tab/>
        <w:t>(1)</w:t>
      </w:r>
      <w:r>
        <w:tab/>
        <w:t xml:space="preserve">Section 59(2) is amended by inserting after “prescribed time” — </w:t>
      </w:r>
    </w:p>
    <w:p>
      <w:pPr>
        <w:pStyle w:val="nzSubsection"/>
      </w:pPr>
      <w:r>
        <w:tab/>
      </w:r>
      <w:r>
        <w:tab/>
        <w:t>“    , or any notice of objection is withdrawn,    ”.</w:t>
      </w:r>
    </w:p>
    <w:p>
      <w:pPr>
        <w:pStyle w:val="nzSubsection"/>
      </w:pPr>
      <w:r>
        <w:tab/>
        <w:t>(2)</w:t>
      </w:r>
      <w:r>
        <w:tab/>
        <w:t>Section 59(4) is amended as follows:</w:t>
      </w:r>
    </w:p>
    <w:p>
      <w:pPr>
        <w:pStyle w:val="nzIndenta"/>
      </w:pPr>
      <w:r>
        <w:tab/>
        <w:t>(a)</w:t>
      </w:r>
      <w:r>
        <w:tab/>
        <w:t xml:space="preserve">by inserting before “the warden shall” — </w:t>
      </w:r>
    </w:p>
    <w:p>
      <w:pPr>
        <w:pStyle w:val="nzIndenta"/>
      </w:pPr>
      <w:r>
        <w:tab/>
      </w:r>
      <w:r>
        <w:tab/>
        <w:t>“    and the notice of objection is not withdrawn,    ”;</w:t>
      </w:r>
    </w:p>
    <w:p>
      <w:pPr>
        <w:pStyle w:val="nzIndenta"/>
      </w:pPr>
      <w:r>
        <w:tab/>
        <w:t>(b)</w:t>
      </w:r>
      <w:r>
        <w:tab/>
        <w:t>by deleting “in open court”.</w:t>
      </w:r>
    </w:p>
    <w:p>
      <w:pPr>
        <w:pStyle w:val="nzHeading5"/>
      </w:pPr>
      <w:bookmarkStart w:id="2587" w:name="_Toc87061511"/>
      <w:r>
        <w:rPr>
          <w:rStyle w:val="CharSectno"/>
        </w:rPr>
        <w:t>60</w:t>
      </w:r>
      <w:r>
        <w:t>.</w:t>
      </w:r>
      <w:r>
        <w:tab/>
        <w:t>Section 67A amended</w:t>
      </w:r>
      <w:bookmarkEnd w:id="2587"/>
    </w:p>
    <w:p>
      <w:pPr>
        <w:pStyle w:val="nzSubsection"/>
      </w:pPr>
      <w:r>
        <w:tab/>
      </w:r>
      <w:r>
        <w:tab/>
        <w:t>Section 67A(4) is amended by deleting “, whether or not the Minister refers the matter to the warden for a recommendation”.</w:t>
      </w:r>
    </w:p>
    <w:p>
      <w:pPr>
        <w:pStyle w:val="nzHeading5"/>
      </w:pPr>
      <w:bookmarkStart w:id="2588" w:name="_Toc87061512"/>
      <w:r>
        <w:rPr>
          <w:rStyle w:val="CharSectno"/>
        </w:rPr>
        <w:t>61</w:t>
      </w:r>
      <w:r>
        <w:t>.</w:t>
      </w:r>
      <w:r>
        <w:tab/>
        <w:t>Section 70D amended</w:t>
      </w:r>
      <w:bookmarkEnd w:id="2588"/>
    </w:p>
    <w:p>
      <w:pPr>
        <w:pStyle w:val="nzSubsection"/>
      </w:pPr>
      <w:r>
        <w:tab/>
        <w:t>(1)</w:t>
      </w:r>
      <w:r>
        <w:tab/>
        <w:t xml:space="preserve">Section 70D(2) is amended by inserting after “prescribed time” — </w:t>
      </w:r>
    </w:p>
    <w:p>
      <w:pPr>
        <w:pStyle w:val="nzSubsection"/>
      </w:pPr>
      <w:r>
        <w:tab/>
      </w:r>
      <w:r>
        <w:tab/>
        <w:t>“    , or any notice of objection is withdrawn,    ”.</w:t>
      </w:r>
    </w:p>
    <w:p>
      <w:pPr>
        <w:pStyle w:val="nzSubsection"/>
      </w:pPr>
      <w:r>
        <w:tab/>
        <w:t>(2)</w:t>
      </w:r>
      <w:r>
        <w:tab/>
        <w:t>Section 70D(4) is amended as follows:</w:t>
      </w:r>
    </w:p>
    <w:p>
      <w:pPr>
        <w:pStyle w:val="nzIndenta"/>
      </w:pPr>
      <w:r>
        <w:tab/>
        <w:t>(a)</w:t>
      </w:r>
      <w:r>
        <w:tab/>
        <w:t xml:space="preserve">by inserting before “the warden shall” — </w:t>
      </w:r>
    </w:p>
    <w:p>
      <w:pPr>
        <w:pStyle w:val="nzIndenta"/>
      </w:pPr>
      <w:r>
        <w:tab/>
      </w:r>
      <w:r>
        <w:tab/>
        <w:t>“    and the notice of objection is not withdrawn,    ”;</w:t>
      </w:r>
    </w:p>
    <w:p>
      <w:pPr>
        <w:pStyle w:val="nzIndenta"/>
      </w:pPr>
      <w:r>
        <w:tab/>
        <w:t>(b)</w:t>
      </w:r>
      <w:r>
        <w:tab/>
        <w:t>by deleting “in open court”.</w:t>
      </w:r>
    </w:p>
    <w:p>
      <w:pPr>
        <w:pStyle w:val="nzHeading5"/>
      </w:pPr>
      <w:bookmarkStart w:id="2589" w:name="_Toc87061513"/>
      <w:r>
        <w:rPr>
          <w:rStyle w:val="CharSectno"/>
        </w:rPr>
        <w:t>62</w:t>
      </w:r>
      <w:r>
        <w:t>.</w:t>
      </w:r>
      <w:r>
        <w:tab/>
        <w:t>Section 70G amended</w:t>
      </w:r>
      <w:bookmarkEnd w:id="2589"/>
    </w:p>
    <w:p>
      <w:pPr>
        <w:pStyle w:val="nzSubsection"/>
      </w:pPr>
      <w:r>
        <w:tab/>
        <w:t>(1)</w:t>
      </w:r>
      <w:r>
        <w:tab/>
        <w:t xml:space="preserve">Section 70G(1) is amended by deleting “order” in the first place where it occurs and inserting instead — </w:t>
      </w:r>
    </w:p>
    <w:p>
      <w:pPr>
        <w:pStyle w:val="nzSubsection"/>
      </w:pPr>
      <w:r>
        <w:tab/>
      </w:r>
      <w:r>
        <w:tab/>
        <w:t>“    require    ”.</w:t>
      </w:r>
    </w:p>
    <w:p>
      <w:pPr>
        <w:pStyle w:val="nzSubsection"/>
      </w:pPr>
      <w:r>
        <w:tab/>
        <w:t>(2)</w:t>
      </w:r>
      <w:r>
        <w:tab/>
        <w:t xml:space="preserve">Section 70G(2) is repealed and the following subsection is inserted instead — </w:t>
      </w:r>
    </w:p>
    <w:p>
      <w:pPr>
        <w:pStyle w:val="MiscOpen"/>
        <w:ind w:left="600"/>
      </w:pPr>
      <w:r>
        <w:t xml:space="preserve">“    </w:t>
      </w:r>
    </w:p>
    <w:p>
      <w:pPr>
        <w:pStyle w:val="nzSubsection"/>
      </w:pPr>
      <w:r>
        <w:tab/>
        <w:t>(2)</w:t>
      </w:r>
      <w:r>
        <w:tab/>
        <w:t xml:space="preserve">A survey required under subsection (1) shall be — </w:t>
      </w:r>
    </w:p>
    <w:p>
      <w:pPr>
        <w:pStyle w:val="nzIndenta"/>
      </w:pPr>
      <w:r>
        <w:tab/>
        <w:t>(a)</w:t>
      </w:r>
      <w:r>
        <w:tab/>
        <w:t>arranged in accordance with the regulations; and</w:t>
      </w:r>
    </w:p>
    <w:p>
      <w:pPr>
        <w:pStyle w:val="nzIndenta"/>
      </w:pPr>
      <w:r>
        <w:tab/>
        <w:t>(b)</w:t>
      </w:r>
      <w:r>
        <w:tab/>
        <w:t>paid for by such party or parties to the dispute as the warden or the Minister determines.</w:t>
      </w:r>
    </w:p>
    <w:p>
      <w:pPr>
        <w:pStyle w:val="MiscClose"/>
      </w:pPr>
      <w:r>
        <w:t xml:space="preserve">    ”.</w:t>
      </w:r>
    </w:p>
    <w:p>
      <w:pPr>
        <w:pStyle w:val="nzHeading5"/>
      </w:pPr>
      <w:bookmarkStart w:id="2590" w:name="_Toc87061514"/>
      <w:r>
        <w:rPr>
          <w:rStyle w:val="CharSectno"/>
        </w:rPr>
        <w:t>63</w:t>
      </w:r>
      <w:r>
        <w:t>.</w:t>
      </w:r>
      <w:r>
        <w:tab/>
        <w:t>Section 75 amended</w:t>
      </w:r>
      <w:bookmarkEnd w:id="2590"/>
    </w:p>
    <w:p>
      <w:pPr>
        <w:pStyle w:val="nzSubsection"/>
      </w:pPr>
      <w:r>
        <w:tab/>
        <w:t>(1)</w:t>
      </w:r>
      <w:r>
        <w:tab/>
        <w:t xml:space="preserve">Section 75(2) is amended by inserting after “prescribed time” — </w:t>
      </w:r>
    </w:p>
    <w:p>
      <w:pPr>
        <w:pStyle w:val="nzSubsection"/>
      </w:pPr>
      <w:r>
        <w:tab/>
      </w:r>
      <w:r>
        <w:tab/>
        <w:t>“    , or any notice of objection is withdrawn,    ”.</w:t>
      </w:r>
    </w:p>
    <w:p>
      <w:pPr>
        <w:pStyle w:val="nzSubsection"/>
      </w:pPr>
      <w:r>
        <w:tab/>
        <w:t>(2)</w:t>
      </w:r>
      <w:r>
        <w:tab/>
        <w:t>Section 75(4) is amended as follows:</w:t>
      </w:r>
    </w:p>
    <w:p>
      <w:pPr>
        <w:pStyle w:val="nzIndenta"/>
      </w:pPr>
      <w:r>
        <w:tab/>
        <w:t>(a)</w:t>
      </w:r>
      <w:r>
        <w:tab/>
        <w:t xml:space="preserve">after paragraph (b) by inserting — </w:t>
      </w:r>
    </w:p>
    <w:p>
      <w:pPr>
        <w:pStyle w:val="nzIndenta"/>
      </w:pPr>
      <w:r>
        <w:tab/>
      </w:r>
      <w:r>
        <w:tab/>
        <w:t>“    and the notice of objection is not withdrawn,    ”;</w:t>
      </w:r>
    </w:p>
    <w:p>
      <w:pPr>
        <w:pStyle w:val="nzIndenta"/>
      </w:pPr>
      <w:r>
        <w:tab/>
        <w:t>(b)</w:t>
      </w:r>
      <w:r>
        <w:tab/>
        <w:t>by deleting “in open court”.</w:t>
      </w:r>
    </w:p>
    <w:p>
      <w:pPr>
        <w:pStyle w:val="nzHeading5"/>
      </w:pPr>
      <w:bookmarkStart w:id="2591" w:name="_Toc87061515"/>
      <w:r>
        <w:rPr>
          <w:rStyle w:val="CharSectno"/>
        </w:rPr>
        <w:t>64</w:t>
      </w:r>
      <w:r>
        <w:t>.</w:t>
      </w:r>
      <w:r>
        <w:tab/>
        <w:t>Section 97A amended</w:t>
      </w:r>
      <w:bookmarkEnd w:id="2591"/>
    </w:p>
    <w:p>
      <w:pPr>
        <w:pStyle w:val="nzSubsection"/>
      </w:pPr>
      <w:r>
        <w:tab/>
        <w:t>(1)</w:t>
      </w:r>
      <w:r>
        <w:tab/>
        <w:t>Section 97A(1) is amended by deleting “to the warden”.</w:t>
      </w:r>
    </w:p>
    <w:p>
      <w:pPr>
        <w:pStyle w:val="nzSubsection"/>
      </w:pPr>
      <w:r>
        <w:tab/>
        <w:t>(2)</w:t>
      </w:r>
      <w:r>
        <w:tab/>
        <w:t>Section 97A(5) is amended by deleting “in open court”.</w:t>
      </w:r>
    </w:p>
    <w:p>
      <w:pPr>
        <w:pStyle w:val="nzHeading5"/>
      </w:pPr>
      <w:bookmarkStart w:id="2592" w:name="_Toc87061516"/>
      <w:r>
        <w:rPr>
          <w:rStyle w:val="CharSectno"/>
        </w:rPr>
        <w:t>65</w:t>
      </w:r>
      <w:r>
        <w:t>.</w:t>
      </w:r>
      <w:r>
        <w:tab/>
        <w:t>Section 98 amended</w:t>
      </w:r>
      <w:bookmarkEnd w:id="2592"/>
    </w:p>
    <w:p>
      <w:pPr>
        <w:pStyle w:val="nzSubsection"/>
      </w:pPr>
      <w:r>
        <w:tab/>
        <w:t>(1)</w:t>
      </w:r>
      <w:r>
        <w:tab/>
        <w:t>Section 98(1) is amended by deleting “to the warden”.</w:t>
      </w:r>
    </w:p>
    <w:p>
      <w:pPr>
        <w:pStyle w:val="nzSubsection"/>
      </w:pPr>
      <w:r>
        <w:tab/>
        <w:t>(2)</w:t>
      </w:r>
      <w:r>
        <w:tab/>
        <w:t>Section 98(3) is amended by deleting “in open court”.</w:t>
      </w:r>
    </w:p>
    <w:p>
      <w:pPr>
        <w:pStyle w:val="nzSubsection"/>
      </w:pPr>
      <w:r>
        <w:tab/>
        <w:t>(3)</w:t>
      </w:r>
      <w:r>
        <w:tab/>
        <w:t xml:space="preserve">Section 98(9) is amended by deleting “of the order made by the warden” and inserting instead — </w:t>
      </w:r>
    </w:p>
    <w:p>
      <w:pPr>
        <w:pStyle w:val="nzSubsection"/>
      </w:pPr>
      <w:r>
        <w:tab/>
      </w:r>
      <w:r>
        <w:tab/>
        <w:t>“    after the penalty is imposed    ”.</w:t>
      </w:r>
    </w:p>
    <w:p>
      <w:pPr>
        <w:pStyle w:val="nzHeading5"/>
      </w:pPr>
      <w:bookmarkStart w:id="2593" w:name="_Toc87061517"/>
      <w:r>
        <w:rPr>
          <w:rStyle w:val="CharSectno"/>
        </w:rPr>
        <w:t>66</w:t>
      </w:r>
      <w:r>
        <w:t>.</w:t>
      </w:r>
      <w:r>
        <w:tab/>
        <w:t>Section 102 amended</w:t>
      </w:r>
      <w:bookmarkEnd w:id="2593"/>
    </w:p>
    <w:p>
      <w:pPr>
        <w:pStyle w:val="nzSubsection"/>
      </w:pPr>
      <w:r>
        <w:tab/>
      </w:r>
      <w:r>
        <w:tab/>
        <w:t>Section 102(5)(a) is amended by deleting “in open court”.</w:t>
      </w:r>
    </w:p>
    <w:p>
      <w:pPr>
        <w:pStyle w:val="nzHeading5"/>
      </w:pPr>
      <w:bookmarkStart w:id="2594" w:name="_Toc87061518"/>
      <w:r>
        <w:rPr>
          <w:rStyle w:val="CharSectno"/>
        </w:rPr>
        <w:t>67</w:t>
      </w:r>
      <w:r>
        <w:t>.</w:t>
      </w:r>
      <w:r>
        <w:tab/>
        <w:t>Section 105A amended</w:t>
      </w:r>
      <w:bookmarkEnd w:id="2594"/>
    </w:p>
    <w:p>
      <w:pPr>
        <w:pStyle w:val="nzSubsection"/>
      </w:pPr>
      <w:r>
        <w:tab/>
        <w:t>(1)</w:t>
      </w:r>
      <w:r>
        <w:tab/>
        <w:t>Section 105A(3) is amended by deleting “in open court”.</w:t>
      </w:r>
    </w:p>
    <w:p>
      <w:pPr>
        <w:pStyle w:val="nzSubsection"/>
      </w:pPr>
      <w:r>
        <w:tab/>
        <w:t>(2)</w:t>
      </w:r>
      <w:r>
        <w:tab/>
        <w:t xml:space="preserve">After section 105A(3) the following subsection is inserted — </w:t>
      </w:r>
    </w:p>
    <w:p>
      <w:pPr>
        <w:pStyle w:val="MiscOpen"/>
        <w:ind w:left="600"/>
      </w:pPr>
      <w:r>
        <w:t xml:space="preserve">“    </w:t>
      </w:r>
    </w:p>
    <w:p>
      <w:pPr>
        <w:pStyle w:val="nzSubsection"/>
      </w:pPr>
      <w:r>
        <w:tab/>
        <w:t>(3a)</w:t>
      </w:r>
      <w:r>
        <w:tab/>
        <w:t>Each ballot under subsection (3) is to be conducted in public.</w:t>
      </w:r>
    </w:p>
    <w:p>
      <w:pPr>
        <w:pStyle w:val="MiscClose"/>
      </w:pPr>
      <w:r>
        <w:t xml:space="preserve">    ”.</w:t>
      </w:r>
    </w:p>
    <w:p>
      <w:pPr>
        <w:pStyle w:val="nzHeading5"/>
      </w:pPr>
      <w:bookmarkStart w:id="2595" w:name="_Toc87061519"/>
      <w:r>
        <w:rPr>
          <w:rStyle w:val="CharSectno"/>
        </w:rPr>
        <w:t>68</w:t>
      </w:r>
      <w:r>
        <w:t>.</w:t>
      </w:r>
      <w:r>
        <w:tab/>
        <w:t>Section 130 amended</w:t>
      </w:r>
      <w:bookmarkEnd w:id="2595"/>
    </w:p>
    <w:p>
      <w:pPr>
        <w:pStyle w:val="nzSubsection"/>
      </w:pPr>
      <w:r>
        <w:tab/>
      </w:r>
      <w:r>
        <w:tab/>
        <w:t>Section 130 is amended by deleting “before the warden”.</w:t>
      </w:r>
    </w:p>
    <w:p>
      <w:pPr>
        <w:pStyle w:val="nzHeading5"/>
      </w:pPr>
      <w:bookmarkStart w:id="2596" w:name="_Toc87061520"/>
      <w:r>
        <w:rPr>
          <w:rStyle w:val="CharSectno"/>
        </w:rPr>
        <w:t>69</w:t>
      </w:r>
      <w:r>
        <w:t>.</w:t>
      </w:r>
      <w:r>
        <w:tab/>
        <w:t>Section 131 amended</w:t>
      </w:r>
      <w:bookmarkEnd w:id="2596"/>
    </w:p>
    <w:p>
      <w:pPr>
        <w:pStyle w:val="nzSubsection"/>
      </w:pPr>
      <w:r>
        <w:tab/>
      </w:r>
      <w:r>
        <w:tab/>
        <w:t>Section 131 is amended by deleting “, not being a person appointed under section 13(2),”.</w:t>
      </w:r>
    </w:p>
    <w:p>
      <w:pPr>
        <w:pStyle w:val="nzHeading5"/>
      </w:pPr>
      <w:bookmarkStart w:id="2597" w:name="_Toc87061521"/>
      <w:r>
        <w:rPr>
          <w:rStyle w:val="CharSectno"/>
        </w:rPr>
        <w:t>70</w:t>
      </w:r>
      <w:r>
        <w:t>.</w:t>
      </w:r>
      <w:r>
        <w:tab/>
        <w:t>Section 132 amended</w:t>
      </w:r>
      <w:bookmarkEnd w:id="2597"/>
    </w:p>
    <w:p>
      <w:pPr>
        <w:pStyle w:val="nzSubsection"/>
      </w:pPr>
      <w:r>
        <w:tab/>
        <w:t>(1)</w:t>
      </w:r>
      <w:r>
        <w:tab/>
        <w:t xml:space="preserve">Section 132(1) is amended by deleting “either the warden’s court or the warden.” and inserting instead — </w:t>
      </w:r>
    </w:p>
    <w:p>
      <w:pPr>
        <w:pStyle w:val="nzSubsection"/>
      </w:pPr>
      <w:r>
        <w:tab/>
      </w:r>
      <w:r>
        <w:tab/>
        <w:t>“    the warden’s court.    ”.</w:t>
      </w:r>
    </w:p>
    <w:p>
      <w:pPr>
        <w:pStyle w:val="nzSubsection"/>
      </w:pPr>
      <w:r>
        <w:tab/>
        <w:t>(2)</w:t>
      </w:r>
      <w:r>
        <w:tab/>
        <w:t xml:space="preserve">Section 132(2) is amended by deleting “all proceedings under this Act” and inserting instead — </w:t>
      </w:r>
    </w:p>
    <w:p>
      <w:pPr>
        <w:pStyle w:val="MiscOpen"/>
        <w:ind w:left="880"/>
      </w:pPr>
      <w:r>
        <w:t xml:space="preserve">“    </w:t>
      </w:r>
    </w:p>
    <w:p>
      <w:pPr>
        <w:pStyle w:val="nzSubsection"/>
      </w:pPr>
      <w:r>
        <w:tab/>
      </w:r>
      <w:r>
        <w:tab/>
        <w:t>any action, suit or other proceeding within the jurisdiction of a warden’s court</w:t>
      </w:r>
    </w:p>
    <w:p>
      <w:pPr>
        <w:pStyle w:val="MiscClose"/>
      </w:pPr>
      <w:r>
        <w:t xml:space="preserve">    ”.</w:t>
      </w:r>
    </w:p>
    <w:p>
      <w:pPr>
        <w:pStyle w:val="nzSubsection"/>
      </w:pPr>
      <w:r>
        <w:tab/>
        <w:t>(3)</w:t>
      </w:r>
      <w:r>
        <w:tab/>
        <w:t>Section 132(3) is amended as follows:</w:t>
      </w:r>
    </w:p>
    <w:p>
      <w:pPr>
        <w:pStyle w:val="nzIndenta"/>
      </w:pPr>
      <w:r>
        <w:tab/>
        <w:t>(a)</w:t>
      </w:r>
      <w:r>
        <w:tab/>
        <w:t xml:space="preserve">by deleting “his” in the 3 places where it occurs and inserting instead — </w:t>
      </w:r>
    </w:p>
    <w:p>
      <w:pPr>
        <w:pStyle w:val="nzIndenta"/>
      </w:pPr>
      <w:r>
        <w:tab/>
      </w:r>
      <w:r>
        <w:tab/>
        <w:t>“    the    ”;</w:t>
      </w:r>
    </w:p>
    <w:p>
      <w:pPr>
        <w:pStyle w:val="nzIndenta"/>
      </w:pPr>
      <w:r>
        <w:tab/>
        <w:t>(b)</w:t>
      </w:r>
      <w:r>
        <w:tab/>
        <w:t xml:space="preserve">by deleting “he” and inserting instead — </w:t>
      </w:r>
    </w:p>
    <w:p>
      <w:pPr>
        <w:pStyle w:val="nzIndenta"/>
      </w:pPr>
      <w:r>
        <w:tab/>
      </w:r>
      <w:r>
        <w:tab/>
        <w:t>“    the court    ”.</w:t>
      </w:r>
    </w:p>
    <w:p>
      <w:pPr>
        <w:pStyle w:val="nzHeading5"/>
      </w:pPr>
      <w:bookmarkStart w:id="2598" w:name="_Toc87061522"/>
      <w:r>
        <w:rPr>
          <w:rStyle w:val="CharSectno"/>
        </w:rPr>
        <w:t>71</w:t>
      </w:r>
      <w:r>
        <w:t>.</w:t>
      </w:r>
      <w:r>
        <w:tab/>
        <w:t>Section 134 amended</w:t>
      </w:r>
      <w:bookmarkEnd w:id="2598"/>
    </w:p>
    <w:p>
      <w:pPr>
        <w:pStyle w:val="nzSubsection"/>
      </w:pPr>
      <w:r>
        <w:tab/>
        <w:t>(1)</w:t>
      </w:r>
      <w:r>
        <w:tab/>
        <w:t>Section 134(1)(d) is deleted.</w:t>
      </w:r>
    </w:p>
    <w:p>
      <w:pPr>
        <w:pStyle w:val="nzSubsection"/>
      </w:pPr>
      <w:r>
        <w:tab/>
        <w:t>(2)</w:t>
      </w:r>
      <w:r>
        <w:tab/>
        <w:t>Section 134(2) is amended as follows:</w:t>
      </w:r>
    </w:p>
    <w:p>
      <w:pPr>
        <w:pStyle w:val="nzIndenta"/>
      </w:pPr>
      <w:r>
        <w:tab/>
        <w:t>(a)</w:t>
      </w:r>
      <w:r>
        <w:tab/>
        <w:t xml:space="preserve">by deleting “warden” in the first 3 places where it occurs and inserting instead — </w:t>
      </w:r>
    </w:p>
    <w:p>
      <w:pPr>
        <w:pStyle w:val="nzIndenta"/>
      </w:pPr>
      <w:r>
        <w:tab/>
      </w:r>
      <w:r>
        <w:tab/>
        <w:t>“    court    ”;</w:t>
      </w:r>
    </w:p>
    <w:p>
      <w:pPr>
        <w:pStyle w:val="nzIndenta"/>
      </w:pPr>
      <w:r>
        <w:tab/>
        <w:t>(b)</w:t>
      </w:r>
      <w:r>
        <w:tab/>
        <w:t xml:space="preserve">by inserting after “taxed” — </w:t>
      </w:r>
    </w:p>
    <w:p>
      <w:pPr>
        <w:pStyle w:val="nzIndenta"/>
      </w:pPr>
      <w:r>
        <w:tab/>
      </w:r>
      <w:r>
        <w:tab/>
        <w:t>“    by the warden or the mining registrar    ”;</w:t>
      </w:r>
    </w:p>
    <w:p>
      <w:pPr>
        <w:pStyle w:val="nzIndenta"/>
      </w:pPr>
      <w:r>
        <w:tab/>
        <w:t>(c)</w:t>
      </w:r>
      <w:r>
        <w:tab/>
        <w:t>by deleting the passage beginning “but an order” and ending “frivolous or vexatious”.</w:t>
      </w:r>
    </w:p>
    <w:p>
      <w:pPr>
        <w:pStyle w:val="nzSubsection"/>
      </w:pPr>
      <w:r>
        <w:tab/>
        <w:t>(3)</w:t>
      </w:r>
      <w:r>
        <w:tab/>
        <w:t>Section 134(5) is amended as follows:</w:t>
      </w:r>
    </w:p>
    <w:p>
      <w:pPr>
        <w:pStyle w:val="nzIndenta"/>
      </w:pPr>
      <w:r>
        <w:tab/>
        <w:t>(a)</w:t>
      </w:r>
      <w:r>
        <w:tab/>
        <w:t>by deleting “or the warden, as the case may require,”;</w:t>
      </w:r>
    </w:p>
    <w:p>
      <w:pPr>
        <w:pStyle w:val="nzIndenta"/>
      </w:pPr>
      <w:r>
        <w:tab/>
        <w:t>(b)</w:t>
      </w:r>
      <w:r>
        <w:tab/>
        <w:t>by deleting “or a Judge thereo</w:t>
      </w:r>
      <w:r>
        <w:rPr>
          <w:spacing w:val="40"/>
        </w:rPr>
        <w:t>f</w:t>
      </w:r>
      <w:r>
        <w:t>”.</w:t>
      </w:r>
    </w:p>
    <w:p>
      <w:pPr>
        <w:pStyle w:val="nzHeading5"/>
      </w:pPr>
      <w:bookmarkStart w:id="2599" w:name="_Toc87061523"/>
      <w:r>
        <w:rPr>
          <w:rStyle w:val="CharSectno"/>
        </w:rPr>
        <w:t>72</w:t>
      </w:r>
      <w:r>
        <w:t>.</w:t>
      </w:r>
      <w:r>
        <w:tab/>
        <w:t>Section 135 amended</w:t>
      </w:r>
      <w:bookmarkEnd w:id="2599"/>
    </w:p>
    <w:p>
      <w:pPr>
        <w:pStyle w:val="nzSubsection"/>
      </w:pPr>
      <w:r>
        <w:tab/>
        <w:t>(1)</w:t>
      </w:r>
      <w:r>
        <w:tab/>
        <w:t>Section 135(1) is amended as follows:</w:t>
      </w:r>
    </w:p>
    <w:p>
      <w:pPr>
        <w:pStyle w:val="nzIndenta"/>
      </w:pPr>
      <w:r>
        <w:tab/>
        <w:t>(a)</w:t>
      </w:r>
      <w:r>
        <w:tab/>
        <w:t xml:space="preserve">by deleting “arising under this Act the warden, or in his absence the mining registrar if the parties so agree,” and inserting instead — </w:t>
      </w:r>
    </w:p>
    <w:p>
      <w:pPr>
        <w:pStyle w:val="MiscOpen"/>
        <w:ind w:left="880"/>
      </w:pPr>
      <w:r>
        <w:t xml:space="preserve">“    </w:t>
      </w:r>
    </w:p>
    <w:p>
      <w:pPr>
        <w:pStyle w:val="nzSubsection"/>
      </w:pPr>
      <w:r>
        <w:tab/>
      </w:r>
      <w:r>
        <w:tab/>
        <w:t>relating to a matter within the jurisdiction of a warden’s court, the warden’s court</w:t>
      </w:r>
    </w:p>
    <w:p>
      <w:pPr>
        <w:pStyle w:val="MiscClose"/>
      </w:pPr>
      <w:r>
        <w:t xml:space="preserve">    ”;</w:t>
      </w:r>
    </w:p>
    <w:p>
      <w:pPr>
        <w:pStyle w:val="nzIndenta"/>
      </w:pPr>
      <w:r>
        <w:tab/>
        <w:t>(b)</w:t>
      </w:r>
      <w:r>
        <w:tab/>
        <w:t>by deleting the comma after “dispute”;</w:t>
      </w:r>
    </w:p>
    <w:p>
      <w:pPr>
        <w:pStyle w:val="nzIndenta"/>
      </w:pPr>
      <w:r>
        <w:tab/>
        <w:t>(c)</w:t>
      </w:r>
      <w:r>
        <w:tab/>
        <w:t xml:space="preserve">by deleting “he” and inserting instead — </w:t>
      </w:r>
    </w:p>
    <w:p>
      <w:pPr>
        <w:pStyle w:val="nzIndenta"/>
      </w:pPr>
      <w:r>
        <w:tab/>
      </w:r>
      <w:r>
        <w:tab/>
        <w:t>“    it    ”.</w:t>
      </w:r>
    </w:p>
    <w:p>
      <w:pPr>
        <w:pStyle w:val="nzSubsection"/>
      </w:pPr>
      <w:r>
        <w:tab/>
        <w:t>(2)</w:t>
      </w:r>
      <w:r>
        <w:tab/>
        <w:t>Section 135(2) is amended as follows:</w:t>
      </w:r>
    </w:p>
    <w:p>
      <w:pPr>
        <w:pStyle w:val="nzIndenta"/>
      </w:pPr>
      <w:r>
        <w:tab/>
        <w:t>(a)</w:t>
      </w:r>
      <w:r>
        <w:tab/>
        <w:t xml:space="preserve">by deleting “warden or mining registrar” and inserting instead — </w:t>
      </w:r>
    </w:p>
    <w:p>
      <w:pPr>
        <w:pStyle w:val="nzIndenta"/>
      </w:pPr>
      <w:r>
        <w:tab/>
      </w:r>
      <w:r>
        <w:tab/>
        <w:t>“    warden’s court    ”;</w:t>
      </w:r>
    </w:p>
    <w:p>
      <w:pPr>
        <w:pStyle w:val="nzIndenta"/>
      </w:pPr>
      <w:r>
        <w:tab/>
        <w:t>(b)</w:t>
      </w:r>
      <w:r>
        <w:tab/>
        <w:t xml:space="preserve">by deleting “by a warden in a warden’s court” and inserting instead — </w:t>
      </w:r>
    </w:p>
    <w:p>
      <w:pPr>
        <w:pStyle w:val="nzIndenta"/>
      </w:pPr>
      <w:r>
        <w:tab/>
      </w:r>
      <w:r>
        <w:tab/>
        <w:t>“    in the court    ”.</w:t>
      </w:r>
    </w:p>
    <w:p>
      <w:pPr>
        <w:pStyle w:val="nzSubsection"/>
      </w:pPr>
      <w:r>
        <w:tab/>
        <w:t>(3)</w:t>
      </w:r>
      <w:r>
        <w:tab/>
        <w:t>Section 135(3) is amended as follows:</w:t>
      </w:r>
    </w:p>
    <w:p>
      <w:pPr>
        <w:pStyle w:val="nzIndenta"/>
      </w:pPr>
      <w:r>
        <w:tab/>
        <w:t>(a)</w:t>
      </w:r>
      <w:r>
        <w:tab/>
        <w:t xml:space="preserve">by deleting “warden or mining registrar, as the case requires,” and inserting instead — </w:t>
      </w:r>
    </w:p>
    <w:p>
      <w:pPr>
        <w:pStyle w:val="nzIndenta"/>
      </w:pPr>
      <w:r>
        <w:tab/>
      </w:r>
      <w:r>
        <w:tab/>
        <w:t>“    warden’s court    ”;</w:t>
      </w:r>
    </w:p>
    <w:p>
      <w:pPr>
        <w:pStyle w:val="nzIndenta"/>
      </w:pPr>
      <w:r>
        <w:tab/>
        <w:t>(b)</w:t>
      </w:r>
      <w:r>
        <w:tab/>
        <w:t xml:space="preserve">by deleting “him” and inserting instead — </w:t>
      </w:r>
    </w:p>
    <w:p>
      <w:pPr>
        <w:pStyle w:val="nzIndenta"/>
      </w:pPr>
      <w:r>
        <w:tab/>
      </w:r>
      <w:r>
        <w:tab/>
        <w:t>“    it    ”;</w:t>
      </w:r>
    </w:p>
    <w:p>
      <w:pPr>
        <w:pStyle w:val="nzIndenta"/>
      </w:pPr>
      <w:r>
        <w:tab/>
        <w:t>(c)</w:t>
      </w:r>
      <w:r>
        <w:tab/>
        <w:t xml:space="preserve">by deleting “his” and inserting instead — </w:t>
      </w:r>
    </w:p>
    <w:p>
      <w:pPr>
        <w:pStyle w:val="nzIndenta"/>
      </w:pPr>
      <w:r>
        <w:tab/>
      </w:r>
      <w:r>
        <w:tab/>
        <w:t>“    its    ”.</w:t>
      </w:r>
    </w:p>
    <w:p>
      <w:pPr>
        <w:pStyle w:val="nzSubsection"/>
      </w:pPr>
      <w:r>
        <w:tab/>
        <w:t>(4)</w:t>
      </w:r>
      <w:r>
        <w:tab/>
        <w:t>Section 135(4) is repealed.</w:t>
      </w:r>
    </w:p>
    <w:p>
      <w:pPr>
        <w:pStyle w:val="nzHeading5"/>
      </w:pPr>
      <w:bookmarkStart w:id="2600" w:name="_Toc87061524"/>
      <w:r>
        <w:rPr>
          <w:rStyle w:val="CharSectno"/>
        </w:rPr>
        <w:t>73</w:t>
      </w:r>
      <w:r>
        <w:t>.</w:t>
      </w:r>
      <w:r>
        <w:tab/>
        <w:t>Section 137 amended</w:t>
      </w:r>
      <w:bookmarkEnd w:id="2600"/>
    </w:p>
    <w:p>
      <w:pPr>
        <w:pStyle w:val="nzSubsection"/>
      </w:pPr>
      <w:r>
        <w:tab/>
        <w:t>(1)</w:t>
      </w:r>
      <w:r>
        <w:tab/>
        <w:t xml:space="preserve">Section 137(1) is repealed and the following subsection is inserted instead — </w:t>
      </w:r>
    </w:p>
    <w:p>
      <w:pPr>
        <w:pStyle w:val="MiscOpen"/>
        <w:ind w:left="600"/>
      </w:pPr>
      <w:r>
        <w:t xml:space="preserve">“    </w:t>
      </w:r>
    </w:p>
    <w:p>
      <w:pPr>
        <w:pStyle w:val="nzSubsection"/>
      </w:pPr>
      <w:r>
        <w:tab/>
        <w:t>(1)</w:t>
      </w:r>
      <w:r>
        <w:tab/>
        <w:t>A warden’s court must ensure that evidence given in proceedings before it is recorded in the manner prescribed in the rules of court or the regulations.</w:t>
      </w:r>
    </w:p>
    <w:p>
      <w:pPr>
        <w:pStyle w:val="MiscClose"/>
      </w:pPr>
      <w:r>
        <w:t xml:space="preserve">    ”.</w:t>
      </w:r>
    </w:p>
    <w:p>
      <w:pPr>
        <w:pStyle w:val="nzSubsection"/>
      </w:pPr>
      <w:r>
        <w:tab/>
        <w:t>(2)</w:t>
      </w:r>
      <w:r>
        <w:tab/>
        <w:t>Section 137(2) and (3) are repealed.</w:t>
      </w:r>
    </w:p>
    <w:p>
      <w:pPr>
        <w:pStyle w:val="nzSubsection"/>
      </w:pPr>
      <w:r>
        <w:tab/>
        <w:t>(3)</w:t>
      </w:r>
      <w:r>
        <w:tab/>
        <w:t>Section 137(4) is amended as follows:</w:t>
      </w:r>
    </w:p>
    <w:p>
      <w:pPr>
        <w:pStyle w:val="nzIndenta"/>
      </w:pPr>
      <w:r>
        <w:tab/>
        <w:t>(a)</w:t>
      </w:r>
      <w:r>
        <w:tab/>
        <w:t xml:space="preserve">by deleting “wherein the evidence of a witness” and inserting instead — </w:t>
      </w:r>
    </w:p>
    <w:p>
      <w:pPr>
        <w:pStyle w:val="nzIndenta"/>
      </w:pPr>
      <w:r>
        <w:tab/>
      </w:r>
      <w:r>
        <w:tab/>
        <w:t>“    in which evidence    ”;</w:t>
      </w:r>
    </w:p>
    <w:p>
      <w:pPr>
        <w:pStyle w:val="nzIndenta"/>
      </w:pPr>
      <w:r>
        <w:tab/>
        <w:t>(b)</w:t>
      </w:r>
      <w:r>
        <w:tab/>
        <w:t>by deleting “thereo</w:t>
      </w:r>
      <w:r>
        <w:rPr>
          <w:spacing w:val="40"/>
        </w:rPr>
        <w:t>f</w:t>
      </w:r>
      <w:r>
        <w:t xml:space="preserve">” and inserting instead — </w:t>
      </w:r>
    </w:p>
    <w:p>
      <w:pPr>
        <w:pStyle w:val="nzIndenta"/>
      </w:pPr>
      <w:r>
        <w:tab/>
      </w:r>
      <w:r>
        <w:tab/>
        <w:t>“    of that evidence in the prescribed form    ”.</w:t>
      </w:r>
    </w:p>
    <w:p>
      <w:pPr>
        <w:pStyle w:val="nzSubsection"/>
      </w:pPr>
      <w:r>
        <w:tab/>
        <w:t>(4)</w:t>
      </w:r>
      <w:r>
        <w:tab/>
        <w:t>Section 137(5) is amended as follows:</w:t>
      </w:r>
    </w:p>
    <w:p>
      <w:pPr>
        <w:pStyle w:val="nzIndenta"/>
      </w:pPr>
      <w:r>
        <w:tab/>
        <w:t>(a)</w:t>
      </w:r>
      <w:r>
        <w:tab/>
        <w:t xml:space="preserve">by deleting “who” and inserting instead — </w:t>
      </w:r>
    </w:p>
    <w:p>
      <w:pPr>
        <w:pStyle w:val="nzIndenta"/>
      </w:pPr>
      <w:r>
        <w:tab/>
      </w:r>
      <w:r>
        <w:tab/>
        <w:t>“    presiding in the court that    ”;</w:t>
      </w:r>
    </w:p>
    <w:p>
      <w:pPr>
        <w:pStyle w:val="nzIndenta"/>
      </w:pPr>
      <w:r>
        <w:tab/>
        <w:t>(b)</w:t>
      </w:r>
      <w:r>
        <w:tab/>
        <w:t>by deleting “, and shall be recorded in a register kept for the purpose”.</w:t>
      </w:r>
    </w:p>
    <w:p>
      <w:pPr>
        <w:pStyle w:val="nzHeading5"/>
      </w:pPr>
      <w:bookmarkStart w:id="2601" w:name="_Toc87061525"/>
      <w:r>
        <w:rPr>
          <w:rStyle w:val="CharSectno"/>
        </w:rPr>
        <w:t>74</w:t>
      </w:r>
      <w:r>
        <w:t>.</w:t>
      </w:r>
      <w:r>
        <w:tab/>
        <w:t>Section 138 amended</w:t>
      </w:r>
      <w:bookmarkEnd w:id="2601"/>
    </w:p>
    <w:p>
      <w:pPr>
        <w:pStyle w:val="nzSubsection"/>
      </w:pPr>
      <w:r>
        <w:tab/>
      </w:r>
      <w:r>
        <w:tab/>
        <w:t>Section 138(4) is amended as follows:</w:t>
      </w:r>
    </w:p>
    <w:p>
      <w:pPr>
        <w:pStyle w:val="nzIndenta"/>
      </w:pPr>
      <w:r>
        <w:tab/>
        <w:t>(a)</w:t>
      </w:r>
      <w:r>
        <w:tab/>
        <w:t xml:space="preserve">by deleting “warden” in the first place where it occurs and inserting instead — </w:t>
      </w:r>
    </w:p>
    <w:p>
      <w:pPr>
        <w:pStyle w:val="nzIndenta"/>
      </w:pPr>
      <w:r>
        <w:tab/>
      </w:r>
      <w:r>
        <w:tab/>
        <w:t>“    warden’s court    ”;</w:t>
      </w:r>
    </w:p>
    <w:p>
      <w:pPr>
        <w:pStyle w:val="nzIndenta"/>
      </w:pPr>
      <w:r>
        <w:tab/>
        <w:t>(b)</w:t>
      </w:r>
      <w:r>
        <w:tab/>
        <w:t xml:space="preserve">by deleting “his” in both places where it occurs and inserting instead — </w:t>
      </w:r>
    </w:p>
    <w:p>
      <w:pPr>
        <w:pStyle w:val="nzIndenta"/>
      </w:pPr>
      <w:r>
        <w:tab/>
      </w:r>
      <w:r>
        <w:tab/>
        <w:t>“    its    ”;</w:t>
      </w:r>
    </w:p>
    <w:p>
      <w:pPr>
        <w:pStyle w:val="nzIndenta"/>
      </w:pPr>
      <w:r>
        <w:tab/>
        <w:t>(c)</w:t>
      </w:r>
      <w:r>
        <w:tab/>
        <w:t xml:space="preserve">by deleting “the warden” and inserting instead — </w:t>
      </w:r>
    </w:p>
    <w:p>
      <w:pPr>
        <w:pStyle w:val="nzIndenta"/>
      </w:pPr>
      <w:r>
        <w:tab/>
      </w:r>
      <w:r>
        <w:tab/>
        <w:t>“    it    ”.</w:t>
      </w:r>
    </w:p>
    <w:p>
      <w:pPr>
        <w:pStyle w:val="nzHeading5"/>
      </w:pPr>
      <w:bookmarkStart w:id="2602" w:name="_Toc87061526"/>
      <w:r>
        <w:rPr>
          <w:rStyle w:val="CharSectno"/>
        </w:rPr>
        <w:t>75</w:t>
      </w:r>
      <w:r>
        <w:t>.</w:t>
      </w:r>
      <w:r>
        <w:tab/>
        <w:t>Section 142 amended</w:t>
      </w:r>
      <w:bookmarkEnd w:id="2602"/>
    </w:p>
    <w:p>
      <w:pPr>
        <w:pStyle w:val="nzSubsection"/>
      </w:pPr>
      <w:r>
        <w:tab/>
        <w:t>(1)</w:t>
      </w:r>
      <w:r>
        <w:tab/>
        <w:t xml:space="preserve">Section 142(1) is amended by inserting after “proceedings” in the first place where it occurs — </w:t>
      </w:r>
    </w:p>
    <w:p>
      <w:pPr>
        <w:pStyle w:val="nzSubsection"/>
      </w:pPr>
      <w:r>
        <w:tab/>
      </w:r>
      <w:r>
        <w:tab/>
        <w:t>“    in a warden’s court    ”.</w:t>
      </w:r>
    </w:p>
    <w:p>
      <w:pPr>
        <w:pStyle w:val="nzSubsection"/>
      </w:pPr>
      <w:r>
        <w:tab/>
        <w:t>(2)</w:t>
      </w:r>
      <w:r>
        <w:tab/>
        <w:t>Section 142(2) is amended as follows:</w:t>
      </w:r>
    </w:p>
    <w:p>
      <w:pPr>
        <w:pStyle w:val="nzIndenta"/>
      </w:pPr>
      <w:r>
        <w:tab/>
        <w:t>(a)</w:t>
      </w:r>
      <w:r>
        <w:tab/>
        <w:t xml:space="preserve">by inserting after “proceedings” in the first place where it occurs — </w:t>
      </w:r>
    </w:p>
    <w:p>
      <w:pPr>
        <w:pStyle w:val="nzIndenta"/>
      </w:pPr>
      <w:r>
        <w:tab/>
      </w:r>
      <w:r>
        <w:tab/>
        <w:t>“    in a warden’s court    ”;</w:t>
      </w:r>
    </w:p>
    <w:p>
      <w:pPr>
        <w:pStyle w:val="nzIndenta"/>
      </w:pPr>
      <w:r>
        <w:tab/>
        <w:t>(b)</w:t>
      </w:r>
      <w:r>
        <w:tab/>
        <w:t>by deleting “mining registrar and a warden respectively have” and inserting instead —</w:t>
      </w:r>
    </w:p>
    <w:p>
      <w:pPr>
        <w:pStyle w:val="nzIndenta"/>
      </w:pPr>
      <w:r>
        <w:tab/>
      </w:r>
      <w:r>
        <w:tab/>
        <w:t>“    warden’s court has    ”;</w:t>
      </w:r>
    </w:p>
    <w:p>
      <w:pPr>
        <w:pStyle w:val="nzIndenta"/>
      </w:pPr>
      <w:r>
        <w:tab/>
        <w:t>(c)</w:t>
      </w:r>
      <w:r>
        <w:tab/>
        <w:t xml:space="preserve">by deleting “any” in the third place where it occurs and inserting instead — </w:t>
      </w:r>
    </w:p>
    <w:p>
      <w:pPr>
        <w:pStyle w:val="nzIndenta"/>
      </w:pPr>
      <w:r>
        <w:tab/>
      </w:r>
      <w:r>
        <w:tab/>
        <w:t>“    such    ”.</w:t>
      </w:r>
    </w:p>
    <w:p>
      <w:pPr>
        <w:pStyle w:val="nzSubsection"/>
      </w:pPr>
      <w:r>
        <w:tab/>
        <w:t>(3)</w:t>
      </w:r>
      <w:r>
        <w:tab/>
        <w:t xml:space="preserve">Section 142(5) is amended by deleting “mining registrar, or the warden, as the case may be,” and inserting instead — </w:t>
      </w:r>
    </w:p>
    <w:p>
      <w:pPr>
        <w:pStyle w:val="nzSubsection"/>
      </w:pPr>
      <w:r>
        <w:tab/>
      </w:r>
      <w:r>
        <w:tab/>
        <w:t>“    warden’s court    ”.</w:t>
      </w:r>
    </w:p>
    <w:p>
      <w:pPr>
        <w:pStyle w:val="nzHeading5"/>
      </w:pPr>
      <w:bookmarkStart w:id="2603" w:name="_Toc87061527"/>
      <w:r>
        <w:rPr>
          <w:rStyle w:val="CharSectno"/>
        </w:rPr>
        <w:t>76</w:t>
      </w:r>
      <w:r>
        <w:t>.</w:t>
      </w:r>
      <w:r>
        <w:tab/>
        <w:t>Sections 144 and 145 repealed</w:t>
      </w:r>
      <w:bookmarkEnd w:id="2603"/>
    </w:p>
    <w:p>
      <w:pPr>
        <w:pStyle w:val="nzSubsection"/>
      </w:pPr>
      <w:r>
        <w:tab/>
      </w:r>
      <w:r>
        <w:tab/>
        <w:t>Sections 144 and 145 are repealed.</w:t>
      </w:r>
    </w:p>
    <w:p>
      <w:pPr>
        <w:pStyle w:val="nzHeading5"/>
      </w:pPr>
      <w:bookmarkStart w:id="2604" w:name="_Toc87061528"/>
      <w:r>
        <w:rPr>
          <w:rStyle w:val="CharSectno"/>
        </w:rPr>
        <w:t>77</w:t>
      </w:r>
      <w:r>
        <w:t>.</w:t>
      </w:r>
      <w:r>
        <w:tab/>
        <w:t>Section 146 amended</w:t>
      </w:r>
      <w:bookmarkEnd w:id="2604"/>
    </w:p>
    <w:p>
      <w:pPr>
        <w:pStyle w:val="nzSubsection"/>
      </w:pPr>
      <w:r>
        <w:tab/>
        <w:t>(1)</w:t>
      </w:r>
      <w:r>
        <w:tab/>
        <w:t xml:space="preserve">Section 146(1) is amended by deleting “The warden” and inserting instead — </w:t>
      </w:r>
    </w:p>
    <w:p>
      <w:pPr>
        <w:pStyle w:val="nzSubsection"/>
      </w:pPr>
      <w:r>
        <w:tab/>
      </w:r>
      <w:r>
        <w:tab/>
        <w:t>“    A warden’s court    ”.</w:t>
      </w:r>
    </w:p>
    <w:p>
      <w:pPr>
        <w:pStyle w:val="nzSubsection"/>
      </w:pPr>
      <w:r>
        <w:tab/>
        <w:t>(2)</w:t>
      </w:r>
      <w:r>
        <w:tab/>
        <w:t xml:space="preserve">Section 146(2) is amended by deleting “him” and inserting instead — </w:t>
      </w:r>
    </w:p>
    <w:p>
      <w:pPr>
        <w:pStyle w:val="nzSubsection"/>
      </w:pPr>
      <w:r>
        <w:tab/>
      </w:r>
      <w:r>
        <w:tab/>
        <w:t>“    the court    ”.</w:t>
      </w:r>
    </w:p>
    <w:p>
      <w:pPr>
        <w:pStyle w:val="nzSubsection"/>
      </w:pPr>
      <w:r>
        <w:tab/>
        <w:t>(3)</w:t>
      </w:r>
      <w:r>
        <w:tab/>
        <w:t xml:space="preserve">Section  146(6) is amended by deleting “warden who” and inserting instead — </w:t>
      </w:r>
    </w:p>
    <w:p>
      <w:pPr>
        <w:pStyle w:val="nzSubsection"/>
      </w:pPr>
      <w:r>
        <w:tab/>
      </w:r>
      <w:r>
        <w:tab/>
        <w:t>“    warden’s court which    ”.</w:t>
      </w:r>
    </w:p>
    <w:p>
      <w:pPr>
        <w:pStyle w:val="nzSubsection"/>
      </w:pPr>
      <w:r>
        <w:tab/>
        <w:t>(4)</w:t>
      </w:r>
      <w:r>
        <w:tab/>
        <w:t xml:space="preserve">Section 146(7) is amended by deleting “he” in both places where it occurs and inserting instead — </w:t>
      </w:r>
    </w:p>
    <w:p>
      <w:pPr>
        <w:pStyle w:val="nzSubsection"/>
      </w:pPr>
      <w:r>
        <w:tab/>
      </w:r>
      <w:r>
        <w:tab/>
        <w:t>“    it    ”.</w:t>
      </w:r>
    </w:p>
    <w:p>
      <w:pPr>
        <w:pStyle w:val="nzHeading5"/>
      </w:pPr>
      <w:bookmarkStart w:id="2605" w:name="_Toc87061529"/>
      <w:r>
        <w:rPr>
          <w:rStyle w:val="CharSectno"/>
        </w:rPr>
        <w:t>78</w:t>
      </w:r>
      <w:r>
        <w:t>.</w:t>
      </w:r>
      <w:r>
        <w:tab/>
        <w:t>Section 147 amended</w:t>
      </w:r>
      <w:bookmarkEnd w:id="2605"/>
    </w:p>
    <w:p>
      <w:pPr>
        <w:pStyle w:val="nzSubsection"/>
      </w:pPr>
      <w:r>
        <w:tab/>
        <w:t>(1)</w:t>
      </w:r>
      <w:r>
        <w:tab/>
        <w:t xml:space="preserve">Section 147(1) is amended by deleting “section” and inserting instead — </w:t>
      </w:r>
    </w:p>
    <w:p>
      <w:pPr>
        <w:pStyle w:val="nzSubsection"/>
      </w:pPr>
      <w:r>
        <w:tab/>
      </w:r>
      <w:r>
        <w:tab/>
        <w:t>“    sections 135(2) and    ”.</w:t>
      </w:r>
    </w:p>
    <w:p>
      <w:pPr>
        <w:pStyle w:val="nzSubsection"/>
      </w:pPr>
      <w:r>
        <w:tab/>
        <w:t>(2)</w:t>
      </w:r>
      <w:r>
        <w:tab/>
        <w:t>Section 147(3) is amended by deleting “upon the warden and”.</w:t>
      </w:r>
    </w:p>
    <w:p>
      <w:pPr>
        <w:pStyle w:val="nzSubsection"/>
      </w:pPr>
      <w:r>
        <w:tab/>
        <w:t>(3)</w:t>
      </w:r>
      <w:r>
        <w:tab/>
        <w:t>Section 147(4) and (5) are repealed.</w:t>
      </w:r>
    </w:p>
    <w:p>
      <w:pPr>
        <w:pStyle w:val="nzSubsection"/>
      </w:pPr>
      <w:r>
        <w:tab/>
        <w:t>(4)</w:t>
      </w:r>
      <w:r>
        <w:tab/>
        <w:t xml:space="preserve">Section 147(6) is amended by deleting “he” and inserting instead — </w:t>
      </w:r>
    </w:p>
    <w:p>
      <w:pPr>
        <w:pStyle w:val="nzSubsection"/>
      </w:pPr>
      <w:r>
        <w:tab/>
      </w:r>
      <w:r>
        <w:tab/>
        <w:t>“    it    ”.</w:t>
      </w:r>
    </w:p>
    <w:p>
      <w:pPr>
        <w:pStyle w:val="nzHeading5"/>
      </w:pPr>
      <w:bookmarkStart w:id="2606" w:name="_Toc87061530"/>
      <w:r>
        <w:rPr>
          <w:rStyle w:val="CharSectno"/>
        </w:rPr>
        <w:t>79</w:t>
      </w:r>
      <w:r>
        <w:t>.</w:t>
      </w:r>
      <w:r>
        <w:tab/>
        <w:t>Section 148 amended</w:t>
      </w:r>
      <w:bookmarkEnd w:id="2606"/>
    </w:p>
    <w:p>
      <w:pPr>
        <w:pStyle w:val="nzSubsection"/>
      </w:pPr>
      <w:r>
        <w:tab/>
      </w:r>
      <w:r>
        <w:tab/>
        <w:t>Section 148(4) is amended by deleting “and served upon the warden”.</w:t>
      </w:r>
    </w:p>
    <w:p>
      <w:pPr>
        <w:pStyle w:val="nzHeading5"/>
      </w:pPr>
      <w:bookmarkStart w:id="2607" w:name="_Toc87061531"/>
      <w:r>
        <w:rPr>
          <w:rStyle w:val="CharSectno"/>
        </w:rPr>
        <w:t>80</w:t>
      </w:r>
      <w:r>
        <w:t>.</w:t>
      </w:r>
      <w:r>
        <w:tab/>
        <w:t>Section 151 amended</w:t>
      </w:r>
      <w:bookmarkEnd w:id="2607"/>
    </w:p>
    <w:p>
      <w:pPr>
        <w:pStyle w:val="nzSubsection"/>
      </w:pPr>
      <w:r>
        <w:tab/>
      </w:r>
      <w:r>
        <w:tab/>
        <w:t>Section 151 is amended as follows:</w:t>
      </w:r>
    </w:p>
    <w:p>
      <w:pPr>
        <w:pStyle w:val="nzIndenta"/>
      </w:pPr>
      <w:r>
        <w:tab/>
        <w:t>(a)</w:t>
      </w:r>
      <w:r>
        <w:tab/>
        <w:t xml:space="preserve">by deleting “Part — ” and inserting instead — </w:t>
      </w:r>
    </w:p>
    <w:p>
      <w:pPr>
        <w:pStyle w:val="nzIndenta"/>
      </w:pPr>
      <w:r>
        <w:tab/>
      </w:r>
      <w:r>
        <w:tab/>
        <w:t>“    Part    ”;</w:t>
      </w:r>
    </w:p>
    <w:p>
      <w:pPr>
        <w:pStyle w:val="nzIndenta"/>
      </w:pPr>
      <w:r>
        <w:tab/>
        <w:t>(b)</w:t>
      </w:r>
      <w:r>
        <w:tab/>
        <w:t>by deleting the paragraph designation “(a)”;</w:t>
      </w:r>
    </w:p>
    <w:p>
      <w:pPr>
        <w:pStyle w:val="nzIndenta"/>
      </w:pPr>
      <w:r>
        <w:tab/>
        <w:t>(c)</w:t>
      </w:r>
      <w:r>
        <w:tab/>
        <w:t xml:space="preserve">by deleting “final;” and inserting instead — </w:t>
      </w:r>
    </w:p>
    <w:p>
      <w:pPr>
        <w:pStyle w:val="nzIndenta"/>
      </w:pPr>
      <w:r>
        <w:tab/>
      </w:r>
      <w:r>
        <w:tab/>
        <w:t>“    final.    ”;</w:t>
      </w:r>
    </w:p>
    <w:p>
      <w:pPr>
        <w:pStyle w:val="nzIndenta"/>
      </w:pPr>
      <w:r>
        <w:tab/>
        <w:t>(d)</w:t>
      </w:r>
      <w:r>
        <w:tab/>
        <w:t>by deleting paragraphs (b) and (c).</w:t>
      </w:r>
    </w:p>
    <w:p>
      <w:pPr>
        <w:pStyle w:val="nzHeading5"/>
      </w:pPr>
      <w:bookmarkStart w:id="2608" w:name="_Toc87061532"/>
      <w:r>
        <w:rPr>
          <w:rStyle w:val="CharSectno"/>
        </w:rPr>
        <w:t>81</w:t>
      </w:r>
      <w:r>
        <w:t>.</w:t>
      </w:r>
      <w:r>
        <w:tab/>
        <w:t>Section 156 amended</w:t>
      </w:r>
      <w:bookmarkEnd w:id="2608"/>
    </w:p>
    <w:p>
      <w:pPr>
        <w:pStyle w:val="nzSubsection"/>
      </w:pPr>
      <w:r>
        <w:tab/>
      </w:r>
      <w:r>
        <w:tab/>
        <w:t>Section 156(1)(b)(i) is amended by deleting “or acting warden,”.</w:t>
      </w:r>
    </w:p>
    <w:p>
      <w:pPr>
        <w:pStyle w:val="nzHeading5"/>
      </w:pPr>
      <w:bookmarkStart w:id="2609" w:name="_Toc87061533"/>
      <w:r>
        <w:rPr>
          <w:rStyle w:val="CharSectno"/>
        </w:rPr>
        <w:t>82</w:t>
      </w:r>
      <w:r>
        <w:t>.</w:t>
      </w:r>
      <w:r>
        <w:tab/>
        <w:t>Sections 160C and 160D inserted</w:t>
      </w:r>
      <w:bookmarkEnd w:id="2609"/>
    </w:p>
    <w:p>
      <w:pPr>
        <w:pStyle w:val="nzSubsection"/>
      </w:pPr>
      <w:r>
        <w:tab/>
      </w:r>
      <w:r>
        <w:tab/>
        <w:t xml:space="preserve">After section 160B the following sections are inserted — </w:t>
      </w:r>
    </w:p>
    <w:p>
      <w:pPr>
        <w:pStyle w:val="MiscOpen"/>
      </w:pPr>
      <w:r>
        <w:t xml:space="preserve">“    </w:t>
      </w:r>
    </w:p>
    <w:p>
      <w:pPr>
        <w:pStyle w:val="nzHeading5"/>
      </w:pPr>
      <w:r>
        <w:t>160C.</w:t>
      </w:r>
      <w:r>
        <w:tab/>
        <w:t>No right of appeal from certain decisions of warden, mining registrar or Minister</w:t>
      </w:r>
    </w:p>
    <w:p>
      <w:pPr>
        <w:pStyle w:val="nzSubsection"/>
      </w:pPr>
      <w:r>
        <w:tab/>
      </w:r>
      <w:r>
        <w:tab/>
        <w:t xml:space="preserve">No appeal lies under this Act — </w:t>
      </w:r>
    </w:p>
    <w:p>
      <w:pPr>
        <w:pStyle w:val="nzIndenta"/>
      </w:pPr>
      <w:r>
        <w:tab/>
        <w:t>(a)</w:t>
      </w:r>
      <w:r>
        <w:tab/>
        <w:t xml:space="preserve">except as provided in Part IV, in respect of a decision, order or recommendation of a warden or mining registrar on — </w:t>
      </w:r>
    </w:p>
    <w:p>
      <w:pPr>
        <w:pStyle w:val="nzIndenti"/>
      </w:pPr>
      <w:r>
        <w:tab/>
        <w:t>(i)</w:t>
      </w:r>
      <w:r>
        <w:tab/>
        <w:t>an application for a mining tenement;</w:t>
      </w:r>
    </w:p>
    <w:p>
      <w:pPr>
        <w:pStyle w:val="nzIndenti"/>
      </w:pPr>
      <w:r>
        <w:tab/>
        <w:t>(ii)</w:t>
      </w:r>
      <w:r>
        <w:tab/>
        <w:t>an application for forfeiture of a mining tenement; or</w:t>
      </w:r>
    </w:p>
    <w:p>
      <w:pPr>
        <w:pStyle w:val="nzIndenti"/>
      </w:pPr>
      <w:r>
        <w:tab/>
        <w:t>(iii)</w:t>
      </w:r>
      <w:r>
        <w:tab/>
        <w:t>an application for exemption from expenditure or other conditions;</w:t>
      </w:r>
    </w:p>
    <w:p>
      <w:pPr>
        <w:pStyle w:val="nzIndenta"/>
      </w:pPr>
      <w:r>
        <w:tab/>
        <w:t>(b)</w:t>
      </w:r>
      <w:r>
        <w:tab/>
        <w:t xml:space="preserve">in respect of a decision or order of the Minister on — </w:t>
      </w:r>
    </w:p>
    <w:p>
      <w:pPr>
        <w:pStyle w:val="nzIndenti"/>
      </w:pPr>
      <w:r>
        <w:tab/>
        <w:t>(i)</w:t>
      </w:r>
      <w:r>
        <w:tab/>
        <w:t>an application for a mining tenement;</w:t>
      </w:r>
    </w:p>
    <w:p>
      <w:pPr>
        <w:pStyle w:val="nzIndenti"/>
      </w:pPr>
      <w:r>
        <w:tab/>
        <w:t>(ii)</w:t>
      </w:r>
      <w:r>
        <w:tab/>
        <w:t>an application for forfeiture of a mining tenement; or</w:t>
      </w:r>
    </w:p>
    <w:p>
      <w:pPr>
        <w:pStyle w:val="nzIndenti"/>
      </w:pPr>
      <w:r>
        <w:tab/>
        <w:t>(iii)</w:t>
      </w:r>
      <w:r>
        <w:tab/>
        <w:t>an application for exemption from expenditure or other conditions;</w:t>
      </w:r>
    </w:p>
    <w:p>
      <w:pPr>
        <w:pStyle w:val="nzIndenta"/>
      </w:pPr>
      <w:r>
        <w:tab/>
      </w:r>
      <w:r>
        <w:tab/>
        <w:t>or</w:t>
      </w:r>
    </w:p>
    <w:p>
      <w:pPr>
        <w:pStyle w:val="nzIndenta"/>
      </w:pPr>
      <w:r>
        <w:tab/>
        <w:t>(c)</w:t>
      </w:r>
      <w:r>
        <w:tab/>
        <w:t>in respect of a determination of a warden or mining registrar if a provision of this Act provides that the determination is final and conclusive and not subject to appeal.</w:t>
      </w:r>
    </w:p>
    <w:p>
      <w:pPr>
        <w:pStyle w:val="nzHeading5"/>
      </w:pPr>
      <w:r>
        <w:t>160D.</w:t>
      </w:r>
      <w:r>
        <w:tab/>
        <w:t>Persons before whom affidavit may be sworn</w:t>
      </w:r>
    </w:p>
    <w:p>
      <w:pPr>
        <w:pStyle w:val="nzSubsection"/>
      </w:pPr>
      <w:r>
        <w:tab/>
      </w:r>
      <w:r>
        <w:tab/>
        <w:t xml:space="preserve">An affidavit to be used in a warden’s court or before a warden or a mining registrar may be sworn before — </w:t>
      </w:r>
    </w:p>
    <w:p>
      <w:pPr>
        <w:pStyle w:val="nzIndenta"/>
      </w:pPr>
      <w:r>
        <w:tab/>
        <w:t>(a)</w:t>
      </w:r>
      <w:r>
        <w:tab/>
        <w:t>a commissioner for taking affidavits in the Supreme Court;</w:t>
      </w:r>
    </w:p>
    <w:p>
      <w:pPr>
        <w:pStyle w:val="nzIndenta"/>
      </w:pPr>
      <w:r>
        <w:tab/>
        <w:t>(b)</w:t>
      </w:r>
      <w:r>
        <w:tab/>
        <w:t>a warden;</w:t>
      </w:r>
    </w:p>
    <w:p>
      <w:pPr>
        <w:pStyle w:val="nzIndenta"/>
      </w:pPr>
      <w:r>
        <w:tab/>
        <w:t>(c)</w:t>
      </w:r>
      <w:r>
        <w:tab/>
        <w:t>a mining registrar;</w:t>
      </w:r>
    </w:p>
    <w:p>
      <w:pPr>
        <w:pStyle w:val="nzIndenta"/>
      </w:pPr>
      <w:r>
        <w:tab/>
        <w:t>(d)</w:t>
      </w:r>
      <w:r>
        <w:tab/>
        <w:t>a justice;</w:t>
      </w:r>
    </w:p>
    <w:p>
      <w:pPr>
        <w:pStyle w:val="nzIndenta"/>
      </w:pPr>
      <w:r>
        <w:tab/>
        <w:t>(e)</w:t>
      </w:r>
      <w:r>
        <w:tab/>
        <w:t xml:space="preserve">a public notary as defined in the </w:t>
      </w:r>
      <w:r>
        <w:rPr>
          <w:i/>
        </w:rPr>
        <w:t>Public Notaries Act 1979</w:t>
      </w:r>
      <w:r>
        <w:t>; or</w:t>
      </w:r>
    </w:p>
    <w:p>
      <w:pPr>
        <w:pStyle w:val="nzIndenta"/>
      </w:pPr>
      <w:r>
        <w:tab/>
        <w:t>(f)</w:t>
      </w:r>
      <w:r>
        <w:tab/>
        <w:t>a prescribed official.</w:t>
      </w:r>
    </w:p>
    <w:p>
      <w:pPr>
        <w:pStyle w:val="MiscClose"/>
      </w:pPr>
      <w:r>
        <w:t xml:space="preserve">    ”.</w:t>
      </w:r>
    </w:p>
    <w:p>
      <w:pPr>
        <w:pStyle w:val="nzHeading5"/>
      </w:pPr>
      <w:bookmarkStart w:id="2610" w:name="_Toc87061534"/>
      <w:r>
        <w:rPr>
          <w:rStyle w:val="CharSectno"/>
        </w:rPr>
        <w:t>83</w:t>
      </w:r>
      <w:r>
        <w:t>.</w:t>
      </w:r>
      <w:r>
        <w:tab/>
        <w:t>Section 161 amended</w:t>
      </w:r>
      <w:bookmarkEnd w:id="2610"/>
    </w:p>
    <w:p>
      <w:pPr>
        <w:pStyle w:val="nzSubsection"/>
      </w:pPr>
      <w:r>
        <w:tab/>
      </w:r>
      <w:r>
        <w:tab/>
        <w:t xml:space="preserve">After section 161(3) the following subsection is inserted — </w:t>
      </w:r>
    </w:p>
    <w:p>
      <w:pPr>
        <w:pStyle w:val="MiscOpen"/>
        <w:ind w:left="600"/>
      </w:pPr>
      <w:r>
        <w:t xml:space="preserve">“    </w:t>
      </w:r>
    </w:p>
    <w:p>
      <w:pPr>
        <w:pStyle w:val="nzSubsection"/>
      </w:pPr>
      <w:r>
        <w:tab/>
        <w:t>(4)</w:t>
      </w:r>
      <w:r>
        <w:tab/>
        <w:t xml:space="preserve">In any proceedings — </w:t>
      </w:r>
    </w:p>
    <w:p>
      <w:pPr>
        <w:pStyle w:val="nzIndenta"/>
      </w:pPr>
      <w:r>
        <w:tab/>
        <w:t>(a)</w:t>
      </w:r>
      <w:r>
        <w:tab/>
        <w:t xml:space="preserve">a document purporting to be a copy of a judgment, order or decision of a warden or a warden’s court, or of a document filed or lodged in proceedings under this Act, and purporting to be certified by — </w:t>
      </w:r>
    </w:p>
    <w:p>
      <w:pPr>
        <w:pStyle w:val="nzIndenti"/>
      </w:pPr>
      <w:r>
        <w:tab/>
        <w:t>(i)</w:t>
      </w:r>
      <w:r>
        <w:tab/>
        <w:t>a warden;</w:t>
      </w:r>
    </w:p>
    <w:p>
      <w:pPr>
        <w:pStyle w:val="nzIndenti"/>
      </w:pPr>
      <w:r>
        <w:tab/>
        <w:t>(ii)</w:t>
      </w:r>
      <w:r>
        <w:tab/>
        <w:t>a mining registrar; or</w:t>
      </w:r>
    </w:p>
    <w:p>
      <w:pPr>
        <w:pStyle w:val="nzIndenti"/>
      </w:pPr>
      <w:r>
        <w:tab/>
        <w:t>(iii)</w:t>
      </w:r>
      <w:r>
        <w:tab/>
        <w:t>a prescribed official,</w:t>
      </w:r>
    </w:p>
    <w:p>
      <w:pPr>
        <w:pStyle w:val="nzIndenta"/>
      </w:pPr>
      <w:r>
        <w:tab/>
      </w:r>
      <w:r>
        <w:tab/>
        <w:t>to be such a copy, is admissible as a true copy of the judgment, order, decision or document; and</w:t>
      </w:r>
    </w:p>
    <w:p>
      <w:pPr>
        <w:pStyle w:val="nzIndenta"/>
      </w:pPr>
      <w:r>
        <w:tab/>
        <w:t>(b)</w:t>
      </w:r>
      <w:r>
        <w:tab/>
        <w:t>judicial notice is to be taken of the signature of a person referred to in paragraph (a)(i), (ii) or (iii) on a certificate under that paragraph.</w:t>
      </w:r>
    </w:p>
    <w:p>
      <w:pPr>
        <w:pStyle w:val="MiscClose"/>
      </w:pPr>
      <w:r>
        <w:t xml:space="preserve">    ”.</w:t>
      </w:r>
    </w:p>
    <w:p>
      <w:pPr>
        <w:pStyle w:val="nzHeading5"/>
      </w:pPr>
      <w:bookmarkStart w:id="2611" w:name="_Toc87061535"/>
      <w:r>
        <w:rPr>
          <w:rStyle w:val="CharSectno"/>
        </w:rPr>
        <w:t>84</w:t>
      </w:r>
      <w:r>
        <w:t>.</w:t>
      </w:r>
      <w:r>
        <w:tab/>
        <w:t>Section 162 amended</w:t>
      </w:r>
      <w:bookmarkEnd w:id="2611"/>
    </w:p>
    <w:p>
      <w:pPr>
        <w:pStyle w:val="nzSubsection"/>
      </w:pPr>
      <w:r>
        <w:tab/>
        <w:t>(1)</w:t>
      </w:r>
      <w:r>
        <w:tab/>
        <w:t>Section 162(2) is amended as follows:</w:t>
      </w:r>
    </w:p>
    <w:p>
      <w:pPr>
        <w:pStyle w:val="nzIndenta"/>
      </w:pPr>
      <w:r>
        <w:tab/>
        <w:t>(a)</w:t>
      </w:r>
      <w:r>
        <w:tab/>
        <w:t xml:space="preserve">in paragraph (ka)(iii) by deleting “warden’s court” and inserting instead — </w:t>
      </w:r>
    </w:p>
    <w:p>
      <w:pPr>
        <w:pStyle w:val="nzIndenta"/>
      </w:pPr>
      <w:r>
        <w:tab/>
      </w:r>
      <w:r>
        <w:tab/>
        <w:t>“    warden    ”;</w:t>
      </w:r>
    </w:p>
    <w:p>
      <w:pPr>
        <w:pStyle w:val="nzIndenta"/>
      </w:pPr>
      <w:r>
        <w:tab/>
        <w:t>(b)</w:t>
      </w:r>
      <w:r>
        <w:tab/>
        <w:t xml:space="preserve">after paragraph (r) by inserting the following paragraphs — </w:t>
      </w:r>
    </w:p>
    <w:p>
      <w:pPr>
        <w:pStyle w:val="MiscOpen"/>
        <w:ind w:left="1340"/>
      </w:pPr>
      <w:r>
        <w:t xml:space="preserve">“    </w:t>
      </w:r>
    </w:p>
    <w:p>
      <w:pPr>
        <w:pStyle w:val="nzIndenta"/>
      </w:pPr>
      <w:r>
        <w:tab/>
        <w:t>(ra)</w:t>
      </w:r>
      <w:r>
        <w:tab/>
        <w:t>without limiting paragraph (a), prescribe and regulate the powers, functions and duties of the warden in proceedings in respect of an application or objection under Part IV (</w:t>
      </w:r>
      <w:r>
        <w:rPr>
          <w:b/>
        </w:rPr>
        <w:t>“</w:t>
      </w:r>
      <w:r>
        <w:rPr>
          <w:rStyle w:val="CharDefText"/>
        </w:rPr>
        <w:t>Part IV proceedings</w:t>
      </w:r>
      <w:r>
        <w:rPr>
          <w:b/>
        </w:rPr>
        <w:t>”</w:t>
      </w:r>
      <w:r>
        <w:t>), including powers to order costs and require security for costs;</w:t>
      </w:r>
    </w:p>
    <w:p>
      <w:pPr>
        <w:pStyle w:val="nzIndenta"/>
      </w:pPr>
      <w:r>
        <w:tab/>
        <w:t>(rb)</w:t>
      </w:r>
      <w:r>
        <w:tab/>
        <w:t>prescribe and regulate the practice and procedure to be followed in Part IV proceedings;</w:t>
      </w:r>
    </w:p>
    <w:p>
      <w:pPr>
        <w:pStyle w:val="nzIndenta"/>
      </w:pPr>
      <w:r>
        <w:tab/>
        <w:t>(rc)</w:t>
      </w:r>
      <w:r>
        <w:tab/>
        <w:t>prescribe a scale of costs for Part IV proceedings and provide for the taxation and recovery of costs in those proceedings;</w:t>
      </w:r>
    </w:p>
    <w:p>
      <w:pPr>
        <w:pStyle w:val="MiscClose"/>
        <w:keepNext/>
      </w:pPr>
      <w:r>
        <w:t xml:space="preserve">    ”.</w:t>
      </w:r>
    </w:p>
    <w:p>
      <w:pPr>
        <w:pStyle w:val="nzSubsection"/>
      </w:pPr>
      <w:r>
        <w:tab/>
        <w:t>(2)</w:t>
      </w:r>
      <w:r>
        <w:tab/>
        <w:t xml:space="preserve">After section 162(3) the following subsection is inserted — </w:t>
      </w:r>
    </w:p>
    <w:p>
      <w:pPr>
        <w:pStyle w:val="MiscOpen"/>
        <w:keepNext w:val="0"/>
        <w:keepLines w:val="0"/>
        <w:ind w:left="600"/>
      </w:pPr>
      <w:r>
        <w:t xml:space="preserve">“    </w:t>
      </w:r>
    </w:p>
    <w:p>
      <w:pPr>
        <w:pStyle w:val="nzSubsection"/>
      </w:pPr>
      <w:r>
        <w:tab/>
        <w:t>(4)</w:t>
      </w:r>
      <w:r>
        <w:tab/>
        <w:t>Regulations made under subsection (2)(ra) may apply the provisions of sections 142 and 146 with such modifications as are prescribed.</w:t>
      </w:r>
    </w:p>
    <w:p>
      <w:pPr>
        <w:pStyle w:val="MiscClose"/>
      </w:pPr>
      <w:r>
        <w:t xml:space="preserve">    ”.</w:t>
      </w:r>
    </w:p>
    <w:p>
      <w:pPr>
        <w:pStyle w:val="nzHeading5"/>
      </w:pPr>
      <w:bookmarkStart w:id="2612" w:name="_Toc87061536"/>
      <w:r>
        <w:rPr>
          <w:rStyle w:val="CharSectno"/>
        </w:rPr>
        <w:t>85</w:t>
      </w:r>
      <w:r>
        <w:t>.</w:t>
      </w:r>
      <w:r>
        <w:tab/>
        <w:t>Various references to “warden” changed to “warden’s court”</w:t>
      </w:r>
      <w:bookmarkEnd w:id="2612"/>
    </w:p>
    <w:p>
      <w:pPr>
        <w:pStyle w:val="nzSubsection"/>
      </w:pPr>
      <w:r>
        <w:tab/>
      </w:r>
      <w:r>
        <w:tab/>
        <w:t xml:space="preserve">In each place listed in the Table to this section “warden” is deleted and the following is inserted instead — </w:t>
      </w:r>
    </w:p>
    <w:p>
      <w:pPr>
        <w:pStyle w:val="nzSubsection"/>
      </w:pPr>
      <w:r>
        <w:tab/>
      </w:r>
      <w:r>
        <w:tab/>
        <w:t>“    warden’s court    ”.</w:t>
      </w:r>
    </w:p>
    <w:p>
      <w:pPr>
        <w:pStyle w:val="nzMiscellaneousBody"/>
        <w:jc w:val="center"/>
        <w:rPr>
          <w:b/>
        </w:rPr>
      </w:pPr>
      <w:r>
        <w:rPr>
          <w:b/>
        </w:rPr>
        <w:t>Table</w:t>
      </w:r>
    </w:p>
    <w:tbl>
      <w:tblPr>
        <w:tblW w:w="0" w:type="auto"/>
        <w:tblInd w:w="959" w:type="dxa"/>
        <w:tblLayout w:type="fixed"/>
        <w:tblLook w:val="0000" w:firstRow="0" w:lastRow="0" w:firstColumn="0" w:lastColumn="0" w:noHBand="0" w:noVBand="0"/>
      </w:tblPr>
      <w:tblGrid>
        <w:gridCol w:w="2835"/>
        <w:gridCol w:w="2835"/>
      </w:tblGrid>
      <w:tr>
        <w:tc>
          <w:tcPr>
            <w:tcW w:w="2835" w:type="dxa"/>
          </w:tcPr>
          <w:p>
            <w:pPr>
              <w:pStyle w:val="nzTable"/>
            </w:pPr>
            <w:r>
              <w:t>s. 115(3)(b)</w:t>
            </w:r>
          </w:p>
        </w:tc>
        <w:tc>
          <w:tcPr>
            <w:tcW w:w="2835" w:type="dxa"/>
          </w:tcPr>
          <w:p>
            <w:pPr>
              <w:pStyle w:val="nzTable"/>
            </w:pPr>
            <w:r>
              <w:t>s. 146(3)</w:t>
            </w:r>
          </w:p>
        </w:tc>
      </w:tr>
      <w:tr>
        <w:tc>
          <w:tcPr>
            <w:tcW w:w="2835" w:type="dxa"/>
          </w:tcPr>
          <w:p>
            <w:pPr>
              <w:pStyle w:val="nzTable"/>
            </w:pPr>
            <w:r>
              <w:t>s. 123(3)(a)</w:t>
            </w:r>
          </w:p>
        </w:tc>
        <w:tc>
          <w:tcPr>
            <w:tcW w:w="2835" w:type="dxa"/>
          </w:tcPr>
          <w:p>
            <w:pPr>
              <w:pStyle w:val="nzTable"/>
            </w:pPr>
            <w:r>
              <w:t>s. 146(4)</w:t>
            </w:r>
          </w:p>
        </w:tc>
      </w:tr>
      <w:tr>
        <w:tc>
          <w:tcPr>
            <w:tcW w:w="2835" w:type="dxa"/>
          </w:tcPr>
          <w:p>
            <w:pPr>
              <w:pStyle w:val="nzTable"/>
            </w:pPr>
            <w:r>
              <w:t>s. 124(1)</w:t>
            </w:r>
          </w:p>
        </w:tc>
        <w:tc>
          <w:tcPr>
            <w:tcW w:w="2835" w:type="dxa"/>
          </w:tcPr>
          <w:p>
            <w:pPr>
              <w:pStyle w:val="nzTable"/>
            </w:pPr>
            <w:r>
              <w:t>s. 146(5)(a)</w:t>
            </w:r>
          </w:p>
        </w:tc>
      </w:tr>
      <w:tr>
        <w:tc>
          <w:tcPr>
            <w:tcW w:w="2835" w:type="dxa"/>
          </w:tcPr>
          <w:p>
            <w:pPr>
              <w:pStyle w:val="nzTable"/>
            </w:pPr>
            <w:r>
              <w:t>s. 132(3)</w:t>
            </w:r>
          </w:p>
        </w:tc>
        <w:tc>
          <w:tcPr>
            <w:tcW w:w="2835" w:type="dxa"/>
          </w:tcPr>
          <w:p>
            <w:pPr>
              <w:pStyle w:val="nzTable"/>
            </w:pPr>
            <w:r>
              <w:t>s. 146(7)</w:t>
            </w:r>
          </w:p>
        </w:tc>
      </w:tr>
      <w:tr>
        <w:tc>
          <w:tcPr>
            <w:tcW w:w="2835" w:type="dxa"/>
          </w:tcPr>
          <w:p>
            <w:pPr>
              <w:pStyle w:val="nzTable"/>
            </w:pPr>
            <w:r>
              <w:t>s. 134(3)(i)</w:t>
            </w:r>
          </w:p>
        </w:tc>
        <w:tc>
          <w:tcPr>
            <w:tcW w:w="2835" w:type="dxa"/>
          </w:tcPr>
          <w:p>
            <w:pPr>
              <w:pStyle w:val="nzTable"/>
            </w:pPr>
            <w:r>
              <w:t>s. 147(6)</w:t>
            </w:r>
          </w:p>
        </w:tc>
      </w:tr>
      <w:tr>
        <w:tc>
          <w:tcPr>
            <w:tcW w:w="2835" w:type="dxa"/>
          </w:tcPr>
          <w:p>
            <w:pPr>
              <w:pStyle w:val="nzTable"/>
            </w:pPr>
            <w:r>
              <w:t>s. 143 (2 places)</w:t>
            </w:r>
          </w:p>
        </w:tc>
        <w:tc>
          <w:tcPr>
            <w:tcW w:w="2835" w:type="dxa"/>
          </w:tcPr>
          <w:p>
            <w:pPr>
              <w:pStyle w:val="nzTable"/>
            </w:pPr>
            <w:r>
              <w:t>s. 148(4)</w:t>
            </w:r>
          </w:p>
        </w:tc>
      </w:tr>
      <w:tr>
        <w:tc>
          <w:tcPr>
            <w:tcW w:w="2835" w:type="dxa"/>
          </w:tcPr>
          <w:p>
            <w:pPr>
              <w:pStyle w:val="nzTable"/>
            </w:pPr>
            <w:r>
              <w:t>s. 146(2)</w:t>
            </w:r>
          </w:p>
        </w:tc>
        <w:tc>
          <w:tcPr>
            <w:tcW w:w="2835" w:type="dxa"/>
          </w:tcPr>
          <w:p>
            <w:pPr>
              <w:pStyle w:val="nzTable"/>
            </w:pPr>
            <w:r>
              <w:t>s. 148(6) (2 places)</w:t>
            </w:r>
          </w:p>
        </w:tc>
      </w:tr>
    </w:tbl>
    <w:p>
      <w:pPr>
        <w:pStyle w:val="nzHeading5"/>
      </w:pPr>
      <w:bookmarkStart w:id="2613" w:name="_Toc87061537"/>
      <w:r>
        <w:rPr>
          <w:rStyle w:val="CharSectno"/>
        </w:rPr>
        <w:t>86</w:t>
      </w:r>
      <w:r>
        <w:t>.</w:t>
      </w:r>
      <w:r>
        <w:tab/>
        <w:t>Transitional provision</w:t>
      </w:r>
      <w:bookmarkEnd w:id="2613"/>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nzHeading2"/>
        <w:rPr>
          <w:rStyle w:val="CharPartNo"/>
        </w:rPr>
      </w:pPr>
      <w:bookmarkStart w:id="2614" w:name="_Toc57629841"/>
      <w:bookmarkStart w:id="2615" w:name="_Toc57690017"/>
      <w:bookmarkStart w:id="2616" w:name="_Toc65297882"/>
      <w:bookmarkStart w:id="2617" w:name="_Toc65297973"/>
      <w:bookmarkStart w:id="2618" w:name="_Toc65301740"/>
      <w:bookmarkStart w:id="2619" w:name="_Toc65379357"/>
      <w:bookmarkStart w:id="2620" w:name="_Toc65389372"/>
      <w:bookmarkStart w:id="2621" w:name="_Toc65390297"/>
      <w:bookmarkStart w:id="2622" w:name="_Toc65390846"/>
      <w:bookmarkStart w:id="2623" w:name="_Toc65395291"/>
      <w:bookmarkStart w:id="2624" w:name="_Toc65396585"/>
      <w:bookmarkStart w:id="2625" w:name="_Toc65397510"/>
      <w:bookmarkStart w:id="2626" w:name="_Toc65999834"/>
      <w:bookmarkStart w:id="2627" w:name="_Toc65999989"/>
      <w:bookmarkStart w:id="2628" w:name="_Toc66000117"/>
      <w:bookmarkStart w:id="2629" w:name="_Toc66097300"/>
      <w:bookmarkStart w:id="2630" w:name="_Toc66173343"/>
      <w:bookmarkStart w:id="2631" w:name="_Toc66512493"/>
      <w:bookmarkStart w:id="2632" w:name="_Toc66523521"/>
      <w:bookmarkStart w:id="2633" w:name="_Toc66523618"/>
      <w:bookmarkStart w:id="2634" w:name="_Toc66528002"/>
      <w:bookmarkStart w:id="2635" w:name="_Toc66528396"/>
      <w:bookmarkStart w:id="2636" w:name="_Toc66528873"/>
      <w:bookmarkStart w:id="2637" w:name="_Toc66584551"/>
      <w:bookmarkStart w:id="2638" w:name="_Toc66584935"/>
      <w:bookmarkStart w:id="2639" w:name="_Toc66586574"/>
      <w:bookmarkStart w:id="2640" w:name="_Toc66587016"/>
      <w:bookmarkStart w:id="2641" w:name="_Toc66589437"/>
      <w:bookmarkStart w:id="2642" w:name="_Toc66589636"/>
      <w:bookmarkStart w:id="2643" w:name="_Toc66610380"/>
      <w:bookmarkStart w:id="2644" w:name="_Toc66614374"/>
      <w:bookmarkStart w:id="2645" w:name="_Toc66673624"/>
      <w:bookmarkStart w:id="2646" w:name="_Toc66673986"/>
      <w:bookmarkStart w:id="2647" w:name="_Toc66699404"/>
      <w:bookmarkStart w:id="2648" w:name="_Toc66700260"/>
      <w:bookmarkStart w:id="2649" w:name="_Toc66700601"/>
      <w:bookmarkStart w:id="2650" w:name="_Toc66700755"/>
      <w:bookmarkStart w:id="2651" w:name="_Toc66701334"/>
      <w:bookmarkStart w:id="2652" w:name="_Toc66772372"/>
      <w:bookmarkStart w:id="2653" w:name="_Toc66772815"/>
      <w:bookmarkStart w:id="2654" w:name="_Toc66774216"/>
      <w:bookmarkStart w:id="2655" w:name="_Toc66774447"/>
      <w:bookmarkStart w:id="2656" w:name="_Toc67107411"/>
      <w:bookmarkStart w:id="2657" w:name="_Toc67107888"/>
      <w:bookmarkStart w:id="2658" w:name="_Toc67113569"/>
      <w:bookmarkStart w:id="2659" w:name="_Toc67118819"/>
      <w:bookmarkStart w:id="2660" w:name="_Toc67119430"/>
      <w:bookmarkStart w:id="2661" w:name="_Toc67119605"/>
      <w:bookmarkStart w:id="2662" w:name="_Toc67130714"/>
      <w:bookmarkStart w:id="2663" w:name="_Toc67133749"/>
      <w:bookmarkStart w:id="2664" w:name="_Toc67193911"/>
      <w:bookmarkStart w:id="2665" w:name="_Toc67206076"/>
      <w:bookmarkStart w:id="2666" w:name="_Toc67209262"/>
      <w:bookmarkStart w:id="2667" w:name="_Toc67209501"/>
      <w:bookmarkStart w:id="2668" w:name="_Toc67291591"/>
      <w:bookmarkStart w:id="2669" w:name="_Toc67300537"/>
      <w:bookmarkStart w:id="2670" w:name="_Toc67301683"/>
      <w:bookmarkStart w:id="2671" w:name="_Toc67301889"/>
      <w:bookmarkStart w:id="2672" w:name="_Toc67302185"/>
      <w:bookmarkStart w:id="2673" w:name="_Toc67721856"/>
      <w:bookmarkStart w:id="2674" w:name="_Toc67722066"/>
      <w:bookmarkStart w:id="2675" w:name="_Toc67722312"/>
      <w:bookmarkStart w:id="2676" w:name="_Toc67724658"/>
      <w:bookmarkStart w:id="2677" w:name="_Toc67799569"/>
      <w:bookmarkStart w:id="2678" w:name="_Toc67806374"/>
      <w:bookmarkStart w:id="2679" w:name="_Toc67807196"/>
      <w:bookmarkStart w:id="2680" w:name="_Toc67808210"/>
      <w:bookmarkStart w:id="2681" w:name="_Toc67808487"/>
      <w:bookmarkStart w:id="2682" w:name="_Toc67809921"/>
      <w:bookmarkStart w:id="2683" w:name="_Toc67813970"/>
      <w:bookmarkStart w:id="2684" w:name="_Toc67814292"/>
      <w:bookmarkStart w:id="2685" w:name="_Toc67911151"/>
      <w:bookmarkStart w:id="2686" w:name="_Toc67912129"/>
      <w:bookmarkStart w:id="2687" w:name="_Toc67980366"/>
      <w:bookmarkStart w:id="2688" w:name="_Toc67980474"/>
      <w:bookmarkStart w:id="2689" w:name="_Toc67980758"/>
      <w:bookmarkStart w:id="2690" w:name="_Toc67981280"/>
      <w:bookmarkStart w:id="2691" w:name="_Toc67981467"/>
      <w:bookmarkStart w:id="2692" w:name="_Toc67982041"/>
      <w:bookmarkStart w:id="2693" w:name="_Toc67997439"/>
      <w:bookmarkStart w:id="2694" w:name="_Toc68063394"/>
      <w:bookmarkStart w:id="2695" w:name="_Toc68070491"/>
      <w:bookmarkStart w:id="2696" w:name="_Toc68315423"/>
      <w:bookmarkStart w:id="2697" w:name="_Toc68321186"/>
      <w:bookmarkStart w:id="2698" w:name="_Toc68321293"/>
      <w:bookmarkStart w:id="2699" w:name="_Toc68321400"/>
      <w:bookmarkStart w:id="2700" w:name="_Toc68324026"/>
      <w:bookmarkStart w:id="2701" w:name="_Toc68325723"/>
      <w:bookmarkStart w:id="2702" w:name="_Toc68490898"/>
      <w:bookmarkStart w:id="2703" w:name="_Toc68495070"/>
      <w:bookmarkStart w:id="2704" w:name="_Toc68505887"/>
      <w:bookmarkStart w:id="2705" w:name="_Toc68506595"/>
      <w:bookmarkStart w:id="2706" w:name="_Toc68513307"/>
      <w:bookmarkStart w:id="2707" w:name="_Toc68515318"/>
      <w:bookmarkStart w:id="2708" w:name="_Toc68516520"/>
      <w:bookmarkStart w:id="2709" w:name="_Toc68517792"/>
      <w:bookmarkStart w:id="2710" w:name="_Toc68518111"/>
      <w:bookmarkStart w:id="2711" w:name="_Toc68518308"/>
      <w:bookmarkStart w:id="2712" w:name="_Toc68588112"/>
      <w:bookmarkStart w:id="2713" w:name="_Toc68943981"/>
      <w:bookmarkStart w:id="2714" w:name="_Toc68944743"/>
      <w:bookmarkStart w:id="2715" w:name="_Toc68945550"/>
      <w:bookmarkStart w:id="2716" w:name="_Toc68946951"/>
      <w:bookmarkStart w:id="2717" w:name="_Toc68950789"/>
      <w:bookmarkStart w:id="2718" w:name="_Toc69017116"/>
      <w:bookmarkStart w:id="2719" w:name="_Toc69021888"/>
      <w:bookmarkStart w:id="2720" w:name="_Toc69022144"/>
      <w:bookmarkStart w:id="2721" w:name="_Toc69030872"/>
      <w:bookmarkStart w:id="2722" w:name="_Toc69100565"/>
      <w:bookmarkStart w:id="2723" w:name="_Toc69102811"/>
      <w:bookmarkStart w:id="2724" w:name="_Toc69117367"/>
      <w:bookmarkStart w:id="2725" w:name="_Toc69118073"/>
      <w:bookmarkStart w:id="2726" w:name="_Toc69271796"/>
      <w:bookmarkStart w:id="2727" w:name="_Toc69274173"/>
      <w:bookmarkStart w:id="2728" w:name="_Toc69274622"/>
      <w:bookmarkStart w:id="2729" w:name="_Toc69275380"/>
      <w:bookmarkStart w:id="2730" w:name="_Toc69275675"/>
      <w:bookmarkStart w:id="2731" w:name="_Toc69278441"/>
      <w:bookmarkStart w:id="2732" w:name="_Toc69280791"/>
      <w:bookmarkStart w:id="2733" w:name="_Toc69281132"/>
      <w:bookmarkStart w:id="2734" w:name="_Toc69281241"/>
      <w:bookmarkStart w:id="2735" w:name="_Toc69281408"/>
      <w:bookmarkStart w:id="2736" w:name="_Toc70327151"/>
      <w:bookmarkStart w:id="2737" w:name="_Toc70405289"/>
      <w:bookmarkStart w:id="2738" w:name="_Toc70995452"/>
      <w:bookmarkStart w:id="2739" w:name="_Toc71712580"/>
      <w:bookmarkStart w:id="2740" w:name="_Toc71714035"/>
      <w:bookmarkStart w:id="2741" w:name="_Toc71878778"/>
      <w:bookmarkStart w:id="2742" w:name="_Toc71880122"/>
      <w:bookmarkStart w:id="2743" w:name="_Toc71884503"/>
      <w:bookmarkStart w:id="2744" w:name="_Toc71887081"/>
      <w:bookmarkStart w:id="2745" w:name="_Toc71887322"/>
      <w:bookmarkStart w:id="2746" w:name="_Toc71953228"/>
      <w:bookmarkStart w:id="2747" w:name="_Toc71953371"/>
      <w:bookmarkStart w:id="2748" w:name="_Toc71957118"/>
      <w:bookmarkStart w:id="2749" w:name="_Toc71963749"/>
      <w:bookmarkStart w:id="2750" w:name="_Toc71969841"/>
      <w:bookmarkStart w:id="2751" w:name="_Toc71969950"/>
      <w:bookmarkStart w:id="2752" w:name="_Toc71973553"/>
      <w:bookmarkStart w:id="2753" w:name="_Toc71975667"/>
      <w:bookmarkStart w:id="2754" w:name="_Toc71976475"/>
      <w:bookmarkStart w:id="2755" w:name="_Toc72026869"/>
      <w:bookmarkStart w:id="2756" w:name="_Toc72027127"/>
      <w:bookmarkStart w:id="2757" w:name="_Toc72029184"/>
      <w:bookmarkStart w:id="2758" w:name="_Toc72044711"/>
      <w:bookmarkStart w:id="2759" w:name="_Toc72044821"/>
      <w:bookmarkStart w:id="2760" w:name="_Toc72049740"/>
      <w:bookmarkStart w:id="2761" w:name="_Toc72049852"/>
      <w:bookmarkStart w:id="2762" w:name="_Toc72748254"/>
      <w:bookmarkStart w:id="2763" w:name="_Toc72812799"/>
      <w:bookmarkStart w:id="2764" w:name="_Toc72827664"/>
      <w:bookmarkStart w:id="2765" w:name="_Toc73154170"/>
      <w:bookmarkStart w:id="2766" w:name="_Toc73154597"/>
      <w:bookmarkStart w:id="2767" w:name="_Toc73156356"/>
      <w:bookmarkStart w:id="2768" w:name="_Toc73156476"/>
      <w:bookmarkStart w:id="2769" w:name="_Toc73158443"/>
      <w:bookmarkStart w:id="2770" w:name="_Toc73158771"/>
      <w:bookmarkStart w:id="2771" w:name="_Toc73159136"/>
      <w:bookmarkStart w:id="2772" w:name="_Toc73159277"/>
      <w:bookmarkStart w:id="2773" w:name="_Toc73159952"/>
      <w:bookmarkStart w:id="2774" w:name="_Toc73160879"/>
      <w:bookmarkStart w:id="2775" w:name="_Toc73161673"/>
      <w:bookmarkStart w:id="2776" w:name="_Toc73161844"/>
      <w:bookmarkStart w:id="2777" w:name="_Toc73164277"/>
      <w:bookmarkStart w:id="2778" w:name="_Toc73179846"/>
      <w:bookmarkStart w:id="2779" w:name="_Toc73184387"/>
      <w:bookmarkStart w:id="2780" w:name="_Toc73241656"/>
      <w:bookmarkStart w:id="2781" w:name="_Toc73242218"/>
      <w:bookmarkStart w:id="2782" w:name="_Toc73242958"/>
      <w:bookmarkStart w:id="2783" w:name="_Toc73243075"/>
      <w:bookmarkStart w:id="2784" w:name="_Toc73243192"/>
      <w:bookmarkStart w:id="2785" w:name="_Toc73245247"/>
      <w:bookmarkStart w:id="2786" w:name="_Toc73246057"/>
      <w:bookmarkStart w:id="2787" w:name="_Toc73251575"/>
      <w:bookmarkStart w:id="2788" w:name="_Toc73258571"/>
      <w:bookmarkStart w:id="2789" w:name="_Toc73259652"/>
      <w:bookmarkStart w:id="2790" w:name="_Toc73421989"/>
      <w:bookmarkStart w:id="2791" w:name="_Toc73427390"/>
      <w:bookmarkStart w:id="2792" w:name="_Toc73428316"/>
      <w:bookmarkStart w:id="2793" w:name="_Toc73428433"/>
      <w:bookmarkStart w:id="2794" w:name="_Toc73428550"/>
      <w:bookmarkStart w:id="2795" w:name="_Toc73428804"/>
      <w:bookmarkStart w:id="2796" w:name="_Toc73429037"/>
      <w:bookmarkStart w:id="2797" w:name="_Toc73429525"/>
      <w:bookmarkStart w:id="2798" w:name="_Toc73436677"/>
      <w:bookmarkStart w:id="2799" w:name="_Toc73437520"/>
      <w:bookmarkStart w:id="2800" w:name="_Toc81200207"/>
      <w:bookmarkStart w:id="2801" w:name="_Toc81201818"/>
      <w:bookmarkStart w:id="2802" w:name="_Toc81209072"/>
      <w:r>
        <w:rPr>
          <w:rStyle w:val="CharPartNo"/>
        </w:rPr>
        <w:t>Part 10 — Other amendments</w:t>
      </w:r>
      <w:bookmarkEnd w:id="2614"/>
      <w:bookmarkEnd w:id="2615"/>
      <w:r>
        <w:rPr>
          <w:rStyle w:val="CharPartNo"/>
        </w:rPr>
        <w:t xml:space="preserve"> to the Mining Act 1978</w:t>
      </w:r>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p>
    <w:p>
      <w:pPr>
        <w:pStyle w:val="nzHeading5"/>
      </w:pPr>
      <w:bookmarkStart w:id="2803" w:name="_Toc87061538"/>
      <w:r>
        <w:rPr>
          <w:rStyle w:val="CharSectno"/>
        </w:rPr>
        <w:t>87</w:t>
      </w:r>
      <w:r>
        <w:t>.</w:t>
      </w:r>
      <w:r>
        <w:tab/>
        <w:t>Section 8 amended</w:t>
      </w:r>
      <w:bookmarkEnd w:id="2803"/>
    </w:p>
    <w:p>
      <w:pPr>
        <w:pStyle w:val="nzSubsection"/>
      </w:pPr>
      <w:r>
        <w:tab/>
      </w:r>
      <w:r>
        <w:tab/>
        <w:t xml:space="preserve">Section 8(1) is amended by inserting in the appropriate alphabetical positions the following definitions — </w:t>
      </w:r>
    </w:p>
    <w:p>
      <w:pPr>
        <w:pStyle w:val="MiscOpen"/>
        <w:ind w:left="880"/>
      </w:pPr>
      <w:r>
        <w:t xml:space="preserve">“    </w:t>
      </w:r>
    </w:p>
    <w:p>
      <w:pPr>
        <w:pStyle w:val="nzDefstart"/>
      </w:pPr>
      <w:r>
        <w:rPr>
          <w:b/>
        </w:rPr>
        <w:tab/>
        <w:t>“</w:t>
      </w:r>
      <w:r>
        <w:rPr>
          <w:rStyle w:val="CharDefText"/>
        </w:rPr>
        <w:t>Director, Geological Survey</w:t>
      </w:r>
      <w:r>
        <w:rPr>
          <w:b/>
        </w:rPr>
        <w:t>”</w:t>
      </w:r>
      <w:r>
        <w:t xml:space="preserve"> means the person for the time being holding or acting in the office of Director, Geological Survey in the Department;</w:t>
      </w:r>
    </w:p>
    <w:p>
      <w:pPr>
        <w:pStyle w:val="nzDefstart"/>
      </w:pPr>
      <w:r>
        <w:rPr>
          <w:b/>
        </w:rPr>
        <w:tab/>
        <w:t>“</w:t>
      </w:r>
      <w:r>
        <w:rPr>
          <w:rStyle w:val="CharDefText"/>
        </w:rPr>
        <w:t>ground disturbing equipment</w:t>
      </w:r>
      <w:r>
        <w:rPr>
          <w:b/>
        </w:rPr>
        <w:t>”</w:t>
      </w:r>
      <w:r>
        <w:t xml:space="preserve"> means — </w:t>
      </w:r>
    </w:p>
    <w:p>
      <w:pPr>
        <w:pStyle w:val="nzDefpara"/>
      </w:pPr>
      <w:r>
        <w:tab/>
        <w:t>(a)</w:t>
      </w:r>
      <w:r>
        <w:tab/>
        <w:t>mechanical drilling equipment;</w:t>
      </w:r>
    </w:p>
    <w:p>
      <w:pPr>
        <w:pStyle w:val="nzDefpara"/>
      </w:pPr>
      <w:r>
        <w:tab/>
        <w:t>(b)</w:t>
      </w:r>
      <w:r>
        <w:tab/>
        <w:t>a backhoe, bulldozer, grader or scraper; or</w:t>
      </w:r>
    </w:p>
    <w:p>
      <w:pPr>
        <w:pStyle w:val="nzDefpara"/>
      </w:pPr>
      <w:r>
        <w:tab/>
        <w:t>(c)</w:t>
      </w:r>
      <w:r>
        <w:tab/>
        <w:t>any other machinery of a kind prescribed for the purposes of this definition;</w:t>
      </w:r>
    </w:p>
    <w:p>
      <w:pPr>
        <w:pStyle w:val="nzDefstart"/>
      </w:pPr>
      <w:r>
        <w:rPr>
          <w:b/>
        </w:rPr>
        <w:tab/>
        <w:t>“</w:t>
      </w:r>
      <w:r>
        <w:rPr>
          <w:rStyle w:val="CharDefText"/>
        </w:rPr>
        <w:t>prescribed official</w:t>
      </w:r>
      <w:r>
        <w:rPr>
          <w:b/>
        </w:rPr>
        <w:t>”</w:t>
      </w:r>
      <w:r>
        <w:t xml:space="preserve"> means the holder of an office in the Department that is prescribed, or is of a class prescribed, for the purposes of the provision in which the term is used;</w:t>
      </w:r>
    </w:p>
    <w:p>
      <w:pPr>
        <w:pStyle w:val="MiscClose"/>
      </w:pPr>
      <w:r>
        <w:t xml:space="preserve">    ”.</w:t>
      </w:r>
    </w:p>
    <w:p>
      <w:pPr>
        <w:pStyle w:val="nzHeading5"/>
      </w:pPr>
      <w:bookmarkStart w:id="2804" w:name="_Toc87061539"/>
      <w:r>
        <w:rPr>
          <w:rStyle w:val="CharSectno"/>
        </w:rPr>
        <w:t>88</w:t>
      </w:r>
      <w:r>
        <w:t>.</w:t>
      </w:r>
      <w:r>
        <w:tab/>
        <w:t>Section 20 amended</w:t>
      </w:r>
      <w:bookmarkEnd w:id="2804"/>
    </w:p>
    <w:p>
      <w:pPr>
        <w:pStyle w:val="nzSubsection"/>
      </w:pPr>
      <w:r>
        <w:tab/>
      </w:r>
      <w:r>
        <w:tab/>
        <w:t xml:space="preserve">Section 20(2) is amended by deleting paragraph (e), and “and” after it, and inserting instead — </w:t>
      </w:r>
    </w:p>
    <w:p>
      <w:pPr>
        <w:pStyle w:val="MiscOpen"/>
        <w:ind w:left="1340"/>
      </w:pPr>
      <w:r>
        <w:t xml:space="preserve">“    </w:t>
      </w:r>
    </w:p>
    <w:p>
      <w:pPr>
        <w:pStyle w:val="nzIndenta"/>
      </w:pPr>
      <w:r>
        <w:tab/>
        <w:t>(e)</w:t>
      </w:r>
      <w:r>
        <w:tab/>
        <w:t>to camp on Crown land, for the purpose of prospecting, in such manner and subject to such conditions as may be prescribed; and</w:t>
      </w:r>
    </w:p>
    <w:p>
      <w:pPr>
        <w:pStyle w:val="MiscClose"/>
      </w:pPr>
      <w:r>
        <w:t xml:space="preserve">    ”.</w:t>
      </w:r>
    </w:p>
    <w:p>
      <w:pPr>
        <w:pStyle w:val="nzHeading5"/>
      </w:pPr>
      <w:bookmarkStart w:id="2805" w:name="_Toc87061540"/>
      <w:r>
        <w:rPr>
          <w:rStyle w:val="CharSectno"/>
        </w:rPr>
        <w:t>89</w:t>
      </w:r>
      <w:r>
        <w:t>.</w:t>
      </w:r>
      <w:r>
        <w:tab/>
        <w:t>Section 63A amended</w:t>
      </w:r>
      <w:bookmarkEnd w:id="2805"/>
    </w:p>
    <w:p>
      <w:pPr>
        <w:pStyle w:val="nzSubsection"/>
      </w:pPr>
      <w:r>
        <w:tab/>
      </w:r>
      <w:r>
        <w:tab/>
        <w:t>Section 63A is amended as follows:</w:t>
      </w:r>
    </w:p>
    <w:p>
      <w:pPr>
        <w:pStyle w:val="nzIndenta"/>
      </w:pPr>
      <w:r>
        <w:tab/>
        <w:t>(a)</w:t>
      </w:r>
      <w:r>
        <w:tab/>
        <w:t xml:space="preserve">in paragraph (aa) by inserting after “60(1a)” — </w:t>
      </w:r>
    </w:p>
    <w:p>
      <w:pPr>
        <w:pStyle w:val="nzIndenta"/>
      </w:pPr>
      <w:r>
        <w:tab/>
      </w:r>
      <w:r>
        <w:tab/>
        <w:t>“    65(4), 69E(2) or 115B(2)    ”;</w:t>
      </w:r>
    </w:p>
    <w:p>
      <w:pPr>
        <w:pStyle w:val="nzIndenta"/>
      </w:pPr>
      <w:r>
        <w:tab/>
        <w:t>(b)</w:t>
      </w:r>
      <w:r>
        <w:tab/>
        <w:t xml:space="preserve">after paragraph (b) by inserting the following paragraph — </w:t>
      </w:r>
    </w:p>
    <w:p>
      <w:pPr>
        <w:pStyle w:val="MiscOpen"/>
        <w:ind w:left="1340"/>
      </w:pPr>
      <w:r>
        <w:t xml:space="preserve">“    </w:t>
      </w:r>
    </w:p>
    <w:p>
      <w:pPr>
        <w:pStyle w:val="nzIndenta"/>
      </w:pPr>
      <w:r>
        <w:tab/>
        <w:t>(baa)</w:t>
      </w:r>
      <w:r>
        <w:tab/>
        <w:t>any request under section 68(1) or (2) in relation to the exploration licence is not complied with;</w:t>
      </w:r>
    </w:p>
    <w:p>
      <w:pPr>
        <w:pStyle w:val="MiscClose"/>
      </w:pPr>
      <w:r>
        <w:t xml:space="preserve">    ”.</w:t>
      </w:r>
    </w:p>
    <w:p>
      <w:pPr>
        <w:pStyle w:val="nzHeading5"/>
      </w:pPr>
      <w:bookmarkStart w:id="2806" w:name="_Toc87061541"/>
      <w:r>
        <w:rPr>
          <w:rStyle w:val="CharSectno"/>
        </w:rPr>
        <w:t>90</w:t>
      </w:r>
      <w:r>
        <w:t>.</w:t>
      </w:r>
      <w:r>
        <w:tab/>
        <w:t>Section 70H amended and transitional provision</w:t>
      </w:r>
      <w:bookmarkEnd w:id="2806"/>
    </w:p>
    <w:p>
      <w:pPr>
        <w:pStyle w:val="nzSubsection"/>
      </w:pPr>
      <w:r>
        <w:tab/>
        <w:t>(1)</w:t>
      </w:r>
      <w:r>
        <w:tab/>
        <w:t>Section 70H(1) is amended as follows:</w:t>
      </w:r>
    </w:p>
    <w:p>
      <w:pPr>
        <w:pStyle w:val="nzIndenta"/>
      </w:pPr>
      <w:r>
        <w:tab/>
        <w:t>(a)</w:t>
      </w:r>
      <w:r>
        <w:tab/>
        <w:t xml:space="preserve">before paragraph (a) by inserting the following paragraph — </w:t>
      </w:r>
    </w:p>
    <w:p>
      <w:pPr>
        <w:pStyle w:val="MiscOpen"/>
        <w:ind w:left="1340"/>
      </w:pPr>
      <w:r>
        <w:t xml:space="preserve">“    </w:t>
      </w:r>
    </w:p>
    <w:p>
      <w:pPr>
        <w:pStyle w:val="nzIndenta"/>
      </w:pPr>
      <w:r>
        <w:tab/>
        <w:t>(aa)</w:t>
      </w:r>
      <w:r>
        <w:tab/>
        <w:t xml:space="preserve">not use ground disturbing equipment when exploring for minerals on the land the subject of the licence unless — </w:t>
      </w:r>
    </w:p>
    <w:p>
      <w:pPr>
        <w:pStyle w:val="nzIndenti"/>
      </w:pPr>
      <w:r>
        <w:tab/>
        <w:t>(i)</w:t>
      </w:r>
      <w:r>
        <w:tab/>
        <w:t>the holder has lodged in the prescribed manner a programme of work in respect of that use; and</w:t>
      </w:r>
    </w:p>
    <w:p>
      <w:pPr>
        <w:pStyle w:val="nzIndenti"/>
      </w:pPr>
      <w:r>
        <w:tab/>
        <w:t>(ii)</w:t>
      </w:r>
      <w:r>
        <w:tab/>
        <w:t>the programme of work has been approved in writing by the Minister or a prescribed official;</w:t>
      </w:r>
    </w:p>
    <w:p>
      <w:pPr>
        <w:pStyle w:val="MiscClose"/>
      </w:pPr>
      <w:r>
        <w:t xml:space="preserve">    ”;</w:t>
      </w:r>
    </w:p>
    <w:p>
      <w:pPr>
        <w:pStyle w:val="nzIndenta"/>
      </w:pPr>
      <w:r>
        <w:tab/>
        <w:t>(b)</w:t>
      </w:r>
      <w:r>
        <w:tab/>
        <w:t xml:space="preserve">in paragraph (a) — </w:t>
      </w:r>
    </w:p>
    <w:p>
      <w:pPr>
        <w:pStyle w:val="nzIndenti"/>
      </w:pPr>
      <w:r>
        <w:tab/>
        <w:t>(i)</w:t>
      </w:r>
      <w:r>
        <w:tab/>
        <w:t xml:space="preserve">by deleting “the State Mining Engineer” in the first place where it occurs and inserting instead — </w:t>
      </w:r>
    </w:p>
    <w:p>
      <w:pPr>
        <w:pStyle w:val="nzIndenti"/>
      </w:pPr>
      <w:r>
        <w:tab/>
      </w:r>
      <w:r>
        <w:tab/>
        <w:t>“    a prescribed official    ”;</w:t>
      </w:r>
    </w:p>
    <w:p>
      <w:pPr>
        <w:pStyle w:val="nzIndenti"/>
      </w:pPr>
      <w:r>
        <w:tab/>
        <w:t>(ii)</w:t>
      </w:r>
      <w:r>
        <w:tab/>
        <w:t xml:space="preserve">by deleting “the State Mining Engineer” in the second place where it occurs and inserting instead — </w:t>
      </w:r>
    </w:p>
    <w:p>
      <w:pPr>
        <w:pStyle w:val="nzIndenti"/>
      </w:pPr>
      <w:r>
        <w:tab/>
      </w:r>
      <w:r>
        <w:tab/>
        <w:t>“    the prescribed official    ”.</w:t>
      </w:r>
    </w:p>
    <w:p>
      <w:pPr>
        <w:pStyle w:val="nzSubsection"/>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nzHeading5"/>
      </w:pPr>
      <w:bookmarkStart w:id="2807" w:name="_Toc87061542"/>
      <w:r>
        <w:rPr>
          <w:rStyle w:val="CharSectno"/>
        </w:rPr>
        <w:t>91</w:t>
      </w:r>
      <w:r>
        <w:t>.</w:t>
      </w:r>
      <w:r>
        <w:tab/>
        <w:t>Section 90 replaced</w:t>
      </w:r>
      <w:bookmarkEnd w:id="2807"/>
    </w:p>
    <w:p>
      <w:pPr>
        <w:pStyle w:val="nzSubsection"/>
      </w:pPr>
      <w:r>
        <w:tab/>
      </w:r>
      <w:r>
        <w:tab/>
        <w:t xml:space="preserve">Section 90 is repealed and the following section is inserted instead — </w:t>
      </w:r>
    </w:p>
    <w:p>
      <w:pPr>
        <w:pStyle w:val="MiscOpen"/>
      </w:pPr>
      <w:r>
        <w:t xml:space="preserve">“    </w:t>
      </w:r>
    </w:p>
    <w:p>
      <w:pPr>
        <w:pStyle w:val="nzHeading5"/>
      </w:pPr>
      <w:r>
        <w:t>90.</w:t>
      </w:r>
      <w:r>
        <w:tab/>
        <w:t>Application of certain provisions to general purpose leases</w:t>
      </w:r>
    </w:p>
    <w:p>
      <w:pPr>
        <w:pStyle w:val="nzSubsection"/>
      </w:pPr>
      <w:r>
        <w:tab/>
        <w:t>(1)</w:t>
      </w:r>
      <w:r>
        <w:tab/>
        <w:t xml:space="preserve">Section 6(1a), (1c) and (1d) apply, with such modifications as the circumstances require, to and in relation to a general purpose lease as if — </w:t>
      </w:r>
    </w:p>
    <w:p>
      <w:pPr>
        <w:pStyle w:val="nzIndenta"/>
      </w:pPr>
      <w:r>
        <w:tab/>
        <w:t>(a)</w:t>
      </w:r>
      <w:r>
        <w:tab/>
        <w:t>a reference in those subsections to a mining lease were a reference to a general purpose lease; and</w:t>
      </w:r>
    </w:p>
    <w:p>
      <w:pPr>
        <w:pStyle w:val="nzIndenta"/>
      </w:pPr>
      <w:r>
        <w:tab/>
        <w:t>(b)</w:t>
      </w:r>
      <w:r>
        <w:tab/>
        <w:t>the reference in subsection (1d)(a) to the condition referred to in section 82(1)(ca) were a reference to a condition prescribed by the regulations for the purposes of section 89.</w:t>
      </w:r>
    </w:p>
    <w:p>
      <w:pPr>
        <w:pStyle w:val="nzSubsection"/>
      </w:pPr>
      <w:r>
        <w:tab/>
        <w:t>(2)</w:t>
      </w:r>
      <w:r>
        <w:tab/>
        <w:t xml:space="preserve">Section 74 applies, with such modifications as the circumstances require, to and in relation to a general purpose lease as if — </w:t>
      </w:r>
    </w:p>
    <w:p>
      <w:pPr>
        <w:pStyle w:val="nzIndenta"/>
      </w:pPr>
      <w:r>
        <w:tab/>
        <w:t>(a)</w:t>
      </w:r>
      <w:r>
        <w:tab/>
        <w:t>a reference in that section to a mining lease were a reference to a general purpose lease; and</w:t>
      </w:r>
    </w:p>
    <w:p>
      <w:pPr>
        <w:pStyle w:val="nzIndenta"/>
      </w:pPr>
      <w:r>
        <w:tab/>
        <w:t>(b)</w:t>
      </w:r>
      <w:r>
        <w:tab/>
        <w:t>in subsection (1)(ca)(ii) “and a mineralisation report prepared by a qualified person” were deleted.</w:t>
      </w:r>
    </w:p>
    <w:p>
      <w:pPr>
        <w:pStyle w:val="nzSubsection"/>
      </w:pPr>
      <w:r>
        <w:tab/>
        <w:t>(3)</w:t>
      </w:r>
      <w:r>
        <w:tab/>
        <w:t xml:space="preserve">Section 75 applies, with such modifications as the circumstances require, to and in relation to a general purpose lease as if — </w:t>
      </w:r>
    </w:p>
    <w:p>
      <w:pPr>
        <w:pStyle w:val="nzIndenta"/>
      </w:pPr>
      <w:r>
        <w:tab/>
        <w:t>(a)</w:t>
      </w:r>
      <w:r>
        <w:tab/>
        <w:t>a reference in that section to a mining lease were a reference to a general purpose lease; and</w:t>
      </w:r>
    </w:p>
    <w:p>
      <w:pPr>
        <w:pStyle w:val="nzIndenta"/>
      </w:pPr>
      <w:r>
        <w:tab/>
        <w:t>(b)</w:t>
      </w:r>
      <w:r>
        <w:tab/>
        <w:t xml:space="preserve">the amendments made to that section by section 31 of the </w:t>
      </w:r>
      <w:r>
        <w:rPr>
          <w:i/>
        </w:rPr>
        <w:t>Mining Amendment Act 2004</w:t>
      </w:r>
      <w:r>
        <w:t xml:space="preserve"> had not come into operation.</w:t>
      </w:r>
    </w:p>
    <w:p>
      <w:pPr>
        <w:pStyle w:val="nz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MiscClose"/>
      </w:pPr>
      <w:r>
        <w:t xml:space="preserve">    ”.</w:t>
      </w:r>
    </w:p>
    <w:p>
      <w:pPr>
        <w:pStyle w:val="nzHeading5"/>
      </w:pPr>
      <w:bookmarkStart w:id="2808" w:name="_Toc87061543"/>
      <w:r>
        <w:rPr>
          <w:rStyle w:val="CharSectno"/>
        </w:rPr>
        <w:t>92</w:t>
      </w:r>
      <w:r>
        <w:t>.</w:t>
      </w:r>
      <w:r>
        <w:tab/>
        <w:t>Section 95 amended</w:t>
      </w:r>
      <w:bookmarkEnd w:id="2808"/>
    </w:p>
    <w:p>
      <w:pPr>
        <w:pStyle w:val="nzSubsection"/>
      </w:pPr>
      <w:r>
        <w:tab/>
      </w:r>
      <w:r>
        <w:tab/>
        <w:t>Section 95(2) is repealed.</w:t>
      </w:r>
    </w:p>
    <w:p>
      <w:pPr>
        <w:pStyle w:val="nzHeading5"/>
      </w:pPr>
      <w:bookmarkStart w:id="2809" w:name="_Toc87061544"/>
      <w:r>
        <w:rPr>
          <w:rStyle w:val="CharSectno"/>
        </w:rPr>
        <w:t>93</w:t>
      </w:r>
      <w:r>
        <w:t>.</w:t>
      </w:r>
      <w:r>
        <w:tab/>
        <w:t>Section 96 amended</w:t>
      </w:r>
      <w:bookmarkEnd w:id="2809"/>
    </w:p>
    <w:p>
      <w:pPr>
        <w:pStyle w:val="nzSubsection"/>
      </w:pPr>
      <w:r>
        <w:tab/>
      </w:r>
      <w:r>
        <w:tab/>
        <w:t xml:space="preserve">Section 96(2)(bb) is amended by inserting after “52(1a)” — </w:t>
      </w:r>
    </w:p>
    <w:p>
      <w:pPr>
        <w:pStyle w:val="nzSubsection"/>
      </w:pPr>
      <w:r>
        <w:tab/>
      </w:r>
      <w:r>
        <w:tab/>
        <w:t>“    , 55B(2) or 115B(2)    ”.</w:t>
      </w:r>
    </w:p>
    <w:p>
      <w:pPr>
        <w:pStyle w:val="nzHeading5"/>
      </w:pPr>
      <w:bookmarkStart w:id="2810" w:name="_Toc87061545"/>
      <w:r>
        <w:rPr>
          <w:rStyle w:val="CharSectno"/>
        </w:rPr>
        <w:t>94</w:t>
      </w:r>
      <w:r>
        <w:t>.</w:t>
      </w:r>
      <w:r>
        <w:tab/>
        <w:t>Section 102 amended</w:t>
      </w:r>
      <w:bookmarkEnd w:id="2810"/>
    </w:p>
    <w:p>
      <w:pPr>
        <w:pStyle w:val="nzSubsection"/>
      </w:pPr>
      <w:r>
        <w:tab/>
        <w:t>(1)</w:t>
      </w:r>
      <w:r>
        <w:tab/>
        <w:t xml:space="preserve">Section 102(2)(h) is deleted and the following paragraph is inserted instead — </w:t>
      </w:r>
    </w:p>
    <w:p>
      <w:pPr>
        <w:pStyle w:val="MiscOpen"/>
        <w:ind w:left="1332"/>
      </w:pPr>
      <w:r>
        <w:t xml:space="preserve">“    </w:t>
      </w:r>
    </w:p>
    <w:p>
      <w:pPr>
        <w:pStyle w:val="nzIndenta"/>
      </w:pPr>
      <w:r>
        <w:tab/>
        <w:t>(h)</w:t>
      </w:r>
      <w:r>
        <w:tab/>
        <w:t xml:space="preserve">that — </w:t>
      </w:r>
    </w:p>
    <w:p>
      <w:pPr>
        <w:pStyle w:val="nzIndenti"/>
      </w:pPr>
      <w:r>
        <w:tab/>
        <w:t>(i)</w:t>
      </w:r>
      <w:r>
        <w:tab/>
        <w:t>the mining tenement is one of 2 or more mining tenements (</w:t>
      </w:r>
      <w:r>
        <w:rPr>
          <w:b/>
        </w:rPr>
        <w:t>“</w:t>
      </w:r>
      <w:r>
        <w:rPr>
          <w:rStyle w:val="CharDefText"/>
        </w:rPr>
        <w:t>combined reporting tenements</w:t>
      </w:r>
      <w:r>
        <w:rPr>
          <w:b/>
        </w:rPr>
        <w:t>”</w:t>
      </w:r>
      <w:r>
        <w:t>) the subject of arrangements approved under section 115A(4) for the filing of combined mineral exploration reports; and</w:t>
      </w:r>
    </w:p>
    <w:p>
      <w:pPr>
        <w:pStyle w:val="nz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MiscClose"/>
      </w:pPr>
      <w:r>
        <w:t xml:space="preserve">    ”.</w:t>
      </w:r>
    </w:p>
    <w:p>
      <w:pPr>
        <w:pStyle w:val="nzSubsection"/>
      </w:pPr>
      <w:r>
        <w:tab/>
        <w:t>(2)</w:t>
      </w:r>
      <w:r>
        <w:tab/>
        <w:t xml:space="preserve">After section 102(2) the following subsection is inserted — </w:t>
      </w:r>
    </w:p>
    <w:p>
      <w:pPr>
        <w:pStyle w:val="MiscOpen"/>
        <w:ind w:left="595"/>
      </w:pPr>
      <w:r>
        <w:t xml:space="preserve">“    </w:t>
      </w:r>
    </w:p>
    <w:p>
      <w:pPr>
        <w:pStyle w:val="nzSubsection"/>
      </w:pPr>
      <w:r>
        <w:tab/>
        <w:t>(2a)</w:t>
      </w:r>
      <w:r>
        <w:tab/>
        <w:t xml:space="preserve">In subsection (2)(h) — </w:t>
      </w:r>
    </w:p>
    <w:p>
      <w:pPr>
        <w:pStyle w:val="nzDefstart"/>
      </w:pPr>
      <w:r>
        <w:tab/>
      </w:r>
      <w:r>
        <w:rPr>
          <w:b/>
        </w:rPr>
        <w:t>“</w:t>
      </w:r>
      <w:r>
        <w:rPr>
          <w:rStyle w:val="CharDefText"/>
        </w:rPr>
        <w:t>aggregate exploration expenditure</w:t>
      </w:r>
      <w:r>
        <w:rPr>
          <w:b/>
        </w:rPr>
        <w:t>”</w:t>
      </w:r>
      <w:r>
        <w:t xml:space="preserve"> means expenditure — </w:t>
      </w:r>
    </w:p>
    <w:p>
      <w:pPr>
        <w:pStyle w:val="nzDefpara"/>
      </w:pPr>
      <w:r>
        <w:tab/>
        <w:t>(a)</w:t>
      </w:r>
      <w:r>
        <w:tab/>
        <w:t>on, or in connection with, exploration for minerals on the combined reporting tenements; and</w:t>
      </w:r>
    </w:p>
    <w:p>
      <w:pPr>
        <w:pStyle w:val="nzDefpara"/>
      </w:pPr>
      <w:r>
        <w:tab/>
        <w:t>(b)</w:t>
      </w:r>
      <w:r>
        <w:tab/>
        <w:t>worked out in a manner specified in the regulations.</w:t>
      </w:r>
    </w:p>
    <w:p>
      <w:pPr>
        <w:pStyle w:val="MiscClose"/>
      </w:pPr>
      <w:r>
        <w:t xml:space="preserve">    ”.</w:t>
      </w:r>
    </w:p>
    <w:p>
      <w:pPr>
        <w:pStyle w:val="nzHeading5"/>
      </w:pPr>
      <w:bookmarkStart w:id="2811" w:name="_Toc87061546"/>
      <w:r>
        <w:rPr>
          <w:rStyle w:val="CharSectno"/>
        </w:rPr>
        <w:t>95</w:t>
      </w:r>
      <w:r>
        <w:t>.</w:t>
      </w:r>
      <w:r>
        <w:tab/>
        <w:t>Section 105A amended</w:t>
      </w:r>
      <w:bookmarkEnd w:id="2811"/>
    </w:p>
    <w:p>
      <w:pPr>
        <w:pStyle w:val="nzSubsection"/>
      </w:pPr>
      <w:r>
        <w:tab/>
      </w:r>
      <w:r>
        <w:tab/>
        <w:t>Section 105A(4)(b) is amended as follows:</w:t>
      </w:r>
    </w:p>
    <w:p>
      <w:pPr>
        <w:pStyle w:val="nzIndenta"/>
      </w:pPr>
      <w:r>
        <w:tab/>
        <w:t>(a)</w:t>
      </w:r>
      <w:r>
        <w:tab/>
        <w:t xml:space="preserve">in subparagraph (i) by inserting after “subparagraph” — </w:t>
      </w:r>
    </w:p>
    <w:p>
      <w:pPr>
        <w:pStyle w:val="nzIndenta"/>
      </w:pPr>
      <w:r>
        <w:tab/>
      </w:r>
      <w:r>
        <w:tab/>
        <w:t>“    (ia),    ”;</w:t>
      </w:r>
    </w:p>
    <w:p>
      <w:pPr>
        <w:pStyle w:val="nzIndenta"/>
      </w:pPr>
      <w:r>
        <w:tab/>
        <w:t>(b)</w:t>
      </w:r>
      <w:r>
        <w:tab/>
        <w:t xml:space="preserve">after subparagraph (i) by inserting the following subparagraph — </w:t>
      </w:r>
    </w:p>
    <w:p>
      <w:pPr>
        <w:pStyle w:val="MiscOpen"/>
        <w:ind w:left="2040"/>
      </w:pPr>
      <w:r>
        <w:t xml:space="preserve">“    </w:t>
      </w:r>
    </w:p>
    <w:p>
      <w:pPr>
        <w:pStyle w:val="nzIndenti"/>
      </w:pPr>
      <w:r>
        <w:tab/>
        <w:t>(ia)</w:t>
      </w:r>
      <w:r>
        <w:tab/>
        <w:t>where the land concerned is land to which section 65(6) applies, lodging that application at the office of the mining registrar;</w:t>
      </w:r>
    </w:p>
    <w:p>
      <w:pPr>
        <w:pStyle w:val="MiscClose"/>
      </w:pPr>
      <w:r>
        <w:t xml:space="preserve">    ”.</w:t>
      </w:r>
    </w:p>
    <w:p>
      <w:pPr>
        <w:pStyle w:val="nzHeading5"/>
      </w:pPr>
      <w:bookmarkStart w:id="2812" w:name="_Toc87061547"/>
      <w:r>
        <w:rPr>
          <w:rStyle w:val="CharSectno"/>
        </w:rPr>
        <w:t>96</w:t>
      </w:r>
      <w:r>
        <w:t>.</w:t>
      </w:r>
      <w:r>
        <w:tab/>
        <w:t>Sections 114B and 114C inserted</w:t>
      </w:r>
      <w:bookmarkEnd w:id="2812"/>
    </w:p>
    <w:p>
      <w:pPr>
        <w:pStyle w:val="nzSubsection"/>
      </w:pPr>
      <w:r>
        <w:tab/>
      </w:r>
      <w:r>
        <w:tab/>
        <w:t xml:space="preserve">After section 114A the following sections are inserted — </w:t>
      </w:r>
    </w:p>
    <w:p>
      <w:pPr>
        <w:pStyle w:val="MiscOpen"/>
      </w:pPr>
      <w:r>
        <w:t xml:space="preserve">“    </w:t>
      </w:r>
    </w:p>
    <w:p>
      <w:pPr>
        <w:pStyle w:val="nzHeading5"/>
      </w:pPr>
      <w:r>
        <w:t>114B.</w:t>
      </w:r>
      <w:r>
        <w:tab/>
        <w:t>Continuation of liability after expiry, surrender or forfeiture of mining tenement</w:t>
      </w:r>
    </w:p>
    <w:p>
      <w:pPr>
        <w:pStyle w:val="nzSubsection"/>
      </w:pPr>
      <w:r>
        <w:tab/>
      </w:r>
      <w:r>
        <w:tab/>
        <w:t xml:space="preserve">The expiry, surrender or forfeiture of a mining tenement does not affect the liability of the person who was the holder of the mining tenement immediately before its expiry, surrender or forfeiture — </w:t>
      </w:r>
    </w:p>
    <w:p>
      <w:pPr>
        <w:pStyle w:val="nzIndenta"/>
      </w:pPr>
      <w:r>
        <w:tab/>
        <w:t>(a)</w:t>
      </w:r>
      <w:r>
        <w:tab/>
        <w:t>to pay any rent, fee, royalty, penalty, or other money on any other account, payable on or before the date of expiry, surrender or forfeiture under or in relation to the mining tenement;</w:t>
      </w:r>
    </w:p>
    <w:p>
      <w:pPr>
        <w:pStyle w:val="nzIndenta"/>
      </w:pPr>
      <w:r>
        <w:tab/>
        <w:t>(b)</w:t>
      </w:r>
      <w:r>
        <w:tab/>
        <w:t>to comply with any obligation imposed on or before that date under or in relation to the mining tenement; or</w:t>
      </w:r>
    </w:p>
    <w:p>
      <w:pPr>
        <w:pStyle w:val="nzIndenta"/>
      </w:pPr>
      <w:r>
        <w:tab/>
        <w:t>(c)</w:t>
      </w:r>
      <w:r>
        <w:tab/>
        <w:t>for any act done or default made on or before that date under or in relation to the mining tenement.</w:t>
      </w:r>
    </w:p>
    <w:p>
      <w:pPr>
        <w:pStyle w:val="nzHeading5"/>
      </w:pPr>
      <w:r>
        <w:t>114C.</w:t>
      </w:r>
      <w:r>
        <w:tab/>
        <w:t>Right to enter land to carry out remedial work after expiry, surrender or forfeiture of mining tenement</w:t>
      </w:r>
    </w:p>
    <w:p>
      <w:pPr>
        <w:pStyle w:val="nzSubsection"/>
      </w:pPr>
      <w:r>
        <w:tab/>
        <w:t>(1)</w:t>
      </w:r>
      <w:r>
        <w:tab/>
        <w:t xml:space="preserve">In this section — </w:t>
      </w:r>
    </w:p>
    <w:p>
      <w:pPr>
        <w:pStyle w:val="nzDefstart"/>
      </w:pPr>
      <w:r>
        <w:tab/>
      </w:r>
      <w:r>
        <w:rPr>
          <w:b/>
        </w:rPr>
        <w:t>“</w:t>
      </w:r>
      <w:r>
        <w:rPr>
          <w:rStyle w:val="CharDefText"/>
        </w:rPr>
        <w:t>former holder</w:t>
      </w:r>
      <w:r>
        <w:rPr>
          <w:b/>
        </w:rPr>
        <w:t>”</w:t>
      </w:r>
      <w:r>
        <w:t>, in relation to a mining tenement, means the person who was the holder of the mining tenement immediately before its expiry, surrender or forfeiture;</w:t>
      </w:r>
    </w:p>
    <w:p>
      <w:pPr>
        <w:pStyle w:val="nzDefstart"/>
      </w:pPr>
      <w:r>
        <w:tab/>
      </w:r>
      <w:r>
        <w:rPr>
          <w:b/>
        </w:rPr>
        <w:t>“</w:t>
      </w:r>
      <w:r>
        <w:rPr>
          <w:rStyle w:val="CharDefText"/>
        </w:rPr>
        <w:t>remedial work</w:t>
      </w:r>
      <w:r>
        <w:rPr>
          <w:b/>
        </w:rPr>
        <w:t>”</w:t>
      </w:r>
      <w:r>
        <w:t xml:space="preserve"> means work necessary for compliance by the former holder of a mining tenement with an obligation referred to in section 114B(b).</w:t>
      </w:r>
    </w:p>
    <w:p>
      <w:pPr>
        <w:pStyle w:val="nz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MiscClose"/>
      </w:pPr>
      <w:r>
        <w:t xml:space="preserve">    ”.</w:t>
      </w:r>
    </w:p>
    <w:p>
      <w:pPr>
        <w:pStyle w:val="nzHeading5"/>
      </w:pPr>
      <w:bookmarkStart w:id="2813" w:name="_Toc87061548"/>
      <w:r>
        <w:rPr>
          <w:rStyle w:val="CharSectno"/>
        </w:rPr>
        <w:t>97</w:t>
      </w:r>
      <w:r>
        <w:t>.</w:t>
      </w:r>
      <w:r>
        <w:tab/>
        <w:t>Section 115B inserted and consequential amendments</w:t>
      </w:r>
      <w:bookmarkEnd w:id="2813"/>
    </w:p>
    <w:p>
      <w:pPr>
        <w:pStyle w:val="nzSubsection"/>
      </w:pPr>
      <w:r>
        <w:tab/>
        <w:t>(1)</w:t>
      </w:r>
      <w:r>
        <w:tab/>
        <w:t xml:space="preserve">After section 115A the following section is inserted — </w:t>
      </w:r>
    </w:p>
    <w:p>
      <w:pPr>
        <w:pStyle w:val="MiscOpen"/>
      </w:pPr>
      <w:r>
        <w:t xml:space="preserve">“    </w:t>
      </w:r>
    </w:p>
    <w:p>
      <w:pPr>
        <w:pStyle w:val="nzHeading5"/>
      </w:pPr>
      <w:r>
        <w:t>115B.</w:t>
      </w:r>
      <w:r>
        <w:tab/>
        <w:t>Verification of expenditure amounts in operations reports</w:t>
      </w:r>
    </w:p>
    <w:p>
      <w:pPr>
        <w:pStyle w:val="nzSubsection"/>
      </w:pPr>
      <w:r>
        <w:tab/>
        <w:t>(1)</w:t>
      </w:r>
      <w:r>
        <w:tab/>
        <w:t xml:space="preserve">In this section — </w:t>
      </w:r>
    </w:p>
    <w:p>
      <w:pPr>
        <w:pStyle w:val="nzDefstart"/>
      </w:pPr>
      <w:r>
        <w:rPr>
          <w:b/>
        </w:rPr>
        <w:tab/>
        <w:t>“</w:t>
      </w:r>
      <w:r>
        <w:rPr>
          <w:rStyle w:val="CharDefText"/>
        </w:rPr>
        <w:t>audit amount</w:t>
      </w:r>
      <w:r>
        <w:rPr>
          <w:b/>
        </w:rPr>
        <w:t>”</w:t>
      </w:r>
      <w:r>
        <w:t xml:space="preserve"> means the amount of expenditure shown in an audit statement;</w:t>
      </w:r>
    </w:p>
    <w:p>
      <w:pPr>
        <w:pStyle w:val="nzDefstart"/>
      </w:pPr>
      <w:r>
        <w:rPr>
          <w:b/>
        </w:rPr>
        <w:tab/>
        <w:t>“</w:t>
      </w:r>
      <w:r>
        <w:rPr>
          <w:rStyle w:val="CharDefText"/>
        </w:rPr>
        <w:t>audit statement</w:t>
      </w:r>
      <w:r>
        <w:rPr>
          <w:b/>
        </w:rPr>
        <w:t>”</w:t>
      </w:r>
      <w:r>
        <w:t xml:space="preserve"> means a statement containing details of expenditure during the period to which an operations report relates;</w:t>
      </w:r>
    </w:p>
    <w:p>
      <w:pPr>
        <w:pStyle w:val="nzDefstart"/>
      </w:pPr>
      <w:r>
        <w:rPr>
          <w:b/>
        </w:rPr>
        <w:tab/>
        <w:t>“</w:t>
      </w:r>
      <w:r>
        <w:rPr>
          <w:rStyle w:val="CharDefText"/>
        </w:rPr>
        <w:t>expenditure</w:t>
      </w:r>
      <w:r>
        <w:rPr>
          <w:b/>
        </w:rPr>
        <w:t>”</w:t>
      </w:r>
      <w:r>
        <w:t xml:space="preserve"> means expenditure on or in connection with mining on a mining tenement;</w:t>
      </w:r>
    </w:p>
    <w:p>
      <w:pPr>
        <w:pStyle w:val="nzDefstart"/>
      </w:pPr>
      <w:r>
        <w:rPr>
          <w:b/>
        </w:rPr>
        <w:tab/>
        <w:t>“</w:t>
      </w:r>
      <w:r>
        <w:rPr>
          <w:rStyle w:val="CharDefText"/>
        </w:rPr>
        <w:t>expenditure amount</w:t>
      </w:r>
      <w:r>
        <w:rPr>
          <w:b/>
        </w:rPr>
        <w:t>”</w:t>
      </w:r>
      <w:r>
        <w:t xml:space="preserve"> means the amount of expenditure during the period to which an operations report relates;</w:t>
      </w:r>
    </w:p>
    <w:p>
      <w:pPr>
        <w:pStyle w:val="nzDefstart"/>
      </w:pPr>
      <w:r>
        <w:rPr>
          <w:b/>
        </w:rPr>
        <w:tab/>
        <w:t>“</w:t>
      </w:r>
      <w:r>
        <w:rPr>
          <w:rStyle w:val="CharDefText"/>
        </w:rPr>
        <w:t>operations report</w:t>
      </w:r>
      <w:r>
        <w:rPr>
          <w:b/>
        </w:rPr>
        <w:t>”</w:t>
      </w:r>
      <w:r>
        <w:t xml:space="preserve"> has the meaning given to that term in section 115A(1).</w:t>
      </w:r>
    </w:p>
    <w:p>
      <w:pPr>
        <w:pStyle w:val="nzSubsection"/>
      </w:pPr>
      <w:r>
        <w:tab/>
        <w:t>(2)</w:t>
      </w:r>
      <w:r>
        <w:tab/>
        <w:t>For the purpose of verifying the expenditure amount shown in an operations report, the Minister may, by notice in writing, require the holder of a mining tenement to file an audit statement, or cause an audit statement to be filed, with the Department at Perth within a period specified in the notice.</w:t>
      </w:r>
    </w:p>
    <w:p>
      <w:pPr>
        <w:pStyle w:val="nzSubsection"/>
      </w:pPr>
      <w:r>
        <w:tab/>
        <w:t>(3)</w:t>
      </w:r>
      <w:r>
        <w:tab/>
        <w:t xml:space="preserve">An audit statement is to be prepared and signed by — </w:t>
      </w:r>
    </w:p>
    <w:p>
      <w:pPr>
        <w:pStyle w:val="nzIndenta"/>
      </w:pPr>
      <w:r>
        <w:tab/>
        <w:t>(a)</w:t>
      </w:r>
      <w:r>
        <w:tab/>
        <w:t>a person registered as an auditor, or taken to be registered as an auditor, under Part 9.2 of the Corporations Act; or</w:t>
      </w:r>
    </w:p>
    <w:p>
      <w:pPr>
        <w:pStyle w:val="nzIndenta"/>
      </w:pPr>
      <w:r>
        <w:tab/>
        <w:t>(b)</w:t>
      </w:r>
      <w:r>
        <w:tab/>
        <w:t>another suitably qualified person approved by the Minister for the purposes of this section.</w:t>
      </w:r>
    </w:p>
    <w:p>
      <w:pPr>
        <w:pStyle w:val="nz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MiscClose"/>
      </w:pPr>
      <w:r>
        <w:t xml:space="preserve">    ”.</w:t>
      </w:r>
    </w:p>
    <w:p>
      <w:pPr>
        <w:pStyle w:val="nzSubsection"/>
      </w:pPr>
      <w:r>
        <w:tab/>
        <w:t>(2)</w:t>
      </w:r>
      <w:r>
        <w:tab/>
        <w:t>Section 70K is amended as follows:</w:t>
      </w:r>
    </w:p>
    <w:p>
      <w:pPr>
        <w:pStyle w:val="nzIndenta"/>
      </w:pPr>
      <w:r>
        <w:tab/>
        <w:t>(a)</w:t>
      </w:r>
      <w:r>
        <w:tab/>
        <w:t>after paragraph (c) by deleting “or”;</w:t>
      </w:r>
    </w:p>
    <w:p>
      <w:pPr>
        <w:pStyle w:val="nzIndenta"/>
      </w:pPr>
      <w:r>
        <w:tab/>
        <w:t>(b)</w:t>
      </w:r>
      <w:r>
        <w:tab/>
        <w:t xml:space="preserve">after paragraph (d) by deleting the full stop and inserting — </w:t>
      </w:r>
    </w:p>
    <w:p>
      <w:pPr>
        <w:pStyle w:val="MiscOpen"/>
        <w:ind w:left="1616"/>
      </w:pPr>
      <w:r>
        <w:t xml:space="preserve">“    </w:t>
      </w:r>
    </w:p>
    <w:p>
      <w:pPr>
        <w:pStyle w:val="nzIndenta"/>
      </w:pPr>
      <w:r>
        <w:tab/>
      </w:r>
      <w:r>
        <w:tab/>
        <w:t>; or</w:t>
      </w:r>
    </w:p>
    <w:p>
      <w:pPr>
        <w:pStyle w:val="nzIndenta"/>
      </w:pPr>
      <w:r>
        <w:tab/>
        <w:t>(e)</w:t>
      </w:r>
      <w:r>
        <w:tab/>
        <w:t>the holder of the licence fails to comply with a notice under section 115B(2) requiring that person to file an audit statement or cause an audit statement to be filed.</w:t>
      </w:r>
    </w:p>
    <w:p>
      <w:pPr>
        <w:pStyle w:val="MiscClose"/>
      </w:pPr>
      <w:r>
        <w:t xml:space="preserve">    ”.</w:t>
      </w:r>
    </w:p>
    <w:p>
      <w:pPr>
        <w:pStyle w:val="nzSubsection"/>
      </w:pPr>
      <w:r>
        <w:tab/>
        <w:t>(3)</w:t>
      </w:r>
      <w:r>
        <w:tab/>
        <w:t xml:space="preserve">Section 82(1)(g) is amended by inserting before “in relation to the lease” — </w:t>
      </w:r>
    </w:p>
    <w:p>
      <w:pPr>
        <w:pStyle w:val="nzSubsection"/>
      </w:pPr>
      <w:r>
        <w:tab/>
      </w:r>
      <w:r>
        <w:tab/>
        <w:t>“    or 115B(2)    ”.</w:t>
      </w:r>
    </w:p>
    <w:p>
      <w:pPr>
        <w:pStyle w:val="nzHeading5"/>
      </w:pPr>
      <w:bookmarkStart w:id="2814" w:name="_Toc87061549"/>
      <w:r>
        <w:rPr>
          <w:rStyle w:val="CharSectno"/>
        </w:rPr>
        <w:t>98</w:t>
      </w:r>
      <w:r>
        <w:t>.</w:t>
      </w:r>
      <w:r>
        <w:tab/>
        <w:t>Section 118A inserted and validation and transitional provisions</w:t>
      </w:r>
      <w:bookmarkEnd w:id="2814"/>
    </w:p>
    <w:p>
      <w:pPr>
        <w:pStyle w:val="nzSubsection"/>
      </w:pPr>
      <w:r>
        <w:tab/>
        <w:t>(1)</w:t>
      </w:r>
      <w:r>
        <w:tab/>
        <w:t xml:space="preserve">After section 118 the following section is inserted — </w:t>
      </w:r>
    </w:p>
    <w:p>
      <w:pPr>
        <w:pStyle w:val="MiscOpen"/>
      </w:pPr>
      <w:r>
        <w:t xml:space="preserve">“    </w:t>
      </w:r>
    </w:p>
    <w:p>
      <w:pPr>
        <w:pStyle w:val="nzHeading5"/>
      </w:pPr>
      <w:r>
        <w:t>118A.</w:t>
      </w:r>
      <w:r>
        <w:tab/>
        <w:t>Tenement holder may authorise mining by third party</w:t>
      </w:r>
    </w:p>
    <w:p>
      <w:pPr>
        <w:pStyle w:val="nzSubsection"/>
      </w:pPr>
      <w:r>
        <w:tab/>
        <w:t>(1)</w:t>
      </w:r>
      <w:r>
        <w:tab/>
        <w:t xml:space="preserve">In this section — </w:t>
      </w:r>
    </w:p>
    <w:p>
      <w:pPr>
        <w:pStyle w:val="nzDefstart"/>
      </w:pPr>
      <w:r>
        <w:rPr>
          <w:b/>
        </w:rPr>
        <w:tab/>
        <w:t>“</w:t>
      </w:r>
      <w:r>
        <w:rPr>
          <w:rStyle w:val="CharDefText"/>
        </w:rPr>
        <w:t>authorisation</w:t>
      </w:r>
      <w:r>
        <w:rPr>
          <w:b/>
        </w:rPr>
        <w:t>”</w:t>
      </w:r>
      <w:r>
        <w:t xml:space="preserve"> means an authorisation under subsection (2).</w:t>
      </w:r>
    </w:p>
    <w:p>
      <w:pPr>
        <w:pStyle w:val="nzSubsection"/>
      </w:pPr>
      <w:r>
        <w:tab/>
        <w:t>(2)</w:t>
      </w:r>
      <w:r>
        <w:tab/>
        <w:t xml:space="preserve">The holder of a prospecting licence, exploration licence or mining lease (the </w:t>
      </w:r>
      <w:r>
        <w:rPr>
          <w:b/>
        </w:rPr>
        <w:t>“</w:t>
      </w:r>
      <w:r>
        <w:rPr>
          <w:rStyle w:val="CharDefText"/>
        </w:rPr>
        <w:t>relevant tenement</w:t>
      </w:r>
      <w:r>
        <w:rPr>
          <w:b/>
        </w:rPr>
        <w:t>”</w:t>
      </w:r>
      <w:r>
        <w:t>) may, by instrument in writing, authorise another person to carry out mining of a kind authorised by the relevant tenement on the land the subject of the relevant tenement.</w:t>
      </w:r>
    </w:p>
    <w:p>
      <w:pPr>
        <w:pStyle w:val="nzSubsection"/>
      </w:pPr>
      <w:r>
        <w:tab/>
        <w:t>(3)</w:t>
      </w:r>
      <w:r>
        <w:tab/>
        <w:t>An authorisation may be given subject to conditions specified in the authorisation.</w:t>
      </w:r>
    </w:p>
    <w:p>
      <w:pPr>
        <w:pStyle w:val="nzSubsection"/>
      </w:pPr>
      <w:r>
        <w:tab/>
        <w:t>(4)</w:t>
      </w:r>
      <w:r>
        <w:tab/>
        <w:t>Mining carried out under an authorisation is to be regarded for the purposes of this Act as mining carried out by the holder of the relevant tenement.</w:t>
      </w:r>
    </w:p>
    <w:p>
      <w:pPr>
        <w:pStyle w:val="nz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nzSubsection"/>
      </w:pPr>
      <w:r>
        <w:tab/>
        <w:t>(6)</w:t>
      </w:r>
      <w:r>
        <w:tab/>
        <w:t>The giving of an authorisation does not affect the duties or obligations of the holder of the relevant tenement under this Act.</w:t>
      </w:r>
    </w:p>
    <w:p>
      <w:pPr>
        <w:pStyle w:val="MiscClose"/>
      </w:pPr>
      <w:r>
        <w:t xml:space="preserve">    ”.</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 xml:space="preserve">In subsections (2) and (3) — </w:t>
      </w:r>
    </w:p>
    <w:p>
      <w:pPr>
        <w:pStyle w:val="nzDefstart"/>
      </w:pPr>
      <w:r>
        <w:rPr>
          <w:b/>
        </w:rPr>
        <w:tab/>
        <w:t>“</w:t>
      </w:r>
      <w:r>
        <w:rPr>
          <w:rStyle w:val="CharDefText"/>
        </w:rPr>
        <w:t>commencement</w:t>
      </w:r>
      <w:r>
        <w:rPr>
          <w:b/>
        </w:rPr>
        <w:t>”</w:t>
      </w:r>
      <w:r>
        <w:t xml:space="preserve"> means the commencement of this section;</w:t>
      </w:r>
    </w:p>
    <w:p>
      <w:pPr>
        <w:pStyle w:val="nzDefstart"/>
      </w:pPr>
      <w:r>
        <w:rPr>
          <w:b/>
        </w:rPr>
        <w:tab/>
        <w:t>“</w:t>
      </w:r>
      <w:r>
        <w:rPr>
          <w:rStyle w:val="CharDefText"/>
        </w:rPr>
        <w:t>existing mining authorisation</w:t>
      </w:r>
      <w:r>
        <w:rPr>
          <w:b/>
        </w:rPr>
        <w:t>”</w:t>
      </w:r>
      <w:r>
        <w:t xml:space="preserve"> means a mining authorisation in force immediately before the commencement;</w:t>
      </w:r>
    </w:p>
    <w:p>
      <w:pPr>
        <w:pStyle w:val="nzDefstart"/>
      </w:pPr>
      <w:r>
        <w:rPr>
          <w:b/>
        </w:rPr>
        <w:tab/>
        <w:t>“</w:t>
      </w:r>
      <w:r>
        <w:rPr>
          <w:rStyle w:val="CharDefText"/>
        </w:rPr>
        <w:t>mining authorisation</w:t>
      </w:r>
      <w:r>
        <w:rPr>
          <w:b/>
        </w:rPr>
        <w:t>”</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nzHeading5"/>
      </w:pPr>
      <w:bookmarkStart w:id="2815" w:name="_Toc64964409"/>
      <w:bookmarkStart w:id="2816" w:name="_Toc87061550"/>
      <w:r>
        <w:rPr>
          <w:rStyle w:val="CharSectno"/>
        </w:rPr>
        <w:t>99</w:t>
      </w:r>
      <w:r>
        <w:t>.</w:t>
      </w:r>
      <w:r>
        <w:tab/>
        <w:t>Section 120AA inserted</w:t>
      </w:r>
      <w:bookmarkEnd w:id="2815"/>
      <w:bookmarkEnd w:id="2816"/>
    </w:p>
    <w:p>
      <w:pPr>
        <w:pStyle w:val="nzSubsection"/>
      </w:pPr>
      <w:r>
        <w:tab/>
      </w:r>
      <w:r>
        <w:tab/>
        <w:t xml:space="preserve">After section 120 the following section is inserted in Part V — </w:t>
      </w:r>
    </w:p>
    <w:p>
      <w:pPr>
        <w:pStyle w:val="MiscOpen"/>
      </w:pPr>
      <w:r>
        <w:t xml:space="preserve">“    </w:t>
      </w:r>
    </w:p>
    <w:p>
      <w:pPr>
        <w:pStyle w:val="nzHeading5"/>
      </w:pPr>
      <w:r>
        <w:t>120AA.</w:t>
      </w:r>
      <w:r>
        <w:tab/>
        <w:t>Scheme for reversion licence applications</w:t>
      </w:r>
    </w:p>
    <w:p>
      <w:pPr>
        <w:pStyle w:val="nzSubsection"/>
      </w:pPr>
      <w:r>
        <w:tab/>
        <w:t>(1)</w:t>
      </w:r>
      <w:r>
        <w:tab/>
        <w:t xml:space="preserve">In this section — </w:t>
      </w:r>
    </w:p>
    <w:p>
      <w:pPr>
        <w:pStyle w:val="nzDefstart"/>
      </w:pPr>
      <w:r>
        <w:rPr>
          <w:b/>
        </w:rPr>
        <w:tab/>
        <w:t>“</w:t>
      </w:r>
      <w:r>
        <w:rPr>
          <w:rStyle w:val="CharDefText"/>
        </w:rPr>
        <w:t>amending Act</w:t>
      </w:r>
      <w:r>
        <w:rPr>
          <w:b/>
        </w:rPr>
        <w:t>”</w:t>
      </w:r>
      <w:r>
        <w:t xml:space="preserve"> means an Act that amends this Act;</w:t>
      </w:r>
    </w:p>
    <w:p>
      <w:pPr>
        <w:pStyle w:val="nzDefstart"/>
      </w:pPr>
      <w:r>
        <w:rPr>
          <w:b/>
        </w:rPr>
        <w:tab/>
        <w:t>“</w:t>
      </w:r>
      <w:r>
        <w:rPr>
          <w:rStyle w:val="CharDefText"/>
        </w:rPr>
        <w:t>continued licence</w:t>
      </w:r>
      <w:r>
        <w:rPr>
          <w:b/>
        </w:rPr>
        <w:t>”</w:t>
      </w:r>
      <w:r>
        <w:t xml:space="preserve"> means — </w:t>
      </w:r>
    </w:p>
    <w:p>
      <w:pPr>
        <w:pStyle w:val="nzDefpara"/>
      </w:pPr>
      <w:r>
        <w:tab/>
        <w:t>(a)</w:t>
      </w:r>
      <w:r>
        <w:tab/>
        <w:t>a prospecting licence continued in force under section 49(2);</w:t>
      </w:r>
    </w:p>
    <w:p>
      <w:pPr>
        <w:pStyle w:val="nzDefpara"/>
      </w:pPr>
      <w:r>
        <w:tab/>
        <w:t>(b)</w:t>
      </w:r>
      <w:r>
        <w:tab/>
        <w:t>an exploration licence continued in force under section 67(2); or</w:t>
      </w:r>
    </w:p>
    <w:p>
      <w:pPr>
        <w:pStyle w:val="nzDefpara"/>
      </w:pPr>
      <w:r>
        <w:tab/>
        <w:t>(c)</w:t>
      </w:r>
      <w:r>
        <w:tab/>
        <w:t>a retention licence continued in force under section 70L(2);</w:t>
      </w:r>
    </w:p>
    <w:p>
      <w:pPr>
        <w:pStyle w:val="nzDefstart"/>
      </w:pPr>
      <w:r>
        <w:rPr>
          <w:b/>
        </w:rPr>
        <w:tab/>
        <w:t>“</w:t>
      </w:r>
      <w:r>
        <w:rPr>
          <w:rStyle w:val="CharDefText"/>
        </w:rPr>
        <w:t>lease application</w:t>
      </w:r>
      <w:r>
        <w:rPr>
          <w:b/>
        </w:rPr>
        <w:t>”</w:t>
      </w:r>
      <w:r>
        <w:t xml:space="preserve"> means an application for a mining lease under this Act including an application authorised by section 49(1), 67(1) or 70L(1);</w:t>
      </w:r>
    </w:p>
    <w:p>
      <w:pPr>
        <w:pStyle w:val="nzDefstart"/>
      </w:pPr>
      <w:r>
        <w:rPr>
          <w:b/>
        </w:rPr>
        <w:tab/>
        <w:t>“</w:t>
      </w:r>
      <w:r>
        <w:rPr>
          <w:rStyle w:val="CharDefText"/>
        </w:rPr>
        <w:t>reversion licence application</w:t>
      </w:r>
      <w:r>
        <w:rPr>
          <w:b/>
        </w:rPr>
        <w:t>”</w:t>
      </w:r>
      <w:r>
        <w:t xml:space="preserve"> means an application for a prospecting licence or an exploration licence under this Act.</w:t>
      </w:r>
    </w:p>
    <w:p>
      <w:pPr>
        <w:pStyle w:val="nz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reversion licence applications in respect of land the subject of the lease application or lease applications.</w:t>
      </w:r>
    </w:p>
    <w:p>
      <w:pPr>
        <w:pStyle w:val="nzSubsection"/>
      </w:pPr>
      <w:r>
        <w:tab/>
        <w:t>(3)</w:t>
      </w:r>
      <w:r>
        <w:tab/>
        <w:t xml:space="preserve">An order under subsection (2) may provide for and in relation to — </w:t>
      </w:r>
    </w:p>
    <w:p>
      <w:pPr>
        <w:pStyle w:val="nzIndenta"/>
      </w:pPr>
      <w:r>
        <w:tab/>
        <w:t>(a)</w:t>
      </w:r>
      <w:r>
        <w:tab/>
        <w:t>the making of reversion licence applications and related matters including marking out and advertising;</w:t>
      </w:r>
    </w:p>
    <w:p>
      <w:pPr>
        <w:pStyle w:val="nzIndenta"/>
      </w:pPr>
      <w:r>
        <w:tab/>
        <w:t>(b)</w:t>
      </w:r>
      <w:r>
        <w:tab/>
        <w:t xml:space="preserve">the operation and effect of a reversion licence application including its effect on — </w:t>
      </w:r>
    </w:p>
    <w:p>
      <w:pPr>
        <w:pStyle w:val="nzIndenti"/>
      </w:pPr>
      <w:r>
        <w:tab/>
        <w:t>(i)</w:t>
      </w:r>
      <w:r>
        <w:tab/>
        <w:t>the lease application or lease applications to which it relates; and</w:t>
      </w:r>
    </w:p>
    <w:p>
      <w:pPr>
        <w:pStyle w:val="nzIndenti"/>
      </w:pPr>
      <w:r>
        <w:tab/>
        <w:t>(ii)</w:t>
      </w:r>
      <w:r>
        <w:tab/>
        <w:t>any continued licence held by the applicant;</w:t>
      </w:r>
    </w:p>
    <w:p>
      <w:pPr>
        <w:pStyle w:val="nzIndenta"/>
      </w:pPr>
      <w:r>
        <w:tab/>
        <w:t>(c)</w:t>
      </w:r>
      <w:r>
        <w:tab/>
        <w:t>priority as between reversion licence applications and other mining tenement applications;</w:t>
      </w:r>
    </w:p>
    <w:p>
      <w:pPr>
        <w:pStyle w:val="nzIndenta"/>
      </w:pPr>
      <w:r>
        <w:tab/>
        <w:t>(d)</w:t>
      </w:r>
      <w:r>
        <w:tab/>
        <w:t>the circumstances in which objections may be made to reversion licence applications;</w:t>
      </w:r>
    </w:p>
    <w:p>
      <w:pPr>
        <w:pStyle w:val="nzIndenta"/>
      </w:pPr>
      <w:r>
        <w:tab/>
        <w:t>(e)</w:t>
      </w:r>
      <w:r>
        <w:tab/>
        <w:t>the operation and effect of prospecting licences and exploration licences granted as a result of reversion licence applications;</w:t>
      </w:r>
    </w:p>
    <w:p>
      <w:pPr>
        <w:pStyle w:val="nzIndenta"/>
      </w:pPr>
      <w:r>
        <w:tab/>
        <w:t>(f)</w:t>
      </w:r>
      <w:r>
        <w:tab/>
        <w:t>the refund of rent paid in respect of a lease application or lease applications if a prospecting licence or an exploration licence is granted as a result of a reversion licence application; and</w:t>
      </w:r>
    </w:p>
    <w:p>
      <w:pPr>
        <w:pStyle w:val="nzIndenta"/>
      </w:pPr>
      <w:r>
        <w:tab/>
        <w:t>(g)</w:t>
      </w:r>
      <w:r>
        <w:tab/>
        <w:t>any other matters of an incidental, supplementary, savings or transitional nature that are necessary or expedient for the purposes of the scheme referred to in subsection (2).</w:t>
      </w:r>
    </w:p>
    <w:p>
      <w:pPr>
        <w:pStyle w:val="nzSubsection"/>
      </w:pPr>
      <w:r>
        <w:tab/>
        <w:t>(4)</w:t>
      </w:r>
      <w:r>
        <w:tab/>
        <w:t>Without limiting subsection (3), an order under subsection (2) may provide for a reversion licence application to include land that is not the subject of the relevant lease application or lease applications.</w:t>
      </w:r>
    </w:p>
    <w:p>
      <w:pPr>
        <w:pStyle w:val="nzSubsection"/>
      </w:pPr>
      <w:r>
        <w:tab/>
        <w:t>(5)</w:t>
      </w:r>
      <w:r>
        <w:tab/>
        <w:t>An order under subsection (2) has effect for the period specified in the order.</w:t>
      </w:r>
    </w:p>
    <w:p>
      <w:pPr>
        <w:pStyle w:val="nzSubsection"/>
      </w:pPr>
      <w:r>
        <w:tab/>
        <w:t>(6)</w:t>
      </w:r>
      <w:r>
        <w:tab/>
        <w:t xml:space="preserve">The Governor, by order published in the </w:t>
      </w:r>
      <w:r>
        <w:rPr>
          <w:i/>
        </w:rPr>
        <w:t>Gazette</w:t>
      </w:r>
      <w:r>
        <w:t>, may amend or revoke an order under subsection (2).</w:t>
      </w:r>
    </w:p>
    <w:p>
      <w:pPr>
        <w:pStyle w:val="nzSubsection"/>
      </w:pPr>
      <w:r>
        <w:tab/>
        <w:t>(7)</w:t>
      </w:r>
      <w:r>
        <w:tab/>
        <w:t xml:space="preserve">Section 42 of the </w:t>
      </w:r>
      <w:r>
        <w:rPr>
          <w:i/>
        </w:rPr>
        <w:t>Interpretation Act 1984</w:t>
      </w:r>
      <w:r>
        <w:t xml:space="preserve"> applies to an order under this section as if it were a regulation.</w:t>
      </w:r>
    </w:p>
    <w:p>
      <w:pPr>
        <w:pStyle w:val="MiscClose"/>
      </w:pPr>
      <w:r>
        <w:t xml:space="preserve">    ”.</w:t>
      </w:r>
    </w:p>
    <w:p>
      <w:pPr>
        <w:pStyle w:val="nzHeading5"/>
      </w:pPr>
      <w:bookmarkStart w:id="2817" w:name="_Toc87061551"/>
      <w:r>
        <w:rPr>
          <w:rStyle w:val="CharSectno"/>
        </w:rPr>
        <w:t>100</w:t>
      </w:r>
      <w:r>
        <w:t>.</w:t>
      </w:r>
      <w:r>
        <w:tab/>
        <w:t>Section 162 amended</w:t>
      </w:r>
      <w:bookmarkEnd w:id="2817"/>
    </w:p>
    <w:p>
      <w:pPr>
        <w:pStyle w:val="nzSubsection"/>
      </w:pPr>
      <w:r>
        <w:tab/>
        <w:t>(1)</w:t>
      </w:r>
      <w:r>
        <w:tab/>
        <w:t>Section 162(2) is amended as follows:</w:t>
      </w:r>
    </w:p>
    <w:p>
      <w:pPr>
        <w:pStyle w:val="nzIndenta"/>
      </w:pPr>
      <w:r>
        <w:tab/>
        <w:t>(a)</w:t>
      </w:r>
      <w:r>
        <w:tab/>
        <w:t xml:space="preserve">after paragraph (g) by inserting the following paragraphs — </w:t>
      </w:r>
    </w:p>
    <w:p>
      <w:pPr>
        <w:pStyle w:val="MiscOpen"/>
        <w:ind w:left="1340"/>
      </w:pPr>
      <w:r>
        <w:t xml:space="preserve">“    </w:t>
      </w:r>
    </w:p>
    <w:p>
      <w:pPr>
        <w:pStyle w:val="nzIndenta"/>
      </w:pPr>
      <w:r>
        <w:tab/>
        <w:t>(ga)</w:t>
      </w:r>
      <w:r>
        <w:tab/>
        <w:t>prescribe grounds for extension for the purposes of section 45(1a) and 61(2);</w:t>
      </w:r>
    </w:p>
    <w:p>
      <w:pPr>
        <w:pStyle w:val="nzIndenta"/>
      </w:pPr>
      <w:r>
        <w:tab/>
        <w:t>(gb)</w:t>
      </w:r>
      <w:r>
        <w:tab/>
        <w:t>prescribe grounds for deferral for the purposes of section 65(3a);</w:t>
      </w:r>
    </w:p>
    <w:p>
      <w:pPr>
        <w:pStyle w:val="MiscClose"/>
      </w:pPr>
      <w:r>
        <w:t xml:space="preserve">    ”;</w:t>
      </w:r>
    </w:p>
    <w:p>
      <w:pPr>
        <w:pStyle w:val="nzIndenta"/>
      </w:pPr>
      <w:r>
        <w:tab/>
        <w:t>(b)</w:t>
      </w:r>
      <w:r>
        <w:tab/>
        <w:t xml:space="preserve">in paragraph (k) by deleting “and records” and inserting instead — </w:t>
      </w:r>
    </w:p>
    <w:p>
      <w:pPr>
        <w:pStyle w:val="nzIndenta"/>
      </w:pPr>
      <w:r>
        <w:tab/>
      </w:r>
      <w:r>
        <w:tab/>
        <w:t>“    , and the keeping and furnishing of records,    ”.</w:t>
      </w:r>
    </w:p>
    <w:p>
      <w:pPr>
        <w:pStyle w:val="nzSubsection"/>
      </w:pPr>
      <w:r>
        <w:tab/>
        <w:t>(2)</w:t>
      </w:r>
      <w:r>
        <w:tab/>
        <w:t xml:space="preserve">After section 162(2) the following subsection is inserted — </w:t>
      </w:r>
    </w:p>
    <w:p>
      <w:pPr>
        <w:pStyle w:val="MiscOpen"/>
        <w:ind w:left="600"/>
      </w:pPr>
      <w:r>
        <w:t xml:space="preserve">“    </w:t>
      </w:r>
    </w:p>
    <w:p>
      <w:pPr>
        <w:pStyle w:val="nzSubsection"/>
      </w:pPr>
      <w:r>
        <w:tab/>
        <w:t>(2a)</w:t>
      </w:r>
      <w:r>
        <w:tab/>
        <w:t xml:space="preserve">Subsection (2)(x) applies to information irrespective of when — </w:t>
      </w:r>
    </w:p>
    <w:p>
      <w:pPr>
        <w:pStyle w:val="nzIndenta"/>
      </w:pPr>
      <w:r>
        <w:tab/>
        <w:t>(a)</w:t>
      </w:r>
      <w:r>
        <w:tab/>
        <w:t>any application or report containing the information was made or given; or</w:t>
      </w:r>
    </w:p>
    <w:p>
      <w:pPr>
        <w:pStyle w:val="nzIndenta"/>
      </w:pPr>
      <w:r>
        <w:tab/>
        <w:t>(b)</w:t>
      </w:r>
      <w:r>
        <w:tab/>
        <w:t>the information was supplied to the Minister, a warden or an official,</w:t>
      </w:r>
    </w:p>
    <w:p>
      <w:pPr>
        <w:pStyle w:val="nzSubsection"/>
      </w:pPr>
      <w:r>
        <w:tab/>
      </w:r>
      <w:r>
        <w:tab/>
        <w:t>as the case may be.</w:t>
      </w:r>
    </w:p>
    <w:p>
      <w:pPr>
        <w:pStyle w:val="MiscClose"/>
      </w:pPr>
      <w:r>
        <w:t xml:space="preserve">    ”.</w:t>
      </w:r>
    </w:p>
    <w:p>
      <w:pPr>
        <w:pStyle w:val="nzHeading5"/>
      </w:pPr>
      <w:bookmarkStart w:id="2818" w:name="_Toc87061552"/>
      <w:r>
        <w:rPr>
          <w:rStyle w:val="CharSectno"/>
        </w:rPr>
        <w:t>101</w:t>
      </w:r>
      <w:r>
        <w:t>.</w:t>
      </w:r>
      <w:r>
        <w:tab/>
        <w:t>Section 163 inserted</w:t>
      </w:r>
      <w:bookmarkEnd w:id="2818"/>
    </w:p>
    <w:p>
      <w:pPr>
        <w:pStyle w:val="nzSubsection"/>
      </w:pPr>
      <w:r>
        <w:tab/>
      </w:r>
      <w:r>
        <w:tab/>
        <w:t>After section 162 the following section is inserted —</w:t>
      </w:r>
    </w:p>
    <w:p>
      <w:pPr>
        <w:pStyle w:val="MiscOpen"/>
      </w:pPr>
      <w:r>
        <w:t xml:space="preserve">“    </w:t>
      </w:r>
    </w:p>
    <w:p>
      <w:pPr>
        <w:pStyle w:val="nzHeading5"/>
      </w:pPr>
      <w:r>
        <w:t>163.</w:t>
      </w:r>
      <w:r>
        <w:tab/>
        <w:t>Review of Act</w:t>
      </w:r>
    </w:p>
    <w:p>
      <w:pPr>
        <w:pStyle w:val="nz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nzSubsection"/>
      </w:pPr>
      <w:r>
        <w:tab/>
        <w:t>(2)</w:t>
      </w:r>
      <w:r>
        <w:tab/>
        <w:t>The Minister is to prepare a report based on the review and, as soon as is practicable after the report is prepared, is to cause the report to be laid before each House of Parliament.</w:t>
      </w:r>
    </w:p>
    <w:p>
      <w:pPr>
        <w:pStyle w:val="MiscClose"/>
      </w:pPr>
      <w:r>
        <w:t xml:space="preserve">    ”.</w:t>
      </w:r>
    </w:p>
    <w:p>
      <w:pPr>
        <w:pStyle w:val="nzHeading2"/>
        <w:rPr>
          <w:rStyle w:val="CharPartNo"/>
        </w:rPr>
      </w:pPr>
      <w:bookmarkStart w:id="2819" w:name="_Toc68505906"/>
      <w:bookmarkStart w:id="2820" w:name="_Toc68506614"/>
      <w:bookmarkStart w:id="2821" w:name="_Toc68513326"/>
      <w:bookmarkStart w:id="2822" w:name="_Toc68515335"/>
      <w:bookmarkStart w:id="2823" w:name="_Toc68516538"/>
      <w:bookmarkStart w:id="2824" w:name="_Toc68517811"/>
      <w:bookmarkStart w:id="2825" w:name="_Toc68518130"/>
      <w:bookmarkStart w:id="2826" w:name="_Toc68518327"/>
      <w:bookmarkStart w:id="2827" w:name="_Toc68588131"/>
      <w:bookmarkStart w:id="2828" w:name="_Toc68944000"/>
      <w:bookmarkStart w:id="2829" w:name="_Toc68944762"/>
      <w:bookmarkStart w:id="2830" w:name="_Toc68945569"/>
      <w:bookmarkStart w:id="2831" w:name="_Toc68946970"/>
      <w:bookmarkStart w:id="2832" w:name="_Toc68950808"/>
      <w:bookmarkStart w:id="2833" w:name="_Toc69017135"/>
      <w:bookmarkStart w:id="2834" w:name="_Toc69021907"/>
      <w:bookmarkStart w:id="2835" w:name="_Toc69022163"/>
      <w:bookmarkStart w:id="2836" w:name="_Toc69030891"/>
      <w:bookmarkStart w:id="2837" w:name="_Toc69100584"/>
      <w:bookmarkStart w:id="2838" w:name="_Toc69102830"/>
      <w:bookmarkStart w:id="2839" w:name="_Toc69117386"/>
      <w:bookmarkStart w:id="2840" w:name="_Toc69118092"/>
      <w:bookmarkStart w:id="2841" w:name="_Toc69271815"/>
      <w:bookmarkStart w:id="2842" w:name="_Toc69274192"/>
      <w:bookmarkStart w:id="2843" w:name="_Toc69274641"/>
      <w:bookmarkStart w:id="2844" w:name="_Toc69275399"/>
      <w:bookmarkStart w:id="2845" w:name="_Toc69275694"/>
      <w:bookmarkStart w:id="2846" w:name="_Toc69278460"/>
      <w:bookmarkStart w:id="2847" w:name="_Toc69280810"/>
      <w:bookmarkStart w:id="2848" w:name="_Toc69281151"/>
      <w:bookmarkStart w:id="2849" w:name="_Toc69281260"/>
      <w:bookmarkStart w:id="2850" w:name="_Toc69281427"/>
      <w:bookmarkStart w:id="2851" w:name="_Toc70327170"/>
      <w:bookmarkStart w:id="2852" w:name="_Toc70405308"/>
      <w:bookmarkStart w:id="2853" w:name="_Toc70995471"/>
      <w:bookmarkStart w:id="2854" w:name="_Toc71712599"/>
      <w:bookmarkStart w:id="2855" w:name="_Toc71714054"/>
      <w:bookmarkStart w:id="2856" w:name="_Toc71878797"/>
      <w:bookmarkStart w:id="2857" w:name="_Toc71880142"/>
      <w:bookmarkStart w:id="2858" w:name="_Toc71884523"/>
      <w:bookmarkStart w:id="2859" w:name="_Toc71887101"/>
      <w:bookmarkStart w:id="2860" w:name="_Toc71887342"/>
      <w:bookmarkStart w:id="2861" w:name="_Toc71953248"/>
      <w:bookmarkStart w:id="2862" w:name="_Toc71953391"/>
      <w:bookmarkStart w:id="2863" w:name="_Toc71957139"/>
      <w:bookmarkStart w:id="2864" w:name="_Toc71963769"/>
      <w:bookmarkStart w:id="2865" w:name="_Toc71969861"/>
      <w:bookmarkStart w:id="2866" w:name="_Toc71969970"/>
      <w:bookmarkStart w:id="2867" w:name="_Toc71973573"/>
      <w:bookmarkStart w:id="2868" w:name="_Toc71975687"/>
      <w:bookmarkStart w:id="2869" w:name="_Toc71976495"/>
      <w:bookmarkStart w:id="2870" w:name="_Toc72026889"/>
      <w:bookmarkStart w:id="2871" w:name="_Toc72027147"/>
      <w:bookmarkStart w:id="2872" w:name="_Toc72029204"/>
      <w:bookmarkStart w:id="2873" w:name="_Toc72044732"/>
      <w:bookmarkStart w:id="2874" w:name="_Toc72044842"/>
      <w:bookmarkStart w:id="2875" w:name="_Toc72049762"/>
      <w:bookmarkStart w:id="2876" w:name="_Toc72049874"/>
      <w:bookmarkStart w:id="2877" w:name="_Toc72748278"/>
      <w:bookmarkStart w:id="2878" w:name="_Toc72812825"/>
      <w:bookmarkStart w:id="2879" w:name="_Toc72827690"/>
      <w:bookmarkStart w:id="2880" w:name="_Toc73154196"/>
      <w:bookmarkStart w:id="2881" w:name="_Toc73154621"/>
      <w:bookmarkStart w:id="2882" w:name="_Toc73156379"/>
      <w:bookmarkStart w:id="2883" w:name="_Toc73156499"/>
      <w:bookmarkStart w:id="2884" w:name="_Toc73158466"/>
      <w:bookmarkStart w:id="2885" w:name="_Toc73158794"/>
      <w:bookmarkStart w:id="2886" w:name="_Toc73159159"/>
      <w:bookmarkStart w:id="2887" w:name="_Toc73159300"/>
      <w:bookmarkStart w:id="2888" w:name="_Toc73159972"/>
      <w:bookmarkStart w:id="2889" w:name="_Toc73160899"/>
      <w:bookmarkStart w:id="2890" w:name="_Toc73161693"/>
      <w:bookmarkStart w:id="2891" w:name="_Toc73161864"/>
      <w:bookmarkStart w:id="2892" w:name="_Toc73164297"/>
      <w:bookmarkStart w:id="2893" w:name="_Toc73179866"/>
      <w:bookmarkStart w:id="2894" w:name="_Toc73184407"/>
      <w:bookmarkStart w:id="2895" w:name="_Toc73241676"/>
      <w:bookmarkStart w:id="2896" w:name="_Toc73242238"/>
      <w:bookmarkStart w:id="2897" w:name="_Toc73242978"/>
      <w:bookmarkStart w:id="2898" w:name="_Toc73243095"/>
      <w:bookmarkStart w:id="2899" w:name="_Toc73243212"/>
      <w:bookmarkStart w:id="2900" w:name="_Toc73245267"/>
      <w:bookmarkStart w:id="2901" w:name="_Toc73246077"/>
      <w:bookmarkStart w:id="2902" w:name="_Toc73251595"/>
      <w:bookmarkStart w:id="2903" w:name="_Toc73258591"/>
      <w:bookmarkStart w:id="2904" w:name="_Toc73259672"/>
      <w:bookmarkStart w:id="2905" w:name="_Toc73422009"/>
      <w:bookmarkStart w:id="2906" w:name="_Toc73427410"/>
      <w:bookmarkStart w:id="2907" w:name="_Toc73428336"/>
      <w:bookmarkStart w:id="2908" w:name="_Toc73428453"/>
      <w:bookmarkStart w:id="2909" w:name="_Toc73428570"/>
      <w:bookmarkStart w:id="2910" w:name="_Toc73428824"/>
      <w:bookmarkStart w:id="2911" w:name="_Toc73429057"/>
      <w:bookmarkStart w:id="2912" w:name="_Toc73429545"/>
      <w:bookmarkStart w:id="2913" w:name="_Toc73436697"/>
      <w:bookmarkStart w:id="2914" w:name="_Toc73437540"/>
      <w:bookmarkStart w:id="2915" w:name="_Toc81200227"/>
      <w:bookmarkStart w:id="2916" w:name="_Toc81201837"/>
      <w:bookmarkStart w:id="2917" w:name="_Toc81209091"/>
      <w:r>
        <w:rPr>
          <w:rStyle w:val="CharPartNo"/>
        </w:rPr>
        <w:t>Part 12 — Transitional regulations</w:t>
      </w:r>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p>
    <w:p>
      <w:pPr>
        <w:pStyle w:val="nzHeading5"/>
      </w:pPr>
      <w:bookmarkStart w:id="2918" w:name="_Toc87061556"/>
      <w:r>
        <w:rPr>
          <w:rStyle w:val="CharSectno"/>
        </w:rPr>
        <w:t>105</w:t>
      </w:r>
      <w:r>
        <w:t>.</w:t>
      </w:r>
      <w:r>
        <w:tab/>
        <w:t>Further transitional provisions may be made</w:t>
      </w:r>
      <w:bookmarkEnd w:id="2918"/>
    </w:p>
    <w:p>
      <w:pPr>
        <w:pStyle w:val="nzSubsection"/>
      </w:pPr>
      <w:r>
        <w:tab/>
        <w:t>(1)</w:t>
      </w:r>
      <w:r>
        <w:tab/>
        <w:t xml:space="preserve">In this section — </w:t>
      </w:r>
    </w:p>
    <w:p>
      <w:pPr>
        <w:pStyle w:val="nzDefstart"/>
      </w:pPr>
      <w:r>
        <w:rPr>
          <w:b/>
        </w:rPr>
        <w:tab/>
        <w:t>“</w:t>
      </w:r>
      <w:r>
        <w:rPr>
          <w:rStyle w:val="CharDefText"/>
        </w:rPr>
        <w:t>amending provision</w:t>
      </w:r>
      <w:r>
        <w:rPr>
          <w:b/>
        </w:rPr>
        <w:t>”</w:t>
      </w:r>
      <w:r>
        <w:t xml:space="preserve"> means a provision of this Act;</w:t>
      </w:r>
    </w:p>
    <w:p>
      <w:pPr>
        <w:pStyle w:val="nzDefstart"/>
      </w:pPr>
      <w:r>
        <w:rPr>
          <w:b/>
        </w:rPr>
        <w:tab/>
        <w:t>“</w:t>
      </w:r>
      <w:r>
        <w:rPr>
          <w:rStyle w:val="CharDefText"/>
        </w:rPr>
        <w:t>commencement</w:t>
      </w:r>
      <w:r>
        <w:rPr>
          <w:b/>
        </w:rPr>
        <w:t>”</w:t>
      </w:r>
      <w:r>
        <w:t xml:space="preserve"> means the commencement of this section;</w:t>
      </w:r>
    </w:p>
    <w:p>
      <w:pPr>
        <w:pStyle w:val="nzDefstart"/>
      </w:pPr>
      <w:r>
        <w:rPr>
          <w:b/>
        </w:rPr>
        <w:tab/>
        <w:t>“</w:t>
      </w:r>
      <w:r>
        <w:rPr>
          <w:rStyle w:val="CharDefText"/>
        </w:rPr>
        <w:t>specified</w:t>
      </w:r>
      <w:r>
        <w:rPr>
          <w:b/>
        </w:rPr>
        <w:t>”</w:t>
      </w:r>
      <w:r>
        <w:t xml:space="preserve"> means specified or described in the regulations;</w:t>
      </w:r>
    </w:p>
    <w:p>
      <w:pPr>
        <w:pStyle w:val="nzDefstart"/>
      </w:pPr>
      <w:r>
        <w:rPr>
          <w:b/>
        </w:rPr>
        <w:tab/>
        <w:t>“</w:t>
      </w:r>
      <w:r>
        <w:rPr>
          <w:rStyle w:val="CharDefText"/>
        </w:rPr>
        <w:t>transitional matter</w:t>
      </w:r>
      <w:r>
        <w:rPr>
          <w:b/>
        </w:rPr>
        <w:t>”</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pPr>
      <w:r>
        <w:tab/>
        <w:t>(3)</w:t>
      </w:r>
      <w:r>
        <w:tab/>
        <w:t xml:space="preserve">Regulations referred to in subsection (2) may provide that specified provisions of this Act or the </w:t>
      </w:r>
      <w:r>
        <w:rPr>
          <w:i/>
        </w:rPr>
        <w:t>Mining Act 1978</w:t>
      </w:r>
      <w:r>
        <w:t xml:space="preserve">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Regulations referred to in subsection (2) must be made within 12 months after the commencement.</w:t>
      </w:r>
    </w:p>
    <w:p>
      <w:pPr>
        <w:pStyle w:val="nzSubsection"/>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pPr>
      <w:r>
        <w:tab/>
        <w:t>(6)</w:t>
      </w:r>
      <w:r>
        <w:tab/>
        <w:t xml:space="preserve">If regulations contain a provision referred to in subsection (5),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MiscClose"/>
        <w:rPr>
          <w:snapToGrid w:val="0"/>
        </w:rPr>
      </w:pPr>
      <w:r>
        <w:rPr>
          <w:snapToGrid w:val="0"/>
        </w:rPr>
        <w:t>”.</w:t>
      </w:r>
    </w:p>
    <w:p>
      <w:pPr>
        <w:pStyle w:val="nSubsection"/>
      </w:pPr>
      <w:r>
        <w:rPr>
          <w:vertAlign w:val="superscript"/>
        </w:rPr>
        <w:t>20</w:t>
      </w:r>
      <w:r>
        <w:tab/>
        <w:t>Footnote no longer applicable.</w:t>
      </w:r>
    </w:p>
    <w:p>
      <w:pPr>
        <w:pStyle w:val="nSubsection"/>
      </w:pPr>
      <w:r>
        <w:rPr>
          <w:vertAlign w:val="superscript"/>
        </w:rPr>
        <w:t>21</w:t>
      </w:r>
      <w:r>
        <w:tab/>
        <w:t>Footnote no longer applicable.</w:t>
      </w:r>
    </w:p>
    <w:p>
      <w:pPr>
        <w:pStyle w:val="nSubsection"/>
        <w:rPr>
          <w:snapToGrid w:val="0"/>
        </w:rPr>
      </w:pPr>
      <w:r>
        <w:rPr>
          <w:vertAlign w:val="superscript"/>
        </w:rPr>
        <w:t>22</w:t>
      </w:r>
      <w:r>
        <w:tab/>
      </w:r>
      <w:r>
        <w:rPr>
          <w:snapToGrid w:val="0"/>
        </w:rPr>
        <w:t>Footnote no longer applicable.</w:t>
      </w:r>
    </w:p>
    <w:p>
      <w:pPr>
        <w:pStyle w:val="nSubsection"/>
      </w:pPr>
      <w:r>
        <w:rPr>
          <w:vertAlign w:val="superscript"/>
        </w:rPr>
        <w:t>23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MiscClose"/>
      </w:pPr>
    </w:p>
    <w:p>
      <w:pPr>
        <w:pStyle w:val="nSubsection"/>
        <w:rPr>
          <w:snapToGrid w:val="0"/>
        </w:rPr>
      </w:pPr>
      <w:r>
        <w:rPr>
          <w:vertAlign w:val="superscript"/>
        </w:rPr>
        <w:t>24</w:t>
      </w:r>
      <w:r>
        <w:tab/>
      </w:r>
      <w:r>
        <w:rPr>
          <w:snapToGrid w:val="0"/>
        </w:rPr>
        <w:t xml:space="preserve">On the date as at which this compilation was prepared, the </w:t>
      </w:r>
      <w:r>
        <w:rPr>
          <w:i/>
          <w:noProof/>
          <w:snapToGrid w:val="0"/>
        </w:rPr>
        <w:t>Mining Amendment Act 2005</w:t>
      </w:r>
      <w:r>
        <w:rPr>
          <w:snapToGrid w:val="0"/>
        </w:rPr>
        <w:t xml:space="preserve"> had not come into operation.  It reads as follows:</w:t>
      </w:r>
    </w:p>
    <w:p>
      <w:pPr>
        <w:pStyle w:val="MiscOpen"/>
        <w:rPr>
          <w:snapToGrid w:val="0"/>
        </w:rPr>
      </w:pPr>
      <w:r>
        <w:rPr>
          <w:snapToGrid w:val="0"/>
        </w:rPr>
        <w:t>“</w:t>
      </w:r>
    </w:p>
    <w:p>
      <w:pPr>
        <w:pStyle w:val="nzHeading5"/>
      </w:pPr>
      <w:bookmarkStart w:id="2919" w:name="_Toc121208337"/>
      <w:bookmarkStart w:id="2920" w:name="_Toc122327937"/>
      <w:r>
        <w:rPr>
          <w:rStyle w:val="CharSectno"/>
        </w:rPr>
        <w:t>4</w:t>
      </w:r>
      <w:r>
        <w:t>.</w:t>
      </w:r>
      <w:r>
        <w:tab/>
        <w:t>Section 8 amended</w:t>
      </w:r>
      <w:bookmarkEnd w:id="2919"/>
      <w:bookmarkEnd w:id="2920"/>
    </w:p>
    <w:p>
      <w:pPr>
        <w:pStyle w:val="nzSubsection"/>
      </w:pPr>
      <w:r>
        <w:tab/>
      </w:r>
      <w:r>
        <w:tab/>
        <w:t xml:space="preserve">Section 8(1) is amended by inserting in the appropriate alphabetical position — </w:t>
      </w:r>
    </w:p>
    <w:p>
      <w:pPr>
        <w:pStyle w:val="MiscOpen"/>
        <w:ind w:left="880"/>
      </w:pPr>
      <w:r>
        <w:t xml:space="preserve">“    </w:t>
      </w:r>
    </w:p>
    <w:p>
      <w:pPr>
        <w:pStyle w:val="nzDefstart"/>
      </w:pPr>
      <w:r>
        <w:rPr>
          <w:b/>
        </w:rPr>
        <w:tab/>
        <w:t>“</w:t>
      </w:r>
      <w:r>
        <w:rPr>
          <w:rStyle w:val="CharDefText"/>
        </w:rPr>
        <w:t>reversion licence application</w:t>
      </w:r>
      <w:r>
        <w:rPr>
          <w:b/>
        </w:rPr>
        <w:t>”</w:t>
      </w:r>
      <w:r>
        <w:t xml:space="preserve"> means a reversion licence application authorised by an order under section 120AA(2);</w:t>
      </w:r>
    </w:p>
    <w:p>
      <w:pPr>
        <w:pStyle w:val="MiscClose"/>
      </w:pPr>
      <w:r>
        <w:t xml:space="preserve">    ”.</w:t>
      </w:r>
    </w:p>
    <w:p>
      <w:pPr>
        <w:pStyle w:val="nzHeading5"/>
      </w:pPr>
      <w:bookmarkStart w:id="2921" w:name="_Toc121208338"/>
      <w:bookmarkStart w:id="2922" w:name="_Toc122327938"/>
      <w:r>
        <w:rPr>
          <w:rStyle w:val="CharSectno"/>
        </w:rPr>
        <w:t>5</w:t>
      </w:r>
      <w:r>
        <w:t>.</w:t>
      </w:r>
      <w:r>
        <w:tab/>
        <w:t>Section 43 amended</w:t>
      </w:r>
      <w:bookmarkEnd w:id="2921"/>
      <w:bookmarkEnd w:id="2922"/>
    </w:p>
    <w:p>
      <w:pPr>
        <w:pStyle w:val="nzSubsection"/>
      </w:pPr>
      <w:r>
        <w:tab/>
      </w:r>
      <w:r>
        <w:tab/>
        <w:t>Section 43(2) is amended as follows:</w:t>
      </w:r>
    </w:p>
    <w:p>
      <w:pPr>
        <w:pStyle w:val="nzIndenta"/>
      </w:pPr>
      <w:r>
        <w:tab/>
        <w:t>(a)</w:t>
      </w:r>
      <w:r>
        <w:tab/>
        <w:t xml:space="preserve">by inserting after “special prospecting licence” — </w:t>
      </w:r>
    </w:p>
    <w:p>
      <w:pPr>
        <w:pStyle w:val="nzIndenta"/>
      </w:pPr>
      <w:r>
        <w:tab/>
      </w:r>
      <w:r>
        <w:tab/>
        <w:t>“    granted    ”;</w:t>
      </w:r>
    </w:p>
    <w:p>
      <w:pPr>
        <w:pStyle w:val="nzIndenta"/>
      </w:pPr>
      <w:r>
        <w:tab/>
        <w:t>(b)</w:t>
      </w:r>
      <w:r>
        <w:tab/>
        <w:t xml:space="preserve">by inserting after “section 56A” — </w:t>
      </w:r>
    </w:p>
    <w:p>
      <w:pPr>
        <w:pStyle w:val="nzIndenta"/>
      </w:pPr>
      <w:r>
        <w:tab/>
      </w:r>
      <w:r>
        <w:tab/>
        <w:t>“     , 70 or 85B     ”;</w:t>
      </w:r>
    </w:p>
    <w:p>
      <w:pPr>
        <w:pStyle w:val="nzIndenta"/>
      </w:pPr>
      <w:r>
        <w:tab/>
        <w:t>(c)</w:t>
      </w:r>
      <w:r>
        <w:tab/>
        <w:t xml:space="preserve">by inserting after “section 56B” — </w:t>
      </w:r>
    </w:p>
    <w:p>
      <w:pPr>
        <w:pStyle w:val="nzIndenta"/>
      </w:pPr>
      <w:r>
        <w:tab/>
      </w:r>
      <w:r>
        <w:tab/>
        <w:t>“    or a reversion licence application    ”.</w:t>
      </w:r>
    </w:p>
    <w:p>
      <w:pPr>
        <w:pStyle w:val="nzHeading5"/>
      </w:pPr>
      <w:bookmarkStart w:id="2923" w:name="_Toc121208339"/>
      <w:bookmarkStart w:id="2924" w:name="_Toc122327939"/>
      <w:r>
        <w:rPr>
          <w:rStyle w:val="CharSectno"/>
        </w:rPr>
        <w:t>6</w:t>
      </w:r>
      <w:r>
        <w:t>.</w:t>
      </w:r>
      <w:r>
        <w:tab/>
        <w:t>Section 56A amended</w:t>
      </w:r>
      <w:bookmarkEnd w:id="2923"/>
      <w:bookmarkEnd w:id="2924"/>
    </w:p>
    <w:p>
      <w:pPr>
        <w:pStyle w:val="nzSubsection"/>
      </w:pPr>
      <w:r>
        <w:tab/>
        <w:t>(1)</w:t>
      </w:r>
      <w:r>
        <w:tab/>
        <w:t xml:space="preserve">Section 56A(1)(b) is amended by inserting after “case,” — </w:t>
      </w:r>
    </w:p>
    <w:p>
      <w:pPr>
        <w:pStyle w:val="nzSubsection"/>
      </w:pPr>
      <w:r>
        <w:tab/>
      </w:r>
      <w:r>
        <w:tab/>
        <w:t>“    unless subsection (1aa) applies,    ”.</w:t>
      </w:r>
    </w:p>
    <w:p>
      <w:pPr>
        <w:pStyle w:val="nzSubsection"/>
      </w:pPr>
      <w:r>
        <w:tab/>
        <w:t>(2)</w:t>
      </w:r>
      <w:r>
        <w:tab/>
        <w:t xml:space="preserve">After section 56A(1) the following subsection is inserted — </w:t>
      </w:r>
    </w:p>
    <w:p>
      <w:pPr>
        <w:pStyle w:val="MiscOpen"/>
        <w:ind w:left="600"/>
      </w:pPr>
      <w:r>
        <w:t xml:space="preserve">“    </w:t>
      </w:r>
    </w:p>
    <w:p>
      <w:pPr>
        <w:pStyle w:val="nzSubsection"/>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MiscClose"/>
      </w:pPr>
      <w:bookmarkStart w:id="2925" w:name="_Toc98149992"/>
      <w:r>
        <w:t xml:space="preserve">    ”.</w:t>
      </w:r>
    </w:p>
    <w:p>
      <w:pPr>
        <w:pStyle w:val="nzSubsection"/>
      </w:pPr>
      <w:r>
        <w:tab/>
        <w:t>(3)</w:t>
      </w:r>
      <w:r>
        <w:tab/>
        <w:t>Section 56A(12) is amended as follows:</w:t>
      </w:r>
    </w:p>
    <w:p>
      <w:pPr>
        <w:pStyle w:val="nzIndenta"/>
      </w:pPr>
      <w:r>
        <w:tab/>
        <w:t>(a)</w:t>
      </w:r>
      <w:r>
        <w:tab/>
        <w:t>after paragraph (a) by deleting “or”;</w:t>
      </w:r>
    </w:p>
    <w:p>
      <w:pPr>
        <w:pStyle w:val="nzIndenta"/>
      </w:pPr>
      <w:r>
        <w:tab/>
        <w:t>(b)</w:t>
      </w:r>
      <w:r>
        <w:tab/>
        <w:t xml:space="preserve">by deleting “special prospecting licence.” at the end of paragraph (b) and inserting instead — </w:t>
      </w:r>
    </w:p>
    <w:p>
      <w:pPr>
        <w:pStyle w:val="MiscOpen"/>
        <w:ind w:left="1620"/>
      </w:pPr>
      <w:r>
        <w:t xml:space="preserve">“    </w:t>
      </w:r>
    </w:p>
    <w:p>
      <w:pPr>
        <w:pStyle w:val="nzIndenta"/>
        <w:rPr>
          <w:snapToGrid w:val="0"/>
        </w:rPr>
      </w:pPr>
      <w:r>
        <w:tab/>
      </w:r>
      <w:r>
        <w:tab/>
      </w:r>
      <w:r>
        <w:rPr>
          <w:snapToGrid w:val="0"/>
        </w:rPr>
        <w:t>application for a special prospecting licence or the special prospecting licence</w:t>
      </w:r>
      <w:r>
        <w:rPr>
          <w:snapToGrid w:val="0"/>
          <w:color w:val="000000"/>
        </w:rPr>
        <w:t>, as the case requires;</w:t>
      </w:r>
    </w:p>
    <w:p>
      <w:pPr>
        <w:pStyle w:val="nz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nz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MiscClose"/>
      </w:pPr>
      <w:r>
        <w:t xml:space="preserve">    ”.</w:t>
      </w:r>
    </w:p>
    <w:p>
      <w:pPr>
        <w:pStyle w:val="nzHeading5"/>
      </w:pPr>
      <w:bookmarkStart w:id="2926" w:name="_Toc121208340"/>
      <w:bookmarkStart w:id="2927" w:name="_Toc122327940"/>
      <w:bookmarkStart w:id="2928" w:name="_Toc98150266"/>
      <w:r>
        <w:rPr>
          <w:rStyle w:val="CharSectno"/>
        </w:rPr>
        <w:t>7</w:t>
      </w:r>
      <w:r>
        <w:t>.</w:t>
      </w:r>
      <w:r>
        <w:tab/>
        <w:t>Section 57 amended</w:t>
      </w:r>
      <w:bookmarkEnd w:id="2926"/>
      <w:bookmarkEnd w:id="2927"/>
    </w:p>
    <w:p>
      <w:pPr>
        <w:pStyle w:val="nzSubsection"/>
      </w:pPr>
      <w:r>
        <w:tab/>
      </w:r>
      <w:r>
        <w:tab/>
        <w:t xml:space="preserve">After section 57(2e) the following subsection is inserted — </w:t>
      </w:r>
    </w:p>
    <w:p>
      <w:pPr>
        <w:pStyle w:val="MiscOpen"/>
        <w:ind w:left="600"/>
      </w:pPr>
      <w:r>
        <w:t xml:space="preserve">“    </w:t>
      </w:r>
    </w:p>
    <w:p>
      <w:pPr>
        <w:pStyle w:val="nz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MiscClose"/>
      </w:pPr>
      <w:r>
        <w:t xml:space="preserve">    ”.</w:t>
      </w:r>
    </w:p>
    <w:p>
      <w:pPr>
        <w:pStyle w:val="nzHeading5"/>
      </w:pPr>
      <w:bookmarkStart w:id="2929" w:name="_Toc121208341"/>
      <w:bookmarkStart w:id="2930" w:name="_Toc122327941"/>
      <w:r>
        <w:rPr>
          <w:rStyle w:val="CharSectno"/>
        </w:rPr>
        <w:t>8</w:t>
      </w:r>
      <w:r>
        <w:t>.</w:t>
      </w:r>
      <w:r>
        <w:tab/>
        <w:t>Section 63A amended</w:t>
      </w:r>
      <w:bookmarkEnd w:id="2929"/>
      <w:bookmarkEnd w:id="2930"/>
    </w:p>
    <w:p>
      <w:pPr>
        <w:pStyle w:val="nzSubsection"/>
      </w:pPr>
      <w:r>
        <w:tab/>
      </w:r>
      <w:r>
        <w:tab/>
        <w:t>Section 63A(aa) is amended by inserting a comma after “60(1a)”.</w:t>
      </w:r>
    </w:p>
    <w:p>
      <w:pPr>
        <w:pStyle w:val="nzHeading5"/>
      </w:pPr>
      <w:bookmarkStart w:id="2931" w:name="_Toc121208342"/>
      <w:bookmarkStart w:id="2932" w:name="_Toc122327942"/>
      <w:r>
        <w:rPr>
          <w:rStyle w:val="CharSectno"/>
        </w:rPr>
        <w:t>9</w:t>
      </w:r>
      <w:r>
        <w:t>.</w:t>
      </w:r>
      <w:r>
        <w:tab/>
        <w:t>Section 65 amended</w:t>
      </w:r>
      <w:bookmarkEnd w:id="2931"/>
      <w:bookmarkEnd w:id="2932"/>
    </w:p>
    <w:p>
      <w:pPr>
        <w:pStyle w:val="nzSubsection"/>
      </w:pPr>
      <w:r>
        <w:tab/>
      </w:r>
      <w:r>
        <w:tab/>
        <w:t xml:space="preserve">Section 65(1) is amended in paragraph (b) of the definition of “surrender day” by deleting “(3c)” and inserting instead — </w:t>
      </w:r>
    </w:p>
    <w:p>
      <w:pPr>
        <w:pStyle w:val="nzSubsection"/>
      </w:pPr>
      <w:r>
        <w:tab/>
      </w:r>
      <w:r>
        <w:tab/>
        <w:t>“    (3d)    ”.</w:t>
      </w:r>
    </w:p>
    <w:p>
      <w:pPr>
        <w:pStyle w:val="nzHeading5"/>
      </w:pPr>
      <w:bookmarkStart w:id="2933" w:name="_Toc121208343"/>
      <w:bookmarkStart w:id="2934" w:name="_Toc122327943"/>
      <w:r>
        <w:rPr>
          <w:rStyle w:val="CharSectno"/>
        </w:rPr>
        <w:t>10</w:t>
      </w:r>
      <w:r>
        <w:t>.</w:t>
      </w:r>
      <w:r>
        <w:tab/>
        <w:t>Section 70 amended</w:t>
      </w:r>
      <w:bookmarkEnd w:id="2933"/>
      <w:bookmarkEnd w:id="2934"/>
    </w:p>
    <w:p>
      <w:pPr>
        <w:pStyle w:val="nzSubsection"/>
      </w:pPr>
      <w:r>
        <w:tab/>
        <w:t>(1)</w:t>
      </w:r>
      <w:r>
        <w:tab/>
        <w:t xml:space="preserve">Section 70(1)(b) is amended by inserting after “case,” — </w:t>
      </w:r>
    </w:p>
    <w:p>
      <w:pPr>
        <w:pStyle w:val="nzSubsection"/>
      </w:pPr>
      <w:r>
        <w:tab/>
      </w:r>
      <w:r>
        <w:tab/>
        <w:t>“    unless subsection (1aa) applies,    ”.</w:t>
      </w:r>
    </w:p>
    <w:p>
      <w:pPr>
        <w:pStyle w:val="nzSubsection"/>
      </w:pPr>
      <w:r>
        <w:tab/>
        <w:t>(2)</w:t>
      </w:r>
      <w:r>
        <w:tab/>
        <w:t xml:space="preserve">After section 70(1) the following subsection is inserted — </w:t>
      </w:r>
    </w:p>
    <w:p>
      <w:pPr>
        <w:pStyle w:val="MiscOpen"/>
        <w:ind w:left="600"/>
      </w:pPr>
      <w:r>
        <w:t xml:space="preserve">“    </w:t>
      </w:r>
    </w:p>
    <w:p>
      <w:pPr>
        <w:pStyle w:val="nz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MiscClose"/>
      </w:pPr>
      <w:r>
        <w:t xml:space="preserve">    ”.</w:t>
      </w:r>
    </w:p>
    <w:p>
      <w:pPr>
        <w:pStyle w:val="nzSubsection"/>
      </w:pPr>
      <w:r>
        <w:tab/>
        <w:t>(3)</w:t>
      </w:r>
      <w:r>
        <w:tab/>
        <w:t>Section 70(12) is amended as follows:</w:t>
      </w:r>
    </w:p>
    <w:p>
      <w:pPr>
        <w:pStyle w:val="nzIndenta"/>
      </w:pPr>
      <w:r>
        <w:tab/>
        <w:t>(a)</w:t>
      </w:r>
      <w:r>
        <w:tab/>
        <w:t>after paragraph (a) by deleting “or”;</w:t>
      </w:r>
    </w:p>
    <w:p>
      <w:pPr>
        <w:pStyle w:val="nzIndenta"/>
      </w:pPr>
      <w:r>
        <w:tab/>
        <w:t>(b)</w:t>
      </w:r>
      <w:r>
        <w:tab/>
        <w:t xml:space="preserve">by deleting “special prospecting licence.” at the end of paragraph (b) and inserting instead — </w:t>
      </w:r>
    </w:p>
    <w:p>
      <w:pPr>
        <w:pStyle w:val="MiscOpen"/>
        <w:ind w:left="1620"/>
      </w:pPr>
      <w:r>
        <w:t xml:space="preserve">“    </w:t>
      </w:r>
    </w:p>
    <w:p>
      <w:pPr>
        <w:pStyle w:val="nzIndenta"/>
        <w:rPr>
          <w:snapToGrid w:val="0"/>
        </w:rPr>
      </w:pPr>
      <w:r>
        <w:tab/>
      </w:r>
      <w:r>
        <w:tab/>
      </w:r>
      <w:r>
        <w:rPr>
          <w:snapToGrid w:val="0"/>
        </w:rPr>
        <w:t>application for a special prospecting licence or the special prospecting licence</w:t>
      </w:r>
      <w:r>
        <w:rPr>
          <w:snapToGrid w:val="0"/>
          <w:color w:val="000000"/>
        </w:rPr>
        <w:t>, as the case requires; or</w:t>
      </w:r>
    </w:p>
    <w:p>
      <w:pPr>
        <w:pStyle w:val="nz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MiscClose"/>
      </w:pPr>
      <w:r>
        <w:t xml:space="preserve">    ”.</w:t>
      </w:r>
    </w:p>
    <w:p>
      <w:pPr>
        <w:pStyle w:val="nzHeading5"/>
      </w:pPr>
      <w:bookmarkStart w:id="2935" w:name="_Toc121208344"/>
      <w:bookmarkStart w:id="2936" w:name="_Toc122327944"/>
      <w:r>
        <w:rPr>
          <w:rStyle w:val="CharSectno"/>
        </w:rPr>
        <w:t>11</w:t>
      </w:r>
      <w:r>
        <w:t>.</w:t>
      </w:r>
      <w:r>
        <w:tab/>
        <w:t>Section 120AA amended</w:t>
      </w:r>
      <w:bookmarkEnd w:id="2935"/>
      <w:bookmarkEnd w:id="2936"/>
    </w:p>
    <w:p>
      <w:pPr>
        <w:pStyle w:val="nzSubsection"/>
      </w:pPr>
      <w:r>
        <w:tab/>
        <w:t>(1)</w:t>
      </w:r>
      <w:r>
        <w:tab/>
        <w:t>Section 120AA(1) is amended as follows:</w:t>
      </w:r>
    </w:p>
    <w:p>
      <w:pPr>
        <w:pStyle w:val="nzIndenta"/>
      </w:pPr>
      <w:r>
        <w:tab/>
        <w:t>(a)</w:t>
      </w:r>
      <w:r>
        <w:tab/>
        <w:t>by deleting the definitions of “amending Act” and “reversion licence application”;</w:t>
      </w:r>
    </w:p>
    <w:p>
      <w:pPr>
        <w:pStyle w:val="nzIndenta"/>
      </w:pPr>
      <w:r>
        <w:tab/>
        <w:t>(b)</w:t>
      </w:r>
      <w:r>
        <w:tab/>
        <w:t xml:space="preserve">by deleting the definition of “continued licence” and inserting instead — </w:t>
      </w:r>
    </w:p>
    <w:p>
      <w:pPr>
        <w:pStyle w:val="MiscOpen"/>
        <w:ind w:left="880"/>
      </w:pPr>
      <w:r>
        <w:t xml:space="preserve">“    </w:t>
      </w:r>
    </w:p>
    <w:p>
      <w:pPr>
        <w:pStyle w:val="nzDefstart"/>
      </w:pPr>
      <w:r>
        <w:rPr>
          <w:b/>
        </w:rPr>
        <w:tab/>
        <w:t>“</w:t>
      </w:r>
      <w:r>
        <w:rPr>
          <w:rStyle w:val="CharDefText"/>
        </w:rPr>
        <w:t>continuing licence</w:t>
      </w:r>
      <w:r>
        <w:rPr>
          <w:b/>
        </w:rPr>
        <w:t>”</w:t>
      </w:r>
      <w:r>
        <w:t xml:space="preserve"> means a prospecting licence, exploration licence or retention licence that has effect in relation to land to which a reversion licence application applies;</w:t>
      </w:r>
    </w:p>
    <w:p>
      <w:pPr>
        <w:pStyle w:val="MiscClose"/>
      </w:pPr>
      <w:r>
        <w:t xml:space="preserve">    ”;</w:t>
      </w:r>
    </w:p>
    <w:p>
      <w:pPr>
        <w:pStyle w:val="nzIndenta"/>
      </w:pPr>
      <w:r>
        <w:tab/>
        <w:t>(c)</w:t>
      </w:r>
      <w:r>
        <w:tab/>
        <w:t>by deleting the semicolon at the end of the definition of “lease application” and inserting a full stop instead.</w:t>
      </w:r>
    </w:p>
    <w:p>
      <w:pPr>
        <w:pStyle w:val="nzSubsection"/>
      </w:pPr>
      <w:r>
        <w:tab/>
        <w:t>(2)</w:t>
      </w:r>
      <w:r>
        <w:tab/>
        <w:t xml:space="preserve">Section 120AA(2) is amended by deleting “reversion licence applications” and inserting instead — </w:t>
      </w:r>
    </w:p>
    <w:p>
      <w:pPr>
        <w:pStyle w:val="MiscOpen"/>
        <w:ind w:left="880"/>
      </w:pPr>
      <w:r>
        <w:t xml:space="preserve">“    </w:t>
      </w:r>
    </w:p>
    <w:p>
      <w:pPr>
        <w:pStyle w:val="nzSubsection"/>
      </w:pPr>
      <w:r>
        <w:tab/>
      </w:r>
      <w:r>
        <w:tab/>
        <w:t>applications for a prospecting licence or an exploration licence</w:t>
      </w:r>
    </w:p>
    <w:p>
      <w:pPr>
        <w:pStyle w:val="MiscClose"/>
      </w:pPr>
      <w:r>
        <w:t xml:space="preserve">    ”.</w:t>
      </w:r>
    </w:p>
    <w:p>
      <w:pPr>
        <w:pStyle w:val="nzSubsection"/>
      </w:pPr>
      <w:r>
        <w:tab/>
        <w:t>(3)</w:t>
      </w:r>
      <w:r>
        <w:tab/>
        <w:t xml:space="preserve">Section 120AA(3)(b)(ii) is amended by deleting “continued” and inserting instead — </w:t>
      </w:r>
    </w:p>
    <w:p>
      <w:pPr>
        <w:pStyle w:val="nzSubsection"/>
      </w:pPr>
      <w:r>
        <w:tab/>
      </w:r>
      <w:r>
        <w:tab/>
        <w:t>“    continuing    ”.</w:t>
      </w:r>
    </w:p>
    <w:p>
      <w:pPr>
        <w:pStyle w:val="nzSubsection"/>
      </w:pPr>
      <w:r>
        <w:tab/>
        <w:t>(4)</w:t>
      </w:r>
      <w:r>
        <w:tab/>
        <w:t xml:space="preserve">After section 120AA(7) the following subsections are inserted — </w:t>
      </w:r>
    </w:p>
    <w:p>
      <w:pPr>
        <w:pStyle w:val="MiscOpen"/>
        <w:ind w:left="600"/>
      </w:pPr>
      <w:r>
        <w:t xml:space="preserve">“    </w:t>
      </w:r>
    </w:p>
    <w:p>
      <w:pPr>
        <w:pStyle w:val="nzSubsection"/>
      </w:pPr>
      <w:r>
        <w:tab/>
        <w:t>(8)</w:t>
      </w:r>
      <w:r>
        <w:tab/>
        <w:t>An order under subsection (2) has effect despite any other provision of this Act.</w:t>
      </w:r>
    </w:p>
    <w:p>
      <w:pPr>
        <w:pStyle w:val="nzSubsection"/>
      </w:pPr>
      <w:r>
        <w:tab/>
        <w:t>(9)</w:t>
      </w:r>
      <w:r>
        <w:tab/>
        <w:t>Despite sections 18, 23 and 27, a reversion licence application may be made in respect of land that is the subject of a mining tenement if the mining tenement is a continuing licence held by the applicant.</w:t>
      </w:r>
    </w:p>
    <w:p>
      <w:pPr>
        <w:pStyle w:val="nzSubsection"/>
      </w:pPr>
      <w:r>
        <w:tab/>
        <w:t>(10)</w:t>
      </w:r>
      <w:r>
        <w:tab/>
        <w:t xml:space="preserve">Section 40(1)(b) or (c) of the </w:t>
      </w:r>
      <w:r>
        <w:rPr>
          <w:i/>
          <w:iCs/>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MiscClose"/>
        <w:ind w:right="284"/>
      </w:pPr>
      <w:bookmarkStart w:id="2937" w:name="_Toc98151939"/>
      <w:bookmarkStart w:id="2938" w:name="_Toc98152202"/>
      <w:bookmarkStart w:id="2939" w:name="_Toc98217783"/>
      <w:bookmarkStart w:id="2940" w:name="_Toc98222647"/>
      <w:bookmarkStart w:id="2941" w:name="_Toc98563775"/>
      <w:bookmarkStart w:id="2942" w:name="_Toc98643381"/>
      <w:bookmarkStart w:id="2943" w:name="_Toc98643469"/>
      <w:bookmarkStart w:id="2944" w:name="_Toc98643998"/>
      <w:bookmarkStart w:id="2945" w:name="_Toc98644283"/>
      <w:r>
        <w:t xml:space="preserve">    ”.</w:t>
      </w:r>
    </w:p>
    <w:bookmarkEnd w:id="2925"/>
    <w:bookmarkEnd w:id="2928"/>
    <w:bookmarkEnd w:id="2937"/>
    <w:bookmarkEnd w:id="2938"/>
    <w:bookmarkEnd w:id="2939"/>
    <w:bookmarkEnd w:id="2940"/>
    <w:bookmarkEnd w:id="2941"/>
    <w:bookmarkEnd w:id="2942"/>
    <w:bookmarkEnd w:id="2943"/>
    <w:bookmarkEnd w:id="2944"/>
    <w:bookmarkEnd w:id="2945"/>
    <w:p>
      <w:pPr>
        <w:pStyle w:val="MiscClose"/>
        <w:rPr>
          <w:snapToGrid w:val="0"/>
        </w:rPr>
      </w:pPr>
      <w:r>
        <w:rPr>
          <w:snapToGrid w:val="0"/>
        </w:rPr>
        <w:t>”.</w:t>
      </w:r>
    </w:p>
    <w:p>
      <w:pPr>
        <w:pStyle w:val="nSubsection"/>
        <w:rPr>
          <w:snapToGrid w:val="0"/>
        </w:rPr>
      </w:pPr>
      <w:r>
        <w:rPr>
          <w:vertAlign w:val="superscript"/>
        </w:rPr>
        <w:t>25</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iCs/>
          <w:snapToGrid w:val="0"/>
          <w:sz w:val="19"/>
          <w:lang w:val="en-US"/>
        </w:rPr>
        <w:t xml:space="preserve"> s. 15,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2946" w:name="_Toc476631191"/>
      <w:bookmarkStart w:id="2947" w:name="_Toc477066412"/>
      <w:bookmarkStart w:id="2948" w:name="_Toc497301942"/>
      <w:bookmarkStart w:id="2949" w:name="_Toc83657956"/>
      <w:bookmarkStart w:id="2950" w:name="_Toc122243710"/>
      <w:bookmarkStart w:id="2951" w:name="_Toc122425166"/>
      <w:r>
        <w:rPr>
          <w:rStyle w:val="CharSectno"/>
        </w:rPr>
        <w:t>15</w:t>
      </w:r>
      <w:r>
        <w:t>.</w:t>
      </w:r>
      <w:r>
        <w:tab/>
        <w:t>Acts in Schedule 2 amended</w:t>
      </w:r>
      <w:bookmarkEnd w:id="2946"/>
      <w:bookmarkEnd w:id="2947"/>
      <w:bookmarkEnd w:id="2948"/>
      <w:bookmarkEnd w:id="2949"/>
      <w:bookmarkEnd w:id="2950"/>
      <w:bookmarkEnd w:id="2951"/>
    </w:p>
    <w:p>
      <w:pPr>
        <w:pStyle w:val="nzSubsection"/>
      </w:pPr>
      <w:r>
        <w:tab/>
      </w:r>
      <w:r>
        <w:tab/>
        <w:t>The Acts mentioned in Schedule 2 are amended as set out in that Schedule.</w:t>
      </w:r>
    </w:p>
    <w:p>
      <w:pPr>
        <w:pStyle w:val="MiscClose"/>
        <w:rPr>
          <w:snapToGrid w:val="0"/>
        </w:rPr>
      </w:pPr>
      <w:r>
        <w:rPr>
          <w:snapToGrid w:val="0"/>
        </w:rPr>
        <w:t>”.</w:t>
      </w:r>
    </w:p>
    <w:p>
      <w:pPr>
        <w:pStyle w:val="nSubsection"/>
      </w:pPr>
      <w:r>
        <w:tab/>
        <w:t>Schedule 2, cl. 42 reads as follows:</w:t>
      </w:r>
    </w:p>
    <w:p>
      <w:pPr>
        <w:pStyle w:val="MiscOpen"/>
      </w:pPr>
      <w:r>
        <w:t>“</w:t>
      </w:r>
    </w:p>
    <w:p>
      <w:pPr>
        <w:pStyle w:val="nzHeading2"/>
      </w:pPr>
      <w:bookmarkStart w:id="2952" w:name="_Toc122243734"/>
      <w:bookmarkStart w:id="2953" w:name="_Toc122425190"/>
      <w:r>
        <w:rPr>
          <w:rStyle w:val="CharSchNo"/>
        </w:rPr>
        <w:t>Schedule 2</w:t>
      </w:r>
      <w:r>
        <w:rPr>
          <w:rStyle w:val="CharSDivNo"/>
        </w:rPr>
        <w:t> </w:t>
      </w:r>
      <w:r>
        <w:t>—</w:t>
      </w:r>
      <w:r>
        <w:rPr>
          <w:rStyle w:val="CharSDivText"/>
        </w:rPr>
        <w:t> </w:t>
      </w:r>
      <w:r>
        <w:rPr>
          <w:rStyle w:val="CharSchText"/>
        </w:rPr>
        <w:t>Consequential amendments</w:t>
      </w:r>
      <w:bookmarkEnd w:id="2952"/>
      <w:bookmarkEnd w:id="2953"/>
    </w:p>
    <w:p>
      <w:pPr>
        <w:pStyle w:val="nzMiscellaneousBody"/>
        <w:jc w:val="right"/>
      </w:pPr>
      <w:r>
        <w:t>[s.</w:t>
      </w:r>
      <w:bookmarkStart w:id="2954" w:name="_Hlt485012328"/>
      <w:r>
        <w:t> 15</w:t>
      </w:r>
      <w:bookmarkEnd w:id="2954"/>
      <w:r>
        <w:t>]</w:t>
      </w:r>
    </w:p>
    <w:p>
      <w:pPr>
        <w:pStyle w:val="nzHeading5"/>
      </w:pPr>
      <w:bookmarkStart w:id="2955" w:name="_Toc476631242"/>
      <w:bookmarkStart w:id="2956" w:name="_Toc477066462"/>
      <w:bookmarkStart w:id="2957" w:name="_Toc497301990"/>
      <w:bookmarkStart w:id="2958" w:name="_Toc83658052"/>
      <w:bookmarkStart w:id="2959" w:name="_Toc122243776"/>
      <w:bookmarkStart w:id="2960" w:name="_Toc122425232"/>
      <w:r>
        <w:rPr>
          <w:rStyle w:val="CharSClsNo"/>
        </w:rPr>
        <w:t>42</w:t>
      </w:r>
      <w:r>
        <w:t>.</w:t>
      </w:r>
      <w:r>
        <w:tab/>
      </w:r>
      <w:r>
        <w:rPr>
          <w:i/>
        </w:rPr>
        <w:t>Mining Act 1978</w:t>
      </w:r>
      <w:bookmarkEnd w:id="2955"/>
      <w:bookmarkEnd w:id="2956"/>
      <w:bookmarkEnd w:id="2957"/>
      <w:bookmarkEnd w:id="2958"/>
      <w:bookmarkEnd w:id="2959"/>
      <w:bookmarkEnd w:id="2960"/>
    </w:p>
    <w:p>
      <w:pPr>
        <w:pStyle w:val="nzSubsection"/>
      </w:pPr>
      <w:r>
        <w:tab/>
        <w:t>(1)</w:t>
      </w:r>
      <w:r>
        <w:tab/>
        <w:t>Section 120(1) is amended as follows:</w:t>
      </w:r>
    </w:p>
    <w:p>
      <w:pPr>
        <w:pStyle w:val="nzIndenta"/>
      </w:pPr>
      <w:r>
        <w:tab/>
        <w:t>(a)</w:t>
      </w:r>
      <w:r>
        <w:tab/>
        <w:t xml:space="preserve">by deleting “town planning scheme in force under the </w:t>
      </w:r>
      <w:r>
        <w:rPr>
          <w:i/>
        </w:rPr>
        <w:t>Town Planning and Development Act 1928</w:t>
      </w:r>
      <w:r>
        <w:t xml:space="preserve"> or local laws in force under the </w:t>
      </w:r>
      <w:r>
        <w:rPr>
          <w:i/>
        </w:rPr>
        <w:t>Local Government Act 1995</w:t>
      </w:r>
      <w:r>
        <w:t xml:space="preserve">” and inserting instead — </w:t>
      </w:r>
    </w:p>
    <w:p>
      <w:pPr>
        <w:pStyle w:val="MiscOpen"/>
        <w:ind w:left="879"/>
        <w:rPr>
          <w:sz w:val="22"/>
        </w:rPr>
      </w:pPr>
      <w:r>
        <w:rPr>
          <w:sz w:val="22"/>
        </w:rPr>
        <w:t xml:space="preserve">“    </w:t>
      </w:r>
    </w:p>
    <w:p>
      <w:pPr>
        <w:pStyle w:val="nzSubsection"/>
      </w:pPr>
      <w:r>
        <w:rPr>
          <w:sz w:val="22"/>
        </w:rPr>
        <w:tab/>
      </w:r>
      <w:r>
        <w:rPr>
          <w:sz w:val="22"/>
        </w:rPr>
        <w:tab/>
      </w:r>
      <w:r>
        <w:t xml:space="preserve">planning scheme in force under the </w:t>
      </w:r>
      <w:r>
        <w:rPr>
          <w:i/>
        </w:rPr>
        <w:t>Planning and Development Act 2005</w:t>
      </w:r>
    </w:p>
    <w:p>
      <w:pPr>
        <w:pStyle w:val="MiscClose"/>
        <w:rPr>
          <w:sz w:val="22"/>
        </w:rPr>
      </w:pPr>
      <w:r>
        <w:rPr>
          <w:sz w:val="22"/>
        </w:rPr>
        <w:t xml:space="preserve">    ”;</w:t>
      </w:r>
    </w:p>
    <w:p>
      <w:pPr>
        <w:pStyle w:val="nzIndenta"/>
      </w:pPr>
      <w:r>
        <w:tab/>
        <w:t>(b)</w:t>
      </w:r>
      <w:r>
        <w:tab/>
        <w:t>by deleting “or local laws” in the second place where it occurs.</w:t>
      </w:r>
    </w:p>
    <w:p>
      <w:pPr>
        <w:pStyle w:val="nzSubsection"/>
      </w:pPr>
      <w:r>
        <w:tab/>
        <w:t>(2)</w:t>
      </w:r>
      <w:r>
        <w:tab/>
        <w:t>Section 120(2) is amended as follows:</w:t>
      </w:r>
    </w:p>
    <w:p>
      <w:pPr>
        <w:pStyle w:val="nzIndenta"/>
      </w:pPr>
      <w:r>
        <w:tab/>
        <w:t>(a)</w:t>
      </w:r>
      <w:r>
        <w:tab/>
        <w:t xml:space="preserve">by deleting “the </w:t>
      </w:r>
      <w:r>
        <w:rPr>
          <w:i/>
        </w:rPr>
        <w:t>Town Planning and Development Act 1928</w:t>
      </w:r>
      <w:r>
        <w:t xml:space="preserve">” in both places where it occurs and inserting instead — </w:t>
      </w:r>
    </w:p>
    <w:p>
      <w:pPr>
        <w:pStyle w:val="nzIndenta"/>
      </w:pPr>
      <w:r>
        <w:tab/>
      </w:r>
      <w:r>
        <w:tab/>
        <w:t xml:space="preserve">“    the </w:t>
      </w:r>
      <w:r>
        <w:rPr>
          <w:i/>
        </w:rPr>
        <w:t>Planning and Development Act 2005</w:t>
      </w:r>
      <w:r>
        <w:t xml:space="preserve">    ”;</w:t>
      </w:r>
    </w:p>
    <w:p>
      <w:pPr>
        <w:pStyle w:val="nzIndenta"/>
      </w:pPr>
      <w:r>
        <w:tab/>
        <w:t>(b)</w:t>
      </w:r>
      <w:r>
        <w:tab/>
        <w:t xml:space="preserve">in paragraph (b) — </w:t>
      </w:r>
    </w:p>
    <w:p>
      <w:pPr>
        <w:pStyle w:val="nzIndenti"/>
      </w:pPr>
      <w:r>
        <w:tab/>
        <w:t>(i)</w:t>
      </w:r>
      <w:r>
        <w:tab/>
        <w:t xml:space="preserve">by inserting after “local government” — </w:t>
      </w:r>
    </w:p>
    <w:p>
      <w:pPr>
        <w:pStyle w:val="MiscOpen"/>
        <w:ind w:left="1616"/>
        <w:rPr>
          <w:sz w:val="22"/>
        </w:rPr>
      </w:pPr>
      <w:r>
        <w:rPr>
          <w:sz w:val="22"/>
        </w:rPr>
        <w:t xml:space="preserve">“    </w:t>
      </w:r>
    </w:p>
    <w:p>
      <w:pPr>
        <w:pStyle w:val="nzIndenta"/>
      </w:pPr>
      <w:r>
        <w:rPr>
          <w:sz w:val="22"/>
        </w:rPr>
        <w:tab/>
      </w:r>
      <w:r>
        <w:rPr>
          <w:sz w:val="22"/>
        </w:rPr>
        <w:tab/>
      </w:r>
      <w:r>
        <w:t>or the Western Australian Planning Commission</w:t>
      </w:r>
    </w:p>
    <w:p>
      <w:pPr>
        <w:pStyle w:val="MiscClose"/>
        <w:rPr>
          <w:sz w:val="22"/>
        </w:rPr>
      </w:pPr>
      <w:r>
        <w:rPr>
          <w:sz w:val="22"/>
        </w:rPr>
        <w:t xml:space="preserve">    </w:t>
      </w:r>
      <w:r>
        <w:rPr>
          <w:sz w:val="20"/>
        </w:rPr>
        <w:t>”; and</w:t>
      </w:r>
    </w:p>
    <w:p>
      <w:pPr>
        <w:pStyle w:val="nzIndenti"/>
      </w:pPr>
      <w:r>
        <w:tab/>
        <w:t>(ii)</w:t>
      </w:r>
      <w:r>
        <w:tab/>
        <w:t xml:space="preserve">by deleting “town planning scheme or local laws” and inserting instead — </w:t>
      </w:r>
    </w:p>
    <w:p>
      <w:pPr>
        <w:pStyle w:val="nzIndenti"/>
      </w:pPr>
      <w:r>
        <w:tab/>
      </w:r>
      <w:r>
        <w:tab/>
        <w:t>“    planning scheme    ”.</w:t>
      </w:r>
    </w:p>
    <w:p>
      <w:pPr>
        <w:pStyle w:val="MiscClose"/>
        <w:rPr>
          <w:sz w:val="22"/>
        </w:rPr>
      </w:pPr>
      <w:r>
        <w:rPr>
          <w:sz w:val="22"/>
        </w:rPr>
        <w:t xml:space="preserve">    ”;</w:t>
      </w:r>
    </w:p>
    <w:p>
      <w:pPr>
        <w:rPr>
          <w:snapToGrid w:val="0"/>
        </w:rPr>
      </w:pPr>
    </w:p>
    <w:p>
      <w:pPr>
        <w:rPr>
          <w:snapToGrid w:val="0"/>
        </w:r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Pr>
        <w:rPr>
          <w:snapToGrid w:val="0"/>
        </w:rPr>
      </w:pPr>
    </w:p>
    <w:sectPr>
      <w:headerReference w:type="even" r:id="rId34"/>
      <w:headerReference w:type="default" r:id="rId35"/>
      <w:headerReference w:type="first" r:id="rId3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05-m0-02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05-m0-02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05-m0-02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05-m0-02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05-m0-02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05-m0-02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05-m0-02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05-m0-02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05-m0-02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Mining Act 1978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Mining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Mining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Mining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Mining Act 1978</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248391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9A65E7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5C6417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6FC3864"/>
    <w:lvl w:ilvl="0">
      <w:start w:val="1"/>
      <w:numFmt w:val="decimal"/>
      <w:pStyle w:val="ListNumber2"/>
      <w:lvlText w:val="%1."/>
      <w:lvlJc w:val="left"/>
      <w:pPr>
        <w:tabs>
          <w:tab w:val="num" w:pos="720"/>
        </w:tabs>
        <w:ind w:left="720" w:hanging="360"/>
      </w:pPr>
    </w:lvl>
  </w:abstractNum>
  <w:abstractNum w:abstractNumId="4">
    <w:nsid w:val="FFFFFF80"/>
    <w:multiLevelType w:val="singleLevel"/>
    <w:tmpl w:val="5BCE53A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240765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CBE45E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1A4CCF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0AA9D0A"/>
    <w:lvl w:ilvl="0">
      <w:start w:val="1"/>
      <w:numFmt w:val="decimal"/>
      <w:pStyle w:val="ListNumber"/>
      <w:lvlText w:val="%1."/>
      <w:lvlJc w:val="left"/>
      <w:pPr>
        <w:tabs>
          <w:tab w:val="num" w:pos="360"/>
        </w:tabs>
        <w:ind w:left="360" w:hanging="360"/>
      </w:pPr>
    </w:lvl>
  </w:abstractNum>
  <w:abstractNum w:abstractNumId="9">
    <w:nsid w:val="FFFFFF89"/>
    <w:multiLevelType w:val="singleLevel"/>
    <w:tmpl w:val="F510E71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A658FA3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5FACE87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5E4A47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158D56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2"/>
  </w:num>
  <w:num w:numId="14">
    <w:abstractNumId w:val="20"/>
  </w:num>
  <w:num w:numId="15">
    <w:abstractNumId w:val="1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331</Pages>
  <Words>92773</Words>
  <Characters>436038</Characters>
  <Application>Microsoft Office Word</Application>
  <DocSecurity>0</DocSecurity>
  <Lines>11474</Lines>
  <Paragraphs>5811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523000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1978 - 05-m0-02</dc:title>
  <dc:subject/>
  <dc:creator/>
  <cp:keywords/>
  <dc:description/>
  <cp:lastModifiedBy>svcMRProcess</cp:lastModifiedBy>
  <cp:revision>4</cp:revision>
  <cp:lastPrinted>2001-09-17T04:33:00Z</cp:lastPrinted>
  <dcterms:created xsi:type="dcterms:W3CDTF">2020-02-18T14:20:00Z</dcterms:created>
  <dcterms:modified xsi:type="dcterms:W3CDTF">2020-02-18T14:20:00Z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CommencementDate">
    <vt:lpwstr>20051212</vt:lpwstr>
  </property>
  <property fmtid="{D5CDD505-2E9C-101B-9397-08002B2CF9AE}" pid="4" name="DocumentType">
    <vt:lpwstr>Act</vt:lpwstr>
  </property>
  <property fmtid="{D5CDD505-2E9C-101B-9397-08002B2CF9AE}" pid="5" name="OwlsUID">
    <vt:i4>517</vt:i4>
  </property>
  <property fmtid="{D5CDD505-2E9C-101B-9397-08002B2CF9AE}" pid="6" name="AsAtDate">
    <vt:lpwstr>12 Dec 2005</vt:lpwstr>
  </property>
  <property fmtid="{D5CDD505-2E9C-101B-9397-08002B2CF9AE}" pid="7" name="Suffix">
    <vt:lpwstr>05-m0-02</vt:lpwstr>
  </property>
</Properties>
</file>