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Transport Co</w:t>
      </w:r>
      <w:r>
        <w:rPr>
          <w:snapToGrid w:val="0"/>
        </w:rPr>
        <w:noBreakHyphen/>
        <w:t>ordination Act 1966</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February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_Toc221936209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_Toc221936210 \h </w:instrText>
      </w:r>
      <w:r>
        <w:fldChar w:fldCharType="separate"/>
      </w:r>
      <w:r>
        <w:t>1</w:t>
      </w:r>
      <w:r>
        <w:fldChar w:fldCharType="end"/>
      </w:r>
    </w:p>
    <w:p>
      <w:pPr>
        <w:pStyle w:val="TOC8"/>
        <w:rPr>
          <w:sz w:val="24"/>
          <w:szCs w:val="24"/>
        </w:rPr>
      </w:pPr>
      <w:r>
        <w:rPr>
          <w:szCs w:val="24"/>
        </w:rPr>
        <w:t>2A.</w:t>
      </w:r>
      <w:r>
        <w:rPr>
          <w:szCs w:val="24"/>
        </w:rPr>
        <w:tab/>
        <w:t>Terms used</w:t>
      </w:r>
      <w:r>
        <w:tab/>
      </w:r>
      <w:r>
        <w:fldChar w:fldCharType="begin"/>
      </w:r>
      <w:r>
        <w:instrText xml:space="preserve"> PAGEREF _Toc221936211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_Toc221936212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_Toc221936213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_Toc221936214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_Toc221936215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_Toc221936216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_Toc221936217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_Toc221936218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4"/>
        <w:tabs>
          <w:tab w:val="right" w:leader="dot" w:pos="7086"/>
        </w:tabs>
        <w:rPr>
          <w:b w:val="0"/>
          <w:sz w:val="24"/>
          <w:szCs w:val="24"/>
        </w:rPr>
      </w:pPr>
      <w:r>
        <w:rPr>
          <w:szCs w:val="24"/>
        </w:rPr>
        <w:t>Division 1 — Goldfields region</w:t>
      </w:r>
    </w:p>
    <w:p>
      <w:pPr>
        <w:pStyle w:val="TOC8"/>
        <w:rPr>
          <w:sz w:val="24"/>
          <w:szCs w:val="24"/>
        </w:rPr>
      </w:pPr>
      <w:r>
        <w:rPr>
          <w:szCs w:val="22"/>
        </w:rPr>
        <w:tab/>
        <w:t>Brief description</w:t>
      </w:r>
      <w:r>
        <w:tab/>
      </w:r>
      <w:r>
        <w:fldChar w:fldCharType="begin"/>
      </w:r>
      <w:r>
        <w:instrText xml:space="preserve"> PAGEREF _Toc221936221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_Toc221936222 \h </w:instrText>
      </w:r>
      <w:r>
        <w:fldChar w:fldCharType="separate"/>
      </w:r>
      <w:r>
        <w:t>5</w:t>
      </w:r>
      <w:r>
        <w:fldChar w:fldCharType="end"/>
      </w:r>
    </w:p>
    <w:p>
      <w:pPr>
        <w:pStyle w:val="TOC4"/>
        <w:tabs>
          <w:tab w:val="right" w:leader="dot" w:pos="7086"/>
        </w:tabs>
        <w:rPr>
          <w:b w:val="0"/>
          <w:sz w:val="24"/>
          <w:szCs w:val="24"/>
        </w:rPr>
      </w:pPr>
      <w:r>
        <w:rPr>
          <w:szCs w:val="24"/>
        </w:rPr>
        <w:t>Division 2</w:t>
      </w:r>
      <w:r>
        <w:rPr>
          <w:b w:val="0"/>
          <w:szCs w:val="24"/>
        </w:rPr>
        <w:t> — </w:t>
      </w:r>
      <w:r>
        <w:rPr>
          <w:szCs w:val="24"/>
        </w:rPr>
        <w:t>Kalbarri region</w:t>
      </w:r>
    </w:p>
    <w:p>
      <w:pPr>
        <w:pStyle w:val="TOC8"/>
        <w:rPr>
          <w:sz w:val="24"/>
          <w:szCs w:val="24"/>
        </w:rPr>
      </w:pPr>
      <w:r>
        <w:rPr>
          <w:szCs w:val="22"/>
        </w:rPr>
        <w:tab/>
        <w:t>Brief description</w:t>
      </w:r>
      <w:r>
        <w:tab/>
      </w:r>
      <w:r>
        <w:fldChar w:fldCharType="begin"/>
      </w:r>
      <w:r>
        <w:instrText xml:space="preserve"> PAGEREF _Toc221936224 \h </w:instrText>
      </w:r>
      <w:r>
        <w:fldChar w:fldCharType="separate"/>
      </w:r>
      <w:r>
        <w:t>7</w:t>
      </w:r>
      <w:r>
        <w:fldChar w:fldCharType="end"/>
      </w:r>
    </w:p>
    <w:p>
      <w:pPr>
        <w:pStyle w:val="TOC8"/>
        <w:rPr>
          <w:sz w:val="24"/>
          <w:szCs w:val="24"/>
        </w:rPr>
      </w:pPr>
      <w:r>
        <w:rPr>
          <w:szCs w:val="22"/>
        </w:rPr>
        <w:tab/>
        <w:t>Town</w:t>
      </w:r>
      <w:r>
        <w:tab/>
      </w:r>
      <w:r>
        <w:fldChar w:fldCharType="begin"/>
      </w:r>
      <w:r>
        <w:instrText xml:space="preserve"> PAGEREF _Toc221936225 \h </w:instrText>
      </w:r>
      <w:r>
        <w:fldChar w:fldCharType="separate"/>
      </w:r>
      <w:r>
        <w:t>7</w:t>
      </w:r>
      <w:r>
        <w:fldChar w:fldCharType="end"/>
      </w:r>
    </w:p>
    <w:p>
      <w:pPr>
        <w:pStyle w:val="TOC4"/>
        <w:tabs>
          <w:tab w:val="right" w:leader="dot" w:pos="7086"/>
        </w:tabs>
        <w:rPr>
          <w:b w:val="0"/>
          <w:sz w:val="24"/>
          <w:szCs w:val="24"/>
        </w:rPr>
      </w:pPr>
      <w:r>
        <w:rPr>
          <w:szCs w:val="24"/>
        </w:rPr>
        <w:t>Division 3</w:t>
      </w:r>
      <w:r>
        <w:rPr>
          <w:b w:val="0"/>
          <w:szCs w:val="24"/>
        </w:rPr>
        <w:t> — </w:t>
      </w:r>
      <w:r>
        <w:rPr>
          <w:szCs w:val="24"/>
        </w:rPr>
        <w:t>Kimberley region</w:t>
      </w:r>
    </w:p>
    <w:p>
      <w:pPr>
        <w:pStyle w:val="TOC8"/>
        <w:rPr>
          <w:sz w:val="24"/>
          <w:szCs w:val="24"/>
        </w:rPr>
      </w:pPr>
      <w:r>
        <w:rPr>
          <w:szCs w:val="22"/>
        </w:rPr>
        <w:tab/>
        <w:t>Brief description</w:t>
      </w:r>
      <w:r>
        <w:tab/>
      </w:r>
      <w:r>
        <w:fldChar w:fldCharType="begin"/>
      </w:r>
      <w:r>
        <w:instrText xml:space="preserve"> PAGEREF _Toc221936227 \h </w:instrText>
      </w:r>
      <w:r>
        <w:fldChar w:fldCharType="separate"/>
      </w:r>
      <w:r>
        <w:t>9</w:t>
      </w:r>
      <w:r>
        <w:fldChar w:fldCharType="end"/>
      </w:r>
    </w:p>
    <w:p>
      <w:pPr>
        <w:pStyle w:val="TOC8"/>
        <w:rPr>
          <w:sz w:val="24"/>
          <w:szCs w:val="24"/>
        </w:rPr>
      </w:pPr>
      <w:r>
        <w:rPr>
          <w:szCs w:val="22"/>
        </w:rPr>
        <w:tab/>
        <w:t>Major towns</w:t>
      </w:r>
      <w:r>
        <w:tab/>
      </w:r>
      <w:r>
        <w:fldChar w:fldCharType="begin"/>
      </w:r>
      <w:r>
        <w:instrText xml:space="preserve"> PAGEREF _Toc221936228 \h </w:instrText>
      </w:r>
      <w:r>
        <w:fldChar w:fldCharType="separate"/>
      </w:r>
      <w:r>
        <w:t>9</w:t>
      </w:r>
      <w:r>
        <w:fldChar w:fldCharType="end"/>
      </w:r>
    </w:p>
    <w:p>
      <w:pPr>
        <w:pStyle w:val="TOC4"/>
        <w:tabs>
          <w:tab w:val="right" w:leader="dot" w:pos="7086"/>
        </w:tabs>
        <w:rPr>
          <w:b w:val="0"/>
          <w:sz w:val="24"/>
          <w:szCs w:val="24"/>
        </w:rPr>
      </w:pPr>
      <w:r>
        <w:rPr>
          <w:szCs w:val="24"/>
        </w:rPr>
        <w:t>Division 4</w:t>
      </w:r>
      <w:r>
        <w:rPr>
          <w:b w:val="0"/>
          <w:szCs w:val="24"/>
        </w:rPr>
        <w:t> — </w:t>
      </w:r>
      <w:r>
        <w:rPr>
          <w:szCs w:val="24"/>
        </w:rPr>
        <w:t>Mid</w:t>
      </w:r>
      <w:r>
        <w:rPr>
          <w:szCs w:val="24"/>
        </w:rPr>
        <w:noBreakHyphen/>
        <w:t>west region</w:t>
      </w:r>
    </w:p>
    <w:p>
      <w:pPr>
        <w:pStyle w:val="TOC8"/>
        <w:rPr>
          <w:sz w:val="24"/>
          <w:szCs w:val="24"/>
        </w:rPr>
      </w:pPr>
      <w:r>
        <w:rPr>
          <w:szCs w:val="22"/>
        </w:rPr>
        <w:tab/>
        <w:t>Brief description</w:t>
      </w:r>
      <w:r>
        <w:tab/>
      </w:r>
      <w:r>
        <w:fldChar w:fldCharType="begin"/>
      </w:r>
      <w:r>
        <w:instrText xml:space="preserve"> PAGEREF _Toc221936230 \h </w:instrText>
      </w:r>
      <w:r>
        <w:fldChar w:fldCharType="separate"/>
      </w:r>
      <w:r>
        <w:t>11</w:t>
      </w:r>
      <w:r>
        <w:fldChar w:fldCharType="end"/>
      </w:r>
    </w:p>
    <w:p>
      <w:pPr>
        <w:pStyle w:val="TOC8"/>
        <w:rPr>
          <w:sz w:val="24"/>
          <w:szCs w:val="24"/>
        </w:rPr>
      </w:pPr>
      <w:r>
        <w:rPr>
          <w:szCs w:val="22"/>
        </w:rPr>
        <w:tab/>
        <w:t>Major towns/cities</w:t>
      </w:r>
      <w:r>
        <w:tab/>
      </w:r>
      <w:r>
        <w:fldChar w:fldCharType="begin"/>
      </w:r>
      <w:r>
        <w:instrText xml:space="preserve"> PAGEREF _Toc221936231 \h </w:instrText>
      </w:r>
      <w:r>
        <w:fldChar w:fldCharType="separate"/>
      </w:r>
      <w:r>
        <w:t>11</w:t>
      </w:r>
      <w:r>
        <w:fldChar w:fldCharType="end"/>
      </w:r>
    </w:p>
    <w:p>
      <w:pPr>
        <w:pStyle w:val="TOC4"/>
        <w:tabs>
          <w:tab w:val="right" w:leader="dot" w:pos="7086"/>
        </w:tabs>
        <w:rPr>
          <w:b w:val="0"/>
          <w:sz w:val="24"/>
          <w:szCs w:val="24"/>
        </w:rPr>
      </w:pPr>
      <w:r>
        <w:rPr>
          <w:szCs w:val="24"/>
        </w:rPr>
        <w:t>Division 5</w:t>
      </w:r>
      <w:r>
        <w:rPr>
          <w:b w:val="0"/>
          <w:szCs w:val="24"/>
        </w:rPr>
        <w:t> — </w:t>
      </w:r>
      <w:r>
        <w:rPr>
          <w:szCs w:val="24"/>
        </w:rPr>
        <w:t>Pilbara region</w:t>
      </w:r>
    </w:p>
    <w:p>
      <w:pPr>
        <w:pStyle w:val="TOC8"/>
        <w:rPr>
          <w:sz w:val="24"/>
          <w:szCs w:val="24"/>
        </w:rPr>
      </w:pPr>
      <w:r>
        <w:rPr>
          <w:szCs w:val="22"/>
        </w:rPr>
        <w:tab/>
        <w:t>Brief description</w:t>
      </w:r>
      <w:r>
        <w:tab/>
      </w:r>
      <w:r>
        <w:fldChar w:fldCharType="begin"/>
      </w:r>
      <w:r>
        <w:instrText xml:space="preserve"> PAGEREF _Toc221936233 \h </w:instrText>
      </w:r>
      <w:r>
        <w:fldChar w:fldCharType="separate"/>
      </w:r>
      <w:r>
        <w:t>13</w:t>
      </w:r>
      <w:r>
        <w:fldChar w:fldCharType="end"/>
      </w:r>
    </w:p>
    <w:p>
      <w:pPr>
        <w:pStyle w:val="TOC8"/>
        <w:rPr>
          <w:sz w:val="24"/>
          <w:szCs w:val="24"/>
        </w:rPr>
      </w:pPr>
      <w:r>
        <w:rPr>
          <w:szCs w:val="22"/>
        </w:rPr>
        <w:tab/>
        <w:t>Major towns</w:t>
      </w:r>
      <w:r>
        <w:tab/>
      </w:r>
      <w:r>
        <w:fldChar w:fldCharType="begin"/>
      </w:r>
      <w:r>
        <w:instrText xml:space="preserve"> PAGEREF _Toc221936234 \h </w:instrText>
      </w:r>
      <w:r>
        <w:fldChar w:fldCharType="separate"/>
      </w:r>
      <w:r>
        <w:t>13</w:t>
      </w:r>
      <w:r>
        <w:fldChar w:fldCharType="end"/>
      </w:r>
    </w:p>
    <w:p>
      <w:pPr>
        <w:pStyle w:val="TOC4"/>
        <w:tabs>
          <w:tab w:val="right" w:leader="dot" w:pos="7086"/>
        </w:tabs>
        <w:rPr>
          <w:b w:val="0"/>
          <w:sz w:val="24"/>
          <w:szCs w:val="24"/>
        </w:rPr>
      </w:pPr>
      <w:r>
        <w:rPr>
          <w:szCs w:val="24"/>
        </w:rPr>
        <w:t>Division 6</w:t>
      </w:r>
      <w:r>
        <w:rPr>
          <w:b w:val="0"/>
          <w:szCs w:val="24"/>
        </w:rPr>
        <w:t> — </w:t>
      </w:r>
      <w:r>
        <w:rPr>
          <w:szCs w:val="24"/>
        </w:rPr>
        <w:t>South</w:t>
      </w:r>
      <w:r>
        <w:rPr>
          <w:szCs w:val="24"/>
        </w:rPr>
        <w:noBreakHyphen/>
        <w:t>west region</w:t>
      </w:r>
    </w:p>
    <w:p>
      <w:pPr>
        <w:pStyle w:val="TOC8"/>
        <w:rPr>
          <w:sz w:val="24"/>
          <w:szCs w:val="24"/>
        </w:rPr>
      </w:pPr>
      <w:r>
        <w:rPr>
          <w:szCs w:val="22"/>
        </w:rPr>
        <w:tab/>
        <w:t>Brief description</w:t>
      </w:r>
      <w:r>
        <w:tab/>
      </w:r>
      <w:r>
        <w:fldChar w:fldCharType="begin"/>
      </w:r>
      <w:r>
        <w:instrText xml:space="preserve"> PAGEREF _Toc221936236 \h </w:instrText>
      </w:r>
      <w:r>
        <w:fldChar w:fldCharType="separate"/>
      </w:r>
      <w:r>
        <w:t>15</w:t>
      </w:r>
      <w:r>
        <w:fldChar w:fldCharType="end"/>
      </w:r>
    </w:p>
    <w:p>
      <w:pPr>
        <w:pStyle w:val="TOC8"/>
        <w:rPr>
          <w:sz w:val="24"/>
          <w:szCs w:val="24"/>
        </w:rPr>
      </w:pPr>
      <w:r>
        <w:rPr>
          <w:szCs w:val="22"/>
        </w:rPr>
        <w:tab/>
        <w:t>Major towns/cities</w:t>
      </w:r>
      <w:r>
        <w:tab/>
      </w:r>
      <w:r>
        <w:fldChar w:fldCharType="begin"/>
      </w:r>
      <w:r>
        <w:instrText xml:space="preserve"> PAGEREF _Toc221936237 \h </w:instrText>
      </w:r>
      <w:r>
        <w:fldChar w:fldCharType="separate"/>
      </w:r>
      <w:r>
        <w:t>16</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_Toc221936241 \h </w:instrText>
      </w:r>
      <w:r>
        <w:fldChar w:fldCharType="separate"/>
      </w:r>
      <w:r>
        <w:t>24</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February 2009</w:t>
            </w:r>
          </w:p>
        </w:tc>
      </w:tr>
    </w:tbl>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221936209"/>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221936210"/>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221936211"/>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221936212"/>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221936213"/>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221936214"/>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221936215"/>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221936216"/>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221936217"/>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221936218"/>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pPr>
      <w:r>
        <w:t>[</w:t>
      </w:r>
      <w:r>
        <w:rPr>
          <w:b/>
          <w:bCs/>
        </w:rPr>
        <w:t>8.</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140635263"/>
      <w:bookmarkStart w:id="72"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p>
    <w:p>
      <w:pPr>
        <w:pStyle w:val="yShoulderClause"/>
      </w:pPr>
      <w:r>
        <w:t>[r. 3]</w:t>
      </w:r>
    </w:p>
    <w:p>
      <w:pPr>
        <w:pStyle w:val="yFootnoteheading"/>
      </w:pPr>
      <w:r>
        <w:tab/>
        <w:t>[Heading inserted in Gazette 21 Dec 2007 p. 6330.]</w:t>
      </w:r>
    </w:p>
    <w:p>
      <w:pPr>
        <w:pStyle w:val="yHeading3"/>
      </w:pPr>
      <w:bookmarkStart w:id="73" w:name="_Toc185925028"/>
      <w:bookmarkStart w:id="74" w:name="_Toc205264001"/>
      <w:bookmarkStart w:id="75" w:name="_Toc205268130"/>
      <w:bookmarkStart w:id="76" w:name="_Toc217356680"/>
      <w:bookmarkStart w:id="77" w:name="_Toc219092323"/>
      <w:bookmarkStart w:id="78" w:name="_Toc219092988"/>
      <w:bookmarkStart w:id="79" w:name="_Toc221421977"/>
      <w:bookmarkStart w:id="80" w:name="_Toc221443519"/>
      <w:bookmarkStart w:id="81" w:name="_Toc221936220"/>
      <w:r>
        <w:rPr>
          <w:rStyle w:val="CharSDivNo"/>
        </w:rPr>
        <w:t>Division 1</w:t>
      </w:r>
      <w:r>
        <w:t> — </w:t>
      </w:r>
      <w:r>
        <w:rPr>
          <w:rStyle w:val="CharSDivText"/>
        </w:rPr>
        <w:t>Goldfields region</w:t>
      </w:r>
      <w:bookmarkEnd w:id="73"/>
      <w:bookmarkEnd w:id="74"/>
      <w:bookmarkEnd w:id="75"/>
      <w:bookmarkEnd w:id="76"/>
      <w:bookmarkEnd w:id="77"/>
      <w:bookmarkEnd w:id="78"/>
      <w:bookmarkEnd w:id="79"/>
      <w:bookmarkEnd w:id="80"/>
      <w:bookmarkEnd w:id="81"/>
    </w:p>
    <w:p>
      <w:pPr>
        <w:pStyle w:val="yFootnoteheading"/>
      </w:pPr>
      <w:r>
        <w:tab/>
        <w:t>[Heading inserted in Gazette 21 Dec 2007 p. 6330.]</w:t>
      </w:r>
    </w:p>
    <w:p>
      <w:pPr>
        <w:pStyle w:val="yHeading5"/>
      </w:pPr>
      <w:bookmarkStart w:id="82" w:name="_Toc221936221"/>
      <w:bookmarkStart w:id="83" w:name="_Toc185925029"/>
      <w:r>
        <w:tab/>
        <w:t>Brief description</w:t>
      </w:r>
      <w:bookmarkEnd w:id="82"/>
    </w:p>
    <w:bookmarkEnd w:id="83"/>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84" w:name="_Toc185925030"/>
      <w:bookmarkStart w:id="85" w:name="_Toc221936222"/>
      <w:r>
        <w:tab/>
        <w:t>Major towns</w:t>
      </w:r>
      <w:bookmarkEnd w:id="84"/>
      <w:bookmarkEnd w:id="85"/>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spacing w:before="240" w:after="80"/>
        <w:rPr>
          <w:b/>
          <w:bCs/>
        </w:rPr>
      </w:pPr>
      <w:r>
        <w:rPr>
          <w:b/>
          <w:bCs/>
        </w:rPr>
        <w:t>Metered rates</w:t>
      </w:r>
    </w:p>
    <w:tbl>
      <w:tblPr>
        <w:tblW w:w="6237" w:type="dxa"/>
        <w:tblInd w:w="817" w:type="dxa"/>
        <w:tblLayout w:type="fixed"/>
        <w:tblLook w:val="0000" w:firstRow="0" w:lastRow="0" w:firstColumn="0" w:lastColumn="0" w:noHBand="0" w:noVBand="0"/>
      </w:tblPr>
      <w:tblGrid>
        <w:gridCol w:w="2126"/>
        <w:gridCol w:w="1365"/>
        <w:gridCol w:w="1320"/>
        <w:gridCol w:w="1426"/>
      </w:tblGrid>
      <w:tr>
        <w:trPr>
          <w:tblHeader/>
        </w:trPr>
        <w:tc>
          <w:tcPr>
            <w:tcW w:w="2126" w:type="dxa"/>
            <w:tcBorders>
              <w:top w:val="single" w:sz="4" w:space="0" w:color="auto"/>
              <w:bottom w:val="single" w:sz="4" w:space="0" w:color="auto"/>
              <w:right w:val="single" w:sz="4" w:space="0" w:color="auto"/>
            </w:tcBorders>
          </w:tcPr>
          <w:p>
            <w:pPr>
              <w:pStyle w:val="zytable"/>
              <w:keepNext/>
              <w:keepLines/>
              <w:ind w:left="0" w:right="34"/>
              <w:rPr>
                <w:b/>
                <w:bCs/>
                <w:sz w:val="20"/>
              </w:rPr>
            </w:pPr>
          </w:p>
        </w:tc>
        <w:tc>
          <w:tcPr>
            <w:tcW w:w="1365" w:type="dxa"/>
            <w:tcBorders>
              <w:top w:val="single" w:sz="4" w:space="0" w:color="auto"/>
              <w:left w:val="nil"/>
              <w:bottom w:val="single" w:sz="4" w:space="0" w:color="auto"/>
            </w:tcBorders>
          </w:tcPr>
          <w:p>
            <w:pPr>
              <w:pStyle w:val="yTable"/>
            </w:pPr>
            <w:r>
              <w:rPr>
                <w:b/>
                <w:bCs/>
                <w:sz w:val="20"/>
              </w:rPr>
              <w:t>Flagfall</w:t>
            </w:r>
          </w:p>
        </w:tc>
        <w:tc>
          <w:tcPr>
            <w:tcW w:w="1320" w:type="dxa"/>
            <w:tcBorders>
              <w:top w:val="single" w:sz="4" w:space="0" w:color="auto"/>
              <w:bottom w:val="single" w:sz="4" w:space="0" w:color="auto"/>
            </w:tcBorders>
          </w:tcPr>
          <w:p>
            <w:pPr>
              <w:pStyle w:val="yTable"/>
            </w:pPr>
            <w:r>
              <w:rPr>
                <w:b/>
                <w:bCs/>
                <w:sz w:val="20"/>
              </w:rPr>
              <w:t xml:space="preserve">Distance rate </w:t>
            </w:r>
          </w:p>
        </w:tc>
        <w:tc>
          <w:tcPr>
            <w:tcW w:w="1426" w:type="dxa"/>
            <w:tcBorders>
              <w:top w:val="single" w:sz="4" w:space="0" w:color="auto"/>
              <w:bottom w:val="single" w:sz="4" w:space="0" w:color="auto"/>
            </w:tcBorders>
          </w:tcPr>
          <w:p>
            <w:pPr>
              <w:pStyle w:val="yTable"/>
            </w:pPr>
            <w:r>
              <w:rPr>
                <w:b/>
                <w:bCs/>
                <w:sz w:val="20"/>
              </w:rPr>
              <w:t xml:space="preserve">Detention </w:t>
            </w:r>
          </w:p>
        </w:tc>
      </w:tr>
      <w:tr>
        <w:tc>
          <w:tcPr>
            <w:tcW w:w="2126" w:type="dxa"/>
            <w:tcBorders>
              <w:top w:val="single" w:sz="4" w:space="0" w:color="auto"/>
              <w:bottom w:val="single" w:sz="4" w:space="0" w:color="auto"/>
              <w:right w:val="single" w:sz="4" w:space="0" w:color="auto"/>
            </w:tcBorders>
          </w:tcPr>
          <w:p>
            <w:pPr>
              <w:pStyle w:val="yTable"/>
              <w:tabs>
                <w:tab w:val="left" w:pos="263"/>
              </w:tabs>
              <w:ind w:left="263" w:hanging="263"/>
            </w:pPr>
            <w:r>
              <w:rPr>
                <w:b/>
                <w:bCs/>
              </w:rPr>
              <w:t>Tariff 1</w:t>
            </w:r>
          </w:p>
          <w:p>
            <w:pPr>
              <w:pStyle w:val="yTable"/>
              <w:tabs>
                <w:tab w:val="left" w:pos="263"/>
              </w:tabs>
              <w:ind w:left="263" w:hanging="263"/>
            </w:pPr>
            <w:r>
              <w:tab/>
              <w:t>Monday to Friday 6 a.m. to 6 p.m.</w:t>
            </w:r>
          </w:p>
        </w:tc>
        <w:tc>
          <w:tcPr>
            <w:tcW w:w="1365" w:type="dxa"/>
            <w:tcBorders>
              <w:top w:val="single" w:sz="4" w:space="0" w:color="auto"/>
              <w:left w:val="nil"/>
              <w:bottom w:val="single" w:sz="4" w:space="0" w:color="auto"/>
            </w:tcBorders>
          </w:tcPr>
          <w:p>
            <w:pPr>
              <w:pStyle w:val="yTable"/>
            </w:pPr>
          </w:p>
          <w:p>
            <w:pPr>
              <w:pStyle w:val="yTable"/>
            </w:pPr>
            <w:r>
              <w:br/>
              <w:t>$3.60</w:t>
            </w:r>
          </w:p>
        </w:tc>
        <w:tc>
          <w:tcPr>
            <w:tcW w:w="1320" w:type="dxa"/>
            <w:tcBorders>
              <w:top w:val="single" w:sz="4" w:space="0" w:color="auto"/>
              <w:bottom w:val="single" w:sz="4" w:space="0" w:color="auto"/>
            </w:tcBorders>
          </w:tcPr>
          <w:p>
            <w:pPr>
              <w:pStyle w:val="yTable"/>
            </w:pPr>
          </w:p>
          <w:p>
            <w:pPr>
              <w:pStyle w:val="yTable"/>
            </w:pPr>
            <w:r>
              <w:br/>
              <w:t>$1.51/km</w:t>
            </w:r>
          </w:p>
        </w:tc>
        <w:tc>
          <w:tcPr>
            <w:tcW w:w="1426" w:type="dxa"/>
            <w:tcBorders>
              <w:top w:val="single" w:sz="4" w:space="0" w:color="auto"/>
              <w:bottom w:val="single" w:sz="4" w:space="0" w:color="auto"/>
            </w:tcBorders>
          </w:tcPr>
          <w:p>
            <w:pPr>
              <w:pStyle w:val="yTable"/>
            </w:pPr>
          </w:p>
          <w:p>
            <w:pPr>
              <w:pStyle w:val="yTable"/>
            </w:pPr>
            <w:r>
              <w:br/>
              <w:t>$42.15/hour</w:t>
            </w:r>
          </w:p>
        </w:tc>
      </w:tr>
      <w:tr>
        <w:trPr>
          <w:cantSplit/>
        </w:trPr>
        <w:tc>
          <w:tcPr>
            <w:tcW w:w="2126" w:type="dxa"/>
            <w:tcBorders>
              <w:top w:val="single" w:sz="4" w:space="0" w:color="auto"/>
              <w:right w:val="single" w:sz="4" w:space="0" w:color="auto"/>
            </w:tcBorders>
          </w:tcPr>
          <w:p>
            <w:pPr>
              <w:pStyle w:val="yTable"/>
              <w:tabs>
                <w:tab w:val="left" w:pos="263"/>
              </w:tabs>
              <w:ind w:left="263" w:hanging="263"/>
            </w:pPr>
            <w:r>
              <w:rPr>
                <w:b/>
                <w:bCs/>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365" w:type="dxa"/>
            <w:tcBorders>
              <w:top w:val="single" w:sz="4" w:space="0" w:color="auto"/>
              <w:left w:val="nil"/>
            </w:tcBorders>
          </w:tcPr>
          <w:p>
            <w:pPr>
              <w:pStyle w:val="yTable"/>
            </w:pPr>
          </w:p>
          <w:p>
            <w:pPr>
              <w:pStyle w:val="yTable"/>
            </w:pPr>
            <w:r>
              <w:br/>
            </w:r>
          </w:p>
          <w:p>
            <w:pPr>
              <w:pStyle w:val="yTable"/>
            </w:pPr>
            <w:r>
              <w:br/>
            </w:r>
            <w:r>
              <w:br/>
            </w:r>
          </w:p>
          <w:p>
            <w:pPr>
              <w:pStyle w:val="yTable"/>
            </w:pPr>
            <w:r>
              <w:t>$5.20</w:t>
            </w:r>
          </w:p>
        </w:tc>
        <w:tc>
          <w:tcPr>
            <w:tcW w:w="1320" w:type="dxa"/>
            <w:tcBorders>
              <w:top w:val="single" w:sz="4" w:space="0" w:color="auto"/>
            </w:tcBorders>
          </w:tcPr>
          <w:p>
            <w:pPr>
              <w:pStyle w:val="yTable"/>
            </w:pPr>
          </w:p>
          <w:p>
            <w:pPr>
              <w:pStyle w:val="yTable"/>
            </w:pPr>
            <w:r>
              <w:br/>
            </w:r>
          </w:p>
          <w:p>
            <w:pPr>
              <w:pStyle w:val="yTable"/>
            </w:pPr>
            <w:r>
              <w:br/>
            </w:r>
            <w:r>
              <w:br/>
            </w:r>
          </w:p>
          <w:p>
            <w:pPr>
              <w:pStyle w:val="yTable"/>
            </w:pPr>
            <w:r>
              <w:t>$1.51/km</w:t>
            </w:r>
          </w:p>
        </w:tc>
        <w:tc>
          <w:tcPr>
            <w:tcW w:w="1426" w:type="dxa"/>
            <w:tcBorders>
              <w:top w:val="single" w:sz="4" w:space="0" w:color="auto"/>
            </w:tcBorders>
          </w:tcPr>
          <w:p>
            <w:pPr>
              <w:pStyle w:val="yTable"/>
            </w:pPr>
          </w:p>
          <w:p>
            <w:pPr>
              <w:pStyle w:val="yTable"/>
            </w:pPr>
            <w:r>
              <w:br/>
            </w:r>
          </w:p>
          <w:p>
            <w:pPr>
              <w:pStyle w:val="yTable"/>
            </w:pPr>
            <w:r>
              <w:br/>
            </w:r>
            <w:r>
              <w:br/>
            </w:r>
          </w:p>
          <w:p>
            <w:pPr>
              <w:pStyle w:val="yTable"/>
            </w:pPr>
            <w:r>
              <w:t>$42.15/hour</w:t>
            </w:r>
          </w:p>
        </w:tc>
      </w:tr>
      <w:tr>
        <w:tc>
          <w:tcPr>
            <w:tcW w:w="2126" w:type="dxa"/>
            <w:tcBorders>
              <w:bottom w:val="single" w:sz="4" w:space="0" w:color="auto"/>
              <w:right w:val="single" w:sz="4" w:space="0" w:color="auto"/>
            </w:tcBorders>
          </w:tcPr>
          <w:p>
            <w:pPr>
              <w:pStyle w:val="yTable"/>
              <w:tabs>
                <w:tab w:val="left" w:pos="263"/>
              </w:tabs>
              <w:ind w:left="263" w:hanging="263"/>
            </w:pPr>
            <w:r>
              <w:rPr>
                <w:b/>
                <w:bCs/>
              </w:rPr>
              <w:t>Tariff 3</w:t>
            </w:r>
          </w:p>
          <w:p>
            <w:pPr>
              <w:pStyle w:val="yTable"/>
              <w:tabs>
                <w:tab w:val="left" w:pos="263"/>
              </w:tabs>
              <w:ind w:left="263" w:hanging="263"/>
            </w:pPr>
            <w:r>
              <w:tab/>
              <w:t>When carrying 5 or more passengers (if the vehicle was manufactured to carry 6 or more adult passengers)</w:t>
            </w:r>
          </w:p>
        </w:tc>
        <w:tc>
          <w:tcPr>
            <w:tcW w:w="1365"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320" w:type="dxa"/>
            <w:tcBorders>
              <w:bottom w:val="single" w:sz="4" w:space="0" w:color="auto"/>
            </w:tcBorders>
          </w:tcPr>
          <w:p>
            <w:pPr>
              <w:pStyle w:val="yTable"/>
            </w:pPr>
          </w:p>
          <w:p>
            <w:pPr>
              <w:pStyle w:val="yTable"/>
            </w:pPr>
            <w:r>
              <w:br/>
            </w:r>
            <w:r>
              <w:br/>
            </w:r>
            <w:r>
              <w:br/>
            </w:r>
            <w:r>
              <w:br/>
            </w:r>
            <w:r>
              <w:br/>
            </w:r>
            <w:r>
              <w:br/>
              <w:t>$2.17/km</w:t>
            </w:r>
          </w:p>
        </w:tc>
        <w:tc>
          <w:tcPr>
            <w:tcW w:w="1426" w:type="dxa"/>
            <w:tcBorders>
              <w:bottom w:val="single" w:sz="4" w:space="0" w:color="auto"/>
            </w:tcBorders>
          </w:tcPr>
          <w:p>
            <w:pPr>
              <w:pStyle w:val="yTable"/>
            </w:pPr>
          </w:p>
          <w:p>
            <w:pPr>
              <w:pStyle w:val="yTable"/>
            </w:pPr>
            <w:r>
              <w:br/>
            </w:r>
            <w:r>
              <w:br/>
            </w:r>
            <w:r>
              <w:br/>
            </w:r>
            <w:r>
              <w:br/>
            </w:r>
            <w:r>
              <w:br/>
            </w:r>
            <w:r>
              <w:br/>
              <w:t>$65.30/hour</w:t>
            </w:r>
          </w:p>
        </w:tc>
      </w:tr>
    </w:tbl>
    <w:p>
      <w:pPr>
        <w:pStyle w:val="zyMiscellaneousHeading"/>
        <w:spacing w:before="240" w:after="8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260"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$0.97/km</w:t>
            </w:r>
          </w:p>
        </w:tc>
      </w:tr>
      <w:tr>
        <w:trPr>
          <w:cantSplit/>
        </w:trPr>
        <w:tc>
          <w:tcPr>
            <w:tcW w:w="3260"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r>
              <w:br/>
              <w:t>$1.43/km</w:t>
            </w:r>
          </w:p>
        </w:tc>
      </w:tr>
    </w:tbl>
    <w:p>
      <w:pPr>
        <w:pStyle w:val="zyMiscellaneousHeading"/>
        <w:spacing w:before="240" w:after="8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tabs>
                <w:tab w:val="left" w:pos="383"/>
              </w:tabs>
              <w:ind w:left="383" w:hanging="383"/>
            </w:pPr>
            <w:r>
              <w:rPr>
                <w:b/>
                <w:bCs/>
              </w:rPr>
              <w:t>Cleaning</w:t>
            </w:r>
          </w:p>
          <w:p>
            <w:pPr>
              <w:pStyle w:val="yTable"/>
              <w:keepNext/>
              <w:tabs>
                <w:tab w:val="left" w:pos="383"/>
              </w:tabs>
              <w:ind w:left="383" w:hanging="383"/>
            </w:pPr>
            <w:r>
              <w:tab/>
              <w:t>(when soiled during hiring — for time required to clean)</w:t>
            </w:r>
          </w:p>
        </w:tc>
        <w:tc>
          <w:tcPr>
            <w:tcW w:w="1984" w:type="dxa"/>
          </w:tcPr>
          <w:p>
            <w:pPr>
              <w:pStyle w:val="yTable"/>
              <w:keepNext/>
            </w:pPr>
          </w:p>
          <w:p>
            <w:pPr>
              <w:pStyle w:val="yTable"/>
              <w:keepNext/>
            </w:pPr>
            <w:r>
              <w:br/>
              <w:t>$42.15/hour</w:t>
            </w:r>
          </w:p>
        </w:tc>
      </w:tr>
      <w:tr>
        <w:tc>
          <w:tcPr>
            <w:tcW w:w="4253" w:type="dxa"/>
          </w:tcPr>
          <w:p>
            <w:pPr>
              <w:pStyle w:val="yTable"/>
              <w:tabs>
                <w:tab w:val="left" w:pos="383"/>
              </w:tabs>
              <w:ind w:left="383" w:hanging="383"/>
            </w:pPr>
            <w:r>
              <w:rPr>
                <w:b/>
                <w:bCs/>
              </w:rPr>
              <w:t>Call out fee</w:t>
            </w:r>
          </w:p>
        </w:tc>
        <w:tc>
          <w:tcPr>
            <w:tcW w:w="1984" w:type="dxa"/>
          </w:tcPr>
          <w:p>
            <w:pPr>
              <w:pStyle w:val="yTable"/>
            </w:pPr>
            <w:r>
              <w:t>$1.50</w:t>
            </w:r>
          </w:p>
        </w:tc>
      </w:tr>
      <w:tr>
        <w:trPr>
          <w:tblHeader/>
        </w:trPr>
        <w:tc>
          <w:tcPr>
            <w:tcW w:w="4253" w:type="dxa"/>
          </w:tcPr>
          <w:p>
            <w:pPr>
              <w:pStyle w:val="yTable"/>
              <w:keepNext/>
              <w:keepLines/>
              <w:tabs>
                <w:tab w:val="left" w:pos="383"/>
              </w:tabs>
              <w:ind w:left="383" w:hanging="383"/>
            </w:pPr>
            <w:r>
              <w:rPr>
                <w:b/>
                <w:bCs/>
              </w:rPr>
              <w:t>Surcharges</w:t>
            </w:r>
          </w:p>
        </w:tc>
        <w:tc>
          <w:tcPr>
            <w:tcW w:w="1984" w:type="dxa"/>
          </w:tcPr>
          <w:p>
            <w:pPr>
              <w:pStyle w:val="yTable"/>
              <w:keepNext/>
              <w:keepLines/>
            </w:pPr>
          </w:p>
        </w:tc>
      </w:tr>
      <w:tr>
        <w:trPr>
          <w:cantSplit/>
        </w:trPr>
        <w:tc>
          <w:tcPr>
            <w:tcW w:w="4253" w:type="dxa"/>
          </w:tcPr>
          <w:p>
            <w:pPr>
              <w:pStyle w:val="yTable"/>
              <w:keepNext/>
              <w:keepLines/>
              <w:tabs>
                <w:tab w:val="left" w:pos="383"/>
              </w:tabs>
              <w:ind w:left="383" w:hanging="383"/>
            </w:pPr>
            <w:r>
              <w:t>Ultra</w:t>
            </w:r>
            <w:r>
              <w:noBreakHyphen/>
              <w:t>Peak —</w:t>
            </w:r>
          </w:p>
          <w:p>
            <w:pPr>
              <w:pStyle w:val="yTable"/>
              <w:keepNext/>
              <w:keepLines/>
              <w:tabs>
                <w:tab w:val="left" w:pos="383"/>
              </w:tabs>
              <w:ind w:left="383" w:hanging="383"/>
            </w:pPr>
            <w:r>
              <w:tab/>
              <w:t>Between midnight Friday to 5 a.m. Saturday or midnight Saturday to 5 a.m. Sunday</w:t>
            </w:r>
          </w:p>
        </w:tc>
        <w:tc>
          <w:tcPr>
            <w:tcW w:w="1984" w:type="dxa"/>
          </w:tcPr>
          <w:p>
            <w:pPr>
              <w:pStyle w:val="yTable"/>
              <w:keepNext/>
              <w:keepLines/>
            </w:pPr>
          </w:p>
          <w:p>
            <w:pPr>
              <w:pStyle w:val="yTable"/>
              <w:keepNext/>
              <w:keepLines/>
            </w:pPr>
            <w:r>
              <w:br/>
            </w:r>
            <w:r>
              <w:br/>
              <w:t>$2.00</w:t>
            </w:r>
          </w:p>
        </w:tc>
      </w:tr>
      <w:tr>
        <w:tc>
          <w:tcPr>
            <w:tcW w:w="4253" w:type="dxa"/>
          </w:tcPr>
          <w:p>
            <w:pPr>
              <w:pStyle w:val="yTable"/>
              <w:tabs>
                <w:tab w:val="left" w:pos="383"/>
              </w:tabs>
              <w:ind w:left="383" w:hanging="383"/>
            </w:pPr>
            <w:r>
              <w:t>Christmas Day —</w:t>
            </w:r>
          </w:p>
          <w:p>
            <w:pPr>
              <w:pStyle w:val="yTable"/>
              <w:tabs>
                <w:tab w:val="left" w:pos="383"/>
              </w:tabs>
              <w:ind w:left="383" w:hanging="38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383"/>
              </w:tabs>
              <w:ind w:left="383" w:hanging="383"/>
            </w:pPr>
            <w:r>
              <w:t>New Year’s Eve —</w:t>
            </w:r>
          </w:p>
          <w:p>
            <w:pPr>
              <w:pStyle w:val="yTable"/>
              <w:tabs>
                <w:tab w:val="left" w:pos="383"/>
              </w:tabs>
              <w:ind w:left="383" w:hanging="38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 1 inserted in Gazette 21 Dec 2007 p. 6330</w:t>
      </w:r>
      <w:r>
        <w:noBreakHyphen/>
        <w:t>1; amended in Gazette 31 Jul 2008 p. 3440</w:t>
      </w:r>
      <w:r>
        <w:noBreakHyphen/>
        <w:t>1; 17 Dec 2008 p. 5338</w:t>
      </w:r>
      <w:r>
        <w:noBreakHyphen/>
        <w:t>9.]</w:t>
      </w:r>
    </w:p>
    <w:p>
      <w:pPr>
        <w:pStyle w:val="yHeading3"/>
      </w:pPr>
      <w:bookmarkStart w:id="86" w:name="_Toc185925031"/>
      <w:bookmarkStart w:id="87" w:name="_Toc205264004"/>
      <w:bookmarkStart w:id="88" w:name="_Toc205268133"/>
      <w:bookmarkStart w:id="89" w:name="_Toc217356683"/>
      <w:bookmarkStart w:id="90" w:name="_Toc219092326"/>
      <w:bookmarkStart w:id="91" w:name="_Toc219092991"/>
      <w:bookmarkStart w:id="92" w:name="_Toc221421980"/>
      <w:bookmarkStart w:id="93" w:name="_Toc221443522"/>
      <w:bookmarkStart w:id="94" w:name="_Toc221936223"/>
      <w:r>
        <w:rPr>
          <w:rStyle w:val="CharSDivNo"/>
        </w:rPr>
        <w:t>Division 2</w:t>
      </w:r>
      <w:r>
        <w:rPr>
          <w:b w:val="0"/>
        </w:rPr>
        <w:t> — </w:t>
      </w:r>
      <w:r>
        <w:rPr>
          <w:rStyle w:val="CharSDivText"/>
        </w:rPr>
        <w:t>Kalbarri region</w:t>
      </w:r>
      <w:bookmarkEnd w:id="86"/>
      <w:bookmarkEnd w:id="87"/>
      <w:bookmarkEnd w:id="88"/>
      <w:bookmarkEnd w:id="89"/>
      <w:bookmarkEnd w:id="90"/>
      <w:bookmarkEnd w:id="91"/>
      <w:bookmarkEnd w:id="92"/>
      <w:bookmarkEnd w:id="93"/>
      <w:bookmarkEnd w:id="94"/>
    </w:p>
    <w:p>
      <w:pPr>
        <w:pStyle w:val="yFootnoteheading"/>
      </w:pPr>
      <w:r>
        <w:tab/>
        <w:t>[Heading inserted in Gazette 21 Dec 2007 p. 6331.]</w:t>
      </w:r>
    </w:p>
    <w:p>
      <w:pPr>
        <w:pStyle w:val="yHeading5"/>
      </w:pPr>
      <w:bookmarkStart w:id="95" w:name="_Toc185925032"/>
      <w:bookmarkStart w:id="96" w:name="_Toc221936224"/>
      <w:r>
        <w:tab/>
        <w:t>Brief description</w:t>
      </w:r>
      <w:bookmarkEnd w:id="95"/>
      <w:bookmarkEnd w:id="96"/>
    </w:p>
    <w:p>
      <w:pPr>
        <w:pStyle w:val="ySubsection"/>
      </w:pPr>
      <w:r>
        <w:tab/>
      </w:r>
      <w:r>
        <w:tab/>
        <w:t>The town of Kalbarri and its immediate environs (see map).</w:t>
      </w:r>
    </w:p>
    <w:p>
      <w:pPr>
        <w:pStyle w:val="yHeading5"/>
      </w:pPr>
      <w:bookmarkStart w:id="97" w:name="_Toc185925033"/>
      <w:bookmarkStart w:id="98" w:name="_Toc221936225"/>
      <w:r>
        <w:tab/>
        <w:t>Town</w:t>
      </w:r>
      <w:bookmarkEnd w:id="97"/>
      <w:bookmarkEnd w:id="98"/>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spacing w:after="120"/>
        <w:rPr>
          <w:b/>
          <w:bCs/>
        </w:rPr>
      </w:pPr>
      <w:r>
        <w:rPr>
          <w:b/>
          <w:bCs/>
        </w:rPr>
        <w:t>Metered rates</w:t>
      </w:r>
    </w:p>
    <w:tbl>
      <w:tblPr>
        <w:tblW w:w="6237" w:type="dxa"/>
        <w:tblInd w:w="817" w:type="dxa"/>
        <w:tblLayout w:type="fixed"/>
        <w:tblLook w:val="0000" w:firstRow="0" w:lastRow="0" w:firstColumn="0" w:lastColumn="0" w:noHBand="0" w:noVBand="0"/>
      </w:tblPr>
      <w:tblGrid>
        <w:gridCol w:w="2126"/>
        <w:gridCol w:w="1276"/>
        <w:gridCol w:w="1418"/>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63"/>
              </w:tabs>
              <w:ind w:left="263" w:right="34" w:hanging="263"/>
              <w:rPr>
                <w:b/>
                <w:bCs/>
                <w:sz w:val="20"/>
              </w:rPr>
            </w:pPr>
          </w:p>
        </w:tc>
        <w:tc>
          <w:tcPr>
            <w:tcW w:w="1276" w:type="dxa"/>
            <w:tcBorders>
              <w:top w:val="single" w:sz="4" w:space="0" w:color="auto"/>
              <w:left w:val="nil"/>
              <w:bottom w:val="single" w:sz="4" w:space="0" w:color="auto"/>
            </w:tcBorders>
          </w:tcPr>
          <w:p>
            <w:pPr>
              <w:pStyle w:val="yTable"/>
            </w:pPr>
            <w:r>
              <w:rPr>
                <w:b/>
                <w:bCs/>
                <w:sz w:val="20"/>
              </w:rPr>
              <w:t>Flagfall</w:t>
            </w:r>
          </w:p>
        </w:tc>
        <w:tc>
          <w:tcPr>
            <w:tcW w:w="1418"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top w:val="single" w:sz="4" w:space="0" w:color="auto"/>
              <w:bottom w:val="single" w:sz="4" w:space="0" w:color="auto"/>
              <w:right w:val="single" w:sz="4" w:space="0" w:color="auto"/>
            </w:tcBorders>
          </w:tcPr>
          <w:p>
            <w:pPr>
              <w:pStyle w:val="yTable"/>
              <w:tabs>
                <w:tab w:val="left" w:pos="263"/>
              </w:tabs>
              <w:ind w:left="263" w:hanging="263"/>
            </w:pPr>
            <w:r>
              <w:rPr>
                <w:b/>
                <w:bCs/>
              </w:rPr>
              <w:t>Tariff 1</w:t>
            </w:r>
          </w:p>
          <w:p>
            <w:pPr>
              <w:pStyle w:val="yTable"/>
              <w:tabs>
                <w:tab w:val="left" w:pos="263"/>
              </w:tabs>
              <w:ind w:left="263" w:hanging="263"/>
            </w:pPr>
            <w:r>
              <w:tab/>
              <w:t>Monday to Friday 6 a.m. to 6 p.m.</w:t>
            </w:r>
          </w:p>
        </w:tc>
        <w:tc>
          <w:tcPr>
            <w:tcW w:w="1276" w:type="dxa"/>
            <w:tcBorders>
              <w:top w:val="single" w:sz="4" w:space="0" w:color="auto"/>
              <w:left w:val="nil"/>
              <w:bottom w:val="single" w:sz="4" w:space="0" w:color="auto"/>
            </w:tcBorders>
          </w:tcPr>
          <w:p>
            <w:pPr>
              <w:pStyle w:val="yTable"/>
            </w:pPr>
          </w:p>
          <w:p>
            <w:pPr>
              <w:pStyle w:val="yTable"/>
            </w:pPr>
            <w:r>
              <w:br/>
              <w:t>$3.60</w:t>
            </w:r>
          </w:p>
        </w:tc>
        <w:tc>
          <w:tcPr>
            <w:tcW w:w="1418" w:type="dxa"/>
            <w:tcBorders>
              <w:top w:val="single" w:sz="4" w:space="0" w:color="auto"/>
              <w:bottom w:val="single" w:sz="4" w:space="0" w:color="auto"/>
            </w:tcBorders>
          </w:tcPr>
          <w:p>
            <w:pPr>
              <w:pStyle w:val="yTable"/>
            </w:pPr>
          </w:p>
          <w:p>
            <w:pPr>
              <w:pStyle w:val="yTable"/>
            </w:pPr>
            <w:r>
              <w:br/>
              <w:t>$1.60/km</w:t>
            </w:r>
          </w:p>
        </w:tc>
        <w:tc>
          <w:tcPr>
            <w:tcW w:w="1417" w:type="dxa"/>
            <w:tcBorders>
              <w:top w:val="single" w:sz="4" w:space="0" w:color="auto"/>
              <w:bottom w:val="single" w:sz="4" w:space="0" w:color="auto"/>
            </w:tcBorders>
          </w:tcPr>
          <w:p>
            <w:pPr>
              <w:pStyle w:val="yTable"/>
            </w:pPr>
          </w:p>
          <w:p>
            <w:pPr>
              <w:pStyle w:val="yTable"/>
            </w:pPr>
            <w:r>
              <w:br/>
              <w:t>$42.15/hour</w:t>
            </w:r>
          </w:p>
        </w:tc>
      </w:tr>
      <w:tr>
        <w:trPr>
          <w:cantSplit/>
        </w:trPr>
        <w:tc>
          <w:tcPr>
            <w:tcW w:w="2126" w:type="dxa"/>
            <w:tcBorders>
              <w:top w:val="single" w:sz="4" w:space="0" w:color="auto"/>
              <w:right w:val="single" w:sz="4" w:space="0" w:color="auto"/>
            </w:tcBorders>
          </w:tcPr>
          <w:p>
            <w:pPr>
              <w:pStyle w:val="yTable"/>
              <w:tabs>
                <w:tab w:val="left" w:pos="263"/>
              </w:tabs>
              <w:ind w:left="263" w:hanging="263"/>
            </w:pPr>
            <w:r>
              <w:rPr>
                <w:b/>
                <w:bCs/>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276" w:type="dxa"/>
            <w:tcBorders>
              <w:top w:val="single" w:sz="4" w:space="0" w:color="auto"/>
              <w:left w:val="nil"/>
            </w:tcBorders>
          </w:tcPr>
          <w:p>
            <w:pPr>
              <w:pStyle w:val="yTable"/>
            </w:pPr>
          </w:p>
          <w:p>
            <w:pPr>
              <w:pStyle w:val="yTable"/>
            </w:pPr>
            <w:r>
              <w:br/>
            </w:r>
          </w:p>
          <w:p>
            <w:pPr>
              <w:pStyle w:val="yTable"/>
            </w:pPr>
            <w:r>
              <w:br/>
            </w:r>
            <w:r>
              <w:br/>
            </w:r>
          </w:p>
          <w:p>
            <w:pPr>
              <w:pStyle w:val="yTable"/>
            </w:pPr>
            <w:r>
              <w:t>$5.20</w:t>
            </w:r>
          </w:p>
        </w:tc>
        <w:tc>
          <w:tcPr>
            <w:tcW w:w="1418" w:type="dxa"/>
            <w:tcBorders>
              <w:top w:val="single" w:sz="4" w:space="0" w:color="auto"/>
            </w:tcBorders>
          </w:tcPr>
          <w:p>
            <w:pPr>
              <w:pStyle w:val="yTable"/>
            </w:pPr>
          </w:p>
          <w:p>
            <w:pPr>
              <w:pStyle w:val="yTable"/>
            </w:pPr>
            <w:r>
              <w:br/>
            </w:r>
          </w:p>
          <w:p>
            <w:pPr>
              <w:pStyle w:val="yTable"/>
            </w:pPr>
            <w:r>
              <w:br/>
            </w:r>
            <w:r>
              <w:br/>
            </w:r>
          </w:p>
          <w:p>
            <w:pPr>
              <w:pStyle w:val="yTable"/>
            </w:pPr>
            <w:r>
              <w:t>$1.50/km</w:t>
            </w:r>
          </w:p>
        </w:tc>
        <w:tc>
          <w:tcPr>
            <w:tcW w:w="1417" w:type="dxa"/>
            <w:tcBorders>
              <w:top w:val="single" w:sz="4" w:space="0" w:color="auto"/>
            </w:tcBorders>
          </w:tcPr>
          <w:p>
            <w:pPr>
              <w:pStyle w:val="yTable"/>
            </w:pPr>
          </w:p>
          <w:p>
            <w:pPr>
              <w:pStyle w:val="yTable"/>
            </w:pPr>
            <w:r>
              <w:br/>
            </w:r>
          </w:p>
          <w:p>
            <w:pPr>
              <w:pStyle w:val="yTable"/>
            </w:pPr>
            <w:r>
              <w:br/>
            </w:r>
            <w:r>
              <w:br/>
            </w:r>
          </w:p>
          <w:p>
            <w:pPr>
              <w:pStyle w:val="yTable"/>
            </w:pPr>
            <w:r>
              <w:t>$42.15/hour</w:t>
            </w:r>
          </w:p>
        </w:tc>
      </w:tr>
      <w:tr>
        <w:trPr>
          <w:cantSplit/>
        </w:trPr>
        <w:tc>
          <w:tcPr>
            <w:tcW w:w="2126" w:type="dxa"/>
            <w:tcBorders>
              <w:bottom w:val="single" w:sz="4" w:space="0" w:color="auto"/>
              <w:right w:val="single" w:sz="4" w:space="0" w:color="auto"/>
            </w:tcBorders>
          </w:tcPr>
          <w:p>
            <w:pPr>
              <w:pStyle w:val="yTable"/>
              <w:tabs>
                <w:tab w:val="left" w:pos="263"/>
              </w:tabs>
              <w:ind w:left="263" w:hanging="263"/>
            </w:pPr>
            <w:r>
              <w:rPr>
                <w:b/>
                <w:bCs/>
              </w:rPr>
              <w:t>Tariff 3</w:t>
            </w:r>
          </w:p>
          <w:p>
            <w:pPr>
              <w:pStyle w:val="yTable"/>
              <w:tabs>
                <w:tab w:val="left" w:pos="263"/>
              </w:tabs>
              <w:ind w:left="263" w:hanging="263"/>
            </w:pPr>
            <w:r>
              <w:tab/>
              <w:t>When carrying 5 or more passengers (if the vehicle was manufactured to carry 6 or more adult passengers)</w:t>
            </w:r>
          </w:p>
        </w:tc>
        <w:tc>
          <w:tcPr>
            <w:tcW w:w="1276"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418" w:type="dxa"/>
            <w:tcBorders>
              <w:bottom w:val="single" w:sz="4" w:space="0" w:color="auto"/>
            </w:tcBorders>
          </w:tcPr>
          <w:p>
            <w:pPr>
              <w:pStyle w:val="yTable"/>
            </w:pPr>
          </w:p>
          <w:p>
            <w:pPr>
              <w:pStyle w:val="yTable"/>
            </w:pPr>
            <w:r>
              <w:br/>
            </w:r>
            <w:r>
              <w:br/>
            </w:r>
            <w:r>
              <w:br/>
            </w:r>
            <w:r>
              <w:br/>
            </w:r>
            <w:r>
              <w:br/>
            </w:r>
            <w:r>
              <w:br/>
              <w:t>$2.20/km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4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pPr>
            <w:r>
              <w:rPr>
                <w:b/>
                <w:bCs/>
              </w:rPr>
              <w:t>Distance rate</w:t>
            </w:r>
          </w:p>
          <w:p>
            <w:pPr>
              <w:pStyle w:val="yTable"/>
            </w:pPr>
            <w:r>
              <w:t>(during hiring and for forward or return journey)</w:t>
            </w:r>
          </w:p>
        </w:tc>
      </w:tr>
      <w:tr>
        <w:tc>
          <w:tcPr>
            <w:tcW w:w="3260"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$0.90/km</w:t>
            </w:r>
          </w:p>
        </w:tc>
      </w:tr>
      <w:tr>
        <w:trPr>
          <w:cantSplit/>
        </w:trPr>
        <w:tc>
          <w:tcPr>
            <w:tcW w:w="3260"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vAlign w:val="bottom"/>
          </w:tcPr>
          <w:p>
            <w:pPr>
              <w:pStyle w:val="yTable"/>
            </w:pPr>
            <w:r>
              <w:t>$1.35/km</w:t>
            </w:r>
          </w:p>
        </w:tc>
      </w:tr>
    </w:tbl>
    <w:p>
      <w:pPr>
        <w:pStyle w:val="yMiscellaneousHeading"/>
        <w:keepLines/>
        <w:spacing w:before="240" w:after="6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keepLines/>
              <w:tabs>
                <w:tab w:val="left" w:pos="263"/>
              </w:tabs>
              <w:ind w:left="263" w:hanging="263"/>
            </w:pPr>
            <w:r>
              <w:rPr>
                <w:b/>
                <w:bCs/>
              </w:rPr>
              <w:t>Cleaning</w:t>
            </w:r>
          </w:p>
          <w:p>
            <w:pPr>
              <w:pStyle w:val="yTable"/>
              <w:keepNext/>
              <w:keepLines/>
              <w:tabs>
                <w:tab w:val="left" w:pos="263"/>
              </w:tabs>
              <w:ind w:left="263" w:hanging="263"/>
            </w:pPr>
            <w:r>
              <w:tab/>
              <w:t>(when soiled during hiring — for time required to clean)</w:t>
            </w:r>
          </w:p>
        </w:tc>
        <w:tc>
          <w:tcPr>
            <w:tcW w:w="1984" w:type="dxa"/>
          </w:tcPr>
          <w:p>
            <w:pPr>
              <w:pStyle w:val="yTable"/>
              <w:keepNext/>
              <w:keepLines/>
            </w:pPr>
          </w:p>
          <w:p>
            <w:pPr>
              <w:pStyle w:val="yTable"/>
              <w:keepNext/>
              <w:keepLines/>
            </w:pPr>
            <w:r>
              <w:br/>
              <w:t>$42.15/hour</w:t>
            </w:r>
          </w:p>
        </w:tc>
      </w:tr>
      <w:tr>
        <w:tc>
          <w:tcPr>
            <w:tcW w:w="4253" w:type="dxa"/>
          </w:tcPr>
          <w:p>
            <w:pPr>
              <w:pStyle w:val="yTable"/>
              <w:tabs>
                <w:tab w:val="left" w:pos="263"/>
              </w:tabs>
              <w:ind w:left="263" w:hanging="263"/>
            </w:pPr>
            <w:r>
              <w:rPr>
                <w:b/>
                <w:bCs/>
              </w:rPr>
              <w:t>Call out fee</w:t>
            </w:r>
          </w:p>
        </w:tc>
        <w:tc>
          <w:tcPr>
            <w:tcW w:w="1984" w:type="dxa"/>
          </w:tcPr>
          <w:p>
            <w:pPr>
              <w:pStyle w:val="yTable"/>
            </w:pPr>
            <w:r>
              <w:t>$1.50</w:t>
            </w:r>
          </w:p>
        </w:tc>
      </w:tr>
      <w:tr>
        <w:trPr>
          <w:tblHeader/>
        </w:trPr>
        <w:tc>
          <w:tcPr>
            <w:tcW w:w="4253" w:type="dxa"/>
          </w:tcPr>
          <w:p>
            <w:pPr>
              <w:pStyle w:val="yTable"/>
              <w:keepNext/>
              <w:tabs>
                <w:tab w:val="left" w:pos="263"/>
              </w:tabs>
              <w:ind w:left="263" w:hanging="263"/>
            </w:pPr>
            <w:r>
              <w:rPr>
                <w:b/>
                <w:bCs/>
              </w:rPr>
              <w:t>Surcharges</w:t>
            </w:r>
          </w:p>
        </w:tc>
        <w:tc>
          <w:tcPr>
            <w:tcW w:w="1984" w:type="dxa"/>
          </w:tcPr>
          <w:p>
            <w:pPr>
              <w:pStyle w:val="yTable"/>
            </w:pPr>
          </w:p>
        </w:tc>
      </w:tr>
      <w:tr>
        <w:trPr>
          <w:cantSplit/>
        </w:trPr>
        <w:tc>
          <w:tcPr>
            <w:tcW w:w="4253" w:type="dxa"/>
          </w:tcPr>
          <w:p>
            <w:pPr>
              <w:pStyle w:val="yTable"/>
              <w:tabs>
                <w:tab w:val="left" w:pos="263"/>
              </w:tabs>
              <w:ind w:left="263" w:hanging="263"/>
            </w:pPr>
            <w:r>
              <w:t>Ultra</w:t>
            </w:r>
            <w:r>
              <w:noBreakHyphen/>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r>
              <w:br/>
            </w:r>
            <w:r>
              <w:br/>
              <w:t>$2.00</w:t>
            </w:r>
          </w:p>
        </w:tc>
      </w:tr>
      <w:tr>
        <w:tc>
          <w:tcPr>
            <w:tcW w:w="4253" w:type="dxa"/>
          </w:tcPr>
          <w:p>
            <w:pPr>
              <w:pStyle w:val="yTable"/>
              <w:tabs>
                <w:tab w:val="left" w:pos="263"/>
              </w:tabs>
              <w:ind w:left="263" w:hanging="263"/>
            </w:pPr>
            <w:r>
              <w:t>Christmas Day —</w:t>
            </w:r>
          </w:p>
          <w:p>
            <w:pPr>
              <w:pStyle w:val="yTable"/>
              <w:tabs>
                <w:tab w:val="left" w:pos="263"/>
              </w:tabs>
              <w:ind w:left="263" w:hanging="26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263"/>
              </w:tabs>
              <w:ind w:left="263" w:hanging="263"/>
            </w:pPr>
            <w: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 2 inserted in Gazette 21 Dec 2007 p. 6331</w:t>
      </w:r>
      <w:r>
        <w:noBreakHyphen/>
        <w:t>2; amended in Gazette 31 Jul 2008 p. 3441</w:t>
      </w:r>
      <w:r>
        <w:noBreakHyphen/>
        <w:t>2; 17 Dec 2008 p. 5339</w:t>
      </w:r>
      <w:r>
        <w:noBreakHyphen/>
        <w:t>40.]</w:t>
      </w:r>
    </w:p>
    <w:p>
      <w:pPr>
        <w:pStyle w:val="yHeading3"/>
        <w:keepLines/>
      </w:pPr>
      <w:bookmarkStart w:id="99" w:name="_Toc185925034"/>
      <w:bookmarkStart w:id="100" w:name="_Toc205264007"/>
      <w:bookmarkStart w:id="101" w:name="_Toc205268136"/>
      <w:bookmarkStart w:id="102" w:name="_Toc217356686"/>
      <w:bookmarkStart w:id="103" w:name="_Toc219092329"/>
      <w:bookmarkStart w:id="104" w:name="_Toc219092994"/>
      <w:bookmarkStart w:id="105" w:name="_Toc221421983"/>
      <w:bookmarkStart w:id="106" w:name="_Toc221443525"/>
      <w:bookmarkStart w:id="107" w:name="_Toc221936226"/>
      <w:r>
        <w:rPr>
          <w:rStyle w:val="CharSDivNo"/>
        </w:rPr>
        <w:t>Division 3</w:t>
      </w:r>
      <w:r>
        <w:rPr>
          <w:b w:val="0"/>
        </w:rPr>
        <w:t> — </w:t>
      </w:r>
      <w:r>
        <w:rPr>
          <w:rStyle w:val="CharSDivText"/>
        </w:rPr>
        <w:t>Kimberley region</w:t>
      </w:r>
      <w:bookmarkEnd w:id="99"/>
      <w:bookmarkEnd w:id="100"/>
      <w:bookmarkEnd w:id="101"/>
      <w:bookmarkEnd w:id="102"/>
      <w:bookmarkEnd w:id="103"/>
      <w:bookmarkEnd w:id="104"/>
      <w:bookmarkEnd w:id="105"/>
      <w:bookmarkEnd w:id="106"/>
      <w:bookmarkEnd w:id="107"/>
    </w:p>
    <w:p>
      <w:pPr>
        <w:pStyle w:val="yFootnoteheading"/>
        <w:keepNext/>
        <w:keepLines/>
      </w:pPr>
      <w:r>
        <w:tab/>
        <w:t>[Heading inserted in Gazette 21 Dec 2007 p. 6332.]</w:t>
      </w:r>
    </w:p>
    <w:p>
      <w:pPr>
        <w:pStyle w:val="yHeading5"/>
      </w:pPr>
      <w:bookmarkStart w:id="108" w:name="_Toc185925035"/>
      <w:bookmarkStart w:id="109" w:name="_Toc221936227"/>
      <w:r>
        <w:tab/>
        <w:t>Brief description</w:t>
      </w:r>
      <w:bookmarkEnd w:id="108"/>
      <w:bookmarkEnd w:id="109"/>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10" w:name="_Toc185925036"/>
      <w:bookmarkStart w:id="111" w:name="_Toc221936228"/>
      <w:r>
        <w:tab/>
        <w:t>Major towns</w:t>
      </w:r>
      <w:bookmarkEnd w:id="110"/>
      <w:bookmarkEnd w:id="111"/>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keepLines/>
        <w:spacing w:before="120" w:after="80"/>
        <w:rPr>
          <w:b/>
          <w:bCs/>
        </w:rPr>
      </w:pPr>
      <w:r>
        <w:rPr>
          <w:b/>
          <w:bCs/>
        </w:rPr>
        <w:t>Metered rates</w:t>
      </w:r>
    </w:p>
    <w:tbl>
      <w:tblPr>
        <w:tblW w:w="0" w:type="auto"/>
        <w:tblInd w:w="817" w:type="dxa"/>
        <w:tblLayout w:type="fixed"/>
        <w:tblLook w:val="0000" w:firstRow="0" w:lastRow="0" w:firstColumn="0" w:lastColumn="0" w:noHBand="0" w:noVBand="0"/>
      </w:tblPr>
      <w:tblGrid>
        <w:gridCol w:w="2126"/>
        <w:gridCol w:w="1418"/>
        <w:gridCol w:w="1267"/>
        <w:gridCol w:w="1426"/>
      </w:tblGrid>
      <w:tr>
        <w:trPr>
          <w:tblHeader/>
        </w:trPr>
        <w:tc>
          <w:tcPr>
            <w:tcW w:w="2126" w:type="dxa"/>
            <w:tcBorders>
              <w:top w:val="single" w:sz="4" w:space="0" w:color="auto"/>
              <w:bottom w:val="single" w:sz="4" w:space="0" w:color="auto"/>
              <w:right w:val="single" w:sz="4" w:space="0" w:color="auto"/>
            </w:tcBorders>
          </w:tcPr>
          <w:p>
            <w:pPr>
              <w:pStyle w:val="zytable"/>
              <w:keepNext/>
              <w:keepLines/>
              <w:tabs>
                <w:tab w:val="left" w:pos="263"/>
              </w:tabs>
              <w:ind w:left="263" w:right="34" w:hanging="263"/>
              <w:rPr>
                <w:b/>
                <w:bCs/>
                <w:sz w:val="20"/>
              </w:rPr>
            </w:pPr>
          </w:p>
        </w:tc>
        <w:tc>
          <w:tcPr>
            <w:tcW w:w="1418" w:type="dxa"/>
            <w:tcBorders>
              <w:top w:val="single" w:sz="4" w:space="0" w:color="auto"/>
              <w:left w:val="nil"/>
              <w:bottom w:val="single" w:sz="4" w:space="0" w:color="auto"/>
            </w:tcBorders>
          </w:tcPr>
          <w:p>
            <w:pPr>
              <w:pStyle w:val="yTable"/>
              <w:keepNext/>
              <w:keepLines/>
            </w:pPr>
            <w:r>
              <w:rPr>
                <w:b/>
                <w:bCs/>
                <w:sz w:val="20"/>
              </w:rPr>
              <w:t>Flagfall</w:t>
            </w:r>
          </w:p>
        </w:tc>
        <w:tc>
          <w:tcPr>
            <w:tcW w:w="1267" w:type="dxa"/>
            <w:tcBorders>
              <w:top w:val="single" w:sz="4" w:space="0" w:color="auto"/>
              <w:bottom w:val="single" w:sz="4" w:space="0" w:color="auto"/>
            </w:tcBorders>
          </w:tcPr>
          <w:p>
            <w:pPr>
              <w:pStyle w:val="yTable"/>
              <w:keepNext/>
              <w:keepLines/>
            </w:pPr>
            <w:r>
              <w:rPr>
                <w:b/>
                <w:bCs/>
                <w:sz w:val="20"/>
              </w:rPr>
              <w:t>Distance rate</w:t>
            </w:r>
          </w:p>
        </w:tc>
        <w:tc>
          <w:tcPr>
            <w:tcW w:w="1426" w:type="dxa"/>
            <w:tcBorders>
              <w:top w:val="single" w:sz="4" w:space="0" w:color="auto"/>
              <w:bottom w:val="single" w:sz="4" w:space="0" w:color="auto"/>
            </w:tcBorders>
          </w:tcPr>
          <w:p>
            <w:pPr>
              <w:pStyle w:val="yTable"/>
              <w:keepNext/>
              <w:keepLines/>
            </w:pPr>
            <w:r>
              <w:rPr>
                <w:b/>
                <w:bCs/>
                <w:sz w:val="20"/>
              </w:rPr>
              <w:t>Detention</w:t>
            </w:r>
          </w:p>
        </w:tc>
      </w:tr>
      <w:tr>
        <w:tc>
          <w:tcPr>
            <w:tcW w:w="2126" w:type="dxa"/>
            <w:tcBorders>
              <w:right w:val="single" w:sz="4" w:space="0" w:color="auto"/>
            </w:tcBorders>
          </w:tcPr>
          <w:p>
            <w:pPr>
              <w:pStyle w:val="yTable"/>
              <w:tabs>
                <w:tab w:val="left" w:pos="263"/>
              </w:tabs>
              <w:ind w:left="263" w:hanging="263"/>
            </w:pPr>
            <w:r>
              <w:rPr>
                <w:b/>
                <w:bCs/>
              </w:rPr>
              <w:t>Tariff 1</w:t>
            </w:r>
          </w:p>
          <w:p>
            <w:pPr>
              <w:pStyle w:val="yTable"/>
              <w:tabs>
                <w:tab w:val="left" w:pos="263"/>
              </w:tabs>
              <w:ind w:left="263" w:hanging="263"/>
            </w:pPr>
            <w:r>
              <w:tab/>
              <w:t>Monday to Friday 6 a.m. to 6 p.m.</w:t>
            </w:r>
          </w:p>
        </w:tc>
        <w:tc>
          <w:tcPr>
            <w:tcW w:w="1418" w:type="dxa"/>
            <w:tcBorders>
              <w:left w:val="nil"/>
            </w:tcBorders>
          </w:tcPr>
          <w:p>
            <w:pPr>
              <w:pStyle w:val="yTable"/>
            </w:pPr>
          </w:p>
          <w:p>
            <w:pPr>
              <w:pStyle w:val="yTable"/>
            </w:pPr>
            <w:r>
              <w:br/>
              <w:t>$3.60</w:t>
            </w:r>
          </w:p>
        </w:tc>
        <w:tc>
          <w:tcPr>
            <w:tcW w:w="1267" w:type="dxa"/>
          </w:tcPr>
          <w:p>
            <w:pPr>
              <w:pStyle w:val="yTable"/>
            </w:pPr>
          </w:p>
          <w:p>
            <w:pPr>
              <w:pStyle w:val="yTable"/>
            </w:pPr>
            <w:r>
              <w:br/>
              <w:t>$1.94/km</w:t>
            </w:r>
          </w:p>
        </w:tc>
        <w:tc>
          <w:tcPr>
            <w:tcW w:w="1426"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63"/>
              </w:tabs>
              <w:ind w:left="263" w:hanging="263"/>
            </w:pPr>
            <w:r>
              <w:rPr>
                <w:b/>
                <w:bCs/>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418" w:type="dxa"/>
            <w:tcBorders>
              <w:left w:val="nil"/>
            </w:tcBorders>
          </w:tcPr>
          <w:p>
            <w:pPr>
              <w:pStyle w:val="yTable"/>
            </w:pPr>
          </w:p>
          <w:p>
            <w:pPr>
              <w:pStyle w:val="yTable"/>
            </w:pPr>
            <w:r>
              <w:br/>
            </w:r>
          </w:p>
          <w:p>
            <w:pPr>
              <w:pStyle w:val="yTable"/>
            </w:pPr>
            <w:r>
              <w:br/>
            </w:r>
            <w:r>
              <w:br/>
            </w:r>
          </w:p>
          <w:p>
            <w:pPr>
              <w:pStyle w:val="yTable"/>
            </w:pPr>
            <w:r>
              <w:t>$5.20</w:t>
            </w:r>
          </w:p>
        </w:tc>
        <w:tc>
          <w:tcPr>
            <w:tcW w:w="1267" w:type="dxa"/>
          </w:tcPr>
          <w:p>
            <w:pPr>
              <w:pStyle w:val="yTable"/>
            </w:pPr>
          </w:p>
          <w:p>
            <w:pPr>
              <w:pStyle w:val="yTable"/>
            </w:pPr>
            <w:r>
              <w:br/>
            </w:r>
          </w:p>
          <w:p>
            <w:pPr>
              <w:pStyle w:val="yTable"/>
            </w:pPr>
            <w:r>
              <w:br/>
            </w:r>
            <w:r>
              <w:br/>
            </w:r>
          </w:p>
          <w:p>
            <w:pPr>
              <w:pStyle w:val="yTable"/>
            </w:pPr>
            <w:r>
              <w:t>$1.94/km</w:t>
            </w:r>
          </w:p>
        </w:tc>
        <w:tc>
          <w:tcPr>
            <w:tcW w:w="1426" w:type="dxa"/>
          </w:tcPr>
          <w:p>
            <w:pPr>
              <w:pStyle w:val="yTable"/>
            </w:pPr>
          </w:p>
          <w:p>
            <w:pPr>
              <w:pStyle w:val="yTable"/>
            </w:pPr>
            <w:r>
              <w:br/>
            </w:r>
          </w:p>
          <w:p>
            <w:pPr>
              <w:pStyle w:val="yTable"/>
            </w:pPr>
            <w:r>
              <w:br/>
            </w:r>
            <w:r>
              <w:br/>
            </w:r>
          </w:p>
          <w:p>
            <w:pPr>
              <w:pStyle w:val="yTable"/>
            </w:pPr>
            <w:r>
              <w:t>$42.15/hour</w:t>
            </w:r>
          </w:p>
        </w:tc>
      </w:tr>
      <w:tr>
        <w:trPr>
          <w:cantSplit/>
        </w:trPr>
        <w:tc>
          <w:tcPr>
            <w:tcW w:w="2126" w:type="dxa"/>
            <w:tcBorders>
              <w:bottom w:val="single" w:sz="4" w:space="0" w:color="auto"/>
              <w:right w:val="single" w:sz="4" w:space="0" w:color="auto"/>
            </w:tcBorders>
          </w:tcPr>
          <w:p>
            <w:pPr>
              <w:pStyle w:val="yTable"/>
              <w:tabs>
                <w:tab w:val="left" w:pos="263"/>
              </w:tabs>
              <w:ind w:left="263" w:hanging="263"/>
            </w:pPr>
            <w:r>
              <w:rPr>
                <w:b/>
                <w:bCs/>
              </w:rPr>
              <w:t>Tariff 3</w:t>
            </w:r>
          </w:p>
          <w:p>
            <w:pPr>
              <w:pStyle w:val="yTable"/>
              <w:tabs>
                <w:tab w:val="left" w:pos="263"/>
              </w:tabs>
              <w:ind w:left="263" w:hanging="263"/>
            </w:pPr>
            <w:r>
              <w:tab/>
              <w:t>When carrying 5 or more passengers (if the vehicle was manufactured to carry 6 or more adult passengers)</w:t>
            </w:r>
          </w:p>
        </w:tc>
        <w:tc>
          <w:tcPr>
            <w:tcW w:w="1418"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267" w:type="dxa"/>
            <w:tcBorders>
              <w:bottom w:val="single" w:sz="4" w:space="0" w:color="auto"/>
            </w:tcBorders>
          </w:tcPr>
          <w:p>
            <w:pPr>
              <w:pStyle w:val="yTable"/>
            </w:pPr>
          </w:p>
          <w:p>
            <w:pPr>
              <w:pStyle w:val="yTable"/>
            </w:pPr>
            <w:r>
              <w:br/>
            </w:r>
            <w:r>
              <w:br/>
            </w:r>
            <w:r>
              <w:br/>
            </w:r>
            <w:r>
              <w:br/>
            </w:r>
            <w:r>
              <w:br/>
            </w:r>
            <w:r>
              <w:br/>
              <w:t>$2.85/km</w:t>
            </w:r>
          </w:p>
        </w:tc>
        <w:tc>
          <w:tcPr>
            <w:tcW w:w="1426"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8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keepNext/>
              <w:ind w:left="34" w:right="33"/>
              <w:rPr>
                <w:sz w:val="20"/>
              </w:rPr>
            </w:pPr>
          </w:p>
        </w:tc>
        <w:tc>
          <w:tcPr>
            <w:tcW w:w="2977" w:type="dxa"/>
            <w:tcBorders>
              <w:top w:val="single" w:sz="4" w:space="0" w:color="auto"/>
              <w:left w:val="nil"/>
              <w:bottom w:val="single" w:sz="4" w:space="0" w:color="auto"/>
            </w:tcBorders>
          </w:tcPr>
          <w:p>
            <w:pPr>
              <w:pStyle w:val="yTable"/>
              <w:keepNext/>
            </w:pPr>
            <w:r>
              <w:rPr>
                <w:b/>
                <w:bCs/>
              </w:rPr>
              <w:t>Distance rate</w:t>
            </w:r>
            <w:r>
              <w:br/>
              <w:t>(during hiring and for forward or return journey)</w:t>
            </w:r>
          </w:p>
        </w:tc>
      </w:tr>
      <w:tr>
        <w:tc>
          <w:tcPr>
            <w:tcW w:w="3260" w:type="dxa"/>
            <w:tcBorders>
              <w:right w:val="single" w:sz="4" w:space="0" w:color="auto"/>
            </w:tcBorders>
          </w:tcPr>
          <w:p>
            <w:pPr>
              <w:pStyle w:val="yTable"/>
              <w:keepNext/>
            </w:pPr>
            <w:r>
              <w:t>When carrying fewer than 5 passengers</w:t>
            </w:r>
          </w:p>
        </w:tc>
        <w:tc>
          <w:tcPr>
            <w:tcW w:w="2977" w:type="dxa"/>
            <w:tcBorders>
              <w:left w:val="nil"/>
            </w:tcBorders>
          </w:tcPr>
          <w:p>
            <w:pPr>
              <w:pStyle w:val="yTable"/>
              <w:keepNext/>
            </w:pPr>
            <w:r>
              <w:br/>
              <w:t>$1.09/km</w:t>
            </w:r>
          </w:p>
        </w:tc>
      </w:tr>
      <w:tr>
        <w:trPr>
          <w:cantSplit/>
        </w:trPr>
        <w:tc>
          <w:tcPr>
            <w:tcW w:w="3260"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r>
              <w:br/>
              <w:t>$1.64/km</w:t>
            </w:r>
          </w:p>
        </w:tc>
      </w:tr>
    </w:tbl>
    <w:p>
      <w:pPr>
        <w:pStyle w:val="yMiscellaneousHeading"/>
        <w:keepLines/>
        <w:spacing w:before="240" w:after="4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keepLines/>
              <w:tabs>
                <w:tab w:val="left" w:pos="263"/>
              </w:tabs>
              <w:ind w:left="263" w:hanging="263"/>
            </w:pPr>
            <w:r>
              <w:rPr>
                <w:b/>
                <w:bCs/>
              </w:rPr>
              <w:t>Cleaning</w:t>
            </w:r>
          </w:p>
          <w:p>
            <w:pPr>
              <w:pStyle w:val="yTable"/>
              <w:keepNext/>
              <w:keepLines/>
              <w:tabs>
                <w:tab w:val="left" w:pos="263"/>
              </w:tabs>
              <w:ind w:left="263" w:hanging="263"/>
            </w:pPr>
            <w:r>
              <w:tab/>
              <w:t>(when soiled during hiring — for time required to clean)</w:t>
            </w:r>
          </w:p>
        </w:tc>
        <w:tc>
          <w:tcPr>
            <w:tcW w:w="1984" w:type="dxa"/>
          </w:tcPr>
          <w:p>
            <w:pPr>
              <w:pStyle w:val="yTable"/>
              <w:keepNext/>
              <w:keepLines/>
            </w:pPr>
          </w:p>
          <w:p>
            <w:pPr>
              <w:pStyle w:val="yTable"/>
              <w:keepNext/>
              <w:keepLines/>
            </w:pPr>
            <w:r>
              <w:br/>
              <w:t>$42.15/hour</w:t>
            </w:r>
          </w:p>
        </w:tc>
      </w:tr>
      <w:tr>
        <w:tc>
          <w:tcPr>
            <w:tcW w:w="4253" w:type="dxa"/>
          </w:tcPr>
          <w:p>
            <w:pPr>
              <w:pStyle w:val="yTable"/>
              <w:tabs>
                <w:tab w:val="left" w:pos="263"/>
              </w:tabs>
              <w:ind w:left="263" w:hanging="263"/>
            </w:pPr>
            <w:r>
              <w:rPr>
                <w:b/>
                <w:bCs/>
              </w:rPr>
              <w:t>Call out fee</w:t>
            </w:r>
          </w:p>
        </w:tc>
        <w:tc>
          <w:tcPr>
            <w:tcW w:w="1984" w:type="dxa"/>
          </w:tcPr>
          <w:p>
            <w:pPr>
              <w:pStyle w:val="yTable"/>
            </w:pPr>
            <w:r>
              <w:t>$1.50</w:t>
            </w:r>
          </w:p>
        </w:tc>
      </w:tr>
      <w:tr>
        <w:trPr>
          <w:tblHeader/>
        </w:trPr>
        <w:tc>
          <w:tcPr>
            <w:tcW w:w="4253" w:type="dxa"/>
          </w:tcPr>
          <w:p>
            <w:pPr>
              <w:pStyle w:val="yTable"/>
              <w:tabs>
                <w:tab w:val="left" w:pos="263"/>
              </w:tabs>
              <w:ind w:left="263" w:hanging="263"/>
            </w:pPr>
            <w:r>
              <w:rPr>
                <w:b/>
                <w:bCs/>
              </w:rPr>
              <w:t>Surcharges</w:t>
            </w:r>
          </w:p>
        </w:tc>
        <w:tc>
          <w:tcPr>
            <w:tcW w:w="1984" w:type="dxa"/>
          </w:tcPr>
          <w:p>
            <w:pPr>
              <w:pStyle w:val="yTable"/>
            </w:pPr>
          </w:p>
        </w:tc>
      </w:tr>
      <w:tr>
        <w:tc>
          <w:tcPr>
            <w:tcW w:w="4253" w:type="dxa"/>
          </w:tcPr>
          <w:p>
            <w:pPr>
              <w:pStyle w:val="yTable"/>
              <w:tabs>
                <w:tab w:val="left" w:pos="263"/>
              </w:tabs>
              <w:ind w:left="263" w:hanging="263"/>
            </w:pPr>
            <w:r>
              <w:t>Ultra</w:t>
            </w:r>
            <w:r>
              <w:noBreakHyphen/>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r>
              <w:br/>
            </w:r>
            <w:r>
              <w:br/>
              <w:t>$2.00</w:t>
            </w:r>
          </w:p>
        </w:tc>
      </w:tr>
      <w:tr>
        <w:tc>
          <w:tcPr>
            <w:tcW w:w="4253" w:type="dxa"/>
          </w:tcPr>
          <w:p>
            <w:pPr>
              <w:pStyle w:val="yTable"/>
              <w:tabs>
                <w:tab w:val="left" w:pos="263"/>
              </w:tabs>
              <w:ind w:left="263" w:hanging="263"/>
            </w:pPr>
            <w:r>
              <w:t>Christmas Day —</w:t>
            </w:r>
          </w:p>
          <w:p>
            <w:pPr>
              <w:pStyle w:val="yTable"/>
              <w:tabs>
                <w:tab w:val="left" w:pos="263"/>
              </w:tabs>
              <w:ind w:left="263" w:hanging="26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263"/>
              </w:tabs>
              <w:ind w:left="263" w:hanging="263"/>
            </w:pPr>
            <w: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 3 inserted in Gazette21 Dec 2007 p. 6332</w:t>
      </w:r>
      <w:r>
        <w:noBreakHyphen/>
        <w:t>3; amended in Gazette 31 Jul 2008 p. 3443</w:t>
      </w:r>
      <w:r>
        <w:noBreakHyphen/>
        <w:t>4; 17 Dec 2008 p. 5341</w:t>
      </w:r>
      <w:r>
        <w:noBreakHyphen/>
        <w:t>2.]</w:t>
      </w:r>
    </w:p>
    <w:p>
      <w:pPr>
        <w:pStyle w:val="yHeading3"/>
      </w:pPr>
      <w:bookmarkStart w:id="112" w:name="_Toc185925037"/>
      <w:bookmarkStart w:id="113" w:name="_Toc205264010"/>
      <w:bookmarkStart w:id="114" w:name="_Toc205268139"/>
      <w:bookmarkStart w:id="115" w:name="_Toc217356689"/>
      <w:bookmarkStart w:id="116" w:name="_Toc219092332"/>
      <w:bookmarkStart w:id="117" w:name="_Toc219092997"/>
      <w:bookmarkStart w:id="118" w:name="_Toc221421986"/>
      <w:bookmarkStart w:id="119" w:name="_Toc221443528"/>
      <w:bookmarkStart w:id="120" w:name="_Toc221936229"/>
      <w:r>
        <w:rPr>
          <w:rStyle w:val="CharSDivNo"/>
        </w:rPr>
        <w:t>Division 4</w:t>
      </w:r>
      <w:r>
        <w:rPr>
          <w:b w:val="0"/>
        </w:rPr>
        <w:t> — </w:t>
      </w:r>
      <w:r>
        <w:rPr>
          <w:rStyle w:val="CharSDivText"/>
        </w:rPr>
        <w:t>Mid</w:t>
      </w:r>
      <w:r>
        <w:rPr>
          <w:rStyle w:val="CharSDivText"/>
        </w:rPr>
        <w:noBreakHyphen/>
        <w:t>west region</w:t>
      </w:r>
      <w:bookmarkEnd w:id="112"/>
      <w:bookmarkEnd w:id="113"/>
      <w:bookmarkEnd w:id="114"/>
      <w:bookmarkEnd w:id="115"/>
      <w:bookmarkEnd w:id="116"/>
      <w:bookmarkEnd w:id="117"/>
      <w:bookmarkEnd w:id="118"/>
      <w:bookmarkEnd w:id="119"/>
      <w:bookmarkEnd w:id="120"/>
    </w:p>
    <w:p>
      <w:pPr>
        <w:pStyle w:val="yFootnoteheading"/>
      </w:pPr>
      <w:r>
        <w:tab/>
        <w:t>[Heading inserted in Gazette 21 Dec 2007 p. 6333.]</w:t>
      </w:r>
    </w:p>
    <w:p>
      <w:pPr>
        <w:pStyle w:val="yHeading5"/>
      </w:pPr>
      <w:bookmarkStart w:id="121" w:name="_Toc185925038"/>
      <w:bookmarkStart w:id="122" w:name="_Toc221936230"/>
      <w:r>
        <w:tab/>
        <w:t xml:space="preserve">Brief </w:t>
      </w:r>
      <w:bookmarkEnd w:id="121"/>
      <w:r>
        <w:t>description</w:t>
      </w:r>
      <w:bookmarkEnd w:id="122"/>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23" w:name="_Toc185925039"/>
      <w:bookmarkStart w:id="124" w:name="_Toc221936231"/>
      <w:r>
        <w:tab/>
        <w:t>Major towns/cities</w:t>
      </w:r>
      <w:bookmarkEnd w:id="123"/>
      <w:bookmarkEnd w:id="124"/>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keepNext/>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spacing w:before="240" w:after="80"/>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720" w:right="0" w:hanging="720"/>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$1.47/km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spacing w:before="40"/>
            </w:pPr>
            <w:r>
              <w:br/>
            </w:r>
          </w:p>
          <w:p>
            <w:pPr>
              <w:pStyle w:val="yTable"/>
            </w:pPr>
            <w:r>
              <w:br/>
              <w:t>$5.20</w:t>
            </w:r>
          </w:p>
        </w:tc>
        <w:tc>
          <w:tcPr>
            <w:tcW w:w="1560" w:type="dxa"/>
          </w:tcPr>
          <w:p>
            <w:pPr>
              <w:pStyle w:val="yTable"/>
            </w:pPr>
          </w:p>
          <w:p>
            <w:pPr>
              <w:pStyle w:val="yTable"/>
            </w:pPr>
            <w:r>
              <w:br/>
            </w:r>
          </w:p>
          <w:p>
            <w:pPr>
              <w:pStyle w:val="yTable"/>
              <w:spacing w:before="40"/>
            </w:pPr>
            <w:r>
              <w:br/>
            </w:r>
          </w:p>
          <w:p>
            <w:pPr>
              <w:pStyle w:val="yTable"/>
            </w:pPr>
            <w:r>
              <w:br/>
              <w:t>$1.47/km</w:t>
            </w:r>
          </w:p>
        </w:tc>
        <w:tc>
          <w:tcPr>
            <w:tcW w:w="1417" w:type="dxa"/>
          </w:tcPr>
          <w:p>
            <w:pPr>
              <w:pStyle w:val="yTable"/>
            </w:pPr>
          </w:p>
          <w:p>
            <w:pPr>
              <w:pStyle w:val="yTable"/>
            </w:pPr>
            <w:r>
              <w:br/>
            </w:r>
          </w:p>
          <w:p>
            <w:pPr>
              <w:pStyle w:val="yTable"/>
              <w:spacing w:before="40"/>
            </w:pPr>
            <w:r>
              <w:br/>
            </w:r>
          </w:p>
          <w:p>
            <w:pPr>
              <w:pStyle w:val="yTable"/>
            </w:pPr>
            <w:r>
              <w:br/>
              <w:t>$42.15/hour</w:t>
            </w:r>
          </w:p>
        </w:tc>
      </w:tr>
      <w:tr>
        <w:tc>
          <w:tcPr>
            <w:tcW w:w="2126" w:type="dxa"/>
            <w:tcBorders>
              <w:bottom w:val="single" w:sz="4" w:space="0" w:color="auto"/>
              <w:right w:val="single" w:sz="4" w:space="0" w:color="auto"/>
            </w:tcBorders>
          </w:tcPr>
          <w:p>
            <w:pPr>
              <w:pStyle w:val="yTable"/>
              <w:keepNext/>
              <w:keepLines/>
              <w:tabs>
                <w:tab w:val="left" w:pos="241"/>
              </w:tabs>
              <w:ind w:left="241" w:hanging="241"/>
            </w:pPr>
            <w:r>
              <w:rPr>
                <w:b/>
                <w:bCs/>
              </w:rPr>
              <w:t>Tariff 3</w:t>
            </w:r>
          </w:p>
          <w:p>
            <w:pPr>
              <w:pStyle w:val="yTable"/>
              <w:keepNext/>
              <w:keepLines/>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keepNext/>
              <w:keepLines/>
            </w:pPr>
          </w:p>
          <w:p>
            <w:pPr>
              <w:pStyle w:val="yTable"/>
              <w:keepNext/>
              <w:keepLines/>
            </w:pPr>
            <w:r>
              <w:br/>
            </w:r>
            <w:r>
              <w:br/>
            </w:r>
            <w:r>
              <w:br/>
            </w:r>
            <w:r>
              <w:br/>
            </w:r>
            <w:r>
              <w:br/>
            </w:r>
            <w:r>
              <w:br/>
              <w:t>$5.20</w:t>
            </w:r>
          </w:p>
        </w:tc>
        <w:tc>
          <w:tcPr>
            <w:tcW w:w="1560" w:type="dxa"/>
            <w:tcBorders>
              <w:bottom w:val="single" w:sz="4" w:space="0" w:color="auto"/>
            </w:tcBorders>
          </w:tcPr>
          <w:p>
            <w:pPr>
              <w:pStyle w:val="yTable"/>
              <w:keepNext/>
              <w:keepLines/>
            </w:pPr>
          </w:p>
          <w:p>
            <w:pPr>
              <w:pStyle w:val="yTable"/>
              <w:keepNext/>
              <w:keepLines/>
            </w:pPr>
            <w:r>
              <w:br/>
            </w:r>
            <w:r>
              <w:br/>
            </w:r>
            <w:r>
              <w:br/>
            </w:r>
            <w:r>
              <w:br/>
            </w:r>
            <w:r>
              <w:br/>
            </w:r>
            <w:r>
              <w:br/>
              <w:t>$2.19/km</w:t>
            </w:r>
          </w:p>
        </w:tc>
        <w:tc>
          <w:tcPr>
            <w:tcW w:w="1417" w:type="dxa"/>
            <w:tcBorders>
              <w:bottom w:val="single" w:sz="4" w:space="0" w:color="auto"/>
            </w:tcBorders>
          </w:tcPr>
          <w:p>
            <w:pPr>
              <w:pStyle w:val="yTable"/>
              <w:keepNext/>
              <w:keepLines/>
            </w:pPr>
          </w:p>
          <w:p>
            <w:pPr>
              <w:pStyle w:val="yTable"/>
              <w:keepNext/>
              <w:keepLines/>
            </w:pPr>
            <w:r>
              <w:br/>
            </w:r>
            <w:r>
              <w:br/>
            </w:r>
            <w:r>
              <w:br/>
            </w:r>
            <w:r>
              <w:br/>
            </w:r>
            <w:r>
              <w:br/>
            </w:r>
            <w:r>
              <w:br/>
              <w:t>$65.30/hour</w:t>
            </w:r>
          </w:p>
        </w:tc>
      </w:tr>
    </w:tbl>
    <w:p>
      <w:pPr>
        <w:pStyle w:val="zyMiscellaneousHeading"/>
        <w:spacing w:before="240" w:after="40"/>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118"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$0.90/km</w:t>
            </w:r>
          </w:p>
        </w:tc>
      </w:tr>
      <w:tr>
        <w:trPr>
          <w:cantSplit/>
        </w:trPr>
        <w:tc>
          <w:tcPr>
            <w:tcW w:w="3118"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r>
              <w:br/>
              <w:t>$1.35/km</w:t>
            </w:r>
          </w:p>
        </w:tc>
      </w:tr>
    </w:tbl>
    <w:p>
      <w:pPr>
        <w:pStyle w:val="zyMiscellaneousHeading"/>
        <w:spacing w:before="240" w:after="40"/>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361"/>
              </w:tabs>
              <w:ind w:left="361" w:hanging="361"/>
            </w:pPr>
            <w:r>
              <w:rPr>
                <w:b/>
                <w:bCs/>
              </w:rPr>
              <w:t>Cleaning</w:t>
            </w:r>
          </w:p>
          <w:p>
            <w:pPr>
              <w:pStyle w:val="yTable"/>
              <w:tabs>
                <w:tab w:val="left" w:pos="361"/>
              </w:tabs>
              <w:ind w:left="361" w:hanging="361"/>
            </w:pPr>
            <w:r>
              <w:tab/>
              <w:t>(when soiled during hiring — for time required to clean)</w:t>
            </w:r>
          </w:p>
        </w:tc>
        <w:tc>
          <w:tcPr>
            <w:tcW w:w="1843" w:type="dxa"/>
          </w:tcPr>
          <w:p>
            <w:pPr>
              <w:pStyle w:val="yTable"/>
            </w:pPr>
          </w:p>
          <w:p>
            <w:pPr>
              <w:pStyle w:val="yTable"/>
            </w:pPr>
            <w:r>
              <w:br/>
              <w:t xml:space="preserve">$42.15/hour </w:t>
            </w:r>
          </w:p>
        </w:tc>
      </w:tr>
      <w:tr>
        <w:tc>
          <w:tcPr>
            <w:tcW w:w="4252" w:type="dxa"/>
          </w:tcPr>
          <w:p>
            <w:pPr>
              <w:pStyle w:val="yTable"/>
              <w:tabs>
                <w:tab w:val="left" w:pos="361"/>
              </w:tabs>
              <w:ind w:left="361" w:hanging="361"/>
            </w:pPr>
            <w:r>
              <w:rPr>
                <w:b/>
                <w:bCs/>
              </w:rPr>
              <w:t>Call out fee</w:t>
            </w:r>
          </w:p>
        </w:tc>
        <w:tc>
          <w:tcPr>
            <w:tcW w:w="1843" w:type="dxa"/>
          </w:tcPr>
          <w:p>
            <w:pPr>
              <w:pStyle w:val="yTable"/>
            </w:pPr>
            <w:r>
              <w:rPr>
                <w:sz w:val="20"/>
              </w:rPr>
              <w:t>$1.50</w:t>
            </w:r>
          </w:p>
        </w:tc>
      </w:tr>
      <w:tr>
        <w:trPr>
          <w:tblHeader/>
        </w:trPr>
        <w:tc>
          <w:tcPr>
            <w:tcW w:w="4252" w:type="dxa"/>
          </w:tcPr>
          <w:p>
            <w:pPr>
              <w:pStyle w:val="yTable"/>
              <w:tabs>
                <w:tab w:val="left" w:pos="361"/>
              </w:tabs>
              <w:ind w:left="361" w:hanging="361"/>
            </w:pPr>
            <w:r>
              <w:rPr>
                <w:b/>
                <w:bCs/>
              </w:rPr>
              <w:t>Surcharges</w:t>
            </w:r>
          </w:p>
        </w:tc>
        <w:tc>
          <w:tcPr>
            <w:tcW w:w="1843" w:type="dxa"/>
          </w:tcPr>
          <w:p>
            <w:pPr>
              <w:pStyle w:val="yTable"/>
            </w:pPr>
          </w:p>
        </w:tc>
      </w:tr>
      <w:tr>
        <w:tc>
          <w:tcPr>
            <w:tcW w:w="4252" w:type="dxa"/>
          </w:tcPr>
          <w:p>
            <w:pPr>
              <w:pStyle w:val="yTable"/>
              <w:tabs>
                <w:tab w:val="left" w:pos="361"/>
              </w:tabs>
              <w:ind w:left="361" w:hanging="361"/>
            </w:pPr>
            <w:r>
              <w:t>Ultra</w:t>
            </w:r>
            <w:r>
              <w:noBreakHyphen/>
              <w:t>Peak —</w:t>
            </w:r>
          </w:p>
          <w:p>
            <w:pPr>
              <w:pStyle w:val="yTable"/>
              <w:tabs>
                <w:tab w:val="left" w:pos="361"/>
              </w:tabs>
              <w:ind w:left="361" w:hanging="36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361"/>
              </w:tabs>
              <w:ind w:left="361" w:hanging="361"/>
            </w:pPr>
            <w:r>
              <w:t>Christmas Day —</w:t>
            </w:r>
          </w:p>
          <w:p>
            <w:pPr>
              <w:pStyle w:val="yTable"/>
              <w:tabs>
                <w:tab w:val="left" w:pos="361"/>
              </w:tabs>
              <w:ind w:left="361" w:hanging="361"/>
            </w:pPr>
            <w:r>
              <w:tab/>
              <w:t>midnight to midnight</w:t>
            </w:r>
          </w:p>
        </w:tc>
        <w:tc>
          <w:tcPr>
            <w:tcW w:w="1843" w:type="dxa"/>
          </w:tcPr>
          <w:p>
            <w:pPr>
              <w:pStyle w:val="yTable"/>
            </w:pPr>
          </w:p>
          <w:p>
            <w:pPr>
              <w:pStyle w:val="yTable"/>
            </w:pPr>
            <w:r>
              <w:t>$4.40</w:t>
            </w:r>
          </w:p>
        </w:tc>
      </w:tr>
      <w:tr>
        <w:trPr>
          <w:cantSplit/>
          <w:trHeight w:val="20"/>
        </w:trPr>
        <w:tc>
          <w:tcPr>
            <w:tcW w:w="4252" w:type="dxa"/>
            <w:tcBorders>
              <w:bottom w:val="single" w:sz="4" w:space="0" w:color="auto"/>
            </w:tcBorders>
          </w:tcPr>
          <w:p>
            <w:pPr>
              <w:pStyle w:val="yTable"/>
              <w:tabs>
                <w:tab w:val="left" w:pos="361"/>
              </w:tabs>
              <w:ind w:left="361" w:hanging="361"/>
            </w:pPr>
            <w:r>
              <w:t>New Year’s Eve —</w:t>
            </w:r>
          </w:p>
          <w:p>
            <w:pPr>
              <w:pStyle w:val="yTable"/>
              <w:tabs>
                <w:tab w:val="left" w:pos="361"/>
              </w:tabs>
              <w:ind w:left="361" w:hanging="361"/>
            </w:pPr>
            <w:r>
              <w:tab/>
              <w:t xml:space="preserve">6 p.m. New Year’s Eve </w:t>
            </w:r>
            <w:r>
              <w:br/>
              <w:t>to 6 a.m. New Year’s Day</w:t>
            </w:r>
          </w:p>
        </w:tc>
        <w:tc>
          <w:tcPr>
            <w:tcW w:w="1843" w:type="dxa"/>
            <w:tcBorders>
              <w:bottom w:val="single" w:sz="4" w:space="0" w:color="auto"/>
            </w:tcBorders>
          </w:tcPr>
          <w:p>
            <w:pPr>
              <w:pStyle w:val="yTable"/>
            </w:pPr>
          </w:p>
          <w:p>
            <w:pPr>
              <w:pStyle w:val="yTable"/>
            </w:pPr>
            <w:r>
              <w:br/>
              <w:t>$4.90</w:t>
            </w:r>
          </w:p>
        </w:tc>
      </w:tr>
    </w:tbl>
    <w:p>
      <w:pPr>
        <w:pStyle w:val="yFootnotesection"/>
      </w:pPr>
      <w:r>
        <w:tab/>
        <w:t>[Division 4 inserted in Gazette 21 Dec 2007 p. 6333</w:t>
      </w:r>
      <w:r>
        <w:noBreakHyphen/>
        <w:t>4; amended in Gazette 31 Jul 2008 p. 3444</w:t>
      </w:r>
      <w:r>
        <w:noBreakHyphen/>
        <w:t>5; 17 Dec 2008 p. 5342</w:t>
      </w:r>
      <w:r>
        <w:noBreakHyphen/>
        <w:t>3.]</w:t>
      </w:r>
    </w:p>
    <w:p>
      <w:pPr>
        <w:pStyle w:val="yHeading3"/>
      </w:pPr>
      <w:bookmarkStart w:id="125" w:name="_Toc185925040"/>
      <w:bookmarkStart w:id="126" w:name="_Toc205264013"/>
      <w:bookmarkStart w:id="127" w:name="_Toc205268142"/>
      <w:bookmarkStart w:id="128" w:name="_Toc217356692"/>
      <w:bookmarkStart w:id="129" w:name="_Toc219092335"/>
      <w:bookmarkStart w:id="130" w:name="_Toc219093000"/>
      <w:bookmarkStart w:id="131" w:name="_Toc221421989"/>
      <w:bookmarkStart w:id="132" w:name="_Toc221443531"/>
      <w:bookmarkStart w:id="133" w:name="_Toc221936232"/>
      <w:r>
        <w:rPr>
          <w:rStyle w:val="CharSDivNo"/>
        </w:rPr>
        <w:t>Division 5</w:t>
      </w:r>
      <w:r>
        <w:rPr>
          <w:b w:val="0"/>
        </w:rPr>
        <w:t> — </w:t>
      </w:r>
      <w:r>
        <w:rPr>
          <w:rStyle w:val="CharSDivText"/>
        </w:rPr>
        <w:t>Pilbara region</w:t>
      </w:r>
      <w:bookmarkEnd w:id="125"/>
      <w:bookmarkEnd w:id="126"/>
      <w:bookmarkEnd w:id="127"/>
      <w:bookmarkEnd w:id="128"/>
      <w:bookmarkEnd w:id="129"/>
      <w:bookmarkEnd w:id="130"/>
      <w:bookmarkEnd w:id="131"/>
      <w:bookmarkEnd w:id="132"/>
      <w:bookmarkEnd w:id="133"/>
    </w:p>
    <w:p>
      <w:pPr>
        <w:pStyle w:val="yFootnoteheading"/>
      </w:pPr>
      <w:r>
        <w:tab/>
        <w:t>[Heading inserted in Gazette 21 Dec 2007 p. 6334.]</w:t>
      </w:r>
    </w:p>
    <w:p>
      <w:pPr>
        <w:pStyle w:val="yHeading5"/>
      </w:pPr>
      <w:bookmarkStart w:id="134" w:name="_Toc185925041"/>
      <w:bookmarkStart w:id="135" w:name="_Toc221936233"/>
      <w:r>
        <w:tab/>
        <w:t xml:space="preserve">Brief </w:t>
      </w:r>
      <w:bookmarkEnd w:id="134"/>
      <w:r>
        <w:t>description</w:t>
      </w:r>
      <w:bookmarkEnd w:id="135"/>
    </w:p>
    <w:p>
      <w:pPr>
        <w:pStyle w:val="ySubsection"/>
      </w:pPr>
      <w:r>
        <w:tab/>
      </w:r>
      <w:r>
        <w:tab/>
        <w:t>Includes all towns south of the Kimberley region border to a line extending east</w:t>
      </w:r>
      <w:r>
        <w:noBreakHyphen/>
        <w:t>west across the State, above Cue (see map).</w:t>
      </w:r>
    </w:p>
    <w:p>
      <w:pPr>
        <w:pStyle w:val="yHeading5"/>
      </w:pPr>
      <w:bookmarkStart w:id="136" w:name="_Toc185925042"/>
      <w:bookmarkStart w:id="137" w:name="_Toc221936234"/>
      <w:r>
        <w:tab/>
        <w:t>Major towns</w:t>
      </w:r>
      <w:bookmarkEnd w:id="136"/>
      <w:bookmarkEnd w:id="137"/>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keepNext/>
        <w:keepLines/>
      </w:pPr>
      <w:r>
        <w:tab/>
      </w:r>
      <w:r>
        <w:sym w:font="Symbol" w:char="F0B7"/>
      </w:r>
      <w:r>
        <w:tab/>
        <w:t>Exmouth —  (Shire of Exmouth)</w:t>
      </w:r>
    </w:p>
    <w:p>
      <w:pPr>
        <w:pStyle w:val="yIndenta"/>
        <w:keepNext/>
        <w:keepLines/>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spacing w:before="240" w:after="40"/>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$1.97/km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pPr>
            <w:r>
              <w:br/>
            </w:r>
          </w:p>
          <w:p>
            <w:pPr>
              <w:pStyle w:val="yTable"/>
            </w:pPr>
            <w:r>
              <w:br/>
              <w:t>$5.20</w:t>
            </w:r>
          </w:p>
        </w:tc>
        <w:tc>
          <w:tcPr>
            <w:tcW w:w="1560" w:type="dxa"/>
          </w:tcPr>
          <w:p>
            <w:pPr>
              <w:pStyle w:val="yTable"/>
            </w:pPr>
          </w:p>
          <w:p>
            <w:pPr>
              <w:pStyle w:val="yTable"/>
            </w:pPr>
            <w:r>
              <w:br/>
            </w:r>
          </w:p>
          <w:p>
            <w:pPr>
              <w:pStyle w:val="yTable"/>
            </w:pPr>
            <w:r>
              <w:br/>
            </w:r>
          </w:p>
          <w:p>
            <w:pPr>
              <w:pStyle w:val="yTable"/>
            </w:pPr>
            <w:r>
              <w:br/>
              <w:t>$1.97/km</w:t>
            </w:r>
          </w:p>
        </w:tc>
        <w:tc>
          <w:tcPr>
            <w:tcW w:w="1417" w:type="dxa"/>
          </w:tcPr>
          <w:p>
            <w:pPr>
              <w:pStyle w:val="yTable"/>
            </w:pPr>
          </w:p>
          <w:p>
            <w:pPr>
              <w:pStyle w:val="yTable"/>
            </w:pPr>
            <w:r>
              <w:br/>
            </w:r>
          </w:p>
          <w:p>
            <w:pPr>
              <w:pStyle w:val="yTable"/>
            </w:pPr>
            <w:r>
              <w:br/>
            </w:r>
          </w:p>
          <w:p>
            <w:pPr>
              <w:pStyle w:val="yTable"/>
            </w:pPr>
            <w:r>
              <w:br/>
              <w:t>$42.15/hour</w:t>
            </w:r>
          </w:p>
        </w:tc>
      </w:tr>
      <w:tr>
        <w:tc>
          <w:tcPr>
            <w:tcW w:w="2126" w:type="dxa"/>
            <w:tcBorders>
              <w:bottom w:val="single" w:sz="4" w:space="0" w:color="auto"/>
              <w:right w:val="single" w:sz="4" w:space="0" w:color="auto"/>
            </w:tcBorders>
          </w:tcPr>
          <w:p>
            <w:pPr>
              <w:pStyle w:val="yTable"/>
              <w:tabs>
                <w:tab w:val="left" w:pos="241"/>
              </w:tabs>
              <w:ind w:left="241" w:hanging="241"/>
            </w:pPr>
            <w:r>
              <w:rPr>
                <w:b/>
                <w:bCs/>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560" w:type="dxa"/>
            <w:tcBorders>
              <w:bottom w:val="single" w:sz="4" w:space="0" w:color="auto"/>
            </w:tcBorders>
          </w:tcPr>
          <w:p>
            <w:pPr>
              <w:pStyle w:val="yTable"/>
            </w:pPr>
          </w:p>
          <w:p>
            <w:pPr>
              <w:pStyle w:val="yTable"/>
            </w:pPr>
            <w:r>
              <w:br/>
            </w:r>
            <w:r>
              <w:br/>
            </w:r>
            <w:r>
              <w:br/>
            </w:r>
            <w:r>
              <w:br/>
            </w:r>
            <w:r>
              <w:br/>
            </w:r>
            <w:r>
              <w:br/>
              <w:t>$2.91/km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80"/>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33"/>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118" w:type="dxa"/>
            <w:tcBorders>
              <w:top w:val="single" w:sz="4" w:space="0" w:color="auto"/>
              <w:bottom w:val="single" w:sz="4" w:space="0" w:color="auto"/>
              <w:right w:val="single" w:sz="4" w:space="0" w:color="auto"/>
            </w:tcBorders>
          </w:tcPr>
          <w:p>
            <w:pPr>
              <w:pStyle w:val="yTable"/>
            </w:pPr>
            <w:r>
              <w:t>When carrying fewer than 5 passengers</w:t>
            </w:r>
          </w:p>
        </w:tc>
        <w:tc>
          <w:tcPr>
            <w:tcW w:w="2977" w:type="dxa"/>
            <w:tcBorders>
              <w:top w:val="single" w:sz="4" w:space="0" w:color="auto"/>
              <w:left w:val="nil"/>
              <w:bottom w:val="single" w:sz="4" w:space="0" w:color="auto"/>
            </w:tcBorders>
          </w:tcPr>
          <w:p>
            <w:pPr>
              <w:pStyle w:val="yTable"/>
            </w:pPr>
            <w:r>
              <w:br/>
              <w:t>$1.07/km</w:t>
            </w:r>
          </w:p>
        </w:tc>
      </w:tr>
      <w:tr>
        <w:trPr>
          <w:cantSplit/>
        </w:trPr>
        <w:tc>
          <w:tcPr>
            <w:tcW w:w="3118" w:type="dxa"/>
            <w:tcBorders>
              <w:top w:val="single" w:sz="4" w:space="0" w:color="auto"/>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top w:val="single" w:sz="4" w:space="0" w:color="auto"/>
              <w:left w:val="nil"/>
              <w:bottom w:val="single" w:sz="4" w:space="0" w:color="auto"/>
            </w:tcBorders>
          </w:tcPr>
          <w:p>
            <w:pPr>
              <w:pStyle w:val="yTable"/>
            </w:pPr>
            <w:r>
              <w:br/>
            </w:r>
            <w:r>
              <w:br/>
            </w:r>
            <w:r>
              <w:br/>
              <w:t>$1.61/km</w:t>
            </w:r>
          </w:p>
        </w:tc>
      </w:tr>
    </w:tbl>
    <w:p>
      <w:pPr>
        <w:pStyle w:val="yMiscellaneousHeading"/>
        <w:spacing w:before="240" w:after="40"/>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$42.15/hour</w:t>
            </w:r>
          </w:p>
        </w:tc>
      </w:tr>
      <w:tr>
        <w:tc>
          <w:tcPr>
            <w:tcW w:w="4252" w:type="dxa"/>
          </w:tcPr>
          <w:p>
            <w:pPr>
              <w:pStyle w:val="yTable"/>
              <w:tabs>
                <w:tab w:val="left" w:pos="241"/>
              </w:tabs>
              <w:ind w:left="241" w:hanging="241"/>
            </w:pPr>
            <w:r>
              <w:rPr>
                <w:b/>
                <w:bCs/>
              </w:rPr>
              <w:t>Call out fee</w:t>
            </w:r>
          </w:p>
        </w:tc>
        <w:tc>
          <w:tcPr>
            <w:tcW w:w="1843" w:type="dxa"/>
          </w:tcPr>
          <w:p>
            <w:pPr>
              <w:pStyle w:val="yTable"/>
            </w:pPr>
            <w:r>
              <w:t>$1.50</w:t>
            </w:r>
          </w:p>
        </w:tc>
      </w:tr>
      <w:tr>
        <w:trPr>
          <w:tblHeader/>
        </w:trPr>
        <w:tc>
          <w:tcPr>
            <w:tcW w:w="4252" w:type="dxa"/>
          </w:tcPr>
          <w:p>
            <w:pPr>
              <w:pStyle w:val="yTable"/>
              <w:tabs>
                <w:tab w:val="left" w:pos="241"/>
              </w:tabs>
              <w:ind w:left="241" w:hanging="241"/>
            </w:pPr>
            <w:r>
              <w:rPr>
                <w:b/>
                <w:bCs/>
              </w:rPr>
              <w:t>Surcharges</w:t>
            </w:r>
          </w:p>
        </w:tc>
        <w:tc>
          <w:tcPr>
            <w:tcW w:w="1843" w:type="dxa"/>
          </w:tcPr>
          <w:p>
            <w:pPr>
              <w:pStyle w:val="yTable"/>
            </w:pPr>
          </w:p>
        </w:tc>
      </w:tr>
      <w:tr>
        <w:tc>
          <w:tcPr>
            <w:tcW w:w="4252" w:type="dxa"/>
          </w:tcPr>
          <w:p>
            <w:pPr>
              <w:pStyle w:val="yTable"/>
              <w:tabs>
                <w:tab w:val="left" w:pos="241"/>
              </w:tabs>
              <w:ind w:left="241" w:hanging="241"/>
            </w:pPr>
            <w:r>
              <w:t>Ultra</w:t>
            </w:r>
            <w:r>
              <w:noBreakHyphen/>
              <w:t>Peak —</w:t>
            </w:r>
          </w:p>
          <w:p>
            <w:pPr>
              <w:pStyle w:val="yTable"/>
              <w:tabs>
                <w:tab w:val="left" w:pos="241"/>
              </w:tabs>
              <w:ind w:left="241" w:hanging="24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241"/>
              </w:tabs>
              <w:ind w:left="241" w:hanging="241"/>
            </w:pPr>
            <w:r>
              <w:t>Christmas Day —</w:t>
            </w:r>
          </w:p>
          <w:p>
            <w:pPr>
              <w:pStyle w:val="yTable"/>
              <w:tabs>
                <w:tab w:val="left" w:pos="241"/>
              </w:tabs>
              <w:ind w:left="241" w:hanging="241"/>
            </w:pPr>
            <w:r>
              <w:tab/>
              <w:t>midnight to midnight</w:t>
            </w:r>
          </w:p>
        </w:tc>
        <w:tc>
          <w:tcPr>
            <w:tcW w:w="1843" w:type="dxa"/>
          </w:tcPr>
          <w:p>
            <w:pPr>
              <w:pStyle w:val="yTable"/>
            </w:pPr>
          </w:p>
          <w:p>
            <w:pPr>
              <w:pStyle w:val="yTable"/>
            </w:pPr>
            <w:r>
              <w:t>$4.40</w:t>
            </w:r>
          </w:p>
        </w:tc>
      </w:tr>
      <w:tr>
        <w:trPr>
          <w:cantSplit/>
          <w:trHeight w:val="20"/>
        </w:trPr>
        <w:tc>
          <w:tcPr>
            <w:tcW w:w="4252" w:type="dxa"/>
          </w:tcPr>
          <w:p>
            <w:pPr>
              <w:pStyle w:val="yTable"/>
              <w:tabs>
                <w:tab w:val="left" w:pos="241"/>
              </w:tabs>
              <w:ind w:left="241" w:hanging="241"/>
            </w:pPr>
            <w: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$4.90</w:t>
            </w:r>
          </w:p>
        </w:tc>
      </w:tr>
    </w:tbl>
    <w:p>
      <w:pPr>
        <w:pStyle w:val="yFootnotesection"/>
      </w:pPr>
      <w:r>
        <w:tab/>
        <w:t>[Division 5 inserted in Gazette 21 Dec 2007 p. 6334</w:t>
      </w:r>
      <w:r>
        <w:noBreakHyphen/>
        <w:t>6; amended in Gazette 31 Jul 2008 p. 3446</w:t>
      </w:r>
      <w:r>
        <w:noBreakHyphen/>
        <w:t>7; 17 Dec 2008 p. 5344</w:t>
      </w:r>
      <w:r>
        <w:noBreakHyphen/>
        <w:t>5.]</w:t>
      </w:r>
    </w:p>
    <w:p>
      <w:pPr>
        <w:pStyle w:val="yHeading3"/>
      </w:pPr>
      <w:bookmarkStart w:id="138" w:name="_Toc185925043"/>
      <w:bookmarkStart w:id="139" w:name="_Toc205264016"/>
      <w:bookmarkStart w:id="140" w:name="_Toc205268145"/>
      <w:bookmarkStart w:id="141" w:name="_Toc217356695"/>
      <w:bookmarkStart w:id="142" w:name="_Toc219092338"/>
      <w:bookmarkStart w:id="143" w:name="_Toc219093003"/>
      <w:bookmarkStart w:id="144" w:name="_Toc221421992"/>
      <w:bookmarkStart w:id="145" w:name="_Toc221443534"/>
      <w:bookmarkStart w:id="146" w:name="_Toc221936235"/>
      <w:r>
        <w:rPr>
          <w:rStyle w:val="CharSDivNo"/>
        </w:rPr>
        <w:t>Division 6</w:t>
      </w:r>
      <w:r>
        <w:rPr>
          <w:b w:val="0"/>
        </w:rPr>
        <w:t> — </w:t>
      </w:r>
      <w:r>
        <w:rPr>
          <w:rStyle w:val="CharSDivText"/>
        </w:rPr>
        <w:t>South</w:t>
      </w:r>
      <w:r>
        <w:rPr>
          <w:rStyle w:val="CharSDivText"/>
        </w:rPr>
        <w:noBreakHyphen/>
        <w:t>west region</w:t>
      </w:r>
      <w:bookmarkEnd w:id="138"/>
      <w:bookmarkEnd w:id="139"/>
      <w:bookmarkEnd w:id="140"/>
      <w:bookmarkEnd w:id="141"/>
      <w:bookmarkEnd w:id="142"/>
      <w:bookmarkEnd w:id="143"/>
      <w:bookmarkEnd w:id="144"/>
      <w:bookmarkEnd w:id="145"/>
      <w:bookmarkEnd w:id="146"/>
    </w:p>
    <w:p>
      <w:pPr>
        <w:pStyle w:val="yFootnoteheading"/>
      </w:pPr>
      <w:r>
        <w:tab/>
        <w:t>[Heading inserted in Gazette 21 Dec 2007 p. 6336.]</w:t>
      </w:r>
    </w:p>
    <w:p>
      <w:pPr>
        <w:pStyle w:val="yHeading5"/>
      </w:pPr>
      <w:bookmarkStart w:id="147" w:name="_Toc185925044"/>
      <w:bookmarkStart w:id="148" w:name="_Toc221936236"/>
      <w:r>
        <w:tab/>
        <w:t xml:space="preserve">Brief </w:t>
      </w:r>
      <w:bookmarkEnd w:id="147"/>
      <w:r>
        <w:t>description</w:t>
      </w:r>
      <w:bookmarkEnd w:id="148"/>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49" w:name="_Toc185925045"/>
      <w:bookmarkStart w:id="150" w:name="_Toc221936237"/>
      <w:r>
        <w:tab/>
        <w:t>Major towns/cities</w:t>
      </w:r>
      <w:bookmarkEnd w:id="149"/>
      <w:bookmarkEnd w:id="150"/>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spacing w:before="240" w:after="40"/>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top w:val="single" w:sz="4" w:space="0" w:color="auto"/>
              <w:bottom w:val="single" w:sz="4" w:space="0" w:color="auto"/>
              <w:right w:val="single" w:sz="4" w:space="0" w:color="auto"/>
            </w:tcBorders>
          </w:tcPr>
          <w:p>
            <w:pPr>
              <w:pStyle w:val="yTable"/>
              <w:tabs>
                <w:tab w:val="left" w:pos="241"/>
              </w:tabs>
              <w:ind w:left="241" w:hanging="241"/>
            </w:pPr>
            <w:r>
              <w:rPr>
                <w:b/>
                <w:bCs/>
              </w:rPr>
              <w:t>Tariff 1</w:t>
            </w:r>
          </w:p>
          <w:p>
            <w:pPr>
              <w:pStyle w:val="yTable"/>
              <w:tabs>
                <w:tab w:val="left" w:pos="241"/>
              </w:tabs>
              <w:ind w:left="241" w:hanging="241"/>
            </w:pPr>
            <w:r>
              <w:tab/>
              <w:t>Monday to Friday 6 a.m. to 6 p.m.</w:t>
            </w:r>
          </w:p>
        </w:tc>
        <w:tc>
          <w:tcPr>
            <w:tcW w:w="992" w:type="dxa"/>
            <w:tcBorders>
              <w:top w:val="single" w:sz="4" w:space="0" w:color="auto"/>
              <w:left w:val="nil"/>
              <w:bottom w:val="single" w:sz="4" w:space="0" w:color="auto"/>
            </w:tcBorders>
          </w:tcPr>
          <w:p>
            <w:pPr>
              <w:pStyle w:val="yTable"/>
            </w:pPr>
          </w:p>
          <w:p>
            <w:pPr>
              <w:pStyle w:val="yTable"/>
            </w:pPr>
            <w:r>
              <w:br/>
              <w:t>$3.60</w:t>
            </w:r>
          </w:p>
        </w:tc>
        <w:tc>
          <w:tcPr>
            <w:tcW w:w="1560" w:type="dxa"/>
            <w:tcBorders>
              <w:top w:val="single" w:sz="4" w:space="0" w:color="auto"/>
              <w:bottom w:val="single" w:sz="4" w:space="0" w:color="auto"/>
            </w:tcBorders>
          </w:tcPr>
          <w:p>
            <w:pPr>
              <w:pStyle w:val="yTable"/>
            </w:pPr>
          </w:p>
          <w:p>
            <w:pPr>
              <w:pStyle w:val="yTable"/>
            </w:pPr>
            <w:r>
              <w:br/>
              <w:t>$1.47/km</w:t>
            </w:r>
          </w:p>
        </w:tc>
        <w:tc>
          <w:tcPr>
            <w:tcW w:w="1417" w:type="dxa"/>
            <w:tcBorders>
              <w:top w:val="single" w:sz="4" w:space="0" w:color="auto"/>
              <w:bottom w:val="single" w:sz="4" w:space="0" w:color="auto"/>
            </w:tcBorders>
          </w:tcPr>
          <w:p>
            <w:pPr>
              <w:pStyle w:val="yTable"/>
            </w:pPr>
          </w:p>
          <w:p>
            <w:pPr>
              <w:pStyle w:val="yTable"/>
            </w:pPr>
            <w:r>
              <w:br/>
              <w:t>$42.15/hour</w:t>
            </w:r>
          </w:p>
        </w:tc>
      </w:tr>
      <w:tr>
        <w:trPr>
          <w:cantSplit/>
        </w:trPr>
        <w:tc>
          <w:tcPr>
            <w:tcW w:w="2126" w:type="dxa"/>
            <w:tcBorders>
              <w:top w:val="single" w:sz="4" w:space="0" w:color="auto"/>
              <w:right w:val="single" w:sz="4" w:space="0" w:color="auto"/>
            </w:tcBorders>
          </w:tcPr>
          <w:p>
            <w:pPr>
              <w:pStyle w:val="yTable"/>
              <w:tabs>
                <w:tab w:val="left" w:pos="241"/>
              </w:tabs>
              <w:ind w:left="241" w:hanging="241"/>
            </w:pPr>
            <w:r>
              <w:rPr>
                <w:b/>
                <w:bCs/>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top w:val="single" w:sz="4" w:space="0" w:color="auto"/>
              <w:left w:val="nil"/>
            </w:tcBorders>
          </w:tcPr>
          <w:p>
            <w:pPr>
              <w:pStyle w:val="yTable"/>
            </w:pPr>
          </w:p>
          <w:p>
            <w:pPr>
              <w:pStyle w:val="yTable"/>
            </w:pPr>
            <w:r>
              <w:br/>
            </w:r>
          </w:p>
          <w:p>
            <w:pPr>
              <w:pStyle w:val="yTable"/>
            </w:pPr>
            <w:r>
              <w:br/>
            </w:r>
          </w:p>
          <w:p>
            <w:pPr>
              <w:pStyle w:val="yTable"/>
            </w:pPr>
            <w:r>
              <w:br/>
              <w:t>$5.20</w:t>
            </w:r>
          </w:p>
        </w:tc>
        <w:tc>
          <w:tcPr>
            <w:tcW w:w="1560" w:type="dxa"/>
            <w:tcBorders>
              <w:top w:val="single" w:sz="4" w:space="0" w:color="auto"/>
            </w:tcBorders>
          </w:tcPr>
          <w:p>
            <w:pPr>
              <w:pStyle w:val="yTable"/>
            </w:pPr>
          </w:p>
          <w:p>
            <w:pPr>
              <w:pStyle w:val="yTable"/>
            </w:pPr>
            <w:r>
              <w:br/>
            </w:r>
          </w:p>
          <w:p>
            <w:pPr>
              <w:pStyle w:val="yTable"/>
            </w:pPr>
            <w:r>
              <w:br/>
            </w:r>
          </w:p>
          <w:p>
            <w:pPr>
              <w:pStyle w:val="yTable"/>
            </w:pPr>
            <w:r>
              <w:br/>
              <w:t>$1.47/km</w:t>
            </w:r>
          </w:p>
        </w:tc>
        <w:tc>
          <w:tcPr>
            <w:tcW w:w="1417" w:type="dxa"/>
            <w:tcBorders>
              <w:top w:val="single" w:sz="4" w:space="0" w:color="auto"/>
            </w:tcBorders>
          </w:tcPr>
          <w:p>
            <w:pPr>
              <w:pStyle w:val="yTable"/>
            </w:pPr>
          </w:p>
          <w:p>
            <w:pPr>
              <w:pStyle w:val="yTable"/>
            </w:pPr>
            <w:r>
              <w:br/>
            </w:r>
          </w:p>
          <w:p>
            <w:pPr>
              <w:pStyle w:val="yTable"/>
            </w:pPr>
            <w:r>
              <w:br/>
            </w:r>
          </w:p>
          <w:p>
            <w:pPr>
              <w:pStyle w:val="yTable"/>
            </w:pPr>
            <w:r>
              <w:br/>
              <w:t>$42.15/hour</w:t>
            </w:r>
          </w:p>
        </w:tc>
      </w:tr>
      <w:tr>
        <w:trPr>
          <w:cantSplit/>
        </w:trPr>
        <w:tc>
          <w:tcPr>
            <w:tcW w:w="2126" w:type="dxa"/>
            <w:tcBorders>
              <w:bottom w:val="single" w:sz="4" w:space="0" w:color="auto"/>
              <w:right w:val="single" w:sz="4" w:space="0" w:color="auto"/>
            </w:tcBorders>
          </w:tcPr>
          <w:p>
            <w:pPr>
              <w:pStyle w:val="yTable"/>
              <w:tabs>
                <w:tab w:val="left" w:pos="241"/>
              </w:tabs>
              <w:ind w:left="241" w:hanging="241"/>
            </w:pPr>
            <w:r>
              <w:rPr>
                <w:b/>
                <w:bCs/>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560" w:type="dxa"/>
            <w:tcBorders>
              <w:bottom w:val="single" w:sz="4" w:space="0" w:color="auto"/>
            </w:tcBorders>
          </w:tcPr>
          <w:p>
            <w:pPr>
              <w:pStyle w:val="yTable"/>
            </w:pPr>
          </w:p>
          <w:p>
            <w:pPr>
              <w:pStyle w:val="yTable"/>
            </w:pPr>
            <w:r>
              <w:br/>
            </w:r>
            <w:r>
              <w:br/>
            </w:r>
            <w:r>
              <w:br/>
            </w:r>
            <w:r>
              <w:br/>
            </w:r>
            <w:r>
              <w:br/>
            </w:r>
            <w:r>
              <w:br/>
              <w:t>$2.20/km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40"/>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34" w:right="0"/>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118"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$0.90/km</w:t>
            </w:r>
          </w:p>
        </w:tc>
      </w:tr>
      <w:tr>
        <w:trPr>
          <w:cantSplit/>
        </w:trPr>
        <w:tc>
          <w:tcPr>
            <w:tcW w:w="3118"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r>
              <w:br/>
              <w:t>$1.35/km</w:t>
            </w:r>
          </w:p>
        </w:tc>
      </w:tr>
    </w:tbl>
    <w:p>
      <w:pPr>
        <w:pStyle w:val="yMiscellaneousHeading"/>
        <w:spacing w:before="240" w:after="40"/>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 xml:space="preserve">$42.15/hour </w:t>
            </w:r>
          </w:p>
        </w:tc>
      </w:tr>
      <w:tr>
        <w:tc>
          <w:tcPr>
            <w:tcW w:w="4252" w:type="dxa"/>
          </w:tcPr>
          <w:p>
            <w:pPr>
              <w:pStyle w:val="yTable"/>
              <w:tabs>
                <w:tab w:val="left" w:pos="241"/>
              </w:tabs>
              <w:ind w:left="241" w:hanging="241"/>
            </w:pPr>
            <w:r>
              <w:rPr>
                <w:b/>
                <w:bCs/>
              </w:rPr>
              <w:t>Call out fee</w:t>
            </w:r>
          </w:p>
        </w:tc>
        <w:tc>
          <w:tcPr>
            <w:tcW w:w="1843" w:type="dxa"/>
          </w:tcPr>
          <w:p>
            <w:pPr>
              <w:pStyle w:val="yTable"/>
            </w:pPr>
            <w:r>
              <w:t>$1.50</w:t>
            </w:r>
          </w:p>
        </w:tc>
      </w:tr>
      <w:tr>
        <w:trPr>
          <w:tblHeader/>
        </w:trPr>
        <w:tc>
          <w:tcPr>
            <w:tcW w:w="4252" w:type="dxa"/>
          </w:tcPr>
          <w:p>
            <w:pPr>
              <w:pStyle w:val="yTable"/>
              <w:keepNext/>
              <w:keepLines/>
              <w:tabs>
                <w:tab w:val="left" w:pos="241"/>
              </w:tabs>
              <w:ind w:left="241" w:hanging="241"/>
            </w:pPr>
            <w:r>
              <w:rPr>
                <w:b/>
                <w:bCs/>
              </w:rPr>
              <w:t>Surcharges</w:t>
            </w:r>
          </w:p>
        </w:tc>
        <w:tc>
          <w:tcPr>
            <w:tcW w:w="1843" w:type="dxa"/>
          </w:tcPr>
          <w:p>
            <w:pPr>
              <w:pStyle w:val="yTable"/>
              <w:keepNext/>
              <w:keepLines/>
            </w:pPr>
          </w:p>
        </w:tc>
      </w:tr>
      <w:tr>
        <w:tc>
          <w:tcPr>
            <w:tcW w:w="4252" w:type="dxa"/>
          </w:tcPr>
          <w:p>
            <w:pPr>
              <w:pStyle w:val="yTable"/>
              <w:keepNext/>
              <w:keepLines/>
              <w:tabs>
                <w:tab w:val="left" w:pos="241"/>
              </w:tabs>
              <w:ind w:left="241" w:hanging="241"/>
            </w:pPr>
            <w:r>
              <w:t>Ultra</w:t>
            </w:r>
            <w:r>
              <w:noBreakHyphen/>
              <w:t>Peak —</w:t>
            </w:r>
          </w:p>
          <w:p>
            <w:pPr>
              <w:pStyle w:val="yTable"/>
              <w:keepNext/>
              <w:keepLines/>
              <w:tabs>
                <w:tab w:val="left" w:pos="241"/>
              </w:tabs>
              <w:ind w:left="241" w:hanging="241"/>
            </w:pPr>
            <w:r>
              <w:tab/>
              <w:t>Between midnight Friday to 5 a.m. Saturday or midnight Saturday to 5 a.m. Sunday</w:t>
            </w:r>
          </w:p>
        </w:tc>
        <w:tc>
          <w:tcPr>
            <w:tcW w:w="1843" w:type="dxa"/>
          </w:tcPr>
          <w:p>
            <w:pPr>
              <w:pStyle w:val="yTable"/>
              <w:keepNext/>
              <w:keepLines/>
            </w:pPr>
          </w:p>
          <w:p>
            <w:pPr>
              <w:pStyle w:val="yTable"/>
              <w:keepNext/>
              <w:keepLines/>
            </w:pPr>
            <w:r>
              <w:br/>
            </w:r>
            <w:r>
              <w:br/>
              <w:t>$2.00</w:t>
            </w:r>
          </w:p>
        </w:tc>
      </w:tr>
      <w:tr>
        <w:tc>
          <w:tcPr>
            <w:tcW w:w="4252" w:type="dxa"/>
          </w:tcPr>
          <w:p>
            <w:pPr>
              <w:pStyle w:val="yTable"/>
              <w:tabs>
                <w:tab w:val="left" w:pos="241"/>
              </w:tabs>
              <w:ind w:left="241" w:hanging="241"/>
            </w:pPr>
            <w:r>
              <w:t>Christmas Day —</w:t>
            </w:r>
          </w:p>
          <w:p>
            <w:pPr>
              <w:pStyle w:val="yTable"/>
              <w:tabs>
                <w:tab w:val="left" w:pos="241"/>
              </w:tabs>
              <w:ind w:left="241" w:hanging="241"/>
            </w:pPr>
            <w:r>
              <w:tab/>
              <w:t>midnight to midnight</w:t>
            </w:r>
          </w:p>
        </w:tc>
        <w:tc>
          <w:tcPr>
            <w:tcW w:w="1843" w:type="dxa"/>
          </w:tcPr>
          <w:p>
            <w:pPr>
              <w:pStyle w:val="yTable"/>
            </w:pPr>
          </w:p>
          <w:p>
            <w:pPr>
              <w:pStyle w:val="yTable"/>
            </w:pPr>
            <w:r>
              <w:t>$4.40</w:t>
            </w:r>
          </w:p>
        </w:tc>
      </w:tr>
      <w:tr>
        <w:trPr>
          <w:cantSplit/>
          <w:trHeight w:val="20"/>
        </w:trPr>
        <w:tc>
          <w:tcPr>
            <w:tcW w:w="4252" w:type="dxa"/>
          </w:tcPr>
          <w:p>
            <w:pPr>
              <w:pStyle w:val="yTable"/>
              <w:tabs>
                <w:tab w:val="left" w:pos="241"/>
              </w:tabs>
              <w:ind w:left="241" w:hanging="241"/>
            </w:pPr>
            <w: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$4.90</w:t>
            </w:r>
          </w:p>
        </w:tc>
      </w:tr>
    </w:tbl>
    <w:p>
      <w:pPr>
        <w:pStyle w:val="yFootnotesection"/>
      </w:pPr>
      <w:r>
        <w:tab/>
        <w:t>[Division 6 inserted in Gazette 21 Dec 2007 p. 6336</w:t>
      </w:r>
      <w:r>
        <w:noBreakHyphen/>
        <w:t>7; amended in Gazette 31 Jul 2008 p. 3447</w:t>
      </w:r>
      <w:r>
        <w:noBreakHyphen/>
        <w:t>8; 17 Dec 2008 p. 5345</w:t>
      </w:r>
      <w:r>
        <w:noBreakHyphen/>
        <w:t>6.]</w:t>
      </w:r>
    </w:p>
    <w:p>
      <w:pPr>
        <w:pStyle w:val="yMiscellaneousHeading"/>
        <w:rPr>
          <w:b/>
          <w:bCs/>
        </w:r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2550" cy="5118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2550" cy="511810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51" w:name="_Toc185925046"/>
      <w:bookmarkStart w:id="152" w:name="_Toc205264019"/>
      <w:bookmarkStart w:id="153" w:name="_Toc205268148"/>
      <w:bookmarkStart w:id="154" w:name="_Toc217356698"/>
      <w:bookmarkStart w:id="155" w:name="_Toc219092341"/>
      <w:bookmarkStart w:id="156" w:name="_Toc219093006"/>
      <w:bookmarkStart w:id="157" w:name="_Toc221421995"/>
      <w:bookmarkStart w:id="158" w:name="_Toc221443537"/>
      <w:bookmarkStart w:id="159" w:name="_Toc221936238"/>
      <w:r>
        <w:rPr>
          <w:rStyle w:val="CharSchNo"/>
        </w:rPr>
        <w:t>Schedule 2</w:t>
      </w:r>
      <w:r>
        <w:rPr>
          <w:rStyle w:val="CharSDivNo"/>
        </w:rPr>
        <w:t> </w:t>
      </w:r>
      <w:r>
        <w:t>—</w:t>
      </w:r>
      <w:r>
        <w:rPr>
          <w:rStyle w:val="CharSDivText"/>
        </w:rPr>
        <w:t> </w:t>
      </w:r>
      <w:r>
        <w:rPr>
          <w:rStyle w:val="CharSchText"/>
        </w:rPr>
        <w:t>Modified penalties</w:t>
      </w:r>
      <w:bookmarkEnd w:id="71"/>
      <w:bookmarkEnd w:id="72"/>
      <w:bookmarkEnd w:id="151"/>
      <w:bookmarkEnd w:id="152"/>
      <w:bookmarkEnd w:id="153"/>
      <w:bookmarkEnd w:id="154"/>
      <w:bookmarkEnd w:id="155"/>
      <w:bookmarkEnd w:id="156"/>
      <w:bookmarkEnd w:id="157"/>
      <w:bookmarkEnd w:id="158"/>
      <w:bookmarkEnd w:id="159"/>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60" w:name="_Toc140635264"/>
      <w:bookmarkStart w:id="161" w:name="_Toc153266594"/>
      <w:bookmarkStart w:id="162" w:name="_Toc185925047"/>
      <w:bookmarkStart w:id="163" w:name="_Toc205264020"/>
      <w:bookmarkStart w:id="164" w:name="_Toc205268149"/>
      <w:bookmarkStart w:id="165" w:name="_Toc217356699"/>
      <w:bookmarkStart w:id="166" w:name="_Toc219092342"/>
      <w:bookmarkStart w:id="167" w:name="_Toc219093007"/>
      <w:bookmarkStart w:id="168" w:name="_Toc221421996"/>
      <w:bookmarkStart w:id="169" w:name="_Toc221443538"/>
      <w:bookmarkStart w:id="170" w:name="_Toc221936239"/>
      <w:r>
        <w:rPr>
          <w:rStyle w:val="CharSchNo"/>
        </w:rPr>
        <w:t>Schedule 3</w:t>
      </w:r>
      <w:r>
        <w:rPr>
          <w:rStyle w:val="CharSDivNo"/>
        </w:rPr>
        <w:t> </w:t>
      </w:r>
      <w:r>
        <w:t>—</w:t>
      </w:r>
      <w:r>
        <w:rPr>
          <w:rStyle w:val="CharSDivText"/>
        </w:rPr>
        <w:t> </w:t>
      </w:r>
      <w:r>
        <w:rPr>
          <w:rStyle w:val="CharSchText"/>
        </w:rPr>
        <w:t>Forms</w:t>
      </w:r>
      <w:bookmarkEnd w:id="160"/>
      <w:bookmarkEnd w:id="161"/>
      <w:bookmarkEnd w:id="162"/>
      <w:bookmarkEnd w:id="163"/>
      <w:bookmarkEnd w:id="164"/>
      <w:bookmarkEnd w:id="165"/>
      <w:bookmarkEnd w:id="166"/>
      <w:bookmarkEnd w:id="167"/>
      <w:bookmarkEnd w:id="168"/>
      <w:bookmarkEnd w:id="169"/>
      <w:bookmarkEnd w:id="170"/>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line.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2"/>
          <w:pgSz w:w="11906" w:h="16838" w:code="9"/>
          <w:pgMar w:top="2376" w:right="2405" w:bottom="3542" w:left="2405" w:header="706" w:footer="3380" w:gutter="0"/>
          <w:cols w:space="720"/>
          <w:noEndnote/>
          <w:docGrid w:linePitch="326"/>
        </w:sectPr>
      </w:pPr>
    </w:p>
    <w:p>
      <w:pPr>
        <w:pStyle w:val="nHeading2"/>
      </w:pPr>
      <w:bookmarkStart w:id="171" w:name="_Toc90434964"/>
      <w:bookmarkStart w:id="172" w:name="_Toc93999555"/>
      <w:bookmarkStart w:id="173" w:name="_Toc94065531"/>
      <w:bookmarkStart w:id="174" w:name="_Toc94065555"/>
      <w:bookmarkStart w:id="175" w:name="_Toc121125121"/>
      <w:bookmarkStart w:id="176" w:name="_Toc140570748"/>
      <w:bookmarkStart w:id="177" w:name="_Toc140635265"/>
      <w:bookmarkStart w:id="178" w:name="_Toc153266595"/>
      <w:bookmarkStart w:id="179" w:name="_Toc185925048"/>
      <w:bookmarkStart w:id="180" w:name="_Toc205264021"/>
      <w:bookmarkStart w:id="181" w:name="_Toc205268150"/>
      <w:bookmarkStart w:id="182" w:name="_Toc217356700"/>
      <w:bookmarkStart w:id="183" w:name="_Toc219092343"/>
      <w:bookmarkStart w:id="184" w:name="_Toc219093008"/>
      <w:bookmarkStart w:id="185" w:name="_Toc221421997"/>
      <w:bookmarkStart w:id="186" w:name="_Toc221443539"/>
      <w:bookmarkStart w:id="187" w:name="_Toc221936240"/>
      <w:r>
        <w:t>Notes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nSubsection"/>
        <w:rPr>
          <w:snapToGrid w:val="0"/>
        </w:rPr>
      </w:pPr>
      <w:bookmarkStart w:id="188" w:name="_Toc28498431"/>
      <w:r>
        <w:rPr>
          <w:snapToGrid w:val="0"/>
          <w:vertAlign w:val="superscript"/>
        </w:rPr>
        <w:t>1</w:t>
      </w:r>
      <w:r>
        <w:rPr>
          <w:snapToGrid w:val="0"/>
        </w:rPr>
        <w:tab/>
        <w:t xml:space="preserve">This reprint is a compilation as at 6 February 2009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9" w:name="_Toc221936241"/>
      <w:bookmarkEnd w:id="188"/>
      <w:r>
        <w:rPr>
          <w:snapToGrid w:val="0"/>
        </w:rP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Borders>
              <w:bottom w:val="single" w:sz="8" w:space="0" w:color="auto"/>
            </w:tcBorders>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Magistrates Court.  The reference was changed under the </w:t>
      </w:r>
      <w:r>
        <w:rPr>
          <w:i/>
          <w:iCs/>
        </w:rPr>
        <w:t>Reprints Act 1984</w:t>
      </w:r>
      <w:r>
        <w:t xml:space="preserve"> s. 7(5)(a).</w:t>
      </w:r>
    </w:p>
    <w:p>
      <w:pPr>
        <w:rPr>
          <w:noProof/>
          <w:snapToGrid w:val="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noProof/>
          <w:snapToGrid w:val="0"/>
        </w:rPr>
      </w:pPr>
    </w:p>
    <w:p>
      <w:pPr>
        <w:pStyle w:val="nHeading2"/>
        <w:rPr>
          <w:noProof/>
          <w:sz w:val="28"/>
        </w:rPr>
      </w:pPr>
      <w:bookmarkStart w:id="190" w:name="_Toc219093010"/>
      <w:bookmarkStart w:id="191" w:name="_Toc221421999"/>
      <w:bookmarkStart w:id="192" w:name="_Toc221443541"/>
      <w:bookmarkStart w:id="193" w:name="_Toc221936242"/>
      <w:r>
        <w:rPr>
          <w:noProof/>
          <w:sz w:val="28"/>
        </w:rPr>
        <w:t>Defined Terms</w:t>
      </w:r>
      <w:bookmarkEnd w:id="190"/>
      <w:bookmarkEnd w:id="191"/>
      <w:bookmarkEnd w:id="192"/>
      <w:bookmarkEnd w:id="193"/>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194" w:name="DefinedTerms"/>
      <w:bookmarkEnd w:id="194"/>
      <w:r>
        <w:rPr>
          <w:noProof/>
          <w:snapToGrid w:val="0"/>
        </w:rPr>
        <w:t>a 30 km radius</w:t>
      </w:r>
      <w:r>
        <w:rPr>
          <w:noProof/>
          <w:snapToGrid w:val="0"/>
        </w:rPr>
        <w:tab/>
        <w:t>3(4)</w:t>
      </w:r>
    </w:p>
    <w:p>
      <w:pPr>
        <w:pStyle w:val="DefinedTerms"/>
        <w:rPr>
          <w:noProof/>
          <w:snapToGrid w:val="0"/>
        </w:rPr>
      </w:pPr>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pStyle w:val="DefinedTerms"/>
        <w:rPr>
          <w:noProof/>
          <w:snapToGrid w:val="0"/>
        </w:r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p>
      <w:pPr>
        <w:rPr>
          <w:noProof/>
          <w:snapToGrid w:val="0"/>
        </w:rPr>
      </w:pPr>
    </w:p>
    <w:sectPr>
      <w:headerReference w:type="even" r:id="rId39"/>
      <w:headerReference w:type="default" r:id="rId4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4867</Words>
  <Characters>25117</Characters>
  <Application>Microsoft Office Word</Application>
  <DocSecurity>0</DocSecurity>
  <Lines>1569</Lines>
  <Paragraphs>832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29152</CharactersWithSpaces>
  <SharedDoc>false</SharedDoc>
  <HLinks>
    <vt:vector size="18" baseType="variant">
      <vt:variant>
        <vt:i4>3014716</vt:i4>
      </vt:variant>
      <vt:variant>
        <vt:i4>3167</vt:i4>
      </vt:variant>
      <vt:variant>
        <vt:i4>1025</vt:i4>
      </vt:variant>
      <vt:variant>
        <vt:i4>1</vt:i4>
      </vt:variant>
      <vt:variant>
        <vt:lpwstr>C:\Program Files\PCO DLL\Support\Crest.wpg</vt:lpwstr>
      </vt:variant>
      <vt:variant>
        <vt:lpwstr/>
      </vt:variant>
      <vt:variant>
        <vt:i4>5439608</vt:i4>
      </vt:variant>
      <vt:variant>
        <vt:i4>26063</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1991 - 02-a0-01</dc:title>
  <dc:subject/>
  <dc:creator/>
  <cp:keywords/>
  <dc:description/>
  <cp:lastModifiedBy>svcMRProcess</cp:lastModifiedBy>
  <cp:revision>4</cp:revision>
  <cp:lastPrinted>2009-02-10T03:10:00Z</cp:lastPrinted>
  <dcterms:created xsi:type="dcterms:W3CDTF">2018-09-10T09:13:00Z</dcterms:created>
  <dcterms:modified xsi:type="dcterms:W3CDTF">2018-09-10T09:13:00Z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20090206</vt:lpwstr>
  </property>
  <property fmtid="{D5CDD505-2E9C-101B-9397-08002B2CF9AE}" pid="4" name="DocumentType">
    <vt:lpwstr>Reg</vt:lpwstr>
  </property>
  <property fmtid="{D5CDD505-2E9C-101B-9397-08002B2CF9AE}" pid="5" name="OwlsUID">
    <vt:i4>4376</vt:i4>
  </property>
  <property fmtid="{D5CDD505-2E9C-101B-9397-08002B2CF9AE}" pid="6" name="AsAtDate">
    <vt:lpwstr>06 Feb 2009</vt:lpwstr>
  </property>
  <property fmtid="{D5CDD505-2E9C-101B-9397-08002B2CF9AE}" pid="7" name="Suffix">
    <vt:lpwstr>02-a0-01</vt:lpwstr>
  </property>
  <property fmtid="{D5CDD505-2E9C-101B-9397-08002B2CF9AE}" pid="8" name="ReprintNo">
    <vt:lpwstr>2</vt:lpwstr>
  </property>
</Properties>
</file>