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Solicitor-General Act 1969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Solicitor-General Act 1969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_Toc223493995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_Toc223493996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Solicitor</w:t>
      </w:r>
      <w:r>
        <w:rPr>
          <w:snapToGrid w:val="0"/>
          <w:szCs w:val="24"/>
        </w:rPr>
        <w:noBreakHyphen/>
        <w:t>General, appointment and qualifications</w:t>
      </w:r>
      <w:r>
        <w:tab/>
      </w:r>
      <w:r>
        <w:fldChar w:fldCharType="begin"/>
      </w:r>
      <w:r>
        <w:instrText xml:space="preserve"> PAGEREF _Toc223493997 \h </w:instrText>
      </w:r>
      <w:r>
        <w:fldChar w:fldCharType="separate"/>
      </w:r>
      <w:r>
        <w:t>1</w:t>
      </w:r>
      <w:r>
        <w:fldChar w:fldCharType="end"/>
      </w:r>
    </w:p>
    <w:p>
      <w:pPr>
        <w:pStyle w:val="TOC8"/>
        <w:rPr>
          <w:sz w:val="24"/>
          <w:szCs w:val="24"/>
        </w:rPr>
      </w:pPr>
      <w:r>
        <w:rPr>
          <w:szCs w:val="24"/>
        </w:rPr>
        <w:t>4.</w:t>
      </w:r>
      <w:r>
        <w:rPr>
          <w:szCs w:val="24"/>
        </w:rPr>
        <w:tab/>
        <w:t>Remuneration</w:t>
      </w:r>
      <w:r>
        <w:tab/>
      </w:r>
      <w:r>
        <w:fldChar w:fldCharType="begin"/>
      </w:r>
      <w:r>
        <w:instrText xml:space="preserve"> PAGEREF _Toc223493998 \h </w:instrText>
      </w:r>
      <w:r>
        <w:fldChar w:fldCharType="separate"/>
      </w:r>
      <w:r>
        <w:t>2</w:t>
      </w:r>
      <w:r>
        <w:fldChar w:fldCharType="end"/>
      </w:r>
    </w:p>
    <w:p>
      <w:pPr>
        <w:pStyle w:val="TOC8"/>
        <w:rPr>
          <w:sz w:val="24"/>
          <w:szCs w:val="24"/>
        </w:rPr>
      </w:pPr>
      <w:r>
        <w:rPr>
          <w:szCs w:val="24"/>
        </w:rPr>
        <w:t>4A.</w:t>
      </w:r>
      <w:r>
        <w:rPr>
          <w:szCs w:val="24"/>
        </w:rPr>
        <w:tab/>
        <w:t>Leave and other conditions of service</w:t>
      </w:r>
      <w:r>
        <w:tab/>
      </w:r>
      <w:r>
        <w:fldChar w:fldCharType="begin"/>
      </w:r>
      <w:r>
        <w:instrText xml:space="preserve"> PAGEREF _Toc223493999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Resignation</w:t>
      </w:r>
      <w:r>
        <w:tab/>
      </w:r>
      <w:r>
        <w:fldChar w:fldCharType="begin"/>
      </w:r>
      <w:r>
        <w:instrText xml:space="preserve"> PAGEREF _Toc223494000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Private practice prohibited except with approval</w:t>
      </w:r>
      <w:r>
        <w:tab/>
      </w:r>
      <w:r>
        <w:fldChar w:fldCharType="begin"/>
      </w:r>
      <w:r>
        <w:instrText xml:space="preserve"> PAGEREF _Toc223494001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Removal from office</w:t>
      </w:r>
      <w:r>
        <w:tab/>
      </w:r>
      <w:r>
        <w:fldChar w:fldCharType="begin"/>
      </w:r>
      <w:r>
        <w:instrText xml:space="preserve"> PAGEREF _Toc223494002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Acting Solicitor</w:t>
      </w:r>
      <w:r>
        <w:rPr>
          <w:snapToGrid w:val="0"/>
          <w:szCs w:val="24"/>
        </w:rPr>
        <w:noBreakHyphen/>
        <w:t>General</w:t>
      </w:r>
      <w:r>
        <w:tab/>
      </w:r>
      <w:r>
        <w:fldChar w:fldCharType="begin"/>
      </w:r>
      <w:r>
        <w:instrText xml:space="preserve"> PAGEREF _Toc223494003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Functions</w:t>
      </w:r>
      <w:r>
        <w:tab/>
      </w:r>
      <w:r>
        <w:fldChar w:fldCharType="begin"/>
      </w:r>
      <w:r>
        <w:instrText xml:space="preserve"> PAGEREF _Toc223494004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Certain rights as a public servant preserved</w:t>
      </w:r>
      <w:r>
        <w:tab/>
      </w:r>
      <w:r>
        <w:fldChar w:fldCharType="begin"/>
      </w:r>
      <w:r>
        <w:instrText xml:space="preserve"> PAGEREF _Toc223494005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Attorney General may delegate to Solicitor</w:t>
      </w:r>
      <w:r>
        <w:rPr>
          <w:snapToGrid w:val="0"/>
          <w:szCs w:val="24"/>
        </w:rPr>
        <w:noBreakHyphen/>
        <w:t>General</w:t>
      </w:r>
      <w:r>
        <w:tab/>
      </w:r>
      <w:r>
        <w:fldChar w:fldCharType="begin"/>
      </w:r>
      <w:r>
        <w:instrText xml:space="preserve"> PAGEREF _Toc223494006 \h </w:instrText>
      </w:r>
      <w:r>
        <w:fldChar w:fldCharType="separate"/>
      </w:r>
      <w:r>
        <w:t>5</w:t>
      </w:r>
      <w:r>
        <w:fldChar w:fldCharType="end"/>
      </w:r>
    </w:p>
    <w:p>
      <w:pPr>
        <w:pStyle w:val="TOC8"/>
        <w:rPr>
          <w:sz w:val="24"/>
          <w:szCs w:val="24"/>
        </w:rPr>
      </w:pPr>
      <w:r>
        <w:rPr>
          <w:szCs w:val="24"/>
        </w:rPr>
        <w:t>14.</w:t>
      </w:r>
      <w:r>
        <w:rPr>
          <w:szCs w:val="24"/>
        </w:rPr>
        <w:tab/>
        <w:t xml:space="preserve">Transitional matters for </w:t>
      </w:r>
      <w:r>
        <w:rPr>
          <w:i/>
          <w:szCs w:val="24"/>
        </w:rPr>
        <w:t>Solicitor</w:t>
      </w:r>
      <w:r>
        <w:rPr>
          <w:i/>
          <w:szCs w:val="24"/>
        </w:rPr>
        <w:noBreakHyphen/>
        <w:t>General Amendment Act 2006</w:t>
      </w:r>
      <w:r>
        <w:tab/>
      </w:r>
      <w:r>
        <w:fldChar w:fldCharType="begin"/>
      </w:r>
      <w:r>
        <w:instrText xml:space="preserve"> PAGEREF _Toc223494007 \h </w:instrText>
      </w:r>
      <w:r>
        <w:fldChar w:fldCharType="separate"/>
      </w:r>
      <w:r>
        <w:t>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_Toc223494009 \h </w:instrText>
      </w:r>
      <w:r>
        <w:fldChar w:fldCharType="separate"/>
      </w:r>
      <w:r>
        <w:t>7</w:t>
      </w:r>
      <w:r>
        <w:fldChar w:fldCharType="end"/>
      </w:r>
    </w:p>
    <w:p>
      <w:pPr>
        <w:pStyle w:val="TOC8"/>
        <w:rPr>
          <w:sz w:val="24"/>
        </w:rPr>
      </w:pPr>
      <w:r>
        <w:rPr>
          <w:snapToGrid w:val="0"/>
        </w:rPr>
        <w:tab/>
        <w:t>Provisions that have not come into operation</w:t>
      </w:r>
      <w:r>
        <w:tab/>
      </w:r>
      <w:r>
        <w:fldChar w:fldCharType="begin"/>
      </w:r>
      <w:r>
        <w:instrText xml:space="preserve"> PAGEREF _Toc223494010 \h </w:instrText>
      </w:r>
      <w:r>
        <w:fldChar w:fldCharType="separate"/>
      </w:r>
      <w:r>
        <w:t>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Solicitor</w:t>
      </w:r>
      <w:r>
        <w:noBreakHyphen/>
        <w:t xml:space="preserve">General Act 1969 </w:t>
      </w:r>
    </w:p>
    <w:p>
      <w:pPr>
        <w:pStyle w:val="LongTitle"/>
        <w:rPr>
          <w:snapToGrid w:val="0"/>
        </w:rPr>
      </w:pPr>
      <w:r>
        <w:rPr>
          <w:snapToGrid w:val="0"/>
        </w:rPr>
        <w:t>An Act relating to the office of Solicitor</w:t>
      </w:r>
      <w:r>
        <w:rPr>
          <w:snapToGrid w:val="0"/>
        </w:rPr>
        <w:noBreakHyphen/>
        <w:t xml:space="preserve">General of the State of Western Australia. </w:t>
      </w:r>
    </w:p>
    <w:p>
      <w:pPr>
        <w:pStyle w:val="Heading5"/>
        <w:rPr>
          <w:snapToGrid w:val="0"/>
        </w:rPr>
      </w:pPr>
      <w:bookmarkStart w:id="1" w:name="_Toc223493995"/>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vertAlign w:val="superscript"/>
        </w:rPr>
        <w:t> 1</w:t>
      </w:r>
      <w:r>
        <w:rPr>
          <w:snapToGrid w:val="0"/>
        </w:rPr>
        <w:t>.</w:t>
      </w:r>
    </w:p>
    <w:p>
      <w:pPr>
        <w:pStyle w:val="Heading5"/>
        <w:rPr>
          <w:snapToGrid w:val="0"/>
        </w:rPr>
      </w:pPr>
      <w:bookmarkStart w:id="2" w:name="_Toc223493996"/>
      <w:r>
        <w:rPr>
          <w:rStyle w:val="CharSectno"/>
        </w:rPr>
        <w:t>2</w:t>
      </w:r>
      <w:r>
        <w:rPr>
          <w:snapToGrid w:val="0"/>
        </w:rPr>
        <w:t>.</w:t>
      </w:r>
      <w:r>
        <w:rPr>
          <w:snapToGrid w:val="0"/>
        </w:rPr>
        <w:tab/>
        <w:t>Terms used in this Act</w:t>
      </w:r>
      <w:bookmarkEnd w:id="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Attorney General</w:t>
      </w:r>
      <w:r>
        <w:t xml:space="preserve"> includes, where there is a vacancy in the office of Attorney General the person holding office as the Minister for Justice;</w:t>
      </w:r>
    </w:p>
    <w:p>
      <w:pPr>
        <w:pStyle w:val="Defstart"/>
      </w:pPr>
      <w:r>
        <w:rPr>
          <w:b/>
        </w:rPr>
        <w:tab/>
      </w:r>
      <w:r>
        <w:rPr>
          <w:rStyle w:val="CharDefText"/>
        </w:rPr>
        <w:t>Solicitor</w:t>
      </w:r>
      <w:r>
        <w:rPr>
          <w:rStyle w:val="CharDefText"/>
        </w:rPr>
        <w:noBreakHyphen/>
        <w:t>General</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rStyle w:val="CharDefText"/>
        </w:rPr>
        <w:t>Solicitor</w:t>
      </w:r>
      <w:r>
        <w:rPr>
          <w:rStyle w:val="CharDefText"/>
        </w:rPr>
        <w:noBreakHyphen/>
        <w:t>General</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by No. 57 of 1997 s. 112(1); No. 29 of 2006 s. 4.]</w:t>
      </w:r>
    </w:p>
    <w:p>
      <w:pPr>
        <w:pStyle w:val="Heading5"/>
        <w:rPr>
          <w:snapToGrid w:val="0"/>
        </w:rPr>
      </w:pPr>
      <w:bookmarkStart w:id="3" w:name="_Toc223493997"/>
      <w:r>
        <w:rPr>
          <w:rStyle w:val="CharSectno"/>
        </w:rPr>
        <w:t>3</w:t>
      </w:r>
      <w:r>
        <w:rPr>
          <w:snapToGrid w:val="0"/>
        </w:rPr>
        <w:t>.</w:t>
      </w:r>
      <w:r>
        <w:rPr>
          <w:snapToGrid w:val="0"/>
        </w:rPr>
        <w:tab/>
        <w:t>Solicitor</w:t>
      </w:r>
      <w:r>
        <w:rPr>
          <w:snapToGrid w:val="0"/>
        </w:rPr>
        <w:noBreakHyphen/>
        <w:t>General, appointment and qualifications</w:t>
      </w:r>
      <w:bookmarkEnd w:id="3"/>
      <w:r>
        <w:rPr>
          <w:snapToGrid w:val="0"/>
        </w:rPr>
        <w:t xml:space="preserve"> </w:t>
      </w:r>
    </w:p>
    <w:p>
      <w:pPr>
        <w:pStyle w:val="Subsection"/>
      </w:pPr>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tab/>
        <w:t>(2)</w:t>
      </w:r>
      <w:r>
        <w:tab/>
        <w:t>A person is eligible for appointment as Solicitor</w:t>
      </w:r>
      <w:r>
        <w:noBreakHyphen/>
        <w:t>General if that person is an Australian lawyer and has had not less than 8 years’ legal experience.</w:t>
      </w:r>
    </w:p>
    <w:p>
      <w:pPr>
        <w:pStyle w:val="Subsection"/>
      </w:pPr>
      <w:r>
        <w:tab/>
        <w:t>(3)</w:t>
      </w:r>
      <w:r>
        <w:tab/>
        <w:t xml:space="preserve">In subsection (2)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 xml:space="preserve">standing and practice as an Australian legal practitioner within the meaning of that term in the </w:t>
      </w:r>
      <w:r>
        <w:rPr>
          <w:i/>
          <w:iCs/>
        </w:rPr>
        <w:t>Legal Profession Act 2008</w:t>
      </w:r>
      <w:r>
        <w:t xml:space="preserve"> section 3;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3 amended by No. 65 of 2003 s. 118; No. 29 of 2006 s. 5; No. 21 of 2008 s. 705.]</w:t>
      </w:r>
    </w:p>
    <w:p>
      <w:pPr>
        <w:pStyle w:val="Heading5"/>
      </w:pPr>
      <w:bookmarkStart w:id="4" w:name="_Toc223493998"/>
      <w:r>
        <w:rPr>
          <w:rStyle w:val="CharSectno"/>
        </w:rPr>
        <w:t>4</w:t>
      </w:r>
      <w:r>
        <w:t>.</w:t>
      </w:r>
      <w:r>
        <w:tab/>
        <w:t>Remuneration</w:t>
      </w:r>
      <w:bookmarkEnd w:id="4"/>
    </w:p>
    <w:p>
      <w:pPr>
        <w:pStyle w:val="Subsection"/>
      </w:pPr>
      <w:r>
        <w:tab/>
        <w:t>(1)</w:t>
      </w:r>
      <w:r>
        <w:tab/>
        <w:t xml:space="preserve">In this section — </w:t>
      </w:r>
    </w:p>
    <w:p>
      <w:pPr>
        <w:pStyle w:val="Defstart"/>
      </w:pPr>
      <w:r>
        <w:rPr>
          <w:b/>
        </w:rPr>
        <w:tab/>
      </w:r>
      <w:r>
        <w:rPr>
          <w:rStyle w:val="CharDefText"/>
        </w:rPr>
        <w:t>remuneration</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by No. 29 of 2006 s. 6.]</w:t>
      </w:r>
    </w:p>
    <w:p>
      <w:pPr>
        <w:pStyle w:val="Heading5"/>
      </w:pPr>
      <w:bookmarkStart w:id="5" w:name="_Toc223493999"/>
      <w:r>
        <w:rPr>
          <w:rStyle w:val="CharSectno"/>
        </w:rPr>
        <w:t>4A</w:t>
      </w:r>
      <w:r>
        <w:t>.</w:t>
      </w:r>
      <w:r>
        <w:tab/>
        <w:t>Leave and other conditions of service</w:t>
      </w:r>
      <w:bookmarkEnd w:id="5"/>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by No. 29 of 2006 s. 6.]</w:t>
      </w:r>
    </w:p>
    <w:p>
      <w:pPr>
        <w:pStyle w:val="Heading5"/>
        <w:rPr>
          <w:snapToGrid w:val="0"/>
        </w:rPr>
      </w:pPr>
      <w:bookmarkStart w:id="6" w:name="_Toc223494000"/>
      <w:r>
        <w:rPr>
          <w:rStyle w:val="CharSectno"/>
        </w:rPr>
        <w:t>5</w:t>
      </w:r>
      <w:r>
        <w:rPr>
          <w:snapToGrid w:val="0"/>
        </w:rPr>
        <w:t>.</w:t>
      </w:r>
      <w:r>
        <w:rPr>
          <w:snapToGrid w:val="0"/>
        </w:rPr>
        <w:tab/>
        <w:t>Resignation</w:t>
      </w:r>
      <w:bookmarkEnd w:id="6"/>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deleted]</w:t>
      </w:r>
    </w:p>
    <w:p>
      <w:pPr>
        <w:pStyle w:val="Footnotesection"/>
      </w:pPr>
      <w:r>
        <w:tab/>
        <w:t>[Section 5 amended by No. 29 of 2006 s. 7.]</w:t>
      </w:r>
    </w:p>
    <w:p>
      <w:pPr>
        <w:pStyle w:val="Heading5"/>
        <w:rPr>
          <w:snapToGrid w:val="0"/>
        </w:rPr>
      </w:pPr>
      <w:bookmarkStart w:id="7" w:name="_Toc223494001"/>
      <w:r>
        <w:rPr>
          <w:rStyle w:val="CharSectno"/>
        </w:rPr>
        <w:t>6</w:t>
      </w:r>
      <w:r>
        <w:rPr>
          <w:snapToGrid w:val="0"/>
        </w:rPr>
        <w:t>.</w:t>
      </w:r>
      <w:r>
        <w:rPr>
          <w:snapToGrid w:val="0"/>
        </w:rPr>
        <w:tab/>
        <w:t>Private practice prohibited except with approval</w:t>
      </w:r>
      <w:bookmarkEnd w:id="7"/>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8" w:name="_Toc223494002"/>
      <w:r>
        <w:rPr>
          <w:rStyle w:val="CharSectno"/>
        </w:rPr>
        <w:t>7</w:t>
      </w:r>
      <w:r>
        <w:rPr>
          <w:snapToGrid w:val="0"/>
        </w:rPr>
        <w:t>.</w:t>
      </w:r>
      <w:r>
        <w:rPr>
          <w:snapToGrid w:val="0"/>
        </w:rPr>
        <w:tab/>
        <w:t>Removal from office</w:t>
      </w:r>
      <w:bookmarkEnd w:id="8"/>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w:t>
      </w:r>
    </w:p>
    <w:p>
      <w:pPr>
        <w:pStyle w:val="Indenta"/>
        <w:rPr>
          <w:snapToGrid w:val="0"/>
        </w:rPr>
      </w:pPr>
      <w:r>
        <w:rPr>
          <w:snapToGrid w:val="0"/>
        </w:rPr>
        <w:tab/>
        <w:t>(b)</w:t>
      </w:r>
      <w:r>
        <w:rPr>
          <w:snapToGrid w:val="0"/>
        </w:rPr>
        <w:tab/>
        <w:t>is guilty of misbehaviour; or</w:t>
      </w:r>
    </w:p>
    <w:p>
      <w:pPr>
        <w:pStyle w:val="Indenta"/>
        <w:rPr>
          <w:snapToGrid w:val="0"/>
        </w:rPr>
      </w:pPr>
      <w:r>
        <w:rPr>
          <w:snapToGrid w:val="0"/>
        </w:rPr>
        <w:tab/>
        <w:t>(c)</w:t>
      </w:r>
      <w:r>
        <w:rPr>
          <w:snapToGrid w:val="0"/>
        </w:rPr>
        <w:tab/>
        <w:t>becomes bankrupt or insolvent, applies to take the benefit of any law for the relief of bankrupt or insolvent debtors, compounds with his creditors or makes an assignment of his salary for their benefit.</w:t>
      </w:r>
    </w:p>
    <w:p>
      <w:pPr>
        <w:pStyle w:val="Heading5"/>
        <w:rPr>
          <w:snapToGrid w:val="0"/>
        </w:rPr>
      </w:pPr>
      <w:bookmarkStart w:id="9" w:name="_Toc223494003"/>
      <w:r>
        <w:rPr>
          <w:rStyle w:val="CharSectno"/>
        </w:rPr>
        <w:t>8</w:t>
      </w:r>
      <w:r>
        <w:rPr>
          <w:snapToGrid w:val="0"/>
        </w:rPr>
        <w:t>.</w:t>
      </w:r>
      <w:r>
        <w:rPr>
          <w:snapToGrid w:val="0"/>
        </w:rPr>
        <w:tab/>
        <w:t>Acting Solicitor</w:t>
      </w:r>
      <w:r>
        <w:rPr>
          <w:snapToGrid w:val="0"/>
        </w:rPr>
        <w:noBreakHyphen/>
        <w:t>General</w:t>
      </w:r>
      <w:bookmarkEnd w:id="9"/>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by No. 29 of 2006 s. 8.]</w:t>
      </w:r>
    </w:p>
    <w:p>
      <w:pPr>
        <w:pStyle w:val="Heading5"/>
        <w:rPr>
          <w:snapToGrid w:val="0"/>
        </w:rPr>
      </w:pPr>
      <w:bookmarkStart w:id="10" w:name="_Toc223494004"/>
      <w:r>
        <w:rPr>
          <w:rStyle w:val="CharSectno"/>
        </w:rPr>
        <w:t>9</w:t>
      </w:r>
      <w:r>
        <w:rPr>
          <w:snapToGrid w:val="0"/>
        </w:rPr>
        <w:t>.</w:t>
      </w:r>
      <w:r>
        <w:rPr>
          <w:snapToGrid w:val="0"/>
        </w:rPr>
        <w:tab/>
        <w:t>Functions</w:t>
      </w:r>
      <w:bookmarkEnd w:id="10"/>
      <w:r>
        <w:rPr>
          <w:snapToGrid w:val="0"/>
        </w:rPr>
        <w:t xml:space="preserve"> </w:t>
      </w:r>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by No. 57 of 1997 s. 112(2).]</w:t>
      </w:r>
    </w:p>
    <w:p>
      <w:pPr>
        <w:pStyle w:val="Heading5"/>
        <w:rPr>
          <w:snapToGrid w:val="0"/>
        </w:rPr>
      </w:pPr>
      <w:bookmarkStart w:id="11" w:name="_Toc223494005"/>
      <w:r>
        <w:rPr>
          <w:rStyle w:val="CharSectno"/>
        </w:rPr>
        <w:t>10</w:t>
      </w:r>
      <w:r>
        <w:rPr>
          <w:snapToGrid w:val="0"/>
        </w:rPr>
        <w:t>.</w:t>
      </w:r>
      <w:r>
        <w:rPr>
          <w:snapToGrid w:val="0"/>
        </w:rPr>
        <w:tab/>
        <w:t>Certain rights as a public servant preserved</w:t>
      </w:r>
      <w:bookmarkEnd w:id="11"/>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iCs/>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deleted]</w:t>
      </w:r>
    </w:p>
    <w:p>
      <w:pPr>
        <w:pStyle w:val="Footnotesection"/>
      </w:pPr>
      <w:r>
        <w:tab/>
        <w:t xml:space="preserve">[Section 10 amended by No. 69 of 1979 s. 3; No. 29 of 2006 s. 9.] </w:t>
      </w:r>
    </w:p>
    <w:p>
      <w:pPr>
        <w:pStyle w:val="Ednotesection"/>
      </w:pPr>
      <w:r>
        <w:t>[</w:t>
      </w:r>
      <w:r>
        <w:rPr>
          <w:b/>
        </w:rPr>
        <w:t>11, 12.</w:t>
      </w:r>
      <w:r>
        <w:rPr>
          <w:b/>
        </w:rPr>
        <w:tab/>
      </w:r>
      <w:r>
        <w:t>Deleted by No. 29 of 2006 s. 10.]</w:t>
      </w:r>
    </w:p>
    <w:p>
      <w:pPr>
        <w:pStyle w:val="Heading5"/>
        <w:rPr>
          <w:snapToGrid w:val="0"/>
        </w:rPr>
      </w:pPr>
      <w:bookmarkStart w:id="12" w:name="_Toc223494006"/>
      <w:r>
        <w:rPr>
          <w:rStyle w:val="CharSectno"/>
        </w:rPr>
        <w:t>13</w:t>
      </w:r>
      <w:r>
        <w:rPr>
          <w:snapToGrid w:val="0"/>
        </w:rPr>
        <w:t>.</w:t>
      </w:r>
      <w:r>
        <w:rPr>
          <w:snapToGrid w:val="0"/>
        </w:rPr>
        <w:tab/>
        <w:t>Attorney General may delegate to Solicitor</w:t>
      </w:r>
      <w:r>
        <w:rPr>
          <w:snapToGrid w:val="0"/>
        </w:rPr>
        <w:noBreakHyphen/>
        <w:t>General</w:t>
      </w:r>
      <w:bookmarkEnd w:id="12"/>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by No. 57 of 1997 s. 112(2).]</w:t>
      </w:r>
    </w:p>
    <w:p>
      <w:pPr>
        <w:pStyle w:val="Heading5"/>
      </w:pPr>
      <w:bookmarkStart w:id="13" w:name="_Toc223494007"/>
      <w:r>
        <w:rPr>
          <w:rStyle w:val="CharSectno"/>
        </w:rPr>
        <w:t>14</w:t>
      </w:r>
      <w:r>
        <w:t>.</w:t>
      </w:r>
      <w:r>
        <w:tab/>
        <w:t xml:space="preserve">Transitional matters for </w:t>
      </w:r>
      <w:r>
        <w:rPr>
          <w:i/>
        </w:rPr>
        <w:t>Solicitor</w:t>
      </w:r>
      <w:r>
        <w:rPr>
          <w:i/>
        </w:rPr>
        <w:noBreakHyphen/>
        <w:t>General Amendment Act 2006</w:t>
      </w:r>
      <w:bookmarkEnd w:id="13"/>
    </w:p>
    <w:p>
      <w:pPr>
        <w:pStyle w:val="Subsection"/>
      </w:pPr>
      <w:r>
        <w:tab/>
        <w:t>(1)</w:t>
      </w:r>
      <w:r>
        <w:tab/>
        <w:t xml:space="preserve">In this section — </w:t>
      </w:r>
    </w:p>
    <w:p>
      <w:pPr>
        <w:pStyle w:val="Defstart"/>
      </w:pPr>
      <w:r>
        <w:rPr>
          <w:b/>
        </w:rPr>
        <w:tab/>
      </w:r>
      <w:r>
        <w:rPr>
          <w:rStyle w:val="CharDefText"/>
        </w:rPr>
        <w:t>amended Act</w:t>
      </w:r>
      <w:r>
        <w:t xml:space="preserve"> means this Act as amended by the </w:t>
      </w:r>
      <w:r>
        <w:rPr>
          <w:i/>
        </w:rPr>
        <w:t>Solicitor</w:t>
      </w:r>
      <w:r>
        <w:rPr>
          <w:i/>
        </w:rPr>
        <w:noBreakHyphen/>
        <w:t>General Amendment Act 2006</w:t>
      </w:r>
      <w:r>
        <w:t>;</w:t>
      </w:r>
    </w:p>
    <w:p>
      <w:pPr>
        <w:pStyle w:val="Defstart"/>
      </w:pPr>
      <w:r>
        <w:rPr>
          <w:b/>
        </w:rPr>
        <w:tab/>
      </w:r>
      <w:r>
        <w:rPr>
          <w:rStyle w:val="CharDefText"/>
        </w:rPr>
        <w:t>current Solicitor</w:t>
      </w:r>
      <w:r>
        <w:rPr>
          <w:rStyle w:val="CharDefText"/>
        </w:rPr>
        <w:noBreakHyphen/>
        <w:t>General</w:t>
      </w:r>
      <w:r>
        <w:t xml:space="preserve"> means the Solicitor</w:t>
      </w:r>
      <w:r>
        <w:noBreakHyphen/>
        <w:t>General holding office immediately before 18 July 2006;</w:t>
      </w:r>
    </w:p>
    <w:p>
      <w:pPr>
        <w:pStyle w:val="Defstart"/>
      </w:pPr>
      <w:r>
        <w:rPr>
          <w:b/>
        </w:rPr>
        <w:tab/>
      </w:r>
      <w:r>
        <w:rPr>
          <w:rStyle w:val="CharDefText"/>
        </w:rPr>
        <w:t>former Act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by No. 29 of 2006 s. 11.]</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4" w:name="_Toc190760627"/>
      <w:bookmarkStart w:id="15" w:name="_Toc199814282"/>
      <w:bookmarkStart w:id="16" w:name="_Toc223494008"/>
      <w:r>
        <w:t>Notes</w:t>
      </w:r>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Solicitor-General Act 1969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b w:val="0"/>
          <w:snapToGrid w:val="0"/>
        </w:rPr>
      </w:pPr>
      <w:bookmarkStart w:id="17" w:name="_Toc223494009"/>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70" w:after="70"/>
              <w:rPr>
                <w:b/>
                <w:sz w:val="19"/>
              </w:rPr>
            </w:pPr>
            <w:r>
              <w:rPr>
                <w:b/>
                <w:sz w:val="19"/>
              </w:rPr>
              <w:t>Short title</w:t>
            </w:r>
          </w:p>
        </w:tc>
        <w:tc>
          <w:tcPr>
            <w:tcW w:w="1134" w:type="dxa"/>
            <w:tcBorders>
              <w:top w:val="single" w:sz="8" w:space="0" w:color="auto"/>
              <w:bottom w:val="single" w:sz="8" w:space="0" w:color="auto"/>
            </w:tcBorders>
          </w:tcPr>
          <w:p>
            <w:pPr>
              <w:pStyle w:val="nTable"/>
              <w:spacing w:before="70" w:after="70"/>
              <w:rPr>
                <w:b/>
                <w:sz w:val="19"/>
              </w:rPr>
            </w:pPr>
            <w:r>
              <w:rPr>
                <w:b/>
                <w:sz w:val="19"/>
              </w:rPr>
              <w:t>Number and year</w:t>
            </w:r>
          </w:p>
        </w:tc>
        <w:tc>
          <w:tcPr>
            <w:tcW w:w="1134" w:type="dxa"/>
            <w:tcBorders>
              <w:top w:val="single" w:sz="8" w:space="0" w:color="auto"/>
              <w:bottom w:val="single" w:sz="8" w:space="0" w:color="auto"/>
            </w:tcBorders>
          </w:tcPr>
          <w:p>
            <w:pPr>
              <w:pStyle w:val="nTable"/>
              <w:spacing w:before="70" w:after="70"/>
              <w:rPr>
                <w:b/>
                <w:sz w:val="19"/>
              </w:rPr>
            </w:pPr>
            <w:r>
              <w:rPr>
                <w:b/>
                <w:sz w:val="19"/>
              </w:rPr>
              <w:t>Assent</w:t>
            </w:r>
          </w:p>
        </w:tc>
        <w:tc>
          <w:tcPr>
            <w:tcW w:w="2551" w:type="dxa"/>
            <w:tcBorders>
              <w:top w:val="single" w:sz="8" w:space="0" w:color="auto"/>
              <w:bottom w:val="single" w:sz="8" w:space="0" w:color="auto"/>
            </w:tcBorders>
          </w:tcPr>
          <w:p>
            <w:pPr>
              <w:pStyle w:val="nTable"/>
              <w:spacing w:before="70" w:after="70"/>
              <w:rPr>
                <w:b/>
                <w:sz w:val="19"/>
              </w:rPr>
            </w:pPr>
            <w:r>
              <w:rPr>
                <w:b/>
                <w:sz w:val="19"/>
              </w:rPr>
              <w:t>Commencement</w:t>
            </w:r>
          </w:p>
        </w:tc>
      </w:tr>
      <w:tr>
        <w:tc>
          <w:tcPr>
            <w:tcW w:w="2268" w:type="dxa"/>
          </w:tcPr>
          <w:p>
            <w:pPr>
              <w:pStyle w:val="nTable"/>
              <w:spacing w:before="70" w:after="70"/>
              <w:rPr>
                <w:i/>
                <w:sz w:val="19"/>
              </w:rPr>
            </w:pPr>
            <w:r>
              <w:rPr>
                <w:i/>
                <w:sz w:val="19"/>
              </w:rPr>
              <w:t>Solicitor</w:t>
            </w:r>
            <w:r>
              <w:rPr>
                <w:i/>
                <w:sz w:val="19"/>
              </w:rPr>
              <w:noBreakHyphen/>
              <w:t>General Act 1969</w:t>
            </w:r>
          </w:p>
        </w:tc>
        <w:tc>
          <w:tcPr>
            <w:tcW w:w="1134" w:type="dxa"/>
          </w:tcPr>
          <w:p>
            <w:pPr>
              <w:pStyle w:val="nTable"/>
              <w:spacing w:before="70" w:after="70"/>
              <w:rPr>
                <w:sz w:val="19"/>
              </w:rPr>
            </w:pPr>
            <w:r>
              <w:rPr>
                <w:sz w:val="19"/>
              </w:rPr>
              <w:t>38 of 1969</w:t>
            </w:r>
          </w:p>
        </w:tc>
        <w:tc>
          <w:tcPr>
            <w:tcW w:w="1134" w:type="dxa"/>
          </w:tcPr>
          <w:p>
            <w:pPr>
              <w:pStyle w:val="nTable"/>
              <w:spacing w:before="70" w:after="70"/>
              <w:rPr>
                <w:sz w:val="19"/>
              </w:rPr>
            </w:pPr>
            <w:r>
              <w:rPr>
                <w:sz w:val="19"/>
              </w:rPr>
              <w:t>19 May 1969</w:t>
            </w:r>
          </w:p>
        </w:tc>
        <w:tc>
          <w:tcPr>
            <w:tcW w:w="2551" w:type="dxa"/>
          </w:tcPr>
          <w:p>
            <w:pPr>
              <w:pStyle w:val="nTable"/>
              <w:spacing w:before="70" w:after="70"/>
              <w:rPr>
                <w:sz w:val="19"/>
              </w:rPr>
            </w:pPr>
            <w:r>
              <w:rPr>
                <w:sz w:val="19"/>
              </w:rPr>
              <w:t>19 May 1969</w:t>
            </w:r>
          </w:p>
        </w:tc>
      </w:tr>
      <w:tr>
        <w:tc>
          <w:tcPr>
            <w:tcW w:w="2268" w:type="dxa"/>
          </w:tcPr>
          <w:p>
            <w:pPr>
              <w:pStyle w:val="nTable"/>
              <w:spacing w:before="70" w:after="70"/>
              <w:rPr>
                <w:i/>
                <w:sz w:val="19"/>
              </w:rPr>
            </w:pPr>
            <w:r>
              <w:rPr>
                <w:i/>
                <w:sz w:val="19"/>
              </w:rPr>
              <w:t xml:space="preserve">Acts Amendment (Judicial Salaries and Pensions) Act 1976 </w:t>
            </w:r>
            <w:r>
              <w:rPr>
                <w:sz w:val="19"/>
              </w:rPr>
              <w:t>Pt. II</w:t>
            </w:r>
          </w:p>
        </w:tc>
        <w:tc>
          <w:tcPr>
            <w:tcW w:w="1134" w:type="dxa"/>
          </w:tcPr>
          <w:p>
            <w:pPr>
              <w:pStyle w:val="nTable"/>
              <w:spacing w:before="70" w:after="70"/>
              <w:rPr>
                <w:sz w:val="19"/>
              </w:rPr>
            </w:pPr>
            <w:r>
              <w:rPr>
                <w:sz w:val="19"/>
              </w:rPr>
              <w:t>125 of 1976</w:t>
            </w:r>
          </w:p>
        </w:tc>
        <w:tc>
          <w:tcPr>
            <w:tcW w:w="1134" w:type="dxa"/>
          </w:tcPr>
          <w:p>
            <w:pPr>
              <w:pStyle w:val="nTable"/>
              <w:spacing w:before="70" w:after="70"/>
              <w:rPr>
                <w:sz w:val="19"/>
              </w:rPr>
            </w:pPr>
            <w:r>
              <w:rPr>
                <w:sz w:val="19"/>
              </w:rPr>
              <w:t>2 Dec 1976</w:t>
            </w:r>
          </w:p>
        </w:tc>
        <w:tc>
          <w:tcPr>
            <w:tcW w:w="2551" w:type="dxa"/>
          </w:tcPr>
          <w:p>
            <w:pPr>
              <w:pStyle w:val="nTable"/>
              <w:spacing w:before="70" w:after="70"/>
              <w:rPr>
                <w:sz w:val="19"/>
              </w:rPr>
            </w:pPr>
            <w:r>
              <w:rPr>
                <w:sz w:val="19"/>
              </w:rPr>
              <w:t>1 Jan 1977 (see s. 2)</w:t>
            </w:r>
          </w:p>
        </w:tc>
      </w:tr>
      <w:tr>
        <w:tc>
          <w:tcPr>
            <w:tcW w:w="2268" w:type="dxa"/>
          </w:tcPr>
          <w:p>
            <w:pPr>
              <w:pStyle w:val="nTable"/>
              <w:spacing w:before="70" w:after="70"/>
              <w:rPr>
                <w:i/>
                <w:sz w:val="19"/>
              </w:rPr>
            </w:pPr>
            <w:r>
              <w:rPr>
                <w:i/>
                <w:sz w:val="19"/>
              </w:rPr>
              <w:t xml:space="preserve">Solicitor-General Act Amendment Act 1979 </w:t>
            </w:r>
          </w:p>
        </w:tc>
        <w:tc>
          <w:tcPr>
            <w:tcW w:w="1134" w:type="dxa"/>
          </w:tcPr>
          <w:p>
            <w:pPr>
              <w:pStyle w:val="nTable"/>
              <w:spacing w:before="70" w:after="70"/>
              <w:rPr>
                <w:sz w:val="19"/>
              </w:rPr>
            </w:pPr>
            <w:r>
              <w:rPr>
                <w:sz w:val="19"/>
              </w:rPr>
              <w:t>69 of 1979</w:t>
            </w:r>
          </w:p>
        </w:tc>
        <w:tc>
          <w:tcPr>
            <w:tcW w:w="1134" w:type="dxa"/>
          </w:tcPr>
          <w:p>
            <w:pPr>
              <w:pStyle w:val="nTable"/>
              <w:spacing w:before="70" w:after="70"/>
              <w:rPr>
                <w:sz w:val="19"/>
              </w:rPr>
            </w:pPr>
            <w:r>
              <w:rPr>
                <w:sz w:val="19"/>
              </w:rPr>
              <w:t>21 Nov 1979</w:t>
            </w:r>
          </w:p>
        </w:tc>
        <w:tc>
          <w:tcPr>
            <w:tcW w:w="2551" w:type="dxa"/>
          </w:tcPr>
          <w:p>
            <w:pPr>
              <w:pStyle w:val="nTable"/>
              <w:spacing w:before="70" w:after="70"/>
              <w:rPr>
                <w:sz w:val="19"/>
              </w:rPr>
            </w:pPr>
            <w:r>
              <w:rPr>
                <w:sz w:val="19"/>
              </w:rPr>
              <w:t>19 May 1969 (see s. 2)</w:t>
            </w:r>
          </w:p>
        </w:tc>
      </w:tr>
      <w:tr>
        <w:tc>
          <w:tcPr>
            <w:tcW w:w="2268" w:type="dxa"/>
          </w:tcPr>
          <w:p>
            <w:pPr>
              <w:pStyle w:val="nTable"/>
              <w:spacing w:before="70" w:after="70"/>
              <w:rPr>
                <w:i/>
                <w:sz w:val="19"/>
              </w:rPr>
            </w:pPr>
            <w:r>
              <w:rPr>
                <w:i/>
                <w:sz w:val="19"/>
              </w:rPr>
              <w:t xml:space="preserve">Financial Administration Legislation Amendment Act 1993 </w:t>
            </w:r>
            <w:r>
              <w:rPr>
                <w:sz w:val="19"/>
              </w:rPr>
              <w:t>s. 11</w:t>
            </w:r>
          </w:p>
        </w:tc>
        <w:tc>
          <w:tcPr>
            <w:tcW w:w="1134" w:type="dxa"/>
          </w:tcPr>
          <w:p>
            <w:pPr>
              <w:pStyle w:val="nTable"/>
              <w:spacing w:before="70" w:after="70"/>
              <w:rPr>
                <w:sz w:val="19"/>
              </w:rPr>
            </w:pPr>
            <w:r>
              <w:rPr>
                <w:sz w:val="19"/>
              </w:rPr>
              <w:t>6 of 1993</w:t>
            </w:r>
          </w:p>
        </w:tc>
        <w:tc>
          <w:tcPr>
            <w:tcW w:w="1134" w:type="dxa"/>
          </w:tcPr>
          <w:p>
            <w:pPr>
              <w:pStyle w:val="nTable"/>
              <w:spacing w:before="70" w:after="70"/>
              <w:rPr>
                <w:sz w:val="19"/>
              </w:rPr>
            </w:pPr>
            <w:r>
              <w:rPr>
                <w:sz w:val="19"/>
              </w:rPr>
              <w:t>27 Aug 1993</w:t>
            </w:r>
          </w:p>
        </w:tc>
        <w:tc>
          <w:tcPr>
            <w:tcW w:w="2551" w:type="dxa"/>
          </w:tcPr>
          <w:p>
            <w:pPr>
              <w:pStyle w:val="nTable"/>
              <w:spacing w:before="70" w:after="70"/>
              <w:rPr>
                <w:sz w:val="19"/>
              </w:rPr>
            </w:pPr>
            <w:r>
              <w:rPr>
                <w:sz w:val="19"/>
              </w:rPr>
              <w:t>1 Jul 1993 (see s. 2(1))</w:t>
            </w:r>
          </w:p>
        </w:tc>
      </w:tr>
      <w:tr>
        <w:tc>
          <w:tcPr>
            <w:tcW w:w="2268" w:type="dxa"/>
          </w:tcPr>
          <w:p>
            <w:pPr>
              <w:pStyle w:val="nTable"/>
              <w:spacing w:before="70" w:after="70"/>
              <w:rPr>
                <w:i/>
                <w:sz w:val="19"/>
              </w:rPr>
            </w:pPr>
            <w:r>
              <w:rPr>
                <w:i/>
                <w:sz w:val="19"/>
              </w:rPr>
              <w:t xml:space="preserve">Financial Legislation Amendment Act 1996 </w:t>
            </w:r>
            <w:r>
              <w:rPr>
                <w:sz w:val="19"/>
              </w:rPr>
              <w:t>s. 64</w:t>
            </w:r>
          </w:p>
        </w:tc>
        <w:tc>
          <w:tcPr>
            <w:tcW w:w="1134" w:type="dxa"/>
          </w:tcPr>
          <w:p>
            <w:pPr>
              <w:pStyle w:val="nTable"/>
              <w:spacing w:before="70" w:after="70"/>
              <w:rPr>
                <w:sz w:val="19"/>
              </w:rPr>
            </w:pPr>
            <w:r>
              <w:rPr>
                <w:sz w:val="19"/>
              </w:rPr>
              <w:t>49 of 1996</w:t>
            </w:r>
          </w:p>
        </w:tc>
        <w:tc>
          <w:tcPr>
            <w:tcW w:w="1134" w:type="dxa"/>
          </w:tcPr>
          <w:p>
            <w:pPr>
              <w:pStyle w:val="nTable"/>
              <w:spacing w:before="70" w:after="70"/>
              <w:rPr>
                <w:sz w:val="19"/>
              </w:rPr>
            </w:pPr>
            <w:r>
              <w:rPr>
                <w:sz w:val="19"/>
              </w:rPr>
              <w:t>25 Oct 1996</w:t>
            </w:r>
          </w:p>
        </w:tc>
        <w:tc>
          <w:tcPr>
            <w:tcW w:w="2551" w:type="dxa"/>
          </w:tcPr>
          <w:p>
            <w:pPr>
              <w:pStyle w:val="nTable"/>
              <w:spacing w:before="70" w:after="70"/>
              <w:rPr>
                <w:sz w:val="19"/>
              </w:rPr>
            </w:pPr>
            <w:r>
              <w:rPr>
                <w:sz w:val="19"/>
              </w:rPr>
              <w:t>25 Oct 1996 (see s. 2(1))</w:t>
            </w:r>
          </w:p>
        </w:tc>
      </w:tr>
      <w:tr>
        <w:tc>
          <w:tcPr>
            <w:tcW w:w="2268" w:type="dxa"/>
          </w:tcPr>
          <w:p>
            <w:pPr>
              <w:pStyle w:val="nTable"/>
              <w:spacing w:before="70" w:after="70"/>
              <w:rPr>
                <w:i/>
                <w:sz w:val="19"/>
              </w:rPr>
            </w:pPr>
            <w:r>
              <w:rPr>
                <w:i/>
                <w:sz w:val="19"/>
              </w:rPr>
              <w:t xml:space="preserve">Statutes (Repeals and Minor Amendments) Act 1997 </w:t>
            </w:r>
            <w:r>
              <w:rPr>
                <w:sz w:val="19"/>
              </w:rPr>
              <w:t>s. 112</w:t>
            </w:r>
          </w:p>
        </w:tc>
        <w:tc>
          <w:tcPr>
            <w:tcW w:w="1134" w:type="dxa"/>
          </w:tcPr>
          <w:p>
            <w:pPr>
              <w:pStyle w:val="nTable"/>
              <w:spacing w:before="70" w:after="70"/>
              <w:rPr>
                <w:sz w:val="19"/>
              </w:rPr>
            </w:pPr>
            <w:r>
              <w:rPr>
                <w:sz w:val="19"/>
              </w:rPr>
              <w:t>57 of 1997</w:t>
            </w:r>
          </w:p>
        </w:tc>
        <w:tc>
          <w:tcPr>
            <w:tcW w:w="1134" w:type="dxa"/>
          </w:tcPr>
          <w:p>
            <w:pPr>
              <w:pStyle w:val="nTable"/>
              <w:spacing w:before="70" w:after="70"/>
              <w:rPr>
                <w:sz w:val="19"/>
              </w:rPr>
            </w:pPr>
            <w:r>
              <w:rPr>
                <w:sz w:val="19"/>
              </w:rPr>
              <w:t>15 Dec 1997</w:t>
            </w:r>
          </w:p>
        </w:tc>
        <w:tc>
          <w:tcPr>
            <w:tcW w:w="2551" w:type="dxa"/>
          </w:tcPr>
          <w:p>
            <w:pPr>
              <w:pStyle w:val="nTable"/>
              <w:spacing w:before="70" w:after="70"/>
              <w:rPr>
                <w:sz w:val="19"/>
              </w:rPr>
            </w:pPr>
            <w:r>
              <w:rPr>
                <w:sz w:val="19"/>
              </w:rPr>
              <w:t>15 Dec 1997 (see s. 2(1))</w:t>
            </w:r>
          </w:p>
        </w:tc>
      </w:tr>
      <w:tr>
        <w:trPr>
          <w:cantSplit/>
        </w:trPr>
        <w:tc>
          <w:tcPr>
            <w:tcW w:w="7087" w:type="dxa"/>
            <w:gridSpan w:val="4"/>
          </w:tcPr>
          <w:p>
            <w:pPr>
              <w:pStyle w:val="nTable"/>
              <w:spacing w:before="70" w:after="70"/>
              <w:rPr>
                <w:sz w:val="19"/>
              </w:rPr>
            </w:pPr>
            <w:r>
              <w:rPr>
                <w:b/>
                <w:sz w:val="19"/>
              </w:rPr>
              <w:t xml:space="preserve">Reprint of the </w:t>
            </w:r>
            <w:r>
              <w:rPr>
                <w:b/>
                <w:i/>
                <w:noProof/>
                <w:snapToGrid w:val="0"/>
                <w:sz w:val="19"/>
              </w:rPr>
              <w:t>Solicitor-General Act 1969</w:t>
            </w:r>
            <w:r>
              <w:rPr>
                <w:b/>
                <w:noProof/>
                <w:snapToGrid w:val="0"/>
                <w:sz w:val="19"/>
              </w:rPr>
              <w:t xml:space="preserve"> as at 1 Nov 2002</w:t>
            </w:r>
            <w:r>
              <w:rPr>
                <w:noProof/>
                <w:snapToGrid w:val="0"/>
                <w:sz w:val="19"/>
              </w:rPr>
              <w:t xml:space="preserve"> (includes amendments listed above)</w:t>
            </w:r>
          </w:p>
        </w:tc>
      </w:tr>
      <w:tr>
        <w:tc>
          <w:tcPr>
            <w:tcW w:w="2268" w:type="dxa"/>
          </w:tcPr>
          <w:p>
            <w:pPr>
              <w:pStyle w:val="nTable"/>
              <w:spacing w:before="70" w:after="70"/>
              <w:rPr>
                <w:sz w:val="19"/>
              </w:rPr>
            </w:pPr>
            <w:r>
              <w:rPr>
                <w:i/>
                <w:sz w:val="19"/>
              </w:rPr>
              <w:t>Acts Amendment (Equality of Status) Act 2003</w:t>
            </w:r>
            <w:r>
              <w:rPr>
                <w:sz w:val="19"/>
              </w:rPr>
              <w:t xml:space="preserve"> Pt. 54</w:t>
            </w:r>
          </w:p>
        </w:tc>
        <w:tc>
          <w:tcPr>
            <w:tcW w:w="1134" w:type="dxa"/>
          </w:tcPr>
          <w:p>
            <w:pPr>
              <w:pStyle w:val="nTable"/>
              <w:spacing w:before="70" w:after="70"/>
              <w:rPr>
                <w:sz w:val="19"/>
              </w:rPr>
            </w:pPr>
            <w:r>
              <w:rPr>
                <w:sz w:val="19"/>
              </w:rPr>
              <w:t>28 of 2003</w:t>
            </w:r>
          </w:p>
        </w:tc>
        <w:tc>
          <w:tcPr>
            <w:tcW w:w="1134" w:type="dxa"/>
          </w:tcPr>
          <w:p>
            <w:pPr>
              <w:pStyle w:val="nTable"/>
              <w:spacing w:before="70" w:after="70"/>
              <w:rPr>
                <w:sz w:val="19"/>
              </w:rPr>
            </w:pPr>
            <w:r>
              <w:rPr>
                <w:sz w:val="19"/>
              </w:rPr>
              <w:t>22 May 2003</w:t>
            </w:r>
          </w:p>
        </w:tc>
        <w:tc>
          <w:tcPr>
            <w:tcW w:w="2551" w:type="dxa"/>
          </w:tcPr>
          <w:p>
            <w:pPr>
              <w:pStyle w:val="nTable"/>
              <w:spacing w:before="70" w:after="7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70" w:after="70"/>
              <w:rPr>
                <w:sz w:val="19"/>
              </w:rPr>
            </w:pPr>
            <w:r>
              <w:rPr>
                <w:i/>
                <w:sz w:val="19"/>
              </w:rPr>
              <w:t>Acts Amendment and Repeal (Courts and Legal Practice) Act 2003</w:t>
            </w:r>
            <w:r>
              <w:rPr>
                <w:sz w:val="19"/>
              </w:rPr>
              <w:t xml:space="preserve"> s. 118</w:t>
            </w:r>
          </w:p>
        </w:tc>
        <w:tc>
          <w:tcPr>
            <w:tcW w:w="1134" w:type="dxa"/>
          </w:tcPr>
          <w:p>
            <w:pPr>
              <w:pStyle w:val="nTable"/>
              <w:spacing w:before="70" w:after="70"/>
              <w:rPr>
                <w:sz w:val="19"/>
              </w:rPr>
            </w:pPr>
            <w:r>
              <w:rPr>
                <w:sz w:val="19"/>
              </w:rPr>
              <w:t>65 of 2003</w:t>
            </w:r>
          </w:p>
        </w:tc>
        <w:tc>
          <w:tcPr>
            <w:tcW w:w="1134" w:type="dxa"/>
          </w:tcPr>
          <w:p>
            <w:pPr>
              <w:pStyle w:val="nTable"/>
              <w:spacing w:before="70" w:after="70"/>
              <w:rPr>
                <w:sz w:val="19"/>
              </w:rPr>
            </w:pPr>
            <w:r>
              <w:rPr>
                <w:sz w:val="19"/>
              </w:rPr>
              <w:t>4 Dec 2003</w:t>
            </w:r>
          </w:p>
        </w:tc>
        <w:tc>
          <w:tcPr>
            <w:tcW w:w="2551" w:type="dxa"/>
          </w:tcPr>
          <w:p>
            <w:pPr>
              <w:pStyle w:val="nTable"/>
              <w:spacing w:before="70" w:after="7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70" w:after="70"/>
              <w:rPr>
                <w:sz w:val="19"/>
                <w:vertAlign w:val="superscript"/>
              </w:rPr>
            </w:pPr>
            <w:r>
              <w:rPr>
                <w:i/>
                <w:sz w:val="19"/>
              </w:rPr>
              <w:t>Solicitor-General Amendment Act 2006</w:t>
            </w:r>
            <w:r>
              <w:rPr>
                <w:sz w:val="19"/>
              </w:rPr>
              <w:t xml:space="preserve"> s. 4</w:t>
            </w:r>
            <w:r>
              <w:rPr>
                <w:sz w:val="19"/>
              </w:rPr>
              <w:noBreakHyphen/>
              <w:t>11</w:t>
            </w:r>
          </w:p>
        </w:tc>
        <w:tc>
          <w:tcPr>
            <w:tcW w:w="1134" w:type="dxa"/>
          </w:tcPr>
          <w:p>
            <w:pPr>
              <w:pStyle w:val="nTable"/>
              <w:spacing w:before="70" w:after="70"/>
              <w:rPr>
                <w:sz w:val="19"/>
              </w:rPr>
            </w:pPr>
            <w:r>
              <w:rPr>
                <w:sz w:val="19"/>
              </w:rPr>
              <w:t xml:space="preserve">29 of 2006 </w:t>
            </w:r>
          </w:p>
        </w:tc>
        <w:tc>
          <w:tcPr>
            <w:tcW w:w="1134" w:type="dxa"/>
          </w:tcPr>
          <w:p>
            <w:pPr>
              <w:pStyle w:val="nTable"/>
              <w:spacing w:before="70" w:after="70"/>
              <w:rPr>
                <w:sz w:val="19"/>
              </w:rPr>
            </w:pPr>
            <w:r>
              <w:rPr>
                <w:sz w:val="19"/>
              </w:rPr>
              <w:t>30 Jun 2006</w:t>
            </w:r>
          </w:p>
        </w:tc>
        <w:tc>
          <w:tcPr>
            <w:tcW w:w="2551" w:type="dxa"/>
          </w:tcPr>
          <w:p>
            <w:pPr>
              <w:pStyle w:val="nTable"/>
              <w:spacing w:before="70" w:after="70"/>
              <w:rPr>
                <w:sz w:val="19"/>
              </w:rPr>
            </w:pPr>
            <w:r>
              <w:rPr>
                <w:sz w:val="19"/>
              </w:rPr>
              <w:t>18 Jul 2006 (see s. 2)</w:t>
            </w:r>
          </w:p>
        </w:tc>
      </w:tr>
      <w:tr>
        <w:trPr>
          <w:cantSplit/>
        </w:trPr>
        <w:tc>
          <w:tcPr>
            <w:tcW w:w="7087" w:type="dxa"/>
            <w:gridSpan w:val="4"/>
          </w:tcPr>
          <w:p>
            <w:pPr>
              <w:pStyle w:val="nTable"/>
              <w:spacing w:before="70" w:after="70"/>
              <w:rPr>
                <w:sz w:val="19"/>
              </w:rPr>
            </w:pPr>
            <w:r>
              <w:rPr>
                <w:b/>
                <w:sz w:val="19"/>
              </w:rPr>
              <w:t xml:space="preserve">Reprint 2: The </w:t>
            </w:r>
            <w:r>
              <w:rPr>
                <w:b/>
                <w:i/>
                <w:noProof/>
                <w:snapToGrid w:val="0"/>
                <w:sz w:val="19"/>
              </w:rPr>
              <w:t>Solicitor-General Act 1969</w:t>
            </w:r>
            <w:r>
              <w:rPr>
                <w:b/>
                <w:noProof/>
                <w:snapToGrid w:val="0"/>
                <w:sz w:val="19"/>
              </w:rPr>
              <w:t xml:space="preserve"> as at 18 Jan 2008</w:t>
            </w:r>
            <w:r>
              <w:rPr>
                <w:noProof/>
                <w:snapToGrid w:val="0"/>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705</w:t>
            </w:r>
          </w:p>
        </w:tc>
        <w:tc>
          <w:tcPr>
            <w:tcW w:w="1134" w:type="dxa"/>
            <w:tcBorders>
              <w:bottom w:val="single" w:sz="8" w:space="0" w:color="auto"/>
            </w:tcBorders>
          </w:tcPr>
          <w:p>
            <w:pPr>
              <w:pStyle w:val="nTable"/>
              <w:keepNext/>
              <w:spacing w:after="40"/>
              <w:rPr>
                <w:sz w:val="19"/>
              </w:rPr>
            </w:pPr>
            <w:r>
              <w:rPr>
                <w:snapToGrid w:val="0"/>
                <w:sz w:val="19"/>
                <w:lang w:val="en-US"/>
              </w:rPr>
              <w:t>21 of 2008</w:t>
            </w:r>
          </w:p>
        </w:tc>
        <w:tc>
          <w:tcPr>
            <w:tcW w:w="1134" w:type="dxa"/>
            <w:tcBorders>
              <w:bottom w:val="single" w:sz="8" w:space="0" w:color="auto"/>
            </w:tcBorders>
          </w:tcPr>
          <w:p>
            <w:pPr>
              <w:pStyle w:val="nTable"/>
              <w:keepNext/>
              <w:spacing w:after="40"/>
              <w:rPr>
                <w:sz w:val="19"/>
              </w:rPr>
            </w:pPr>
            <w:r>
              <w:rPr>
                <w:snapToGrid w:val="0"/>
                <w:sz w:val="19"/>
                <w:lang w:val="en-US"/>
              </w:rPr>
              <w:t>27 May 2008</w:t>
            </w:r>
          </w:p>
        </w:tc>
        <w:tc>
          <w:tcPr>
            <w:tcW w:w="2552" w:type="dxa"/>
            <w:tcBorders>
              <w:bottom w:val="single" w:sz="8" w:space="0" w:color="auto"/>
            </w:tcBorders>
          </w:tcPr>
          <w:p>
            <w:pPr>
              <w:pStyle w:val="nTable"/>
              <w:keepNext/>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 w:name="_Toc223494010"/>
      <w:r>
        <w:rPr>
          <w:snapToGrid w:val="0"/>
        </w:rPr>
        <w:t>Provisions that have not come into operation</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vertAlign w:val="superscript"/>
              </w:rPr>
            </w:pPr>
            <w:r>
              <w:rPr>
                <w:i/>
                <w:snapToGrid w:val="0"/>
                <w:sz w:val="19"/>
              </w:rPr>
              <w:t xml:space="preserve">State Superannuation (Transitional and Consequential Provisions) Act 2000 </w:t>
            </w:r>
            <w:r>
              <w:rPr>
                <w:snapToGrid w:val="0"/>
                <w:sz w:val="19"/>
              </w:rPr>
              <w:t>s. 64 </w:t>
            </w:r>
            <w:r>
              <w:rPr>
                <w:snapToGrid w:val="0"/>
                <w:sz w:val="19"/>
                <w:vertAlign w:val="superscript"/>
              </w:rPr>
              <w:t>4</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lang w:val="en-US"/>
        </w:rPr>
        <w:t>Solicitor</w:t>
      </w:r>
      <w:r>
        <w:rPr>
          <w:i/>
          <w:snapToGrid w:val="0"/>
          <w:lang w:val="en-US"/>
        </w:rPr>
        <w:noBreakHyphen/>
        <w:t xml:space="preserve">General Amendment Act 2006 </w:t>
      </w:r>
      <w:r>
        <w:rPr>
          <w:snapToGrid w:val="0"/>
          <w:lang w:val="en-US"/>
        </w:rPr>
        <w:t>s. 6</w:t>
      </w:r>
      <w:r>
        <w:t>.</w:t>
      </w:r>
    </w:p>
    <w:p>
      <w:pPr>
        <w:pStyle w:val="nSubsection"/>
        <w:keepNext/>
        <w:spacing w:before="120"/>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64 had not come into operation.  It reads as follows:</w:t>
      </w:r>
    </w:p>
    <w:p>
      <w:pPr>
        <w:pStyle w:val="MiscOpen"/>
        <w:rPr>
          <w:snapToGrid w:val="0"/>
        </w:rPr>
      </w:pPr>
      <w:r>
        <w:rPr>
          <w:snapToGrid w:val="0"/>
        </w:rPr>
        <w:t>“</w:t>
      </w:r>
    </w:p>
    <w:p>
      <w:pPr>
        <w:pStyle w:val="nzHeading5"/>
      </w:pPr>
      <w:r>
        <w:rPr>
          <w:rStyle w:val="CharSectno"/>
        </w:rPr>
        <w:t>64</w:t>
      </w:r>
      <w:r>
        <w:t>.</w:t>
      </w:r>
      <w:r>
        <w:tab/>
      </w:r>
      <w:r>
        <w:rPr>
          <w:i/>
        </w:rPr>
        <w:t>Solicitor</w:t>
      </w:r>
      <w:r>
        <w:rPr>
          <w:i/>
        </w:rPr>
        <w:noBreakHyphen/>
        <w:t>General Act 1969</w:t>
      </w:r>
      <w:r>
        <w:t xml:space="preserve"> amended</w:t>
      </w:r>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MiscClose"/>
        <w:rPr>
          <w:snapToGrid w:val="0"/>
        </w:rPr>
      </w:pPr>
      <w:r>
        <w:rPr>
          <w:snapToGrid w:val="0"/>
        </w:rPr>
        <w:t>”.</w:t>
      </w:r>
    </w:p>
    <w:p>
      <w:pPr>
        <w:pStyle w:val="nSubsection"/>
        <w:rPr>
          <w:snapToGrid w:val="0"/>
        </w:rPr>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rPr>
          <w:sz w:val="28"/>
        </w:rPr>
      </w:pPr>
      <w:bookmarkStart w:id="19" w:name="_Toc190760630"/>
      <w:bookmarkStart w:id="20" w:name="_Toc199814285"/>
      <w:bookmarkStart w:id="21" w:name="_Toc223494011"/>
      <w:r>
        <w:rPr>
          <w:sz w:val="28"/>
        </w:rPr>
        <w:t>Defined Terms</w:t>
      </w:r>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 w:name="DefinedTerms"/>
      <w:bookmarkEnd w:id="22"/>
      <w:r>
        <w:t>amended Act</w:t>
      </w:r>
      <w:r>
        <w:tab/>
        <w:t>14(1)</w:t>
      </w:r>
    </w:p>
    <w:p>
      <w:pPr>
        <w:pStyle w:val="DefinedTerms"/>
      </w:pPr>
      <w:r>
        <w:t>Attorney General</w:t>
      </w:r>
      <w:r>
        <w:tab/>
        <w:t>2(1)</w:t>
      </w:r>
    </w:p>
    <w:p>
      <w:pPr>
        <w:pStyle w:val="DefinedTerms"/>
      </w:pPr>
      <w:r>
        <w:t>Australian lawyer</w:t>
      </w:r>
      <w:r>
        <w:tab/>
        <w:t>3(2)</w:t>
      </w:r>
    </w:p>
    <w:p>
      <w:pPr>
        <w:pStyle w:val="DefinedTerms"/>
      </w:pPr>
      <w:r>
        <w:t>current Solicitor</w:t>
      </w:r>
      <w:r>
        <w:noBreakHyphen/>
        <w:t>General</w:t>
      </w:r>
      <w:r>
        <w:tab/>
        <w:t>14(1)</w:t>
      </w:r>
    </w:p>
    <w:p>
      <w:pPr>
        <w:pStyle w:val="DefinedTerms"/>
      </w:pPr>
      <w:r>
        <w:t>former Act</w:t>
      </w:r>
      <w:r>
        <w:tab/>
        <w:t>14(1)</w:t>
      </w:r>
    </w:p>
    <w:p>
      <w:pPr>
        <w:pStyle w:val="DefinedTerms"/>
      </w:pPr>
      <w:bookmarkStart w:id="23" w:name="UpToHere"/>
      <w:r>
        <w:t>legal experience</w:t>
      </w:r>
      <w:r>
        <w:tab/>
        <w:t>3(2)</w:t>
      </w:r>
    </w:p>
    <w:bookmarkEnd w:id="23"/>
    <w:p>
      <w:pPr>
        <w:pStyle w:val="DefinedTerms"/>
      </w:pPr>
      <w:r>
        <w:t>remuneration</w:t>
      </w:r>
      <w:r>
        <w:tab/>
        <w:t>4(1)</w:t>
      </w:r>
    </w:p>
    <w:p>
      <w:pPr>
        <w:pStyle w:val="DefinedTerms"/>
      </w:pPr>
      <w:r>
        <w:t>Solicitor</w:t>
      </w:r>
      <w:r>
        <w:noBreakHyphen/>
        <w:t>General</w:t>
      </w:r>
      <w:r>
        <w:tab/>
        <w:t>2(1) and (2)</w:t>
      </w:r>
    </w:p>
    <w:p>
      <w:pPr>
        <w:pStyle w:val="DefinedTerms"/>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Solicitor-General Act 1969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Solicitor-General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FA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B4659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49"/>
    <w:docVar w:name="WAFER_20151210125449" w:val="RemoveTrackChanges"/>
    <w:docVar w:name="WAFER_20151210125449_GUID" w:val="b03ee42f-e110-4778-9feb-c9fc88f5f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2131</Words>
  <Characters>10423</Characters>
  <Application>Microsoft Office Word</Application>
  <DocSecurity>0</DocSecurity>
  <Lines>347</Lines>
  <Paragraphs>236</Paragraphs>
  <ScaleCrop>false</ScaleCrop>
  <HeadingPairs>
    <vt:vector size="2" baseType="variant">
      <vt:variant>
        <vt:lpstr>Title</vt:lpstr>
      </vt:variant>
      <vt:variant>
        <vt:i4>1</vt:i4>
      </vt:variant>
    </vt:vector>
  </HeadingPairs>
  <TitlesOfParts>
    <vt:vector size="1" baseType="lpstr">
      <vt:lpstr>Solicitor-General Act 1969</vt:lpstr>
    </vt:vector>
  </TitlesOfParts>
  <Manager/>
  <Company/>
  <LinksUpToDate>false</LinksUpToDate>
  <CharactersWithSpaces>12318</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1969 - 02-c0-03</dc:title>
  <dc:subject/>
  <dc:creator/>
  <cp:keywords/>
  <dc:description/>
  <cp:lastModifiedBy>svcMRProcess</cp:lastModifiedBy>
  <cp:revision>4</cp:revision>
  <cp:lastPrinted>2008-01-16T04:10:00Z</cp:lastPrinted>
  <dcterms:created xsi:type="dcterms:W3CDTF">2015-12-12T10:44:00Z</dcterms:created>
  <dcterms:modified xsi:type="dcterms:W3CDTF">2015-12-12T10:44:00Z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757</vt:i4>
  </property>
  <property fmtid="{D5CDD505-2E9C-101B-9397-08002B2CF9AE}" pid="6" name="ReprintNo">
    <vt:lpwstr>2</vt:lpwstr>
  </property>
  <property fmtid="{D5CDD505-2E9C-101B-9397-08002B2CF9AE}" pid="7" name="AsAtDate">
    <vt:lpwstr>01 Mar 2009</vt:lpwstr>
  </property>
  <property fmtid="{D5CDD505-2E9C-101B-9397-08002B2CF9AE}" pid="8" name="Suffix">
    <vt:lpwstr>02-c0-03</vt:lpwstr>
  </property>
</Properties>
</file>