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_Toc221335733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_Toc221335734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_Toc221335735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Vesting of land</w:t>
      </w:r>
      <w:r>
        <w:tab/>
      </w:r>
      <w:r>
        <w:fldChar w:fldCharType="begin"/>
      </w:r>
      <w:r>
        <w:instrText xml:space="preserve"> PAGEREF _Toc221335736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Excision of certain land for drainage or road purposes</w:t>
      </w:r>
      <w:r>
        <w:tab/>
      </w:r>
      <w:r>
        <w:fldChar w:fldCharType="begin"/>
      </w:r>
      <w:r>
        <w:instrText xml:space="preserve"> PAGEREF _Toc221335737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Creation of reserve</w:t>
      </w:r>
      <w:r>
        <w:tab/>
      </w:r>
      <w:r>
        <w:fldChar w:fldCharType="begin"/>
      </w:r>
      <w:r>
        <w:instrText xml:space="preserve"> PAGEREF _Toc221335738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Constitution of The Queen Elizabeth II Medical Centre Trust</w:t>
      </w:r>
      <w:r>
        <w:tab/>
      </w:r>
      <w:r>
        <w:fldChar w:fldCharType="begin"/>
      </w:r>
      <w:r>
        <w:instrText xml:space="preserve"> PAGEREF _Toc221335739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Quorum</w:t>
      </w:r>
      <w:r>
        <w:tab/>
      </w:r>
      <w:r>
        <w:fldChar w:fldCharType="begin"/>
      </w:r>
      <w:r>
        <w:instrText xml:space="preserve"> PAGEREF _Toc221335740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Vacancies</w:t>
      </w:r>
      <w:r>
        <w:tab/>
      </w:r>
      <w:r>
        <w:fldChar w:fldCharType="begin"/>
      </w:r>
      <w:r>
        <w:instrText xml:space="preserve"> PAGEREF _Toc221335741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Meetings of Trust</w:t>
      </w:r>
      <w:r>
        <w:tab/>
      </w:r>
      <w:r>
        <w:fldChar w:fldCharType="begin"/>
      </w:r>
      <w:r>
        <w:instrText xml:space="preserve"> PAGEREF _Toc221335742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Use of common seal</w:t>
      </w:r>
      <w:r>
        <w:tab/>
      </w:r>
      <w:r>
        <w:fldChar w:fldCharType="begin"/>
      </w:r>
      <w:r>
        <w:instrText xml:space="preserve"> PAGEREF _Toc221335743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_Toc221335744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the Trust</w:t>
      </w:r>
      <w:r>
        <w:tab/>
      </w:r>
      <w:r>
        <w:fldChar w:fldCharType="begin"/>
      </w:r>
      <w:r>
        <w:instrText xml:space="preserve"> PAGEREF _Toc221335745 \h </w:instrText>
      </w:r>
      <w:r>
        <w:fldChar w:fldCharType="separate"/>
      </w:r>
      <w:r>
        <w:t>7</w:t>
      </w:r>
      <w:r>
        <w:fldChar w:fldCharType="end"/>
      </w:r>
    </w:p>
    <w:p>
      <w:pPr>
        <w:pStyle w:val="TOC8"/>
        <w:rPr>
          <w:sz w:val="24"/>
          <w:szCs w:val="24"/>
        </w:rPr>
      </w:pPr>
      <w:r>
        <w:rPr>
          <w:szCs w:val="24"/>
        </w:rPr>
        <w:t>13A</w:t>
      </w:r>
      <w:r>
        <w:rPr>
          <w:snapToGrid w:val="0"/>
          <w:szCs w:val="24"/>
        </w:rPr>
        <w:t>.</w:t>
      </w:r>
      <w:r>
        <w:rPr>
          <w:snapToGrid w:val="0"/>
          <w:szCs w:val="24"/>
        </w:rPr>
        <w:tab/>
        <w:t>Additional land for Queen Elizabeth II Medical Centre Reserve</w:t>
      </w:r>
      <w:r>
        <w:tab/>
      </w:r>
      <w:r>
        <w:fldChar w:fldCharType="begin"/>
      </w:r>
      <w:r>
        <w:instrText xml:space="preserve"> PAGEREF _Toc221335746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Officers and employees</w:t>
      </w:r>
      <w:r>
        <w:tab/>
      </w:r>
      <w:r>
        <w:fldChar w:fldCharType="begin"/>
      </w:r>
      <w:r>
        <w:instrText xml:space="preserve"> PAGEREF _Toc221335747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_Toc221335748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Teaching hospitals on reserve</w:t>
      </w:r>
      <w:r>
        <w:tab/>
      </w:r>
      <w:r>
        <w:fldChar w:fldCharType="begin"/>
      </w:r>
      <w:r>
        <w:instrText xml:space="preserve"> PAGEREF _Toc221335749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Indemnity</w:t>
      </w:r>
      <w:r>
        <w:tab/>
      </w:r>
      <w:r>
        <w:fldChar w:fldCharType="begin"/>
      </w:r>
      <w:r>
        <w:instrText xml:space="preserve"> PAGEREF _Toc221335750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of Senate to apply fees and other money to reserve</w:t>
      </w:r>
      <w:r>
        <w:tab/>
      </w:r>
      <w:r>
        <w:fldChar w:fldCharType="begin"/>
      </w:r>
      <w:r>
        <w:instrText xml:space="preserve"> PAGEREF _Toc221335751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Saving</w:t>
      </w:r>
      <w:r>
        <w:tab/>
      </w:r>
      <w:r>
        <w:fldChar w:fldCharType="begin"/>
      </w:r>
      <w:r>
        <w:instrText xml:space="preserve"> PAGEREF _Toc221335752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By</w:t>
      </w:r>
      <w:r>
        <w:rPr>
          <w:snapToGrid w:val="0"/>
          <w:szCs w:val="24"/>
        </w:rPr>
        <w:noBreakHyphen/>
        <w:t>laws</w:t>
      </w:r>
      <w:r>
        <w:tab/>
      </w:r>
      <w:r>
        <w:fldChar w:fldCharType="begin"/>
      </w:r>
      <w:r>
        <w:instrText xml:space="preserve"> PAGEREF _Toc221335753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Review of Act</w:t>
      </w:r>
      <w:r>
        <w:tab/>
      </w:r>
      <w:r>
        <w:fldChar w:fldCharType="begin"/>
      </w:r>
      <w:r>
        <w:instrText xml:space="preserve"> PAGEREF _Toc221335754 \h </w:instrText>
      </w:r>
      <w:r>
        <w:fldChar w:fldCharType="separate"/>
      </w:r>
      <w:r>
        <w:t>22</w:t>
      </w:r>
      <w:r>
        <w:fldChar w:fldCharType="end"/>
      </w:r>
    </w:p>
    <w:p>
      <w:pPr>
        <w:pStyle w:val="TOC2"/>
        <w:tabs>
          <w:tab w:val="right" w:leader="dot" w:pos="7078"/>
        </w:tabs>
        <w:rPr>
          <w:b w:val="0"/>
          <w:sz w:val="24"/>
          <w:szCs w:val="24"/>
        </w:rPr>
      </w:pPr>
      <w:r>
        <w:rPr>
          <w:szCs w:val="28"/>
        </w:rPr>
        <w:t>The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_Toc221335759 \h </w:instrText>
      </w:r>
      <w:r>
        <w:fldChar w:fldCharType="separate"/>
      </w:r>
      <w:r>
        <w:t>24</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February 2009</w:t>
            </w:r>
          </w:p>
        </w:tc>
      </w:tr>
    </w:tbl>
    <w:p>
      <w:pPr>
        <w:pStyle w:val="WA"/>
        <w:spacing w:before="120"/>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21335733"/>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221335734"/>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221335735"/>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3" w:name="_Toc411737201"/>
      <w:bookmarkStart w:id="14" w:name="_Toc518886982"/>
      <w:bookmarkStart w:id="15" w:name="_Toc90098263"/>
      <w:bookmarkStart w:id="16" w:name="_Toc221335736"/>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7" w:name="_Toc411737202"/>
      <w:bookmarkStart w:id="18" w:name="_Toc518886983"/>
      <w:bookmarkStart w:id="19" w:name="_Toc90098264"/>
      <w:bookmarkStart w:id="20" w:name="_Toc221335737"/>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221335738"/>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221335739"/>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w:t>
      </w:r>
    </w:p>
    <w:p>
      <w:pPr>
        <w:pStyle w:val="Heading5"/>
        <w:rPr>
          <w:snapToGrid w:val="0"/>
        </w:rPr>
      </w:pPr>
      <w:bookmarkStart w:id="29" w:name="_Toc411737205"/>
      <w:bookmarkStart w:id="30" w:name="_Toc518886986"/>
      <w:bookmarkStart w:id="31" w:name="_Toc90098267"/>
      <w:bookmarkStart w:id="32" w:name="_Toc221335740"/>
      <w:r>
        <w:rPr>
          <w:rStyle w:val="CharSectno"/>
        </w:rPr>
        <w:t>8</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221335741"/>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221335742"/>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221335743"/>
      <w:r>
        <w:rPr>
          <w:rStyle w:val="CharSectno"/>
        </w:rPr>
        <w:t>11</w:t>
      </w:r>
      <w:r>
        <w:rPr>
          <w:snapToGrid w:val="0"/>
        </w:rPr>
        <w:t>.</w:t>
      </w:r>
      <w:r>
        <w:rPr>
          <w:snapToGrid w:val="0"/>
        </w:rPr>
        <w:tab/>
        <w:t>Use of common seal</w:t>
      </w:r>
      <w:bookmarkEnd w:id="41"/>
      <w:bookmarkEnd w:id="42"/>
      <w:bookmarkEnd w:id="43"/>
      <w:bookmarkEnd w:id="44"/>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221335744"/>
      <w:r>
        <w:rPr>
          <w:rStyle w:val="CharSectno"/>
        </w:rPr>
        <w:t>12</w:t>
      </w:r>
      <w:r>
        <w:rPr>
          <w:snapToGrid w:val="0"/>
        </w:rPr>
        <w:t>.</w:t>
      </w:r>
      <w:r>
        <w:rPr>
          <w:snapToGrid w:val="0"/>
        </w:rPr>
        <w:tab/>
        <w:t>Delegation</w:t>
      </w:r>
      <w:bookmarkEnd w:id="45"/>
      <w:bookmarkEnd w:id="46"/>
      <w:bookmarkEnd w:id="47"/>
      <w:bookmarkEnd w:id="48"/>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9" w:name="_Toc411737210"/>
      <w:bookmarkStart w:id="50" w:name="_Toc518886991"/>
      <w:bookmarkStart w:id="51" w:name="_Toc90098272"/>
      <w:bookmarkStart w:id="52" w:name="_Toc221335745"/>
      <w:r>
        <w:rPr>
          <w:rStyle w:val="CharSectno"/>
        </w:rPr>
        <w:t>13</w:t>
      </w:r>
      <w:r>
        <w:rPr>
          <w:snapToGrid w:val="0"/>
        </w:rPr>
        <w:t>.</w:t>
      </w:r>
      <w:r>
        <w:rPr>
          <w:snapToGrid w:val="0"/>
        </w:rPr>
        <w:tab/>
        <w:t>Functions of the Trust</w:t>
      </w:r>
      <w:bookmarkEnd w:id="49"/>
      <w:bookmarkEnd w:id="50"/>
      <w:bookmarkEnd w:id="51"/>
      <w:bookmarkEnd w:id="52"/>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w:t>
      </w:r>
    </w:p>
    <w:p>
      <w:pPr>
        <w:pStyle w:val="Heading5"/>
        <w:rPr>
          <w:snapToGrid w:val="0"/>
        </w:rPr>
      </w:pPr>
      <w:bookmarkStart w:id="53" w:name="_Toc411737211"/>
      <w:bookmarkStart w:id="54" w:name="_Toc518886992"/>
      <w:bookmarkStart w:id="55" w:name="_Toc90098273"/>
      <w:bookmarkStart w:id="56" w:name="_Toc221335746"/>
      <w:r>
        <w:rPr>
          <w:rStyle w:val="CharSectno"/>
        </w:rPr>
        <w:t>13A</w:t>
      </w:r>
      <w:r>
        <w:rPr>
          <w:snapToGrid w:val="0"/>
        </w:rPr>
        <w:t>.</w:t>
      </w:r>
      <w:r>
        <w:rPr>
          <w:snapToGrid w:val="0"/>
        </w:rPr>
        <w:tab/>
        <w:t>Additional land for Queen Elizabeth II Medical Centre Reserve</w:t>
      </w:r>
      <w:bookmarkEnd w:id="53"/>
      <w:bookmarkEnd w:id="54"/>
      <w:bookmarkEnd w:id="55"/>
      <w:bookmarkEnd w:id="5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7" w:name="_Toc411737212"/>
      <w:bookmarkStart w:id="58" w:name="_Toc518886993"/>
      <w:bookmarkStart w:id="59" w:name="_Toc90098274"/>
      <w:bookmarkStart w:id="60" w:name="_Toc221335747"/>
      <w:r>
        <w:rPr>
          <w:rStyle w:val="CharSectno"/>
        </w:rPr>
        <w:t>14</w:t>
      </w:r>
      <w:r>
        <w:rPr>
          <w:snapToGrid w:val="0"/>
        </w:rPr>
        <w:t>.</w:t>
      </w:r>
      <w:r>
        <w:rPr>
          <w:snapToGrid w:val="0"/>
        </w:rPr>
        <w:tab/>
        <w:t>Officers and employees</w:t>
      </w:r>
      <w:bookmarkEnd w:id="57"/>
      <w:bookmarkEnd w:id="58"/>
      <w:bookmarkEnd w:id="59"/>
      <w:bookmarkEnd w:id="6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221335748"/>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5" w:name="_Toc411737214"/>
      <w:bookmarkStart w:id="66" w:name="_Toc518886995"/>
      <w:bookmarkStart w:id="67" w:name="_Toc90098276"/>
      <w:bookmarkStart w:id="68" w:name="_Toc221335749"/>
      <w:r>
        <w:rPr>
          <w:rStyle w:val="CharSectno"/>
        </w:rPr>
        <w:t>16</w:t>
      </w:r>
      <w:r>
        <w:rPr>
          <w:snapToGrid w:val="0"/>
        </w:rPr>
        <w:t>.</w:t>
      </w:r>
      <w:r>
        <w:rPr>
          <w:snapToGrid w:val="0"/>
        </w:rPr>
        <w:tab/>
        <w:t>Teaching hospitals on reserve</w:t>
      </w:r>
      <w:bookmarkEnd w:id="65"/>
      <w:bookmarkEnd w:id="66"/>
      <w:bookmarkEnd w:id="67"/>
      <w:bookmarkEnd w:id="68"/>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w:t>
      </w:r>
    </w:p>
    <w:p>
      <w:pPr>
        <w:pStyle w:val="Heading5"/>
        <w:rPr>
          <w:snapToGrid w:val="0"/>
        </w:rPr>
      </w:pPr>
      <w:bookmarkStart w:id="69" w:name="_Toc411737215"/>
      <w:bookmarkStart w:id="70" w:name="_Toc518886996"/>
      <w:bookmarkStart w:id="71" w:name="_Toc90098277"/>
      <w:bookmarkStart w:id="72" w:name="_Toc221335750"/>
      <w:r>
        <w:rPr>
          <w:rStyle w:val="CharSectno"/>
        </w:rPr>
        <w:t>17</w:t>
      </w:r>
      <w:r>
        <w:rPr>
          <w:snapToGrid w:val="0"/>
        </w:rPr>
        <w:t>.</w:t>
      </w:r>
      <w:r>
        <w:rPr>
          <w:snapToGrid w:val="0"/>
        </w:rPr>
        <w:tab/>
        <w:t>Indemnity</w:t>
      </w:r>
      <w:bookmarkEnd w:id="69"/>
      <w:bookmarkEnd w:id="70"/>
      <w:bookmarkEnd w:id="71"/>
      <w:bookmarkEnd w:id="7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221335751"/>
      <w:r>
        <w:rPr>
          <w:rStyle w:val="CharSectno"/>
        </w:rPr>
        <w:t>18</w:t>
      </w:r>
      <w:r>
        <w:rPr>
          <w:snapToGrid w:val="0"/>
        </w:rPr>
        <w:t>.</w:t>
      </w:r>
      <w:r>
        <w:rPr>
          <w:snapToGrid w:val="0"/>
        </w:rPr>
        <w:tab/>
        <w:t>Power of Senate to apply fees and other money to reserve</w:t>
      </w:r>
      <w:bookmarkEnd w:id="73"/>
      <w:bookmarkEnd w:id="74"/>
      <w:bookmarkEnd w:id="75"/>
      <w:bookmarkEnd w:id="76"/>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221335752"/>
      <w:r>
        <w:rPr>
          <w:rStyle w:val="CharSectno"/>
        </w:rPr>
        <w:t>19</w:t>
      </w:r>
      <w:r>
        <w:rPr>
          <w:snapToGrid w:val="0"/>
        </w:rPr>
        <w:t>.</w:t>
      </w:r>
      <w:r>
        <w:rPr>
          <w:snapToGrid w:val="0"/>
        </w:rPr>
        <w:tab/>
        <w:t>Saving</w:t>
      </w:r>
      <w:bookmarkEnd w:id="77"/>
      <w:bookmarkEnd w:id="78"/>
      <w:bookmarkEnd w:id="79"/>
      <w:bookmarkEnd w:id="8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1" w:name="_Toc411737218"/>
      <w:bookmarkStart w:id="82" w:name="_Toc518886999"/>
      <w:bookmarkStart w:id="83" w:name="_Toc90098280"/>
      <w:bookmarkStart w:id="84" w:name="_Toc221335753"/>
      <w:r>
        <w:rPr>
          <w:rStyle w:val="CharSectno"/>
        </w:rPr>
        <w:t>20</w:t>
      </w:r>
      <w:r>
        <w:rPr>
          <w:snapToGrid w:val="0"/>
        </w:rPr>
        <w:t>.</w:t>
      </w:r>
      <w:r>
        <w:rPr>
          <w:snapToGrid w:val="0"/>
        </w:rPr>
        <w:tab/>
        <w:t>By</w:t>
      </w:r>
      <w:r>
        <w:rPr>
          <w:snapToGrid w:val="0"/>
        </w:rPr>
        <w:noBreakHyphen/>
        <w:t>laws</w:t>
      </w:r>
      <w:bookmarkEnd w:id="81"/>
      <w:bookmarkEnd w:id="82"/>
      <w:bookmarkEnd w:id="83"/>
      <w:bookmarkEnd w:id="8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5" w:name="_Toc411737219"/>
      <w:bookmarkStart w:id="86" w:name="_Toc518887000"/>
      <w:bookmarkStart w:id="87" w:name="_Toc90098281"/>
      <w:bookmarkStart w:id="88" w:name="_Toc221335754"/>
      <w:r>
        <w:rPr>
          <w:rStyle w:val="CharSectno"/>
        </w:rPr>
        <w:t>21</w:t>
      </w:r>
      <w:r>
        <w:rPr>
          <w:snapToGrid w:val="0"/>
        </w:rPr>
        <w:t>.</w:t>
      </w:r>
      <w:r>
        <w:rPr>
          <w:snapToGrid w:val="0"/>
        </w:rPr>
        <w:tab/>
        <w:t>Review of Act</w:t>
      </w:r>
      <w:bookmarkEnd w:id="85"/>
      <w:bookmarkEnd w:id="86"/>
      <w:bookmarkEnd w:id="87"/>
      <w:bookmarkEnd w:id="88"/>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89" w:name="_Toc90098282"/>
      <w:bookmarkStart w:id="90" w:name="_Toc156985899"/>
      <w:bookmarkStart w:id="91" w:name="_Toc158001688"/>
      <w:bookmarkStart w:id="92" w:name="_Toc199817732"/>
      <w:bookmarkStart w:id="93" w:name="_Toc215549212"/>
      <w:bookmarkStart w:id="94" w:name="_Toc215549239"/>
      <w:bookmarkStart w:id="95" w:name="_Toc219688642"/>
      <w:bookmarkStart w:id="96" w:name="_Toc219688669"/>
      <w:bookmarkStart w:id="97" w:name="_Toc219695414"/>
      <w:bookmarkStart w:id="98" w:name="_Toc221335755"/>
      <w:r>
        <w:rPr>
          <w:rStyle w:val="CharSchNo"/>
        </w:rPr>
        <w:t>The Schedule</w:t>
      </w:r>
      <w:bookmarkEnd w:id="89"/>
      <w:bookmarkEnd w:id="90"/>
      <w:bookmarkEnd w:id="91"/>
      <w:bookmarkEnd w:id="92"/>
      <w:bookmarkEnd w:id="93"/>
      <w:bookmarkEnd w:id="94"/>
      <w:bookmarkEnd w:id="95"/>
      <w:bookmarkEnd w:id="96"/>
      <w:bookmarkEnd w:id="97"/>
      <w:bookmarkEnd w:id="98"/>
    </w:p>
    <w:p>
      <w:pPr>
        <w:pStyle w:val="yHeading2"/>
        <w:outlineLvl w:val="9"/>
      </w:pPr>
      <w:bookmarkStart w:id="99" w:name="_Toc156985900"/>
      <w:bookmarkStart w:id="100" w:name="_Toc158001689"/>
      <w:bookmarkStart w:id="101" w:name="_Toc199817733"/>
      <w:bookmarkStart w:id="102" w:name="_Toc215549213"/>
      <w:bookmarkStart w:id="103" w:name="_Toc215549240"/>
      <w:bookmarkStart w:id="104" w:name="_Toc219688643"/>
      <w:bookmarkStart w:id="105" w:name="_Toc219688670"/>
      <w:bookmarkStart w:id="106" w:name="_Toc219695415"/>
      <w:bookmarkStart w:id="107" w:name="_Toc221335756"/>
      <w:r>
        <w:t>Part I</w:t>
      </w:r>
      <w:bookmarkEnd w:id="99"/>
      <w:bookmarkEnd w:id="100"/>
      <w:bookmarkEnd w:id="101"/>
      <w:bookmarkEnd w:id="102"/>
      <w:bookmarkEnd w:id="103"/>
      <w:bookmarkEnd w:id="104"/>
      <w:bookmarkEnd w:id="105"/>
      <w:bookmarkEnd w:id="106"/>
      <w:bookmarkEnd w:id="107"/>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08" w:name="_Toc156985901"/>
      <w:bookmarkStart w:id="109" w:name="_Toc158001690"/>
      <w:bookmarkStart w:id="110" w:name="_Toc199817734"/>
      <w:bookmarkStart w:id="111" w:name="_Toc215549214"/>
      <w:bookmarkStart w:id="112" w:name="_Toc215549241"/>
      <w:bookmarkStart w:id="113" w:name="_Toc219688644"/>
      <w:bookmarkStart w:id="114" w:name="_Toc219688671"/>
      <w:bookmarkStart w:id="115" w:name="_Toc219695416"/>
      <w:bookmarkStart w:id="116" w:name="_Toc221335757"/>
      <w:r>
        <w:t>Part II</w:t>
      </w:r>
      <w:bookmarkEnd w:id="108"/>
      <w:bookmarkEnd w:id="109"/>
      <w:bookmarkEnd w:id="110"/>
      <w:bookmarkEnd w:id="111"/>
      <w:bookmarkEnd w:id="112"/>
      <w:bookmarkEnd w:id="113"/>
      <w:bookmarkEnd w:id="114"/>
      <w:bookmarkEnd w:id="115"/>
      <w:bookmarkEnd w:id="116"/>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17" w:name="_Toc90090692"/>
      <w:bookmarkStart w:id="118" w:name="_Toc90090737"/>
      <w:bookmarkStart w:id="119" w:name="_Toc90098283"/>
      <w:bookmarkStart w:id="120" w:name="_Toc156985902"/>
      <w:bookmarkStart w:id="121" w:name="_Toc158001691"/>
      <w:bookmarkStart w:id="122" w:name="_Toc199817735"/>
      <w:bookmarkStart w:id="123" w:name="_Toc215549215"/>
      <w:bookmarkStart w:id="124" w:name="_Toc215549242"/>
      <w:bookmarkStart w:id="125" w:name="_Toc219688645"/>
      <w:bookmarkStart w:id="126" w:name="_Toc219688672"/>
      <w:bookmarkStart w:id="127" w:name="_Toc219695417"/>
      <w:bookmarkStart w:id="128" w:name="_Toc221335758"/>
      <w:r>
        <w:t>Notes</w:t>
      </w:r>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reprint is a compilation as at 6 February 2009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 w:name="_Toc221335759"/>
      <w:r>
        <w:rPr>
          <w:snapToGrid w:val="0"/>
        </w:rPr>
        <w:t>Compilation table</w:t>
      </w:r>
      <w:bookmarkEnd w:id="129"/>
    </w:p>
    <w:tbl>
      <w:tblPr>
        <w:tblW w:w="7087" w:type="dxa"/>
        <w:tblInd w:w="8"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sz w:val="19"/>
              </w:rPr>
            </w:pPr>
            <w:r>
              <w:rPr>
                <w:i/>
                <w:sz w:val="19"/>
              </w:rPr>
              <w:t>Perth Medical Centre Act 1966</w:t>
            </w:r>
            <w:r>
              <w:rPr>
                <w:sz w:val="19"/>
                <w:vertAlign w:val="superscript"/>
              </w:rPr>
              <w:t> 4</w:t>
            </w:r>
          </w:p>
        </w:tc>
        <w:tc>
          <w:tcPr>
            <w:tcW w:w="1134" w:type="dxa"/>
          </w:tcPr>
          <w:p>
            <w:pPr>
              <w:pStyle w:val="nTable"/>
              <w:spacing w:after="40"/>
              <w:rPr>
                <w:sz w:val="19"/>
              </w:rPr>
            </w:pPr>
            <w:r>
              <w:rPr>
                <w:sz w:val="19"/>
              </w:rPr>
              <w:t>54 of 1966</w:t>
            </w:r>
          </w:p>
        </w:tc>
        <w:tc>
          <w:tcPr>
            <w:tcW w:w="1134" w:type="dxa"/>
          </w:tcPr>
          <w:p>
            <w:pPr>
              <w:pStyle w:val="nTable"/>
              <w:spacing w:after="40"/>
              <w:rPr>
                <w:sz w:val="19"/>
              </w:rPr>
            </w:pPr>
            <w:r>
              <w:rPr>
                <w:sz w:val="19"/>
              </w:rPr>
              <w:t>5 Dec 1966</w:t>
            </w:r>
          </w:p>
        </w:tc>
        <w:tc>
          <w:tcPr>
            <w:tcW w:w="2553" w:type="dxa"/>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6" w:type="dxa"/>
          </w:tcPr>
          <w:p>
            <w:pPr>
              <w:pStyle w:val="nTable"/>
              <w:spacing w:after="40"/>
              <w:rPr>
                <w:i/>
                <w:sz w:val="19"/>
              </w:rPr>
            </w:pPr>
            <w:r>
              <w:rPr>
                <w:i/>
                <w:sz w:val="19"/>
              </w:rPr>
              <w:t>Perth Medical Centre Act Amendment Act 1973</w:t>
            </w:r>
          </w:p>
        </w:tc>
        <w:tc>
          <w:tcPr>
            <w:tcW w:w="1134" w:type="dxa"/>
          </w:tcPr>
          <w:p>
            <w:pPr>
              <w:pStyle w:val="nTable"/>
              <w:spacing w:after="40"/>
              <w:rPr>
                <w:sz w:val="19"/>
              </w:rPr>
            </w:pPr>
            <w:r>
              <w:rPr>
                <w:sz w:val="19"/>
              </w:rPr>
              <w:t>72 of 1973</w:t>
            </w:r>
          </w:p>
        </w:tc>
        <w:tc>
          <w:tcPr>
            <w:tcW w:w="1134" w:type="dxa"/>
          </w:tcPr>
          <w:p>
            <w:pPr>
              <w:pStyle w:val="nTable"/>
              <w:spacing w:after="40"/>
              <w:rPr>
                <w:sz w:val="19"/>
              </w:rPr>
            </w:pPr>
            <w:r>
              <w:rPr>
                <w:sz w:val="19"/>
              </w:rPr>
              <w:t>6 Dec 1973</w:t>
            </w:r>
          </w:p>
        </w:tc>
        <w:tc>
          <w:tcPr>
            <w:tcW w:w="2553" w:type="dxa"/>
          </w:tcPr>
          <w:p>
            <w:pPr>
              <w:pStyle w:val="nTable"/>
              <w:spacing w:after="40"/>
              <w:rPr>
                <w:sz w:val="19"/>
              </w:rPr>
            </w:pPr>
            <w:r>
              <w:rPr>
                <w:sz w:val="19"/>
              </w:rPr>
              <w:t>s. 4: 12 Sep 1968 (see s. 4(2));</w:t>
            </w:r>
            <w:r>
              <w:rPr>
                <w:sz w:val="19"/>
              </w:rPr>
              <w:br/>
              <w:t>Act other than s. 4: 6 Dec 1973</w:t>
            </w:r>
          </w:p>
        </w:tc>
      </w:tr>
      <w:tr>
        <w:trPr>
          <w:cantSplit/>
        </w:trPr>
        <w:tc>
          <w:tcPr>
            <w:tcW w:w="2266" w:type="dxa"/>
          </w:tcPr>
          <w:p>
            <w:pPr>
              <w:pStyle w:val="nTable"/>
              <w:spacing w:after="40"/>
              <w:rPr>
                <w:i/>
                <w:sz w:val="19"/>
              </w:rPr>
            </w:pPr>
            <w:r>
              <w:rPr>
                <w:i/>
                <w:sz w:val="19"/>
              </w:rPr>
              <w:t>Perth Medical Centre Act Amendment Act 1976</w:t>
            </w:r>
          </w:p>
        </w:tc>
        <w:tc>
          <w:tcPr>
            <w:tcW w:w="1134" w:type="dxa"/>
          </w:tcPr>
          <w:p>
            <w:pPr>
              <w:pStyle w:val="nTable"/>
              <w:spacing w:after="40"/>
              <w:rPr>
                <w:sz w:val="19"/>
              </w:rPr>
            </w:pPr>
            <w:r>
              <w:rPr>
                <w:sz w:val="19"/>
              </w:rPr>
              <w:t>2 of 1976</w:t>
            </w:r>
          </w:p>
        </w:tc>
        <w:tc>
          <w:tcPr>
            <w:tcW w:w="1134" w:type="dxa"/>
          </w:tcPr>
          <w:p>
            <w:pPr>
              <w:pStyle w:val="nTable"/>
              <w:spacing w:after="40"/>
              <w:rPr>
                <w:sz w:val="19"/>
              </w:rPr>
            </w:pPr>
            <w:r>
              <w:rPr>
                <w:sz w:val="19"/>
              </w:rPr>
              <w:t>25 May 1976</w:t>
            </w:r>
          </w:p>
        </w:tc>
        <w:tc>
          <w:tcPr>
            <w:tcW w:w="2553" w:type="dxa"/>
          </w:tcPr>
          <w:p>
            <w:pPr>
              <w:pStyle w:val="nTable"/>
              <w:spacing w:after="40"/>
              <w:rPr>
                <w:sz w:val="19"/>
              </w:rPr>
            </w:pPr>
            <w:r>
              <w:rPr>
                <w:sz w:val="19"/>
              </w:rPr>
              <w:t>25 May 1976</w:t>
            </w:r>
          </w:p>
        </w:tc>
      </w:tr>
      <w:tr>
        <w:trPr>
          <w:cantSplit/>
        </w:trPr>
        <w:tc>
          <w:tcPr>
            <w:tcW w:w="2266" w:type="dxa"/>
          </w:tcPr>
          <w:p>
            <w:pPr>
              <w:pStyle w:val="nTable"/>
              <w:spacing w:after="40"/>
              <w:rPr>
                <w:i/>
                <w:sz w:val="19"/>
              </w:rPr>
            </w:pPr>
            <w:r>
              <w:rPr>
                <w:i/>
                <w:sz w:val="19"/>
              </w:rPr>
              <w:t>Perth Medical Centre Act Amendment Act 1977</w:t>
            </w:r>
          </w:p>
        </w:tc>
        <w:tc>
          <w:tcPr>
            <w:tcW w:w="1134" w:type="dxa"/>
          </w:tcPr>
          <w:p>
            <w:pPr>
              <w:pStyle w:val="nTable"/>
              <w:spacing w:after="40"/>
              <w:rPr>
                <w:sz w:val="19"/>
              </w:rPr>
            </w:pPr>
            <w:r>
              <w:rPr>
                <w:sz w:val="19"/>
              </w:rPr>
              <w:t>6 of 1977</w:t>
            </w:r>
          </w:p>
        </w:tc>
        <w:tc>
          <w:tcPr>
            <w:tcW w:w="1134" w:type="dxa"/>
          </w:tcPr>
          <w:p>
            <w:pPr>
              <w:pStyle w:val="nTable"/>
              <w:spacing w:after="40"/>
              <w:rPr>
                <w:sz w:val="19"/>
              </w:rPr>
            </w:pPr>
            <w:r>
              <w:rPr>
                <w:sz w:val="19"/>
              </w:rPr>
              <w:t>30 Sep 1977</w:t>
            </w:r>
          </w:p>
        </w:tc>
        <w:tc>
          <w:tcPr>
            <w:tcW w:w="2553" w:type="dxa"/>
          </w:tcPr>
          <w:p>
            <w:pPr>
              <w:pStyle w:val="nTable"/>
              <w:spacing w:after="40"/>
              <w:rPr>
                <w:sz w:val="19"/>
              </w:rPr>
            </w:pPr>
            <w:r>
              <w:rPr>
                <w:sz w:val="19"/>
              </w:rPr>
              <w:t>28 Mar 1977 (see s. 2)</w:t>
            </w:r>
          </w:p>
        </w:tc>
      </w:tr>
      <w:tr>
        <w:trPr>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6" w:type="dxa"/>
          </w:tcPr>
          <w:p>
            <w:pPr>
              <w:pStyle w:val="nTable"/>
              <w:spacing w:after="40"/>
              <w:rPr>
                <w:sz w:val="19"/>
              </w:rPr>
            </w:pPr>
            <w:r>
              <w:rPr>
                <w:i/>
                <w:sz w:val="19"/>
              </w:rPr>
              <w:t>Queen Elizabeth II Medical Centre Amendment Act 1985</w:t>
            </w:r>
            <w:r>
              <w:rPr>
                <w:sz w:val="19"/>
                <w:vertAlign w:val="superscript"/>
              </w:rPr>
              <w:t> 2</w:t>
            </w:r>
          </w:p>
        </w:tc>
        <w:tc>
          <w:tcPr>
            <w:tcW w:w="1134" w:type="dxa"/>
          </w:tcPr>
          <w:p>
            <w:pPr>
              <w:pStyle w:val="nTable"/>
              <w:spacing w:after="40"/>
              <w:rPr>
                <w:sz w:val="19"/>
              </w:rPr>
            </w:pPr>
            <w:r>
              <w:rPr>
                <w:sz w:val="19"/>
              </w:rPr>
              <w:t>59 of 1985</w:t>
            </w:r>
          </w:p>
        </w:tc>
        <w:tc>
          <w:tcPr>
            <w:tcW w:w="1134" w:type="dxa"/>
          </w:tcPr>
          <w:p>
            <w:pPr>
              <w:pStyle w:val="nTable"/>
              <w:spacing w:after="40"/>
              <w:rPr>
                <w:sz w:val="19"/>
              </w:rPr>
            </w:pPr>
            <w:r>
              <w:rPr>
                <w:sz w:val="19"/>
              </w:rPr>
              <w:t>5 Nov 1985</w:t>
            </w:r>
          </w:p>
        </w:tc>
        <w:tc>
          <w:tcPr>
            <w:tcW w:w="2553" w:type="dxa"/>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6"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6" w:type="dxa"/>
          </w:tcPr>
          <w:p>
            <w:pPr>
              <w:pStyle w:val="nTable"/>
              <w:spacing w:after="40"/>
              <w:rPr>
                <w:sz w:val="19"/>
              </w:rPr>
            </w:pPr>
            <w:r>
              <w:rPr>
                <w:i/>
                <w:sz w:val="19"/>
              </w:rPr>
              <w:t>Queen Elizabeth II Medical Centre Amendment Act 1991</w:t>
            </w:r>
          </w:p>
        </w:tc>
        <w:tc>
          <w:tcPr>
            <w:tcW w:w="1134" w:type="dxa"/>
          </w:tcPr>
          <w:p>
            <w:pPr>
              <w:pStyle w:val="nTable"/>
              <w:spacing w:after="40"/>
              <w:rPr>
                <w:sz w:val="19"/>
              </w:rPr>
            </w:pPr>
            <w:r>
              <w:rPr>
                <w:sz w:val="19"/>
              </w:rPr>
              <w:t>31 of 1991</w:t>
            </w:r>
          </w:p>
        </w:tc>
        <w:tc>
          <w:tcPr>
            <w:tcW w:w="1134" w:type="dxa"/>
          </w:tcPr>
          <w:p>
            <w:pPr>
              <w:pStyle w:val="nTable"/>
              <w:spacing w:after="40"/>
              <w:rPr>
                <w:sz w:val="19"/>
              </w:rPr>
            </w:pPr>
            <w:r>
              <w:rPr>
                <w:sz w:val="19"/>
              </w:rPr>
              <w:t>23 Nov 1991</w:t>
            </w:r>
          </w:p>
        </w:tc>
        <w:tc>
          <w:tcPr>
            <w:tcW w:w="2553" w:type="dxa"/>
          </w:tcPr>
          <w:p>
            <w:pPr>
              <w:pStyle w:val="nTable"/>
              <w:spacing w:after="40"/>
              <w:rPr>
                <w:sz w:val="19"/>
              </w:rPr>
            </w:pPr>
            <w:r>
              <w:rPr>
                <w:sz w:val="19"/>
              </w:rPr>
              <w:t>23 Nov 1991 (see s. 2)</w:t>
            </w:r>
          </w:p>
        </w:tc>
      </w:tr>
      <w:tr>
        <w:trPr>
          <w:cantSplit/>
        </w:trPr>
        <w:tc>
          <w:tcPr>
            <w:tcW w:w="2266"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cantSplit/>
        </w:trPr>
        <w:tc>
          <w:tcPr>
            <w:tcW w:w="2266"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6"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6"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66"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6" w:type="dxa"/>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tcPr>
          <w:p>
            <w:pPr>
              <w:pStyle w:val="nTable"/>
              <w:spacing w:after="40"/>
              <w:rPr>
                <w:sz w:val="19"/>
              </w:rPr>
            </w:pPr>
            <w:r>
              <w:rPr>
                <w:sz w:val="19"/>
              </w:rPr>
              <w:t>61 of 2004</w:t>
            </w:r>
          </w:p>
        </w:tc>
        <w:tc>
          <w:tcPr>
            <w:tcW w:w="1134" w:type="dxa"/>
          </w:tcPr>
          <w:p>
            <w:pPr>
              <w:pStyle w:val="nTable"/>
              <w:spacing w:after="40"/>
              <w:rPr>
                <w:sz w:val="19"/>
              </w:rPr>
            </w:pPr>
            <w:r>
              <w:rPr>
                <w:sz w:val="19"/>
              </w:rPr>
              <w:t>24 Nov 2004</w:t>
            </w:r>
          </w:p>
        </w:tc>
        <w:tc>
          <w:tcPr>
            <w:tcW w:w="2553" w:type="dxa"/>
          </w:tcPr>
          <w:p>
            <w:pPr>
              <w:pStyle w:val="nTable"/>
              <w:spacing w:after="40"/>
              <w:rPr>
                <w:sz w:val="19"/>
              </w:rPr>
            </w:pPr>
            <w:r>
              <w:rPr>
                <w:spacing w:val="-2"/>
                <w:sz w:val="19"/>
              </w:rPr>
              <w:t>24 Nov 2004 (see s. 2)</w:t>
            </w:r>
          </w:p>
        </w:tc>
      </w:tr>
      <w:tr>
        <w:trPr>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6"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3"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bl>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30" w:name="_Toc9323144"/>
      <w:bookmarkStart w:id="131" w:name="_Toc51480430"/>
      <w:bookmarkStart w:id="132" w:name="_Toc88641587"/>
      <w:r>
        <w:rPr>
          <w:rStyle w:val="CharSectno"/>
        </w:rPr>
        <w:t>“</w:t>
      </w:r>
    </w:p>
    <w:p>
      <w:pPr>
        <w:pStyle w:val="nzHeading5"/>
      </w:pPr>
      <w:r>
        <w:rPr>
          <w:rStyle w:val="CharSectno"/>
        </w:rPr>
        <w:t>18</w:t>
      </w:r>
      <w:r>
        <w:t>.</w:t>
      </w:r>
      <w:r>
        <w:tab/>
        <w:t>Validation</w:t>
      </w:r>
      <w:bookmarkEnd w:id="130"/>
      <w:bookmarkEnd w:id="131"/>
      <w:bookmarkEnd w:id="132"/>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33" w:name="_Hlt51646937"/>
      <w:r>
        <w:t>17</w:t>
      </w:r>
      <w:bookmarkEnd w:id="133"/>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
      <w:pPr>
        <w:pStyle w:val="nHeading2"/>
        <w:rPr>
          <w:sz w:val="28"/>
        </w:rPr>
      </w:pPr>
      <w:bookmarkStart w:id="134" w:name="_Toc219695419"/>
      <w:bookmarkStart w:id="135" w:name="_Toc221335760"/>
      <w:r>
        <w:rPr>
          <w:sz w:val="28"/>
        </w:rPr>
        <w:t>Defined Terms</w:t>
      </w:r>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 w:name="DefinedTerms"/>
      <w:bookmarkEnd w:id="136"/>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7940</Words>
  <Characters>37003</Characters>
  <Application>Microsoft Office Word</Application>
  <DocSecurity>0</DocSecurity>
  <Lines>1027</Lines>
  <Paragraphs>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44439</CharactersWithSpaces>
  <SharedDoc>false</SharedDoc>
  <HLinks>
    <vt:vector size="18" baseType="variant">
      <vt:variant>
        <vt:i4>3014716</vt:i4>
      </vt:variant>
      <vt:variant>
        <vt:i4>3075</vt:i4>
      </vt:variant>
      <vt:variant>
        <vt:i4>1025</vt:i4>
      </vt:variant>
      <vt:variant>
        <vt:i4>1</vt:i4>
      </vt:variant>
      <vt:variant>
        <vt:lpwstr>C:\Program Files\PCO DLL\Support\Crest.wpg</vt:lpwstr>
      </vt:variant>
      <vt:variant>
        <vt:lpwstr/>
      </vt:variant>
      <vt:variant>
        <vt:i4>5439608</vt:i4>
      </vt:variant>
      <vt:variant>
        <vt:i4>38742</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1966 - 04-a0-01</dc:title>
  <dc:subject/>
  <dc:creator/>
  <cp:keywords/>
  <dc:description/>
  <cp:lastModifiedBy>svcMRProcess</cp:lastModifiedBy>
  <cp:revision>4</cp:revision>
  <cp:lastPrinted>2009-02-03T06:24:00Z</cp:lastPrinted>
  <dcterms:created xsi:type="dcterms:W3CDTF">2018-09-07T14:26:00Z</dcterms:created>
  <dcterms:modified xsi:type="dcterms:W3CDTF">2018-09-07T14:26:00Z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20090206</vt:lpwstr>
  </property>
  <property fmtid="{D5CDD505-2E9C-101B-9397-08002B2CF9AE}" pid="4" name="DocumentType">
    <vt:lpwstr>Act</vt:lpwstr>
  </property>
  <property fmtid="{D5CDD505-2E9C-101B-9397-08002B2CF9AE}" pid="5" name="OwlsUID">
    <vt:i4>650</vt:i4>
  </property>
  <property fmtid="{D5CDD505-2E9C-101B-9397-08002B2CF9AE}" pid="6" name="AsAtDate">
    <vt:lpwstr>06 Feb 2009</vt:lpwstr>
  </property>
  <property fmtid="{D5CDD505-2E9C-101B-9397-08002B2CF9AE}" pid="7" name="Suffix">
    <vt:lpwstr>04-a0-01</vt:lpwstr>
  </property>
  <property fmtid="{D5CDD505-2E9C-101B-9397-08002B2CF9AE}" pid="8" name="ReprintNo">
    <vt:lpwstr>4</vt:lpwstr>
  </property>
</Properties>
</file>