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_Toc157833932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_Toc157833933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_Toc157833934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Full and partial privatisation defined</w:t>
      </w:r>
      <w:r>
        <w:rPr>
          <w:noProof/>
        </w:rPr>
        <w:tab/>
      </w:r>
      <w:r>
        <w:rPr>
          <w:noProof/>
        </w:rPr>
        <w:fldChar w:fldCharType="begin"/>
      </w:r>
      <w:r>
        <w:rPr>
          <w:noProof/>
        </w:rPr>
        <w:instrText xml:space="preserve"> PAGEREF _Toc157833935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Privatisation of the Bank</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_Toc157833937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Privatisation of Bank</w:t>
      </w:r>
      <w:r>
        <w:rPr>
          <w:noProof/>
        </w:rPr>
        <w:tab/>
      </w:r>
      <w:r>
        <w:rPr>
          <w:noProof/>
        </w:rPr>
        <w:fldChar w:fldCharType="begin"/>
      </w:r>
      <w:r>
        <w:rPr>
          <w:noProof/>
        </w:rPr>
        <w:instrText xml:space="preserve"> PAGEREF _Toc157833938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Method of privatisation</w:t>
      </w:r>
      <w:r>
        <w:rPr>
          <w:noProof/>
        </w:rPr>
        <w:tab/>
      </w:r>
      <w:r>
        <w:rPr>
          <w:noProof/>
        </w:rPr>
        <w:fldChar w:fldCharType="begin"/>
      </w:r>
      <w:r>
        <w:rPr>
          <w:noProof/>
        </w:rPr>
        <w:instrText xml:space="preserve"> PAGEREF _Toc157833939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Extent of State’s shareholding</w:t>
      </w:r>
      <w:r>
        <w:rPr>
          <w:noProof/>
        </w:rPr>
        <w:tab/>
      </w:r>
      <w:r>
        <w:rPr>
          <w:noProof/>
        </w:rPr>
        <w:fldChar w:fldCharType="begin"/>
      </w:r>
      <w:r>
        <w:rPr>
          <w:noProof/>
        </w:rPr>
        <w:instrText xml:space="preserve"> PAGEREF _Toc157833940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Day of privatisation</w:t>
      </w:r>
      <w:r>
        <w:rPr>
          <w:noProof/>
        </w:rPr>
        <w:tab/>
      </w:r>
      <w:r>
        <w:rPr>
          <w:noProof/>
        </w:rPr>
        <w:fldChar w:fldCharType="begin"/>
      </w:r>
      <w:r>
        <w:rPr>
          <w:noProof/>
        </w:rPr>
        <w:instrText xml:space="preserve"> PAGEREF _Toc157833941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Powers exercisable for purposes of privatisation</w:t>
      </w:r>
      <w:r>
        <w:rPr>
          <w:noProof/>
        </w:rPr>
        <w:tab/>
      </w:r>
      <w:r>
        <w:rPr>
          <w:noProof/>
        </w:rPr>
        <w:fldChar w:fldCharType="begin"/>
      </w:r>
      <w:r>
        <w:rPr>
          <w:noProof/>
        </w:rPr>
        <w:instrText xml:space="preserve"> PAGEREF _Toc157833942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Consultation</w:t>
      </w:r>
      <w:r>
        <w:rPr>
          <w:noProof/>
        </w:rPr>
        <w:tab/>
      </w:r>
      <w:r>
        <w:rPr>
          <w:noProof/>
        </w:rPr>
        <w:fldChar w:fldCharType="begin"/>
      </w:r>
      <w:r>
        <w:rPr>
          <w:noProof/>
        </w:rPr>
        <w:instrText xml:space="preserve"> PAGEREF _Toc157833943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Proceeds</w:t>
      </w:r>
      <w:r>
        <w:rPr>
          <w:noProof/>
        </w:rPr>
        <w:tab/>
      </w:r>
      <w:r>
        <w:rPr>
          <w:noProof/>
        </w:rPr>
        <w:fldChar w:fldCharType="begin"/>
      </w:r>
      <w:r>
        <w:rPr>
          <w:noProof/>
        </w:rPr>
        <w:instrText xml:space="preserve"> PAGEREF _Toc157833944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Disclosure of information</w:t>
      </w:r>
      <w:r>
        <w:rPr>
          <w:noProof/>
        </w:rPr>
        <w:tab/>
      </w:r>
      <w:r>
        <w:rPr>
          <w:noProof/>
        </w:rPr>
        <w:fldChar w:fldCharType="begin"/>
      </w:r>
      <w:r>
        <w:rPr>
          <w:noProof/>
        </w:rPr>
        <w:instrText xml:space="preserve"> PAGEREF _Toc157833945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Auditor General may disclose information</w:t>
      </w:r>
      <w:r>
        <w:rPr>
          <w:noProof/>
        </w:rPr>
        <w:tab/>
      </w:r>
      <w:r>
        <w:rPr>
          <w:noProof/>
        </w:rPr>
        <w:fldChar w:fldCharType="begin"/>
      </w:r>
      <w:r>
        <w:rPr>
          <w:noProof/>
        </w:rPr>
        <w:instrText xml:space="preserve"> PAGEREF _Toc157833946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Offence of disclosing information</w:t>
      </w:r>
      <w:r>
        <w:rPr>
          <w:noProof/>
        </w:rPr>
        <w:tab/>
      </w:r>
      <w:r>
        <w:rPr>
          <w:noProof/>
        </w:rPr>
        <w:fldChar w:fldCharType="begin"/>
      </w:r>
      <w:r>
        <w:rPr>
          <w:noProof/>
        </w:rPr>
        <w:instrText xml:space="preserve"> PAGEREF _Toc157833947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Functions and powers conferred</w:t>
      </w:r>
      <w:r>
        <w:rPr>
          <w:noProof/>
        </w:rPr>
        <w:tab/>
      </w:r>
      <w:r>
        <w:rPr>
          <w:noProof/>
        </w:rPr>
        <w:fldChar w:fldCharType="begin"/>
      </w:r>
      <w:r>
        <w:rPr>
          <w:noProof/>
        </w:rPr>
        <w:instrText xml:space="preserve"> PAGEREF _Toc157833948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_Toc157833949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Provisions applicable to Bank after privatisation</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_Toc157833952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Guarantee</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Guarantee</w:t>
      </w:r>
      <w:r>
        <w:rPr>
          <w:noProof/>
        </w:rPr>
        <w:tab/>
      </w:r>
      <w:r>
        <w:rPr>
          <w:noProof/>
        </w:rPr>
        <w:fldChar w:fldCharType="begin"/>
      </w:r>
      <w:r>
        <w:rPr>
          <w:noProof/>
        </w:rPr>
        <w:instrText xml:space="preserve"> PAGEREF _Toc157833954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Charges for guarantee</w:t>
      </w:r>
      <w:r>
        <w:rPr>
          <w:noProof/>
        </w:rPr>
        <w:tab/>
      </w:r>
      <w:r>
        <w:rPr>
          <w:noProof/>
        </w:rPr>
        <w:fldChar w:fldCharType="begin"/>
      </w:r>
      <w:r>
        <w:rPr>
          <w:noProof/>
        </w:rPr>
        <w:instrText xml:space="preserve"> PAGEREF _Toc157833955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Treasurer may require information to be given</w:t>
      </w:r>
      <w:r>
        <w:rPr>
          <w:noProof/>
        </w:rPr>
        <w:tab/>
      </w:r>
      <w:r>
        <w:rPr>
          <w:noProof/>
        </w:rPr>
        <w:fldChar w:fldCharType="begin"/>
      </w:r>
      <w:r>
        <w:rPr>
          <w:noProof/>
        </w:rPr>
        <w:instrText xml:space="preserve"> PAGEREF _Toc157833956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Entrenched provisions in articles of association</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Bank’s articles of association to include certain provisions</w:t>
      </w:r>
      <w:r>
        <w:rPr>
          <w:noProof/>
        </w:rPr>
        <w:tab/>
      </w:r>
      <w:r>
        <w:rPr>
          <w:noProof/>
        </w:rPr>
        <w:fldChar w:fldCharType="begin"/>
      </w:r>
      <w:r>
        <w:rPr>
          <w:noProof/>
        </w:rPr>
        <w:instrText xml:space="preserve"> PAGEREF _Toc157833958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Incapacity of Bank to alter or avoid mandatory articles</w:t>
      </w:r>
      <w:r>
        <w:rPr>
          <w:noProof/>
        </w:rPr>
        <w:tab/>
      </w:r>
      <w:r>
        <w:rPr>
          <w:noProof/>
        </w:rPr>
        <w:fldChar w:fldCharType="begin"/>
      </w:r>
      <w:r>
        <w:rPr>
          <w:noProof/>
        </w:rPr>
        <w:instrText xml:space="preserve"> PAGEREF _Toc157833959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Operation of sections 23 and 24 excluded from the Corporations legislation</w:t>
      </w:r>
      <w:r>
        <w:rPr>
          <w:noProof/>
        </w:rPr>
        <w:tab/>
      </w:r>
      <w:r>
        <w:rPr>
          <w:noProof/>
        </w:rPr>
        <w:fldChar w:fldCharType="begin"/>
      </w:r>
      <w:r>
        <w:rPr>
          <w:noProof/>
        </w:rPr>
        <w:instrText xml:space="preserve"> PAGEREF _Toc157833960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Use of names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Use of names</w:t>
      </w:r>
      <w:r>
        <w:rPr>
          <w:noProof/>
        </w:rPr>
        <w:tab/>
      </w:r>
      <w:r>
        <w:rPr>
          <w:noProof/>
        </w:rPr>
        <w:fldChar w:fldCharType="begin"/>
      </w:r>
      <w:r>
        <w:rPr>
          <w:noProof/>
        </w:rPr>
        <w:instrText xml:space="preserve"> PAGEREF _Toc157833962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Use of former name and derivatives of it</w:t>
      </w:r>
      <w:r>
        <w:rPr>
          <w:noProof/>
        </w:rPr>
        <w:tab/>
      </w:r>
      <w:r>
        <w:rPr>
          <w:noProof/>
        </w:rPr>
        <w:fldChar w:fldCharType="begin"/>
      </w:r>
      <w:r>
        <w:rPr>
          <w:noProof/>
        </w:rPr>
        <w:instrText xml:space="preserve"> PAGEREF _Toc157833963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Enforcement of Divisions 3 and 4</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Enforcement only by injunction</w:t>
      </w:r>
      <w:r>
        <w:rPr>
          <w:noProof/>
        </w:rPr>
        <w:tab/>
      </w:r>
      <w:r>
        <w:rPr>
          <w:noProof/>
        </w:rPr>
        <w:fldChar w:fldCharType="begin"/>
      </w:r>
      <w:r>
        <w:rPr>
          <w:noProof/>
        </w:rPr>
        <w:instrText xml:space="preserve"> PAGEREF _Toc157833965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Injunctions</w:t>
      </w:r>
      <w:r>
        <w:rPr>
          <w:noProof/>
        </w:rPr>
        <w:tab/>
      </w:r>
      <w:r>
        <w:rPr>
          <w:noProof/>
        </w:rPr>
        <w:fldChar w:fldCharType="begin"/>
      </w:r>
      <w:r>
        <w:rPr>
          <w:noProof/>
        </w:rPr>
        <w:instrText xml:space="preserve"> PAGEREF _Toc157833966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Continuation of certain provisions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_Toc157833968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 xml:space="preserve">32. </w:t>
      </w:r>
      <w:r>
        <w:rPr>
          <w:noProof/>
          <w:sz w:val="24"/>
          <w:szCs w:val="24"/>
        </w:rPr>
        <w:tab/>
      </w:r>
      <w:r>
        <w:rPr>
          <w:noProof/>
          <w:szCs w:val="24"/>
        </w:rPr>
        <w:t>Intent of this Division</w:t>
      </w:r>
      <w:r>
        <w:rPr>
          <w:noProof/>
        </w:rPr>
        <w:tab/>
      </w:r>
      <w:r>
        <w:rPr>
          <w:noProof/>
        </w:rPr>
        <w:fldChar w:fldCharType="begin"/>
      </w:r>
      <w:r>
        <w:rPr>
          <w:noProof/>
        </w:rPr>
        <w:instrText xml:space="preserve"> PAGEREF _Toc157833969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_Toc157833970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Administration etc. of capital stock, debentures and inscribed stock</w:t>
      </w:r>
      <w:r>
        <w:rPr>
          <w:noProof/>
        </w:rPr>
        <w:tab/>
      </w:r>
      <w:r>
        <w:rPr>
          <w:noProof/>
        </w:rPr>
        <w:fldChar w:fldCharType="begin"/>
      </w:r>
      <w:r>
        <w:rPr>
          <w:noProof/>
        </w:rPr>
        <w:instrText xml:space="preserve"> PAGEREF _Toc157833971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Reference to officers</w:t>
      </w:r>
      <w:r>
        <w:rPr>
          <w:noProof/>
        </w:rPr>
        <w:tab/>
      </w:r>
      <w:r>
        <w:rPr>
          <w:noProof/>
        </w:rPr>
        <w:fldChar w:fldCharType="begin"/>
      </w:r>
      <w:r>
        <w:rPr>
          <w:noProof/>
        </w:rPr>
        <w:instrText xml:space="preserve"> PAGEREF _Toc157833972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Immunity etc. to continue</w:t>
      </w:r>
      <w:r>
        <w:rPr>
          <w:noProof/>
        </w:rPr>
        <w:tab/>
      </w:r>
      <w:r>
        <w:rPr>
          <w:noProof/>
        </w:rPr>
        <w:fldChar w:fldCharType="begin"/>
      </w:r>
      <w:r>
        <w:rPr>
          <w:noProof/>
        </w:rPr>
        <w:instrText xml:space="preserve"> PAGEREF _Toc157833973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Former Bank to complete necessary transactions</w:t>
      </w:r>
      <w:r>
        <w:rPr>
          <w:noProof/>
        </w:rPr>
        <w:tab/>
      </w:r>
      <w:r>
        <w:rPr>
          <w:noProof/>
        </w:rPr>
        <w:fldChar w:fldCharType="begin"/>
      </w:r>
      <w:r>
        <w:rPr>
          <w:noProof/>
        </w:rPr>
        <w:instrText xml:space="preserve"> PAGEREF _Toc157833974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Miscellaneous</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References to former name</w:t>
      </w:r>
      <w:r>
        <w:rPr>
          <w:noProof/>
        </w:rPr>
        <w:tab/>
      </w:r>
      <w:r>
        <w:rPr>
          <w:noProof/>
        </w:rPr>
        <w:fldChar w:fldCharType="begin"/>
      </w:r>
      <w:r>
        <w:rPr>
          <w:noProof/>
        </w:rPr>
        <w:instrText xml:space="preserve"> PAGEREF _Toc157833976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_Toc157833977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4 — State’s shareholding in Bank on partial privatisation</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_Toc157833979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Treasurer’s shareholding</w:t>
      </w:r>
      <w:r>
        <w:rPr>
          <w:noProof/>
        </w:rPr>
        <w:tab/>
      </w:r>
      <w:r>
        <w:rPr>
          <w:noProof/>
        </w:rPr>
        <w:fldChar w:fldCharType="begin"/>
      </w:r>
      <w:r>
        <w:rPr>
          <w:noProof/>
        </w:rPr>
        <w:instrText xml:space="preserve"> PAGEREF _Toc157833980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5 — General</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_Toc157833982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i/>
          <w:noProof/>
          <w:snapToGrid w:val="0"/>
          <w:szCs w:val="24"/>
        </w:rPr>
        <w:t>Bank of Western Australia Act 1990</w:t>
      </w:r>
      <w:r>
        <w:rPr>
          <w:noProof/>
          <w:snapToGrid w:val="0"/>
          <w:szCs w:val="24"/>
        </w:rPr>
        <w:t xml:space="preserve"> amended</w:t>
      </w:r>
      <w:r>
        <w:rPr>
          <w:noProof/>
        </w:rPr>
        <w:tab/>
      </w:r>
      <w:r>
        <w:rPr>
          <w:noProof/>
        </w:rPr>
        <w:fldChar w:fldCharType="begin"/>
      </w:r>
      <w:r>
        <w:rPr>
          <w:noProof/>
        </w:rPr>
        <w:instrText xml:space="preserve"> PAGEREF _Toc157833983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Consequential amendments to other Acts</w:t>
      </w:r>
      <w:r>
        <w:rPr>
          <w:noProof/>
        </w:rPr>
        <w:tab/>
      </w:r>
      <w:r>
        <w:rPr>
          <w:noProof/>
        </w:rPr>
        <w:fldChar w:fldCharType="begin"/>
      </w:r>
      <w:r>
        <w:rPr>
          <w:noProof/>
        </w:rPr>
        <w:instrText xml:space="preserve"> PAGEREF _Toc157833984 \h </w:instrText>
      </w:r>
      <w:r>
        <w:rPr>
          <w:noProof/>
        </w:rPr>
      </w:r>
      <w:r>
        <w:rPr>
          <w:noProof/>
        </w:rPr>
        <w:fldChar w:fldCharType="separate"/>
      </w:r>
      <w:r>
        <w:rPr>
          <w:noProof/>
        </w:rPr>
        <w:t>22</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_Toc157833985 \h </w:instrText>
      </w:r>
      <w:r>
        <w:rPr>
          <w:noProof/>
        </w:rPr>
      </w:r>
      <w:r>
        <w:rPr>
          <w:noProof/>
        </w:rPr>
        <w:fldChar w:fldCharType="separate"/>
      </w:r>
      <w:r>
        <w:rPr>
          <w:noProof/>
        </w:rPr>
        <w:t>23</w:t>
      </w:r>
      <w:r>
        <w:rPr>
          <w:noProof/>
        </w:rPr>
        <w:fldChar w:fldCharType="end"/>
      </w:r>
    </w:p>
    <w:p>
      <w:pPr>
        <w:pStyle w:val="TOC7"/>
        <w:rPr>
          <w:noProof/>
          <w:sz w:val="24"/>
          <w:szCs w:val="24"/>
        </w:rPr>
      </w:pPr>
      <w:r>
        <w:rPr>
          <w:noProof/>
          <w:snapToGrid w:val="0"/>
          <w:szCs w:val="24"/>
        </w:rPr>
        <w:t>Division 2 — Transitional provisions</w:t>
      </w:r>
      <w:r>
        <w:rPr>
          <w:noProof/>
        </w:rPr>
        <w:tab/>
      </w:r>
      <w:r>
        <w:rPr>
          <w:noProof/>
        </w:rPr>
        <w:fldChar w:fldCharType="begin"/>
      </w:r>
      <w:r>
        <w:rPr>
          <w:noProof/>
        </w:rPr>
        <w:instrText xml:space="preserve"> PAGEREF _Toc157833986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11. </w:t>
      </w:r>
      <w:r>
        <w:rPr>
          <w:noProof/>
          <w:sz w:val="24"/>
          <w:szCs w:val="24"/>
        </w:rPr>
        <w:tab/>
      </w:r>
      <w:r>
        <w:rPr>
          <w:noProof/>
          <w:snapToGrid w:val="0"/>
          <w:szCs w:val="22"/>
        </w:rPr>
        <w:t>Definitions</w:t>
      </w:r>
      <w:r>
        <w:rPr>
          <w:noProof/>
        </w:rPr>
        <w:tab/>
      </w:r>
      <w:r>
        <w:rPr>
          <w:noProof/>
        </w:rPr>
        <w:fldChar w:fldCharType="begin"/>
      </w:r>
      <w:r>
        <w:rPr>
          <w:noProof/>
        </w:rPr>
        <w:instrText xml:space="preserve"> PAGEREF _Toc157833987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12. </w:t>
      </w:r>
      <w:r>
        <w:rPr>
          <w:noProof/>
          <w:sz w:val="24"/>
          <w:szCs w:val="24"/>
        </w:rPr>
        <w:tab/>
      </w:r>
      <w:r>
        <w:rPr>
          <w:noProof/>
          <w:snapToGrid w:val="0"/>
          <w:szCs w:val="22"/>
        </w:rPr>
        <w:t>Auditor General may disclose information</w:t>
      </w:r>
      <w:r>
        <w:rPr>
          <w:noProof/>
        </w:rPr>
        <w:tab/>
      </w:r>
      <w:r>
        <w:rPr>
          <w:noProof/>
        </w:rPr>
        <w:fldChar w:fldCharType="begin"/>
      </w:r>
      <w:r>
        <w:rPr>
          <w:noProof/>
        </w:rPr>
        <w:instrText xml:space="preserve"> PAGEREF _Toc157833988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13. </w:t>
      </w:r>
      <w:r>
        <w:rPr>
          <w:noProof/>
          <w:sz w:val="24"/>
          <w:szCs w:val="24"/>
        </w:rPr>
        <w:tab/>
      </w:r>
      <w:r>
        <w:rPr>
          <w:noProof/>
          <w:snapToGrid w:val="0"/>
          <w:szCs w:val="22"/>
        </w:rPr>
        <w:t>Payments under repealed section 31 up to day of privatisation</w:t>
      </w:r>
      <w:r>
        <w:rPr>
          <w:noProof/>
        </w:rPr>
        <w:tab/>
      </w:r>
      <w:r>
        <w:rPr>
          <w:noProof/>
        </w:rPr>
        <w:fldChar w:fldCharType="begin"/>
      </w:r>
      <w:r>
        <w:rPr>
          <w:noProof/>
        </w:rPr>
        <w:instrText xml:space="preserve"> PAGEREF _Toc157833989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14. </w:t>
      </w:r>
      <w:r>
        <w:rPr>
          <w:noProof/>
          <w:sz w:val="24"/>
          <w:szCs w:val="24"/>
        </w:rPr>
        <w:tab/>
      </w:r>
      <w:r>
        <w:rPr>
          <w:noProof/>
          <w:snapToGrid w:val="0"/>
          <w:szCs w:val="22"/>
        </w:rPr>
        <w:t>Agreements under section 33(4a)</w:t>
      </w:r>
      <w:r>
        <w:rPr>
          <w:noProof/>
        </w:rPr>
        <w:tab/>
      </w:r>
      <w:r>
        <w:rPr>
          <w:noProof/>
        </w:rPr>
        <w:fldChar w:fldCharType="begin"/>
      </w:r>
      <w:r>
        <w:rPr>
          <w:noProof/>
        </w:rPr>
        <w:instrText xml:space="preserve"> PAGEREF _Toc157833990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napToGrid w:val="0"/>
          <w:szCs w:val="22"/>
        </w:rPr>
        <w:t xml:space="preserve">15. </w:t>
      </w:r>
      <w:r>
        <w:rPr>
          <w:noProof/>
          <w:sz w:val="24"/>
          <w:szCs w:val="24"/>
        </w:rPr>
        <w:tab/>
      </w:r>
      <w:r>
        <w:rPr>
          <w:noProof/>
          <w:snapToGrid w:val="0"/>
          <w:szCs w:val="22"/>
        </w:rPr>
        <w:t>Securities taken as agent of Crown</w:t>
      </w:r>
      <w:r>
        <w:rPr>
          <w:noProof/>
        </w:rPr>
        <w:tab/>
      </w:r>
      <w:r>
        <w:rPr>
          <w:noProof/>
        </w:rPr>
        <w:fldChar w:fldCharType="begin"/>
      </w:r>
      <w:r>
        <w:rPr>
          <w:noProof/>
        </w:rPr>
        <w:instrText xml:space="preserve"> PAGEREF _Toc157833991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_Toc157833992 \h </w:instrText>
      </w:r>
      <w:r>
        <w:rPr>
          <w:noProof/>
        </w:rPr>
      </w:r>
      <w:r>
        <w:rPr>
          <w:noProof/>
        </w:rPr>
        <w:fldChar w:fldCharType="separate"/>
      </w:r>
      <w:r>
        <w:rPr>
          <w:noProof/>
        </w:rPr>
        <w:t>25</w:t>
      </w:r>
      <w:r>
        <w:rPr>
          <w:noProof/>
        </w:rPr>
        <w:fldChar w:fldCharType="end"/>
      </w:r>
    </w:p>
    <w:p>
      <w:pPr>
        <w:pStyle w:val="TOC7"/>
        <w:rPr>
          <w:noProof/>
          <w:sz w:val="24"/>
          <w:szCs w:val="24"/>
        </w:rPr>
      </w:pPr>
      <w:r>
        <w:rPr>
          <w:noProof/>
          <w:szCs w:val="28"/>
        </w:rPr>
        <w:t>Part B — Transitional Provisions</w:t>
      </w:r>
      <w:r>
        <w:rPr>
          <w:noProof/>
        </w:rPr>
        <w:tab/>
      </w:r>
      <w:r>
        <w:rPr>
          <w:noProof/>
        </w:rPr>
        <w:fldChar w:fldCharType="begin"/>
      </w:r>
      <w:r>
        <w:rPr>
          <w:noProof/>
        </w:rPr>
        <w:instrText xml:space="preserve"> PAGEREF _Toc157833993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 xml:space="preserve">Provision relating to </w:t>
      </w:r>
      <w:r>
        <w:rPr>
          <w:i/>
          <w:noProof/>
          <w:snapToGrid w:val="0"/>
          <w:szCs w:val="22"/>
        </w:rPr>
        <w:t>Industry (Advances) Act 1947</w:t>
      </w:r>
      <w:r>
        <w:rPr>
          <w:noProof/>
        </w:rPr>
        <w:tab/>
      </w:r>
      <w:r>
        <w:rPr>
          <w:noProof/>
        </w:rPr>
        <w:fldChar w:fldCharType="begin"/>
      </w:r>
      <w:r>
        <w:rPr>
          <w:noProof/>
        </w:rPr>
        <w:instrText xml:space="preserve"> PAGEREF _Toc157833994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napToGrid w:val="0"/>
          <w:szCs w:val="22"/>
        </w:rPr>
        <w:t xml:space="preserve">2. </w:t>
      </w:r>
      <w:r>
        <w:rPr>
          <w:noProof/>
          <w:sz w:val="24"/>
          <w:szCs w:val="24"/>
        </w:rPr>
        <w:tab/>
      </w:r>
      <w:r>
        <w:rPr>
          <w:noProof/>
          <w:snapToGrid w:val="0"/>
          <w:szCs w:val="22"/>
        </w:rPr>
        <w:t xml:space="preserve">Provisions relating to </w:t>
      </w:r>
      <w:r>
        <w:rPr>
          <w:i/>
          <w:noProof/>
          <w:snapToGrid w:val="0"/>
          <w:szCs w:val="22"/>
        </w:rPr>
        <w:t>Superannuation and Family Benefits Act 1938</w:t>
      </w:r>
      <w:r>
        <w:rPr>
          <w:noProof/>
        </w:rPr>
        <w:tab/>
      </w:r>
      <w:r>
        <w:rPr>
          <w:noProof/>
        </w:rPr>
        <w:fldChar w:fldCharType="begin"/>
      </w:r>
      <w:r>
        <w:rPr>
          <w:noProof/>
        </w:rPr>
        <w:instrText xml:space="preserve"> PAGEREF _Toc157833995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_Toc157833997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_Toc157833998 \h </w:instrText>
      </w:r>
      <w:r>
        <w:rPr>
          <w:noProof/>
        </w:rPr>
      </w:r>
      <w:r>
        <w:rPr>
          <w:noProof/>
        </w:rPr>
        <w:fldChar w:fldCharType="separate"/>
      </w:r>
      <w:r>
        <w:rPr>
          <w:noProof/>
        </w:rPr>
        <w:t>27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 xml:space="preserve">Bank of Western Australia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 w:name="_Toc72732358"/>
      <w:bookmarkStart w:id="2" w:name="_Toc15783393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68497633"/>
      <w:bookmarkStart w:id="4" w:name="_Toc15783393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5" w:name="_Toc68497634"/>
      <w:bookmarkStart w:id="6" w:name="_Toc15783393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7" w:name="_Toc68497635"/>
      <w:bookmarkStart w:id="8" w:name="_Toc157833934"/>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9" w:name="_Toc68497636"/>
      <w:bookmarkStart w:id="10" w:name="_Toc157833935"/>
      <w:r>
        <w:rPr>
          <w:rStyle w:val="CharSectno"/>
        </w:rPr>
        <w:t>4</w:t>
      </w:r>
      <w:r>
        <w:rPr>
          <w:snapToGrid w:val="0"/>
        </w:rPr>
        <w:t>.</w:t>
      </w:r>
      <w:r>
        <w:rPr>
          <w:snapToGrid w:val="0"/>
        </w:rPr>
        <w:tab/>
        <w:t>Full and partial privatisation defined</w:t>
      </w:r>
      <w:bookmarkEnd w:id="9"/>
      <w:bookmarkEnd w:id="10"/>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11" w:name="_Toc72732363"/>
      <w:bookmarkStart w:id="12" w:name="_Toc157833936"/>
      <w:r>
        <w:rPr>
          <w:rStyle w:val="CharPartNo"/>
        </w:rPr>
        <w:t>Part 2</w:t>
      </w:r>
      <w:r>
        <w:rPr>
          <w:rStyle w:val="CharDivNo"/>
        </w:rPr>
        <w:t> </w:t>
      </w:r>
      <w:r>
        <w:t>—</w:t>
      </w:r>
      <w:r>
        <w:rPr>
          <w:rStyle w:val="CharDivText"/>
        </w:rPr>
        <w:t> </w:t>
      </w:r>
      <w:r>
        <w:rPr>
          <w:rStyle w:val="CharPartText"/>
        </w:rPr>
        <w:t>Privatisation of the Bank</w:t>
      </w:r>
      <w:bookmarkEnd w:id="11"/>
      <w:bookmarkEnd w:id="12"/>
      <w:r>
        <w:rPr>
          <w:rStyle w:val="CharPartText"/>
        </w:rPr>
        <w:t xml:space="preserve"> </w:t>
      </w:r>
    </w:p>
    <w:p>
      <w:pPr>
        <w:pStyle w:val="Heading5"/>
        <w:rPr>
          <w:snapToGrid w:val="0"/>
        </w:rPr>
      </w:pPr>
      <w:bookmarkStart w:id="13" w:name="_Toc68497637"/>
      <w:bookmarkStart w:id="14" w:name="_Toc157833937"/>
      <w:r>
        <w:rPr>
          <w:rStyle w:val="CharSectno"/>
        </w:rPr>
        <w:t>5</w:t>
      </w:r>
      <w:r>
        <w:rPr>
          <w:snapToGrid w:val="0"/>
        </w:rPr>
        <w:t>.</w:t>
      </w:r>
      <w:r>
        <w:rPr>
          <w:snapToGrid w:val="0"/>
        </w:rPr>
        <w:tab/>
        <w:t>Definitions</w:t>
      </w:r>
      <w:bookmarkEnd w:id="13"/>
      <w:bookmarkEnd w:id="1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Bank of Western Australia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15" w:name="_Toc68497638"/>
      <w:bookmarkStart w:id="16" w:name="_Toc157833938"/>
      <w:r>
        <w:rPr>
          <w:rStyle w:val="CharSectno"/>
        </w:rPr>
        <w:t>6</w:t>
      </w:r>
      <w:r>
        <w:rPr>
          <w:snapToGrid w:val="0"/>
        </w:rPr>
        <w:t>.</w:t>
      </w:r>
      <w:r>
        <w:rPr>
          <w:snapToGrid w:val="0"/>
        </w:rPr>
        <w:tab/>
        <w:t>Privatisation of Bank</w:t>
      </w:r>
      <w:bookmarkEnd w:id="15"/>
      <w:bookmarkEnd w:id="16"/>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17" w:name="_Toc68497639"/>
      <w:bookmarkStart w:id="18" w:name="_Toc157833939"/>
      <w:r>
        <w:rPr>
          <w:rStyle w:val="CharSectno"/>
        </w:rPr>
        <w:t>7</w:t>
      </w:r>
      <w:r>
        <w:rPr>
          <w:snapToGrid w:val="0"/>
        </w:rPr>
        <w:t>.</w:t>
      </w:r>
      <w:r>
        <w:rPr>
          <w:snapToGrid w:val="0"/>
        </w:rPr>
        <w:tab/>
        <w:t>Method of privatisation</w:t>
      </w:r>
      <w:bookmarkEnd w:id="17"/>
      <w:bookmarkEnd w:id="18"/>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19" w:name="_Toc68497640"/>
      <w:bookmarkStart w:id="20" w:name="_Toc157833940"/>
      <w:r>
        <w:rPr>
          <w:rStyle w:val="CharSectno"/>
        </w:rPr>
        <w:t>8</w:t>
      </w:r>
      <w:r>
        <w:rPr>
          <w:snapToGrid w:val="0"/>
        </w:rPr>
        <w:t>.</w:t>
      </w:r>
      <w:r>
        <w:rPr>
          <w:snapToGrid w:val="0"/>
        </w:rPr>
        <w:tab/>
        <w:t>Extent of State’s shareholding</w:t>
      </w:r>
      <w:bookmarkEnd w:id="19"/>
      <w:bookmarkEnd w:id="20"/>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21" w:name="_Toc68497641"/>
      <w:bookmarkStart w:id="22" w:name="_Toc157833941"/>
      <w:r>
        <w:rPr>
          <w:rStyle w:val="CharSectno"/>
        </w:rPr>
        <w:t>9</w:t>
      </w:r>
      <w:r>
        <w:rPr>
          <w:snapToGrid w:val="0"/>
        </w:rPr>
        <w:t>.</w:t>
      </w:r>
      <w:r>
        <w:rPr>
          <w:snapToGrid w:val="0"/>
        </w:rPr>
        <w:tab/>
        <w:t>Day of privatisation</w:t>
      </w:r>
      <w:bookmarkEnd w:id="21"/>
      <w:bookmarkEnd w:id="22"/>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23" w:name="_Toc68497642"/>
      <w:bookmarkStart w:id="24" w:name="_Toc157833942"/>
      <w:r>
        <w:rPr>
          <w:rStyle w:val="CharSectno"/>
        </w:rPr>
        <w:t>10</w:t>
      </w:r>
      <w:r>
        <w:rPr>
          <w:snapToGrid w:val="0"/>
        </w:rPr>
        <w:t>.</w:t>
      </w:r>
      <w:r>
        <w:rPr>
          <w:snapToGrid w:val="0"/>
        </w:rPr>
        <w:tab/>
        <w:t>Powers exercisable for purposes of privatisation</w:t>
      </w:r>
      <w:bookmarkEnd w:id="23"/>
      <w:bookmarkEnd w:id="24"/>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Has not come into operation </w:t>
      </w:r>
      <w:r>
        <w:rPr>
          <w:i w:val="0"/>
          <w:vertAlign w:val="superscript"/>
        </w:rPr>
        <w:t>4</w:t>
      </w:r>
      <w:r>
        <w:t>.]</w:t>
      </w:r>
    </w:p>
    <w:p>
      <w:pPr>
        <w:pStyle w:val="Heading5"/>
        <w:rPr>
          <w:snapToGrid w:val="0"/>
        </w:rPr>
      </w:pPr>
      <w:bookmarkStart w:id="25" w:name="_Toc68497643"/>
      <w:bookmarkStart w:id="26" w:name="_Toc157833943"/>
      <w:r>
        <w:rPr>
          <w:rStyle w:val="CharSectno"/>
        </w:rPr>
        <w:t>12</w:t>
      </w:r>
      <w:r>
        <w:rPr>
          <w:snapToGrid w:val="0"/>
        </w:rPr>
        <w:t>.</w:t>
      </w:r>
      <w:r>
        <w:rPr>
          <w:snapToGrid w:val="0"/>
        </w:rPr>
        <w:tab/>
        <w:t>Consultation</w:t>
      </w:r>
      <w:bookmarkEnd w:id="25"/>
      <w:bookmarkEnd w:id="26"/>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27" w:name="_Toc68497644"/>
      <w:bookmarkStart w:id="28" w:name="_Toc157833944"/>
      <w:r>
        <w:rPr>
          <w:rStyle w:val="CharSectno"/>
        </w:rPr>
        <w:t>13</w:t>
      </w:r>
      <w:r>
        <w:rPr>
          <w:snapToGrid w:val="0"/>
        </w:rPr>
        <w:t>.</w:t>
      </w:r>
      <w:r>
        <w:rPr>
          <w:snapToGrid w:val="0"/>
        </w:rPr>
        <w:tab/>
        <w:t>Proceeds</w:t>
      </w:r>
      <w:bookmarkEnd w:id="27"/>
      <w:bookmarkEnd w:id="28"/>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29" w:name="_Toc68497645"/>
      <w:bookmarkStart w:id="30" w:name="_Toc157833945"/>
      <w:r>
        <w:rPr>
          <w:rStyle w:val="CharSectno"/>
        </w:rPr>
        <w:t>14</w:t>
      </w:r>
      <w:r>
        <w:rPr>
          <w:snapToGrid w:val="0"/>
        </w:rPr>
        <w:t>.</w:t>
      </w:r>
      <w:r>
        <w:rPr>
          <w:snapToGrid w:val="0"/>
        </w:rPr>
        <w:tab/>
        <w:t>Disclosure of information</w:t>
      </w:r>
      <w:bookmarkEnd w:id="29"/>
      <w:bookmarkEnd w:id="30"/>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31" w:name="_Toc68497646"/>
      <w:bookmarkStart w:id="32" w:name="_Toc157833946"/>
      <w:r>
        <w:rPr>
          <w:rStyle w:val="CharSectno"/>
        </w:rPr>
        <w:t>15</w:t>
      </w:r>
      <w:r>
        <w:rPr>
          <w:snapToGrid w:val="0"/>
        </w:rPr>
        <w:t>.</w:t>
      </w:r>
      <w:r>
        <w:rPr>
          <w:snapToGrid w:val="0"/>
        </w:rPr>
        <w:tab/>
        <w:t>Auditor General may disclose information</w:t>
      </w:r>
      <w:bookmarkEnd w:id="31"/>
      <w:bookmarkEnd w:id="32"/>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 17.]</w:t>
      </w:r>
    </w:p>
    <w:p>
      <w:pPr>
        <w:pStyle w:val="Heading5"/>
        <w:rPr>
          <w:snapToGrid w:val="0"/>
        </w:rPr>
      </w:pPr>
      <w:bookmarkStart w:id="33" w:name="_Toc68497647"/>
      <w:bookmarkStart w:id="34" w:name="_Toc157833947"/>
      <w:r>
        <w:rPr>
          <w:rStyle w:val="CharSectno"/>
        </w:rPr>
        <w:t>16</w:t>
      </w:r>
      <w:r>
        <w:rPr>
          <w:snapToGrid w:val="0"/>
        </w:rPr>
        <w:t>.</w:t>
      </w:r>
      <w:r>
        <w:rPr>
          <w:snapToGrid w:val="0"/>
        </w:rPr>
        <w:tab/>
        <w:t>Offence of disclosing information</w:t>
      </w:r>
      <w:bookmarkEnd w:id="33"/>
      <w:bookmarkEnd w:id="34"/>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35" w:name="_Toc68497648"/>
      <w:bookmarkStart w:id="36" w:name="_Toc157833948"/>
      <w:r>
        <w:rPr>
          <w:rStyle w:val="CharSectno"/>
        </w:rPr>
        <w:t>17</w:t>
      </w:r>
      <w:r>
        <w:rPr>
          <w:snapToGrid w:val="0"/>
        </w:rPr>
        <w:t>.</w:t>
      </w:r>
      <w:r>
        <w:rPr>
          <w:snapToGrid w:val="0"/>
        </w:rPr>
        <w:tab/>
        <w:t>Functions and powers conferred</w:t>
      </w:r>
      <w:bookmarkEnd w:id="35"/>
      <w:bookmarkEnd w:id="36"/>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37" w:name="_Toc68497649"/>
      <w:bookmarkStart w:id="38" w:name="_Toc157833949"/>
      <w:r>
        <w:rPr>
          <w:rStyle w:val="CharSectno"/>
        </w:rPr>
        <w:t>18</w:t>
      </w:r>
      <w:r>
        <w:rPr>
          <w:snapToGrid w:val="0"/>
        </w:rPr>
        <w:t>.</w:t>
      </w:r>
      <w:r>
        <w:rPr>
          <w:snapToGrid w:val="0"/>
        </w:rPr>
        <w:tab/>
        <w:t>Exemption from stamp duty</w:t>
      </w:r>
      <w:bookmarkEnd w:id="37"/>
      <w:bookmarkEnd w:id="38"/>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39" w:name="_Toc72732377"/>
      <w:bookmarkStart w:id="40" w:name="_Toc157833950"/>
      <w:r>
        <w:rPr>
          <w:rStyle w:val="CharPartNo"/>
        </w:rPr>
        <w:t>Part 3</w:t>
      </w:r>
      <w:r>
        <w:t> — </w:t>
      </w:r>
      <w:r>
        <w:rPr>
          <w:rStyle w:val="CharPartText"/>
        </w:rPr>
        <w:t>Provisions applicable to Bank after privatisation</w:t>
      </w:r>
      <w:bookmarkEnd w:id="39"/>
      <w:bookmarkEnd w:id="40"/>
    </w:p>
    <w:p>
      <w:pPr>
        <w:pStyle w:val="Heading3"/>
        <w:rPr>
          <w:snapToGrid w:val="0"/>
        </w:rPr>
      </w:pPr>
      <w:bookmarkStart w:id="41" w:name="_Toc72732378"/>
      <w:bookmarkStart w:id="42" w:name="_Toc157833951"/>
      <w:r>
        <w:rPr>
          <w:rStyle w:val="CharDivNo"/>
        </w:rPr>
        <w:t>Division 1</w:t>
      </w:r>
      <w:r>
        <w:rPr>
          <w:snapToGrid w:val="0"/>
        </w:rPr>
        <w:t> — </w:t>
      </w:r>
      <w:r>
        <w:rPr>
          <w:rStyle w:val="CharDivText"/>
        </w:rPr>
        <w:t>Preliminary</w:t>
      </w:r>
      <w:bookmarkEnd w:id="41"/>
      <w:bookmarkEnd w:id="42"/>
      <w:r>
        <w:rPr>
          <w:rStyle w:val="CharDivText"/>
        </w:rPr>
        <w:t xml:space="preserve"> </w:t>
      </w:r>
    </w:p>
    <w:p>
      <w:pPr>
        <w:pStyle w:val="Heading5"/>
        <w:rPr>
          <w:snapToGrid w:val="0"/>
        </w:rPr>
      </w:pPr>
      <w:bookmarkStart w:id="43" w:name="_Toc68497650"/>
      <w:bookmarkStart w:id="44" w:name="_Toc157833952"/>
      <w:r>
        <w:rPr>
          <w:rStyle w:val="CharSectno"/>
        </w:rPr>
        <w:t>19</w:t>
      </w:r>
      <w:r>
        <w:rPr>
          <w:snapToGrid w:val="0"/>
        </w:rPr>
        <w:t>.</w:t>
      </w:r>
      <w:r>
        <w:rPr>
          <w:snapToGrid w:val="0"/>
        </w:rPr>
        <w:tab/>
        <w:t>Definitions</w:t>
      </w:r>
      <w:bookmarkEnd w:id="43"/>
      <w:bookmarkEnd w:id="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r>
      <w:r>
        <w:rPr>
          <w:rStyle w:val="CharDefText"/>
        </w:rPr>
        <w:t>the 1990 Act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45" w:name="_Toc72732380"/>
      <w:bookmarkStart w:id="46" w:name="_Toc157833953"/>
      <w:r>
        <w:rPr>
          <w:rStyle w:val="CharDivNo"/>
        </w:rPr>
        <w:t>Division 2</w:t>
      </w:r>
      <w:r>
        <w:rPr>
          <w:snapToGrid w:val="0"/>
        </w:rPr>
        <w:t> — </w:t>
      </w:r>
      <w:r>
        <w:rPr>
          <w:rStyle w:val="CharDivText"/>
        </w:rPr>
        <w:t>Guarantee</w:t>
      </w:r>
      <w:bookmarkEnd w:id="45"/>
      <w:bookmarkEnd w:id="46"/>
    </w:p>
    <w:p>
      <w:pPr>
        <w:pStyle w:val="Heading5"/>
        <w:rPr>
          <w:snapToGrid w:val="0"/>
        </w:rPr>
      </w:pPr>
      <w:bookmarkStart w:id="47" w:name="_Toc68497651"/>
      <w:bookmarkStart w:id="48" w:name="_Toc157833954"/>
      <w:r>
        <w:rPr>
          <w:rStyle w:val="CharSectno"/>
        </w:rPr>
        <w:t>20</w:t>
      </w:r>
      <w:r>
        <w:rPr>
          <w:snapToGrid w:val="0"/>
        </w:rPr>
        <w:t>.</w:t>
      </w:r>
      <w:r>
        <w:rPr>
          <w:snapToGrid w:val="0"/>
        </w:rPr>
        <w:tab/>
        <w:t>Guarantee</w:t>
      </w:r>
      <w:bookmarkEnd w:id="47"/>
      <w:bookmarkEnd w:id="48"/>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rPr>
          <w:i w:val="0"/>
          <w:u w:val="single"/>
        </w:rPr>
      </w:pPr>
      <w:r>
        <w:tab/>
        <w:t>[Section 20 amended by No. 77 of 2006 s. 4.]</w:t>
      </w:r>
    </w:p>
    <w:p>
      <w:pPr>
        <w:pStyle w:val="Heading5"/>
        <w:rPr>
          <w:snapToGrid w:val="0"/>
        </w:rPr>
      </w:pPr>
      <w:bookmarkStart w:id="49" w:name="_Toc68497652"/>
      <w:bookmarkStart w:id="50" w:name="_Toc157833955"/>
      <w:r>
        <w:rPr>
          <w:rStyle w:val="CharSectno"/>
        </w:rPr>
        <w:t>21</w:t>
      </w:r>
      <w:r>
        <w:rPr>
          <w:snapToGrid w:val="0"/>
        </w:rPr>
        <w:t>.</w:t>
      </w:r>
      <w:r>
        <w:rPr>
          <w:snapToGrid w:val="0"/>
        </w:rPr>
        <w:tab/>
        <w:t>Charges for guarantee</w:t>
      </w:r>
      <w:bookmarkEnd w:id="49"/>
      <w:bookmarkEnd w:id="50"/>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pPr>
      <w:r>
        <w:tab/>
        <w:t>[Section 21 amended by No. 77 of 2006 s. 4.]</w:t>
      </w:r>
    </w:p>
    <w:p>
      <w:pPr>
        <w:pStyle w:val="Heading5"/>
        <w:rPr>
          <w:snapToGrid w:val="0"/>
        </w:rPr>
      </w:pPr>
      <w:bookmarkStart w:id="51" w:name="_Toc68497653"/>
      <w:bookmarkStart w:id="52" w:name="_Toc157833956"/>
      <w:r>
        <w:rPr>
          <w:rStyle w:val="CharSectno"/>
        </w:rPr>
        <w:t>22</w:t>
      </w:r>
      <w:r>
        <w:rPr>
          <w:snapToGrid w:val="0"/>
        </w:rPr>
        <w:t>.</w:t>
      </w:r>
      <w:r>
        <w:rPr>
          <w:snapToGrid w:val="0"/>
        </w:rPr>
        <w:tab/>
        <w:t>Treasurer may require information to be given</w:t>
      </w:r>
      <w:bookmarkEnd w:id="51"/>
      <w:bookmarkEnd w:id="52"/>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53" w:name="_Toc72732384"/>
      <w:bookmarkStart w:id="54" w:name="_Toc157833957"/>
      <w:r>
        <w:rPr>
          <w:rStyle w:val="CharDivNo"/>
        </w:rPr>
        <w:t>Division 3</w:t>
      </w:r>
      <w:r>
        <w:rPr>
          <w:snapToGrid w:val="0"/>
        </w:rPr>
        <w:t> — </w:t>
      </w:r>
      <w:r>
        <w:rPr>
          <w:rStyle w:val="CharDivText"/>
        </w:rPr>
        <w:t>Entrenched provisions in articles of association</w:t>
      </w:r>
      <w:bookmarkEnd w:id="53"/>
      <w:bookmarkEnd w:id="54"/>
      <w:r>
        <w:rPr>
          <w:rStyle w:val="CharDivText"/>
        </w:rPr>
        <w:t xml:space="preserve"> </w:t>
      </w:r>
    </w:p>
    <w:p>
      <w:pPr>
        <w:pStyle w:val="Heading5"/>
        <w:rPr>
          <w:snapToGrid w:val="0"/>
        </w:rPr>
      </w:pPr>
      <w:bookmarkStart w:id="55" w:name="_Toc68497654"/>
      <w:bookmarkStart w:id="56" w:name="_Toc157833958"/>
      <w:r>
        <w:rPr>
          <w:rStyle w:val="CharSectno"/>
        </w:rPr>
        <w:t>23</w:t>
      </w:r>
      <w:r>
        <w:rPr>
          <w:snapToGrid w:val="0"/>
        </w:rPr>
        <w:t>.</w:t>
      </w:r>
      <w:r>
        <w:rPr>
          <w:snapToGrid w:val="0"/>
        </w:rPr>
        <w:tab/>
        <w:t>Bank’s articles of association to include certain provisions</w:t>
      </w:r>
      <w:bookmarkEnd w:id="55"/>
      <w:bookmarkEnd w:id="56"/>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57" w:name="_Toc68497655"/>
      <w:bookmarkStart w:id="58" w:name="_Toc157833959"/>
      <w:r>
        <w:rPr>
          <w:rStyle w:val="CharSectno"/>
        </w:rPr>
        <w:t>24</w:t>
      </w:r>
      <w:r>
        <w:rPr>
          <w:snapToGrid w:val="0"/>
        </w:rPr>
        <w:t>.</w:t>
      </w:r>
      <w:r>
        <w:rPr>
          <w:snapToGrid w:val="0"/>
        </w:rPr>
        <w:tab/>
        <w:t>Incapacity of Bank to alter or avoid mandatory articles</w:t>
      </w:r>
      <w:bookmarkEnd w:id="57"/>
      <w:bookmarkEnd w:id="58"/>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59" w:name="_Toc68497656"/>
      <w:bookmarkStart w:id="60" w:name="_Toc157833960"/>
      <w:r>
        <w:rPr>
          <w:rStyle w:val="CharSectno"/>
        </w:rPr>
        <w:t>25</w:t>
      </w:r>
      <w:r>
        <w:t>.</w:t>
      </w:r>
      <w:r>
        <w:tab/>
        <w:t>Operation of sections 23 and 24 excluded from the Corporations legislation</w:t>
      </w:r>
      <w:bookmarkEnd w:id="59"/>
      <w:bookmarkEnd w:id="60"/>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61" w:name="_Toc72732388"/>
      <w:bookmarkStart w:id="62" w:name="_Toc157833961"/>
      <w:r>
        <w:rPr>
          <w:rStyle w:val="CharDivNo"/>
        </w:rPr>
        <w:t>Division 4</w:t>
      </w:r>
      <w:r>
        <w:rPr>
          <w:snapToGrid w:val="0"/>
        </w:rPr>
        <w:t> — </w:t>
      </w:r>
      <w:r>
        <w:rPr>
          <w:rStyle w:val="CharDivText"/>
        </w:rPr>
        <w:t>Use of names</w:t>
      </w:r>
      <w:bookmarkEnd w:id="61"/>
      <w:bookmarkEnd w:id="62"/>
      <w:r>
        <w:rPr>
          <w:rStyle w:val="CharDivText"/>
        </w:rPr>
        <w:t xml:space="preserve"> </w:t>
      </w:r>
    </w:p>
    <w:p>
      <w:pPr>
        <w:pStyle w:val="Heading5"/>
        <w:rPr>
          <w:snapToGrid w:val="0"/>
        </w:rPr>
      </w:pPr>
      <w:bookmarkStart w:id="63" w:name="_Toc68497657"/>
      <w:bookmarkStart w:id="64" w:name="_Toc157833962"/>
      <w:r>
        <w:rPr>
          <w:rStyle w:val="CharSectno"/>
        </w:rPr>
        <w:t>26</w:t>
      </w:r>
      <w:r>
        <w:rPr>
          <w:snapToGrid w:val="0"/>
        </w:rPr>
        <w:t>.</w:t>
      </w:r>
      <w:r>
        <w:rPr>
          <w:snapToGrid w:val="0"/>
        </w:rPr>
        <w:tab/>
        <w:t>Use of names</w:t>
      </w:r>
      <w:bookmarkEnd w:id="63"/>
      <w:bookmarkEnd w:id="64"/>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65" w:name="_Toc68497658"/>
      <w:bookmarkStart w:id="66" w:name="_Toc157833963"/>
      <w:r>
        <w:rPr>
          <w:rStyle w:val="CharSectno"/>
        </w:rPr>
        <w:t>27</w:t>
      </w:r>
      <w:r>
        <w:rPr>
          <w:snapToGrid w:val="0"/>
        </w:rPr>
        <w:t>.</w:t>
      </w:r>
      <w:r>
        <w:rPr>
          <w:snapToGrid w:val="0"/>
        </w:rPr>
        <w:tab/>
        <w:t>Use of former name and derivatives of it</w:t>
      </w:r>
      <w:bookmarkEnd w:id="65"/>
      <w:bookmarkEnd w:id="6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67" w:name="_Toc72732391"/>
      <w:bookmarkStart w:id="68" w:name="_Toc157833964"/>
      <w:r>
        <w:rPr>
          <w:rStyle w:val="CharDivNo"/>
        </w:rPr>
        <w:t>Division 5</w:t>
      </w:r>
      <w:r>
        <w:rPr>
          <w:snapToGrid w:val="0"/>
        </w:rPr>
        <w:t> — </w:t>
      </w:r>
      <w:r>
        <w:rPr>
          <w:rStyle w:val="CharDivText"/>
        </w:rPr>
        <w:t>Enforcement of Divisions 3 and 4</w:t>
      </w:r>
      <w:bookmarkEnd w:id="67"/>
      <w:bookmarkEnd w:id="68"/>
      <w:r>
        <w:rPr>
          <w:rStyle w:val="CharDivText"/>
        </w:rPr>
        <w:t xml:space="preserve"> </w:t>
      </w:r>
    </w:p>
    <w:p>
      <w:pPr>
        <w:pStyle w:val="Heading5"/>
        <w:rPr>
          <w:snapToGrid w:val="0"/>
        </w:rPr>
      </w:pPr>
      <w:bookmarkStart w:id="69" w:name="_Toc68497659"/>
      <w:bookmarkStart w:id="70" w:name="_Toc157833965"/>
      <w:r>
        <w:rPr>
          <w:rStyle w:val="CharSectno"/>
        </w:rPr>
        <w:t>29</w:t>
      </w:r>
      <w:r>
        <w:rPr>
          <w:snapToGrid w:val="0"/>
        </w:rPr>
        <w:t>.</w:t>
      </w:r>
      <w:r>
        <w:rPr>
          <w:snapToGrid w:val="0"/>
        </w:rPr>
        <w:tab/>
        <w:t>Enforcement only by injunction</w:t>
      </w:r>
      <w:bookmarkEnd w:id="69"/>
      <w:bookmarkEnd w:id="70"/>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71" w:name="_Toc68497660"/>
      <w:bookmarkStart w:id="72" w:name="_Toc157833966"/>
      <w:r>
        <w:rPr>
          <w:rStyle w:val="CharSectno"/>
        </w:rPr>
        <w:t>30</w:t>
      </w:r>
      <w:r>
        <w:rPr>
          <w:snapToGrid w:val="0"/>
        </w:rPr>
        <w:t>.</w:t>
      </w:r>
      <w:r>
        <w:rPr>
          <w:snapToGrid w:val="0"/>
        </w:rPr>
        <w:tab/>
        <w:t>Injunctions</w:t>
      </w:r>
      <w:bookmarkEnd w:id="71"/>
      <w:bookmarkEnd w:id="72"/>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73" w:name="_Toc72732394"/>
      <w:bookmarkStart w:id="74" w:name="_Toc157833967"/>
      <w:r>
        <w:rPr>
          <w:rStyle w:val="CharDivNo"/>
        </w:rPr>
        <w:t>Division 6</w:t>
      </w:r>
      <w:r>
        <w:rPr>
          <w:snapToGrid w:val="0"/>
        </w:rPr>
        <w:t> — </w:t>
      </w:r>
      <w:r>
        <w:rPr>
          <w:rStyle w:val="CharDivText"/>
        </w:rPr>
        <w:t>Continuation of certain provisions</w:t>
      </w:r>
      <w:bookmarkEnd w:id="73"/>
      <w:bookmarkEnd w:id="74"/>
      <w:r>
        <w:rPr>
          <w:rStyle w:val="CharDivText"/>
        </w:rPr>
        <w:t xml:space="preserve"> </w:t>
      </w:r>
    </w:p>
    <w:p>
      <w:pPr>
        <w:pStyle w:val="Heading5"/>
        <w:rPr>
          <w:snapToGrid w:val="0"/>
        </w:rPr>
      </w:pPr>
      <w:bookmarkStart w:id="75" w:name="_Toc68497661"/>
      <w:bookmarkStart w:id="76" w:name="_Toc157833968"/>
      <w:r>
        <w:rPr>
          <w:rStyle w:val="CharSectno"/>
        </w:rPr>
        <w:t>31</w:t>
      </w:r>
      <w:r>
        <w:rPr>
          <w:snapToGrid w:val="0"/>
        </w:rPr>
        <w:t>.</w:t>
      </w:r>
      <w:r>
        <w:rPr>
          <w:snapToGrid w:val="0"/>
        </w:rPr>
        <w:tab/>
        <w:t>Definitions</w:t>
      </w:r>
      <w:bookmarkEnd w:id="75"/>
      <w:bookmarkEnd w:id="7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Defstart"/>
      </w:pPr>
      <w:r>
        <w:rPr>
          <w:b/>
        </w:rPr>
        <w:tab/>
      </w:r>
      <w:r>
        <w:rPr>
          <w:rStyle w:val="CharDefText"/>
        </w:rPr>
        <w:t>the 1987 Act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77" w:name="_Toc68497662"/>
      <w:bookmarkStart w:id="78" w:name="_Toc157833969"/>
      <w:r>
        <w:rPr>
          <w:rStyle w:val="CharSectno"/>
        </w:rPr>
        <w:t>32</w:t>
      </w:r>
      <w:r>
        <w:t xml:space="preserve">. </w:t>
      </w:r>
      <w:r>
        <w:tab/>
        <w:t>Intent of this Division</w:t>
      </w:r>
      <w:bookmarkEnd w:id="77"/>
      <w:bookmarkEnd w:id="78"/>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79" w:name="_Toc68497663"/>
      <w:bookmarkStart w:id="80" w:name="_Toc157833970"/>
      <w:r>
        <w:rPr>
          <w:rStyle w:val="CharSectno"/>
        </w:rPr>
        <w:t>33</w:t>
      </w:r>
      <w:r>
        <w:rPr>
          <w:snapToGrid w:val="0"/>
        </w:rPr>
        <w:t>.</w:t>
      </w:r>
      <w:r>
        <w:rPr>
          <w:snapToGrid w:val="0"/>
        </w:rPr>
        <w:tab/>
        <w:t>Evidence</w:t>
      </w:r>
      <w:bookmarkEnd w:id="79"/>
      <w:bookmarkEnd w:id="80"/>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81" w:name="_Toc68497664"/>
      <w:bookmarkStart w:id="82" w:name="_Toc157833971"/>
      <w:r>
        <w:rPr>
          <w:rStyle w:val="CharSectno"/>
        </w:rPr>
        <w:t>34</w:t>
      </w:r>
      <w:r>
        <w:rPr>
          <w:snapToGrid w:val="0"/>
        </w:rPr>
        <w:t>.</w:t>
      </w:r>
      <w:r>
        <w:rPr>
          <w:snapToGrid w:val="0"/>
        </w:rPr>
        <w:tab/>
        <w:t>Administration etc. of capital stock, debentures and inscribed stock</w:t>
      </w:r>
      <w:bookmarkEnd w:id="81"/>
      <w:bookmarkEnd w:id="82"/>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rStyle w:val="CharDefText"/>
        </w:rPr>
        <w:t>the 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83" w:name="_Toc68497665"/>
      <w:bookmarkStart w:id="84" w:name="_Toc157833972"/>
      <w:r>
        <w:rPr>
          <w:rStyle w:val="CharSectno"/>
        </w:rPr>
        <w:t>35</w:t>
      </w:r>
      <w:r>
        <w:rPr>
          <w:snapToGrid w:val="0"/>
        </w:rPr>
        <w:t>.</w:t>
      </w:r>
      <w:r>
        <w:rPr>
          <w:snapToGrid w:val="0"/>
        </w:rPr>
        <w:tab/>
        <w:t>Reference to officers</w:t>
      </w:r>
      <w:bookmarkEnd w:id="83"/>
      <w:bookmarkEnd w:id="84"/>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85" w:name="_Toc68497666"/>
      <w:bookmarkStart w:id="86" w:name="_Toc157833973"/>
      <w:r>
        <w:rPr>
          <w:rStyle w:val="CharSectno"/>
        </w:rPr>
        <w:t>36</w:t>
      </w:r>
      <w:r>
        <w:rPr>
          <w:snapToGrid w:val="0"/>
        </w:rPr>
        <w:t>.</w:t>
      </w:r>
      <w:r>
        <w:rPr>
          <w:snapToGrid w:val="0"/>
        </w:rPr>
        <w:tab/>
        <w:t>Immunity etc. to continue</w:t>
      </w:r>
      <w:bookmarkEnd w:id="85"/>
      <w:bookmarkEnd w:id="86"/>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87" w:name="_Toc68497667"/>
      <w:bookmarkStart w:id="88" w:name="_Toc157833974"/>
      <w:r>
        <w:rPr>
          <w:rStyle w:val="CharSectno"/>
        </w:rPr>
        <w:t>37</w:t>
      </w:r>
      <w:r>
        <w:rPr>
          <w:snapToGrid w:val="0"/>
        </w:rPr>
        <w:t>.</w:t>
      </w:r>
      <w:r>
        <w:rPr>
          <w:snapToGrid w:val="0"/>
        </w:rPr>
        <w:tab/>
        <w:t>Former Bank to complete necessary transactions</w:t>
      </w:r>
      <w:bookmarkEnd w:id="87"/>
      <w:bookmarkEnd w:id="88"/>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89" w:name="_Toc72732402"/>
      <w:bookmarkStart w:id="90" w:name="_Toc157833975"/>
      <w:r>
        <w:rPr>
          <w:rStyle w:val="CharDivNo"/>
        </w:rPr>
        <w:t>Division 7</w:t>
      </w:r>
      <w:r>
        <w:rPr>
          <w:snapToGrid w:val="0"/>
        </w:rPr>
        <w:t> — </w:t>
      </w:r>
      <w:r>
        <w:rPr>
          <w:rStyle w:val="CharDivText"/>
        </w:rPr>
        <w:t>Miscellaneous</w:t>
      </w:r>
      <w:bookmarkEnd w:id="89"/>
      <w:bookmarkEnd w:id="90"/>
      <w:r>
        <w:rPr>
          <w:rStyle w:val="CharDivText"/>
        </w:rPr>
        <w:t xml:space="preserve"> </w:t>
      </w:r>
    </w:p>
    <w:p>
      <w:pPr>
        <w:pStyle w:val="Heading5"/>
        <w:rPr>
          <w:snapToGrid w:val="0"/>
        </w:rPr>
      </w:pPr>
      <w:bookmarkStart w:id="91" w:name="_Toc68497668"/>
      <w:bookmarkStart w:id="92" w:name="_Toc157833976"/>
      <w:r>
        <w:rPr>
          <w:rStyle w:val="CharSectno"/>
        </w:rPr>
        <w:t>38</w:t>
      </w:r>
      <w:r>
        <w:rPr>
          <w:snapToGrid w:val="0"/>
        </w:rPr>
        <w:t>.</w:t>
      </w:r>
      <w:r>
        <w:rPr>
          <w:snapToGrid w:val="0"/>
        </w:rPr>
        <w:tab/>
        <w:t>References to former name</w:t>
      </w:r>
      <w:bookmarkEnd w:id="91"/>
      <w:bookmarkEnd w:id="92"/>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93" w:name="_Toc68497669"/>
      <w:bookmarkStart w:id="94" w:name="_Toc157833977"/>
      <w:r>
        <w:rPr>
          <w:rStyle w:val="CharSectno"/>
        </w:rPr>
        <w:t>39</w:t>
      </w:r>
      <w:r>
        <w:rPr>
          <w:snapToGrid w:val="0"/>
        </w:rPr>
        <w:t>.</w:t>
      </w:r>
      <w:r>
        <w:rPr>
          <w:snapToGrid w:val="0"/>
        </w:rPr>
        <w:tab/>
        <w:t>Saving</w:t>
      </w:r>
      <w:bookmarkEnd w:id="93"/>
      <w:bookmarkEnd w:id="94"/>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95" w:name="_Toc72732405"/>
      <w:bookmarkStart w:id="96" w:name="_Toc157833978"/>
      <w:r>
        <w:rPr>
          <w:rStyle w:val="CharPartNo"/>
        </w:rPr>
        <w:t>Part 4</w:t>
      </w:r>
      <w:r>
        <w:rPr>
          <w:rStyle w:val="CharDivNo"/>
        </w:rPr>
        <w:t> </w:t>
      </w:r>
      <w:r>
        <w:t>—</w:t>
      </w:r>
      <w:r>
        <w:rPr>
          <w:rStyle w:val="CharDivText"/>
        </w:rPr>
        <w:t> </w:t>
      </w:r>
      <w:r>
        <w:rPr>
          <w:rStyle w:val="CharPartText"/>
        </w:rPr>
        <w:t>State’s shareholding in Bank on partial privatisation</w:t>
      </w:r>
      <w:bookmarkEnd w:id="95"/>
      <w:bookmarkEnd w:id="96"/>
      <w:r>
        <w:rPr>
          <w:rStyle w:val="CharPartText"/>
        </w:rPr>
        <w:t xml:space="preserve"> </w:t>
      </w:r>
    </w:p>
    <w:p>
      <w:pPr>
        <w:pStyle w:val="Heading5"/>
        <w:rPr>
          <w:snapToGrid w:val="0"/>
        </w:rPr>
      </w:pPr>
      <w:bookmarkStart w:id="97" w:name="_Toc68497670"/>
      <w:bookmarkStart w:id="98" w:name="_Toc157833979"/>
      <w:r>
        <w:rPr>
          <w:rStyle w:val="CharSectno"/>
        </w:rPr>
        <w:t>40</w:t>
      </w:r>
      <w:r>
        <w:rPr>
          <w:snapToGrid w:val="0"/>
        </w:rPr>
        <w:t>.</w:t>
      </w:r>
      <w:r>
        <w:rPr>
          <w:snapToGrid w:val="0"/>
        </w:rPr>
        <w:tab/>
        <w:t>Definition</w:t>
      </w:r>
      <w:bookmarkEnd w:id="97"/>
      <w:bookmarkEnd w:id="98"/>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99" w:name="_Toc68497671"/>
      <w:bookmarkStart w:id="100" w:name="_Toc157833980"/>
      <w:r>
        <w:rPr>
          <w:rStyle w:val="CharSectno"/>
        </w:rPr>
        <w:t>41</w:t>
      </w:r>
      <w:r>
        <w:rPr>
          <w:snapToGrid w:val="0"/>
        </w:rPr>
        <w:t>.</w:t>
      </w:r>
      <w:r>
        <w:rPr>
          <w:snapToGrid w:val="0"/>
        </w:rPr>
        <w:tab/>
        <w:t>Treasurer’s shareholding</w:t>
      </w:r>
      <w:bookmarkEnd w:id="99"/>
      <w:bookmarkEnd w:id="100"/>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101" w:name="_Toc72732408"/>
      <w:bookmarkStart w:id="102" w:name="_Toc157833981"/>
      <w:r>
        <w:rPr>
          <w:rStyle w:val="CharPartNo"/>
        </w:rPr>
        <w:t>Part 5</w:t>
      </w:r>
      <w:r>
        <w:rPr>
          <w:rStyle w:val="CharDivNo"/>
        </w:rPr>
        <w:t> </w:t>
      </w:r>
      <w:r>
        <w:t>—</w:t>
      </w:r>
      <w:r>
        <w:rPr>
          <w:rStyle w:val="CharDivText"/>
        </w:rPr>
        <w:t> </w:t>
      </w:r>
      <w:r>
        <w:rPr>
          <w:rStyle w:val="CharPartText"/>
        </w:rPr>
        <w:t>General</w:t>
      </w:r>
      <w:bookmarkEnd w:id="101"/>
      <w:bookmarkEnd w:id="102"/>
      <w:r>
        <w:rPr>
          <w:rStyle w:val="CharPartText"/>
        </w:rPr>
        <w:t xml:space="preserve"> </w:t>
      </w:r>
    </w:p>
    <w:p>
      <w:pPr>
        <w:pStyle w:val="Heading5"/>
        <w:rPr>
          <w:snapToGrid w:val="0"/>
        </w:rPr>
      </w:pPr>
      <w:bookmarkStart w:id="103" w:name="_Toc68497672"/>
      <w:bookmarkStart w:id="104" w:name="_Toc157833982"/>
      <w:r>
        <w:rPr>
          <w:rStyle w:val="CharSectno"/>
        </w:rPr>
        <w:t>42</w:t>
      </w:r>
      <w:r>
        <w:rPr>
          <w:snapToGrid w:val="0"/>
        </w:rPr>
        <w:t>.</w:t>
      </w:r>
      <w:r>
        <w:rPr>
          <w:snapToGrid w:val="0"/>
        </w:rPr>
        <w:tab/>
        <w:t>Regulations</w:t>
      </w:r>
      <w:bookmarkEnd w:id="103"/>
      <w:bookmarkEnd w:id="10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105" w:name="_Toc68497673"/>
      <w:bookmarkStart w:id="106" w:name="_Toc157833983"/>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105"/>
      <w:bookmarkEnd w:id="106"/>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107" w:name="_Toc68497674"/>
      <w:bookmarkStart w:id="108" w:name="_Toc157833984"/>
      <w:r>
        <w:rPr>
          <w:rStyle w:val="CharSectno"/>
        </w:rPr>
        <w:t>44</w:t>
      </w:r>
      <w:r>
        <w:rPr>
          <w:snapToGrid w:val="0"/>
        </w:rPr>
        <w:t>.</w:t>
      </w:r>
      <w:r>
        <w:rPr>
          <w:snapToGrid w:val="0"/>
        </w:rPr>
        <w:tab/>
        <w:t>Consequential amendments to other Acts</w:t>
      </w:r>
      <w:bookmarkEnd w:id="107"/>
      <w:bookmarkEnd w:id="108"/>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9" w:name="_Toc68497936"/>
      <w:bookmarkStart w:id="110" w:name="_Toc68498542"/>
      <w:bookmarkStart w:id="111" w:name="_Toc157833985"/>
      <w:r>
        <w:rPr>
          <w:rStyle w:val="CharSchNo"/>
        </w:rPr>
        <w:t>Schedule 1</w:t>
      </w:r>
      <w:bookmarkEnd w:id="109"/>
      <w:bookmarkEnd w:id="110"/>
      <w:bookmarkEnd w:id="111"/>
      <w:r>
        <w:t xml:space="preserve"> </w:t>
      </w:r>
    </w:p>
    <w:p>
      <w:pPr>
        <w:pStyle w:val="yShoulderClause"/>
        <w:rPr>
          <w:snapToGrid w:val="0"/>
        </w:rPr>
      </w:pPr>
      <w:r>
        <w:rPr>
          <w:snapToGrid w:val="0"/>
        </w:rPr>
        <w:t>[Section 43(3) and (4)]</w:t>
      </w:r>
    </w:p>
    <w:p>
      <w:pPr>
        <w:pStyle w:val="yEdnotedivision"/>
      </w:pPr>
      <w:r>
        <w:t>[Division 1 omitted under the Reprints Act 1984 s. 7(4)(e).]</w:t>
      </w:r>
    </w:p>
    <w:p>
      <w:pPr>
        <w:pStyle w:val="yHeading3"/>
        <w:outlineLvl w:val="9"/>
        <w:rPr>
          <w:snapToGrid w:val="0"/>
        </w:rPr>
      </w:pPr>
      <w:bookmarkStart w:id="112" w:name="_Toc157833986"/>
      <w:r>
        <w:rPr>
          <w:snapToGrid w:val="0"/>
        </w:rPr>
        <w:t>Division 2 — Transitional provisions</w:t>
      </w:r>
      <w:bookmarkEnd w:id="112"/>
      <w:r>
        <w:rPr>
          <w:snapToGrid w:val="0"/>
        </w:rPr>
        <w:t xml:space="preserve"> </w:t>
      </w:r>
    </w:p>
    <w:p>
      <w:pPr>
        <w:pStyle w:val="yHeading5"/>
        <w:outlineLvl w:val="9"/>
        <w:rPr>
          <w:snapToGrid w:val="0"/>
        </w:rPr>
      </w:pPr>
      <w:bookmarkStart w:id="113" w:name="_Toc157833987"/>
      <w:r>
        <w:rPr>
          <w:snapToGrid w:val="0"/>
        </w:rPr>
        <w:t xml:space="preserve">11. </w:t>
      </w:r>
      <w:r>
        <w:rPr>
          <w:snapToGrid w:val="0"/>
        </w:rPr>
        <w:tab/>
        <w:t>Definitions</w:t>
      </w:r>
      <w:bookmarkEnd w:id="113"/>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Bank</w:t>
      </w:r>
      <w:r>
        <w:t xml:space="preserve"> has the meaning given by section 19;</w:t>
      </w:r>
    </w:p>
    <w:p>
      <w:pPr>
        <w:pStyle w:val="yDefstart"/>
      </w:pPr>
      <w:r>
        <w:rPr>
          <w:b/>
        </w:rPr>
        <w:tab/>
      </w:r>
      <w:r>
        <w:rPr>
          <w:rStyle w:val="CharDefText"/>
        </w:rPr>
        <w:t>the 1990 Act</w:t>
      </w:r>
      <w:r>
        <w:t xml:space="preserve"> means the </w:t>
      </w:r>
      <w:r>
        <w:rPr>
          <w:i/>
        </w:rPr>
        <w:t>Bank of Western Australia Act 1990 </w:t>
      </w:r>
      <w:r>
        <w:rPr>
          <w:vertAlign w:val="superscript"/>
        </w:rPr>
        <w:t>3</w:t>
      </w:r>
      <w:r>
        <w:t>.</w:t>
      </w:r>
    </w:p>
    <w:p>
      <w:pPr>
        <w:pStyle w:val="yHeading5"/>
        <w:outlineLvl w:val="9"/>
        <w:rPr>
          <w:snapToGrid w:val="0"/>
        </w:rPr>
      </w:pPr>
      <w:bookmarkStart w:id="114" w:name="_Toc157833988"/>
      <w:r>
        <w:rPr>
          <w:snapToGrid w:val="0"/>
        </w:rPr>
        <w:t xml:space="preserve">12. </w:t>
      </w:r>
      <w:r>
        <w:rPr>
          <w:snapToGrid w:val="0"/>
        </w:rPr>
        <w:tab/>
        <w:t>Auditor General may disclose information</w:t>
      </w:r>
      <w:bookmarkEnd w:id="114"/>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115" w:name="_Toc157833989"/>
      <w:r>
        <w:rPr>
          <w:snapToGrid w:val="0"/>
        </w:rPr>
        <w:t xml:space="preserve">13. </w:t>
      </w:r>
      <w:r>
        <w:rPr>
          <w:snapToGrid w:val="0"/>
        </w:rPr>
        <w:tab/>
        <w:t>Payments under repealed section 31 up to day of privatisation</w:t>
      </w:r>
      <w:bookmarkEnd w:id="115"/>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116" w:name="_Toc157833990"/>
      <w:r>
        <w:rPr>
          <w:snapToGrid w:val="0"/>
        </w:rPr>
        <w:t xml:space="preserve">14. </w:t>
      </w:r>
      <w:r>
        <w:rPr>
          <w:snapToGrid w:val="0"/>
        </w:rPr>
        <w:tab/>
        <w:t>Agreements under section 33(4a)</w:t>
      </w:r>
      <w:bookmarkEnd w:id="116"/>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117" w:name="_Toc157833991"/>
      <w:r>
        <w:rPr>
          <w:snapToGrid w:val="0"/>
        </w:rPr>
        <w:t xml:space="preserve">15. </w:t>
      </w:r>
      <w:r>
        <w:rPr>
          <w:snapToGrid w:val="0"/>
        </w:rPr>
        <w:tab/>
        <w:t>Securities taken as agent of Crown</w:t>
      </w:r>
      <w:bookmarkEnd w:id="117"/>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118" w:name="_Toc68497943"/>
      <w:bookmarkStart w:id="119" w:name="_Toc68498549"/>
      <w:bookmarkStart w:id="120" w:name="_Toc157833992"/>
      <w:r>
        <w:rPr>
          <w:rStyle w:val="CharSchNo"/>
        </w:rPr>
        <w:t>Schedule 2</w:t>
      </w:r>
      <w:bookmarkEnd w:id="118"/>
      <w:bookmarkEnd w:id="119"/>
      <w:bookmarkEnd w:id="120"/>
      <w:r>
        <w:t xml:space="preserve"> </w:t>
      </w:r>
    </w:p>
    <w:p>
      <w:pPr>
        <w:pStyle w:val="yShoulderClause"/>
        <w:rPr>
          <w:snapToGrid w:val="0"/>
        </w:rPr>
      </w:pPr>
      <w:r>
        <w:rPr>
          <w:snapToGrid w:val="0"/>
        </w:rPr>
        <w:t>[Section 44]</w:t>
      </w:r>
    </w:p>
    <w:p>
      <w:pPr>
        <w:pStyle w:val="yEdnotedivision"/>
      </w:pPr>
      <w:r>
        <w:t>[Part A omitted under the Reprints Act 1984 s. 7(4)(e).]</w:t>
      </w:r>
    </w:p>
    <w:p>
      <w:pPr>
        <w:pStyle w:val="yHeading2"/>
      </w:pPr>
      <w:bookmarkStart w:id="121" w:name="_Toc157833993"/>
      <w:r>
        <w:t>Part B — Transitional Provisions</w:t>
      </w:r>
      <w:bookmarkEnd w:id="121"/>
    </w:p>
    <w:p>
      <w:pPr>
        <w:pStyle w:val="yHeading5"/>
        <w:outlineLvl w:val="9"/>
        <w:rPr>
          <w:snapToGrid w:val="0"/>
        </w:rPr>
      </w:pPr>
      <w:bookmarkStart w:id="122" w:name="_Toc157833994"/>
      <w:r>
        <w:rPr>
          <w:snapToGrid w:val="0"/>
        </w:rPr>
        <w:t>1.</w:t>
      </w:r>
      <w:r>
        <w:rPr>
          <w:snapToGrid w:val="0"/>
        </w:rPr>
        <w:tab/>
        <w:t xml:space="preserve">Provision relating to </w:t>
      </w:r>
      <w:r>
        <w:rPr>
          <w:i/>
          <w:snapToGrid w:val="0"/>
        </w:rPr>
        <w:t>Industry (Advances) Act 1947</w:t>
      </w:r>
      <w:bookmarkEnd w:id="122"/>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123" w:name="_Toc157833995"/>
      <w:r>
        <w:rPr>
          <w:snapToGrid w:val="0"/>
        </w:rPr>
        <w:t xml:space="preserve">2. </w:t>
      </w:r>
      <w:r>
        <w:rPr>
          <w:snapToGrid w:val="0"/>
        </w:rPr>
        <w:tab/>
        <w:t xml:space="preserve">Provisions relating to </w:t>
      </w:r>
      <w:r>
        <w:rPr>
          <w:i/>
          <w:snapToGrid w:val="0"/>
        </w:rPr>
        <w:t>Superannuation and Family Benefits Act 1938</w:t>
      </w:r>
      <w:bookmarkEnd w:id="123"/>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4" w:name="_Toc72732422"/>
      <w:bookmarkStart w:id="125" w:name="_Toc157833996"/>
      <w:r>
        <w:t>Notes</w:t>
      </w:r>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6" w:name="_Toc157833997"/>
      <w:r>
        <w:rPr>
          <w:snapToGrid w:val="0"/>
        </w:rPr>
        <w:t>Compilation table</w:t>
      </w:r>
      <w:bookmarkEnd w:id="126"/>
    </w:p>
    <w:tbl>
      <w:tblPr>
        <w:tblW w:w="0" w:type="auto"/>
        <w:tblInd w:w="56" w:type="dxa"/>
        <w:tblLayout w:type="fixed"/>
        <w:tblCellMar>
          <w:left w:w="56" w:type="dxa"/>
          <w:right w:w="56" w:type="dxa"/>
        </w:tblCellMar>
        <w:tblLook w:val="0000" w:firstRow="0" w:lastRow="0" w:firstColumn="0" w:lastColumn="0" w:noHBand="0" w:noVBand="0"/>
      </w:tblPr>
      <w:tblGrid>
        <w:gridCol w:w="2552"/>
        <w:gridCol w:w="1134"/>
        <w:gridCol w:w="1134"/>
        <w:gridCol w:w="2268"/>
      </w:tblGrid>
      <w:tr>
        <w:trPr>
          <w:tblHeader/>
        </w:trPr>
        <w:tc>
          <w:tcPr>
            <w:tcW w:w="2552"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268" w:type="dxa"/>
            <w:tcBorders>
              <w:top w:val="single" w:sz="8" w:space="0" w:color="auto"/>
              <w:bottom w:val="single" w:sz="8" w:space="0" w:color="auto"/>
            </w:tcBorders>
          </w:tcPr>
          <w:p>
            <w:pPr>
              <w:pStyle w:val="nTable"/>
              <w:spacing w:after="40"/>
              <w:rPr>
                <w:b/>
                <w:sz w:val="19"/>
              </w:rPr>
            </w:pPr>
            <w:r>
              <w:rPr>
                <w:b/>
                <w:sz w:val="19"/>
              </w:rPr>
              <w:t>Commencement</w:t>
            </w:r>
          </w:p>
        </w:tc>
      </w:tr>
      <w:tr>
        <w:tc>
          <w:tcPr>
            <w:tcW w:w="2552"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268"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552"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26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r>
        <w:tc>
          <w:tcPr>
            <w:tcW w:w="2552" w:type="dxa"/>
            <w:tcBorders>
              <w:bottom w:val="single" w:sz="4" w:space="0" w:color="auto"/>
            </w:tcBorders>
          </w:tcPr>
          <w:p>
            <w:pPr>
              <w:pStyle w:val="nTable"/>
              <w:spacing w:after="40"/>
              <w:rPr>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268"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 w:name="UpToHere"/>
      <w:bookmarkStart w:id="128" w:name="_Toc511102521"/>
      <w:bookmarkStart w:id="129" w:name="_Toc157833998"/>
      <w:bookmarkEnd w:id="127"/>
      <w:r>
        <w:t>Provisions that have not come into operation</w:t>
      </w:r>
      <w:bookmarkEnd w:id="128"/>
      <w:bookmarkEnd w:id="1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 xml:space="preserve">Bank of Western Australia Act 1995 </w:t>
            </w:r>
            <w:r>
              <w:rPr>
                <w:snapToGrid w:val="0"/>
              </w:rPr>
              <w:t>s. 11 </w:t>
            </w:r>
            <w:r>
              <w:rPr>
                <w:snapToGrid w:val="0"/>
                <w:vertAlign w:val="superscript"/>
              </w:rPr>
              <w:t>4</w:t>
            </w:r>
          </w:p>
        </w:tc>
        <w:tc>
          <w:tcPr>
            <w:tcW w:w="1134" w:type="dxa"/>
            <w:tcBorders>
              <w:top w:val="single" w:sz="8" w:space="0" w:color="auto"/>
            </w:tcBorders>
          </w:tcPr>
          <w:p>
            <w:pPr>
              <w:pStyle w:val="nTable"/>
              <w:keepNext/>
              <w:spacing w:before="120"/>
              <w:rPr>
                <w:sz w:val="19"/>
              </w:rPr>
            </w:pPr>
            <w:r>
              <w:rPr>
                <w:sz w:val="19"/>
              </w:rPr>
              <w:t>14 of 1995</w:t>
            </w:r>
          </w:p>
        </w:tc>
        <w:tc>
          <w:tcPr>
            <w:tcW w:w="1134" w:type="dxa"/>
            <w:tcBorders>
              <w:top w:val="single" w:sz="8" w:space="0" w:color="auto"/>
            </w:tcBorders>
          </w:tcPr>
          <w:p>
            <w:pPr>
              <w:pStyle w:val="nTable"/>
              <w:keepNext/>
              <w:spacing w:before="120"/>
              <w:rPr>
                <w:sz w:val="19"/>
              </w:rPr>
            </w:pPr>
            <w:r>
              <w:rPr>
                <w:sz w:val="19"/>
              </w:rPr>
              <w:t>4 Jul 1995</w:t>
            </w:r>
          </w:p>
        </w:tc>
        <w:tc>
          <w:tcPr>
            <w:tcW w:w="2552" w:type="dxa"/>
            <w:tcBorders>
              <w:top w:val="single" w:sz="8"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bottom w:val="single" w:sz="4" w:space="0" w:color="auto"/>
            </w:tcBorders>
          </w:tcPr>
          <w:p>
            <w:pPr>
              <w:pStyle w:val="nTable"/>
              <w:keepNext/>
              <w:spacing w:before="120"/>
              <w:rPr>
                <w:sz w:val="19"/>
              </w:rPr>
            </w:pPr>
            <w:r>
              <w:rPr>
                <w:sz w:val="19"/>
              </w:rPr>
              <w:t>43 of 2000</w:t>
            </w:r>
          </w:p>
        </w:tc>
        <w:tc>
          <w:tcPr>
            <w:tcW w:w="1134" w:type="dxa"/>
            <w:tcBorders>
              <w:bottom w:val="single" w:sz="4" w:space="0" w:color="auto"/>
            </w:tcBorders>
          </w:tcPr>
          <w:p>
            <w:pPr>
              <w:pStyle w:val="nTable"/>
              <w:keepNext/>
              <w:spacing w:before="120"/>
              <w:rPr>
                <w:sz w:val="19"/>
              </w:rPr>
            </w:pPr>
            <w:r>
              <w:rPr>
                <w:sz w:val="19"/>
              </w:rPr>
              <w:t>2 Nov 2000</w:t>
            </w:r>
          </w:p>
        </w:tc>
        <w:tc>
          <w:tcPr>
            <w:tcW w:w="2552" w:type="dxa"/>
            <w:tcBorders>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Bank of Western Australia Act 1995 </w:t>
      </w:r>
      <w:r>
        <w:rPr>
          <w:snapToGrid w:val="0"/>
        </w:rPr>
        <w:t>s. 11 had not come into operation.  It reads as follows:</w:t>
      </w:r>
    </w:p>
    <w:p>
      <w:pPr>
        <w:pStyle w:val="MiscOpen"/>
      </w:pPr>
      <w:r>
        <w:t>“</w:t>
      </w:r>
    </w:p>
    <w:p>
      <w:pPr>
        <w:pStyle w:val="nzHeading5"/>
      </w:pPr>
      <w:r>
        <w:t>11.</w:t>
      </w:r>
      <w:r>
        <w:tab/>
        <w:t>Chapter 7 of the Corporations Law</w:t>
      </w:r>
    </w:p>
    <w:p>
      <w:pPr>
        <w:pStyle w:val="nzSubsection"/>
      </w:pPr>
      <w:r>
        <w:tab/>
      </w:r>
      <w:r>
        <w:tab/>
        <w:t>Chapter 7 of the Corporations Law applies to the Bank, its directors and its shares, despite section 22(2)(a) of the existing Act, and the Bank is not an exempt public authority for the purposes of the application of that Chapter.</w:t>
      </w:r>
    </w:p>
    <w:p>
      <w:pPr>
        <w:pStyle w:val="MiscClose"/>
      </w:pPr>
      <w:r>
        <w:t>”.</w:t>
      </w:r>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Bank of Western Australia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7877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6C91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B8A9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BA4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86DD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D274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1446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1885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76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5C2208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764F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D5650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801"/>
    <w:docVar w:name="WAFER_20151207085801" w:val="RemoveTrackChanges"/>
    <w:docVar w:name="WAFER_20151207085801_GUID" w:val="5c729889-ebb4-465e-95db-43082d61b5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7139</Words>
  <Characters>33341</Characters>
  <Application>Microsoft Office Word</Application>
  <DocSecurity>0</DocSecurity>
  <Lines>926</Lines>
  <Paragraphs>578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1995 - 01-b0-07</dc:title>
  <dc:subject/>
  <dc:creator/>
  <cp:keywords/>
  <dc:description/>
  <cp:lastModifiedBy>svcMRProcess</cp:lastModifiedBy>
  <cp:revision>4</cp:revision>
  <cp:lastPrinted>2004-05-06T03:20:00Z</cp:lastPrinted>
  <dcterms:created xsi:type="dcterms:W3CDTF">2018-08-20T11:35:00Z</dcterms:created>
  <dcterms:modified xsi:type="dcterms:W3CDTF">2018-08-20T11:35:00Z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vt:i4>
  </property>
  <property fmtid="{D5CDD505-2E9C-101B-9397-08002B2CF9AE}" pid="6" name="AsAtDate">
    <vt:lpwstr>01 Feb 2007</vt:lpwstr>
  </property>
  <property fmtid="{D5CDD505-2E9C-101B-9397-08002B2CF9AE}" pid="7" name="Suffix">
    <vt:lpwstr>01-b0-07</vt:lpwstr>
  </property>
</Properties>
</file>