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Energy Operators (Electricity Retail Corporation) (Charges) By-laws 2006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Energy Operators (Electricity Retail Corporation) (Charges) By-laws 2006</w:t>
      </w:r>
      <w:r>
        <w:fldChar w:fldCharType="end"/>
      </w:r>
    </w:p>
    <w:p>
      <w:pPr>
        <w:pStyle w:val="Arrangement"/>
      </w:pPr>
      <w:r>
        <w:t>CONTENTS</w:t>
      </w:r>
    </w:p>
    <w:p>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_Toc226275335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_Toc226275336 \h </w:instrText>
      </w:r>
      <w:r>
        <w:fldChar w:fldCharType="separate"/>
      </w:r>
      <w:r>
        <w:t>1</w:t>
      </w:r>
      <w:r>
        <w:fldChar w:fldCharType="end"/>
      </w:r>
    </w:p>
    <w:p>
      <w:pPr>
        <w:pStyle w:val="TOC8"/>
        <w:rPr>
          <w:sz w:val="24"/>
          <w:szCs w:val="24"/>
        </w:rPr>
      </w:pPr>
      <w:r>
        <w:rPr>
          <w:szCs w:val="24"/>
        </w:rPr>
        <w:t>3.</w:t>
      </w:r>
      <w:r>
        <w:rPr>
          <w:szCs w:val="24"/>
        </w:rPr>
        <w:tab/>
      </w:r>
      <w:r>
        <w:rPr>
          <w:snapToGrid w:val="0"/>
          <w:szCs w:val="24"/>
        </w:rPr>
        <w:t>Terms used in these by</w:t>
      </w:r>
      <w:r>
        <w:rPr>
          <w:snapToGrid w:val="0"/>
          <w:szCs w:val="24"/>
        </w:rPr>
        <w:noBreakHyphen/>
        <w:t>laws</w:t>
      </w:r>
      <w:r>
        <w:tab/>
      </w:r>
      <w:r>
        <w:fldChar w:fldCharType="begin"/>
      </w:r>
      <w:r>
        <w:instrText xml:space="preserve"> PAGEREF _Toc226275337 \h </w:instrText>
      </w:r>
      <w:r>
        <w:fldChar w:fldCharType="separate"/>
      </w:r>
      <w:r>
        <w:t>1</w:t>
      </w:r>
      <w:r>
        <w:fldChar w:fldCharType="end"/>
      </w:r>
    </w:p>
    <w:p>
      <w:pPr>
        <w:pStyle w:val="TOC8"/>
        <w:rPr>
          <w:sz w:val="24"/>
          <w:szCs w:val="24"/>
        </w:rPr>
      </w:pPr>
      <w:r>
        <w:rPr>
          <w:szCs w:val="24"/>
        </w:rPr>
        <w:t>3A.</w:t>
      </w:r>
      <w:r>
        <w:rPr>
          <w:szCs w:val="24"/>
        </w:rPr>
        <w:tab/>
        <w:t>Construction of references to time</w:t>
      </w:r>
      <w:r>
        <w:tab/>
      </w:r>
      <w:r>
        <w:fldChar w:fldCharType="begin"/>
      </w:r>
      <w:r>
        <w:instrText xml:space="preserve"> PAGEREF _Toc226275338 \h </w:instrText>
      </w:r>
      <w:r>
        <w:fldChar w:fldCharType="separate"/>
      </w:r>
      <w:r>
        <w:t>2</w:t>
      </w:r>
      <w:r>
        <w:fldChar w:fldCharType="end"/>
      </w:r>
    </w:p>
    <w:p>
      <w:pPr>
        <w:pStyle w:val="TOC8"/>
        <w:rPr>
          <w:sz w:val="24"/>
          <w:szCs w:val="24"/>
        </w:rPr>
      </w:pPr>
      <w:r>
        <w:rPr>
          <w:szCs w:val="24"/>
        </w:rPr>
        <w:t>4.</w:t>
      </w:r>
      <w:r>
        <w:rPr>
          <w:szCs w:val="24"/>
        </w:rPr>
        <w:tab/>
      </w:r>
      <w:r>
        <w:rPr>
          <w:snapToGrid w:val="0"/>
          <w:szCs w:val="24"/>
        </w:rPr>
        <w:t>Electricity charges</w:t>
      </w:r>
      <w:r>
        <w:tab/>
      </w:r>
      <w:r>
        <w:fldChar w:fldCharType="begin"/>
      </w:r>
      <w:r>
        <w:instrText xml:space="preserve"> PAGEREF _Toc226275339 \h </w:instrText>
      </w:r>
      <w:r>
        <w:fldChar w:fldCharType="separate"/>
      </w:r>
      <w:r>
        <w:t>2</w:t>
      </w:r>
      <w:r>
        <w:fldChar w:fldCharType="end"/>
      </w:r>
    </w:p>
    <w:p>
      <w:pPr>
        <w:pStyle w:val="TOC8"/>
        <w:rPr>
          <w:sz w:val="24"/>
          <w:szCs w:val="24"/>
        </w:rPr>
      </w:pPr>
      <w:r>
        <w:rPr>
          <w:szCs w:val="24"/>
        </w:rPr>
        <w:t>5.</w:t>
      </w:r>
      <w:r>
        <w:rPr>
          <w:szCs w:val="24"/>
        </w:rPr>
        <w:tab/>
        <w:t>Application of residential tariffs</w:t>
      </w:r>
      <w:r>
        <w:tab/>
      </w:r>
      <w:r>
        <w:fldChar w:fldCharType="begin"/>
      </w:r>
      <w:r>
        <w:instrText xml:space="preserve"> PAGEREF _Toc226275340 \h </w:instrText>
      </w:r>
      <w:r>
        <w:fldChar w:fldCharType="separate"/>
      </w:r>
      <w:r>
        <w:t>2</w:t>
      </w:r>
      <w:r>
        <w:fldChar w:fldCharType="end"/>
      </w:r>
    </w:p>
    <w:p>
      <w:pPr>
        <w:pStyle w:val="TOC8"/>
        <w:rPr>
          <w:sz w:val="24"/>
          <w:szCs w:val="24"/>
        </w:rPr>
      </w:pPr>
      <w:r>
        <w:rPr>
          <w:szCs w:val="24"/>
        </w:rPr>
        <w:t>6.</w:t>
      </w:r>
      <w:r>
        <w:rPr>
          <w:szCs w:val="24"/>
        </w:rPr>
        <w:tab/>
        <w:t>Meter rental</w:t>
      </w:r>
      <w:r>
        <w:tab/>
      </w:r>
      <w:r>
        <w:fldChar w:fldCharType="begin"/>
      </w:r>
      <w:r>
        <w:instrText xml:space="preserve"> PAGEREF _Toc226275341 \h </w:instrText>
      </w:r>
      <w:r>
        <w:fldChar w:fldCharType="separate"/>
      </w:r>
      <w:r>
        <w:t>3</w:t>
      </w:r>
      <w:r>
        <w:fldChar w:fldCharType="end"/>
      </w:r>
    </w:p>
    <w:p>
      <w:pPr>
        <w:pStyle w:val="TOC8"/>
        <w:rPr>
          <w:sz w:val="24"/>
          <w:szCs w:val="24"/>
        </w:rPr>
      </w:pPr>
      <w:r>
        <w:rPr>
          <w:szCs w:val="24"/>
        </w:rPr>
        <w:t>7.</w:t>
      </w:r>
      <w:r>
        <w:rPr>
          <w:szCs w:val="24"/>
        </w:rPr>
        <w:tab/>
        <w:t>Fees</w:t>
      </w:r>
      <w:r>
        <w:tab/>
      </w:r>
      <w:r>
        <w:fldChar w:fldCharType="begin"/>
      </w:r>
      <w:r>
        <w:instrText xml:space="preserve"> PAGEREF _Toc226275342 \h </w:instrText>
      </w:r>
      <w:r>
        <w:fldChar w:fldCharType="separate"/>
      </w:r>
      <w:r>
        <w:t>3</w:t>
      </w:r>
      <w:r>
        <w:fldChar w:fldCharType="end"/>
      </w:r>
    </w:p>
    <w:p>
      <w:pPr>
        <w:pStyle w:val="TOC8"/>
        <w:rPr>
          <w:sz w:val="24"/>
          <w:szCs w:val="24"/>
        </w:rPr>
      </w:pPr>
      <w:r>
        <w:rPr>
          <w:szCs w:val="24"/>
        </w:rPr>
        <w:t>8.</w:t>
      </w:r>
      <w:r>
        <w:rPr>
          <w:szCs w:val="24"/>
        </w:rPr>
        <w:tab/>
        <w:t>Payment</w:t>
      </w:r>
      <w:r>
        <w:tab/>
      </w:r>
      <w:r>
        <w:fldChar w:fldCharType="begin"/>
      </w:r>
      <w:r>
        <w:instrText xml:space="preserve"> PAGEREF _Toc226275343 \h </w:instrText>
      </w:r>
      <w:r>
        <w:fldChar w:fldCharType="separate"/>
      </w:r>
      <w:r>
        <w:t>3</w:t>
      </w:r>
      <w:r>
        <w:fldChar w:fldCharType="end"/>
      </w:r>
    </w:p>
    <w:p>
      <w:pPr>
        <w:pStyle w:val="TOC8"/>
        <w:rPr>
          <w:sz w:val="24"/>
          <w:szCs w:val="24"/>
        </w:rPr>
      </w:pPr>
      <w:r>
        <w:rPr>
          <w:szCs w:val="24"/>
        </w:rPr>
        <w:t>9.</w:t>
      </w:r>
      <w:r>
        <w:rPr>
          <w:szCs w:val="24"/>
        </w:rPr>
        <w:tab/>
        <w:t>Rebates and reduced fees</w:t>
      </w:r>
      <w:r>
        <w:tab/>
      </w:r>
      <w:r>
        <w:fldChar w:fldCharType="begin"/>
      </w:r>
      <w:r>
        <w:instrText xml:space="preserve"> PAGEREF _Toc226275344 \h </w:instrText>
      </w:r>
      <w:r>
        <w:fldChar w:fldCharType="separate"/>
      </w:r>
      <w:r>
        <w:t>4</w:t>
      </w:r>
      <w:r>
        <w:fldChar w:fldCharType="end"/>
      </w:r>
    </w:p>
    <w:p>
      <w:pPr>
        <w:pStyle w:val="TOC8"/>
        <w:rPr>
          <w:sz w:val="24"/>
          <w:szCs w:val="24"/>
        </w:rPr>
      </w:pPr>
      <w:r>
        <w:rPr>
          <w:szCs w:val="24"/>
        </w:rPr>
        <w:t>10.</w:t>
      </w:r>
      <w:r>
        <w:rPr>
          <w:szCs w:val="24"/>
        </w:rPr>
        <w:tab/>
        <w:t>Calculation of charges</w:t>
      </w:r>
      <w:r>
        <w:tab/>
      </w:r>
      <w:r>
        <w:fldChar w:fldCharType="begin"/>
      </w:r>
      <w:r>
        <w:instrText xml:space="preserve"> PAGEREF _Toc226275345 \h </w:instrText>
      </w:r>
      <w:r>
        <w:fldChar w:fldCharType="separate"/>
      </w:r>
      <w:r>
        <w:t>5</w:t>
      </w:r>
      <w:r>
        <w:fldChar w:fldCharType="end"/>
      </w:r>
    </w:p>
    <w:p>
      <w:pPr>
        <w:pStyle w:val="TOC8"/>
        <w:rPr>
          <w:sz w:val="24"/>
          <w:szCs w:val="24"/>
        </w:rPr>
      </w:pPr>
      <w:r>
        <w:rPr>
          <w:szCs w:val="24"/>
        </w:rPr>
        <w:t>11.</w:t>
      </w:r>
      <w:r>
        <w:rPr>
          <w:szCs w:val="24"/>
        </w:rPr>
        <w:tab/>
        <w:t>Changes in rates</w:t>
      </w:r>
      <w:r>
        <w:tab/>
      </w:r>
      <w:r>
        <w:fldChar w:fldCharType="begin"/>
      </w:r>
      <w:r>
        <w:instrText xml:space="preserve"> PAGEREF _Toc226275346 \h </w:instrText>
      </w:r>
      <w:r>
        <w:fldChar w:fldCharType="separate"/>
      </w:r>
      <w:r>
        <w:t>5</w:t>
      </w:r>
      <w:r>
        <w:fldChar w:fldCharType="end"/>
      </w:r>
    </w:p>
    <w:p>
      <w:pPr>
        <w:pStyle w:val="TOC8"/>
        <w:rPr>
          <w:sz w:val="24"/>
          <w:szCs w:val="24"/>
        </w:rPr>
      </w:pPr>
      <w:r>
        <w:rPr>
          <w:szCs w:val="24"/>
        </w:rPr>
        <w:t>12.</w:t>
      </w:r>
      <w:r>
        <w:rPr>
          <w:szCs w:val="24"/>
        </w:rPr>
        <w:tab/>
        <w:t>Prescribed rate of interest for s. 62(16) of the Act</w:t>
      </w:r>
      <w:r>
        <w:tab/>
      </w:r>
      <w:r>
        <w:fldChar w:fldCharType="begin"/>
      </w:r>
      <w:r>
        <w:instrText xml:space="preserve"> PAGEREF _Toc226275347 \h </w:instrText>
      </w:r>
      <w:r>
        <w:fldChar w:fldCharType="separate"/>
      </w:r>
      <w:r>
        <w:t>6</w:t>
      </w:r>
      <w:r>
        <w:fldChar w:fldCharType="end"/>
      </w:r>
    </w:p>
    <w:p>
      <w:pPr>
        <w:pStyle w:val="TOC2"/>
        <w:tabs>
          <w:tab w:val="right" w:leader="dot" w:pos="7086"/>
        </w:tabs>
        <w:rPr>
          <w:b w:val="0"/>
          <w:sz w:val="24"/>
          <w:szCs w:val="24"/>
        </w:rPr>
      </w:pPr>
      <w:r>
        <w:rPr>
          <w:szCs w:val="28"/>
        </w:rPr>
        <w:t>Schedule 1 — Supply charges</w:t>
      </w:r>
    </w:p>
    <w:p>
      <w:pPr>
        <w:pStyle w:val="TOC8"/>
        <w:rPr>
          <w:sz w:val="24"/>
          <w:szCs w:val="24"/>
        </w:rPr>
      </w:pPr>
      <w:r>
        <w:rPr>
          <w:szCs w:val="22"/>
        </w:rPr>
        <w:t>1.</w:t>
      </w:r>
      <w:r>
        <w:rPr>
          <w:szCs w:val="22"/>
        </w:rPr>
        <w:tab/>
        <w:t>Tariff L1 (general supply — low/medium voltage tariff)</w:t>
      </w:r>
      <w:r>
        <w:tab/>
      </w:r>
      <w:r>
        <w:fldChar w:fldCharType="begin"/>
      </w:r>
      <w:r>
        <w:instrText xml:space="preserve"> PAGEREF _Toc226275349 \h </w:instrText>
      </w:r>
      <w:r>
        <w:fldChar w:fldCharType="separate"/>
      </w:r>
      <w:r>
        <w:t>7</w:t>
      </w:r>
      <w:r>
        <w:fldChar w:fldCharType="end"/>
      </w:r>
    </w:p>
    <w:p>
      <w:pPr>
        <w:pStyle w:val="TOC8"/>
        <w:rPr>
          <w:sz w:val="24"/>
          <w:szCs w:val="24"/>
        </w:rPr>
      </w:pPr>
      <w:r>
        <w:rPr>
          <w:szCs w:val="22"/>
        </w:rPr>
        <w:t>2.</w:t>
      </w:r>
      <w:r>
        <w:rPr>
          <w:szCs w:val="22"/>
        </w:rPr>
        <w:tab/>
        <w:t>Tariff L3 (general supply — low/medium voltage tariff)</w:t>
      </w:r>
      <w:r>
        <w:tab/>
      </w:r>
      <w:r>
        <w:fldChar w:fldCharType="begin"/>
      </w:r>
      <w:r>
        <w:instrText xml:space="preserve"> PAGEREF _Toc226275350 \h </w:instrText>
      </w:r>
      <w:r>
        <w:fldChar w:fldCharType="separate"/>
      </w:r>
      <w:r>
        <w:t>7</w:t>
      </w:r>
      <w:r>
        <w:fldChar w:fldCharType="end"/>
      </w:r>
    </w:p>
    <w:p>
      <w:pPr>
        <w:pStyle w:val="TOC8"/>
        <w:rPr>
          <w:sz w:val="24"/>
          <w:szCs w:val="24"/>
        </w:rPr>
      </w:pPr>
      <w:r>
        <w:rPr>
          <w:szCs w:val="22"/>
        </w:rPr>
        <w:t>3.</w:t>
      </w:r>
      <w:r>
        <w:rPr>
          <w:szCs w:val="22"/>
        </w:rPr>
        <w:tab/>
        <w:t>Tariff M1 (general supply — high voltage tariff)</w:t>
      </w:r>
      <w:r>
        <w:tab/>
      </w:r>
      <w:r>
        <w:fldChar w:fldCharType="begin"/>
      </w:r>
      <w:r>
        <w:instrText xml:space="preserve"> PAGEREF _Toc226275351 \h </w:instrText>
      </w:r>
      <w:r>
        <w:fldChar w:fldCharType="separate"/>
      </w:r>
      <w:r>
        <w:t>8</w:t>
      </w:r>
      <w:r>
        <w:fldChar w:fldCharType="end"/>
      </w:r>
    </w:p>
    <w:p>
      <w:pPr>
        <w:pStyle w:val="TOC8"/>
        <w:rPr>
          <w:sz w:val="24"/>
          <w:szCs w:val="24"/>
        </w:rPr>
      </w:pPr>
      <w:r>
        <w:rPr>
          <w:szCs w:val="22"/>
        </w:rPr>
        <w:t>4.</w:t>
      </w:r>
      <w:r>
        <w:rPr>
          <w:szCs w:val="22"/>
        </w:rPr>
        <w:tab/>
        <w:t>Tariff R1 (time of use tariff)</w:t>
      </w:r>
      <w:r>
        <w:tab/>
      </w:r>
      <w:r>
        <w:fldChar w:fldCharType="begin"/>
      </w:r>
      <w:r>
        <w:instrText xml:space="preserve"> PAGEREF _Toc226275352 \h </w:instrText>
      </w:r>
      <w:r>
        <w:fldChar w:fldCharType="separate"/>
      </w:r>
      <w:r>
        <w:t>8</w:t>
      </w:r>
      <w:r>
        <w:fldChar w:fldCharType="end"/>
      </w:r>
    </w:p>
    <w:p>
      <w:pPr>
        <w:pStyle w:val="TOC8"/>
        <w:rPr>
          <w:sz w:val="24"/>
          <w:szCs w:val="24"/>
        </w:rPr>
      </w:pPr>
      <w:r>
        <w:rPr>
          <w:szCs w:val="22"/>
        </w:rPr>
        <w:t>5.</w:t>
      </w:r>
      <w:r>
        <w:rPr>
          <w:szCs w:val="22"/>
        </w:rPr>
        <w:tab/>
        <w:t>Tariff R3 (time of use tariff)</w:t>
      </w:r>
      <w:r>
        <w:tab/>
      </w:r>
      <w:r>
        <w:fldChar w:fldCharType="begin"/>
      </w:r>
      <w:r>
        <w:instrText xml:space="preserve"> PAGEREF _Toc226275353 \h </w:instrText>
      </w:r>
      <w:r>
        <w:fldChar w:fldCharType="separate"/>
      </w:r>
      <w:r>
        <w:t>8</w:t>
      </w:r>
      <w:r>
        <w:fldChar w:fldCharType="end"/>
      </w:r>
    </w:p>
    <w:p>
      <w:pPr>
        <w:pStyle w:val="TOC8"/>
        <w:rPr>
          <w:sz w:val="24"/>
          <w:szCs w:val="24"/>
        </w:rPr>
      </w:pPr>
      <w:r>
        <w:rPr>
          <w:szCs w:val="22"/>
        </w:rPr>
        <w:t>6.</w:t>
      </w:r>
      <w:r>
        <w:rPr>
          <w:szCs w:val="22"/>
        </w:rPr>
        <w:tab/>
      </w:r>
      <w:r>
        <w:rPr>
          <w:snapToGrid w:val="0"/>
          <w:szCs w:val="22"/>
        </w:rPr>
        <w:t>Tariff S1 (low/medium voltage time based demand and energy tariff)</w:t>
      </w:r>
      <w:r>
        <w:tab/>
      </w:r>
      <w:r>
        <w:fldChar w:fldCharType="begin"/>
      </w:r>
      <w:r>
        <w:instrText xml:space="preserve"> PAGEREF _Toc226275354 \h </w:instrText>
      </w:r>
      <w:r>
        <w:fldChar w:fldCharType="separate"/>
      </w:r>
      <w:r>
        <w:t>9</w:t>
      </w:r>
      <w:r>
        <w:fldChar w:fldCharType="end"/>
      </w:r>
    </w:p>
    <w:p>
      <w:pPr>
        <w:pStyle w:val="TOC8"/>
        <w:rPr>
          <w:sz w:val="24"/>
          <w:szCs w:val="24"/>
        </w:rPr>
      </w:pPr>
      <w:r>
        <w:rPr>
          <w:szCs w:val="22"/>
        </w:rPr>
        <w:t>7.</w:t>
      </w:r>
      <w:r>
        <w:rPr>
          <w:szCs w:val="22"/>
        </w:rPr>
        <w:tab/>
        <w:t xml:space="preserve">Tariff T1 </w:t>
      </w:r>
      <w:r>
        <w:rPr>
          <w:snapToGrid w:val="0"/>
          <w:szCs w:val="22"/>
        </w:rPr>
        <w:t>(high voltage time based demand and energy tariff)</w:t>
      </w:r>
      <w:r>
        <w:tab/>
      </w:r>
      <w:r>
        <w:fldChar w:fldCharType="begin"/>
      </w:r>
      <w:r>
        <w:instrText xml:space="preserve"> PAGEREF _Toc226275355 \h </w:instrText>
      </w:r>
      <w:r>
        <w:fldChar w:fldCharType="separate"/>
      </w:r>
      <w:r>
        <w:t>10</w:t>
      </w:r>
      <w:r>
        <w:fldChar w:fldCharType="end"/>
      </w:r>
    </w:p>
    <w:p>
      <w:pPr>
        <w:pStyle w:val="TOC8"/>
        <w:rPr>
          <w:sz w:val="24"/>
          <w:szCs w:val="24"/>
        </w:rPr>
      </w:pPr>
      <w:r>
        <w:rPr>
          <w:szCs w:val="22"/>
        </w:rPr>
        <w:t>8.</w:t>
      </w:r>
      <w:r>
        <w:rPr>
          <w:szCs w:val="22"/>
        </w:rPr>
        <w:tab/>
        <w:t>Standby charges</w:t>
      </w:r>
      <w:r>
        <w:tab/>
      </w:r>
      <w:r>
        <w:fldChar w:fldCharType="begin"/>
      </w:r>
      <w:r>
        <w:instrText xml:space="preserve"> PAGEREF _Toc226275356 \h </w:instrText>
      </w:r>
      <w:r>
        <w:fldChar w:fldCharType="separate"/>
      </w:r>
      <w:r>
        <w:t>11</w:t>
      </w:r>
      <w:r>
        <w:fldChar w:fldCharType="end"/>
      </w:r>
    </w:p>
    <w:p>
      <w:pPr>
        <w:pStyle w:val="TOC8"/>
        <w:rPr>
          <w:sz w:val="24"/>
          <w:szCs w:val="24"/>
        </w:rPr>
      </w:pPr>
      <w:r>
        <w:rPr>
          <w:szCs w:val="22"/>
        </w:rPr>
        <w:t>9.</w:t>
      </w:r>
      <w:r>
        <w:rPr>
          <w:szCs w:val="22"/>
        </w:rPr>
        <w:tab/>
        <w:t>Tariff A1 (residential tariff)</w:t>
      </w:r>
      <w:r>
        <w:tab/>
      </w:r>
      <w:r>
        <w:fldChar w:fldCharType="begin"/>
      </w:r>
      <w:r>
        <w:instrText xml:space="preserve"> PAGEREF _Toc226275357 \h </w:instrText>
      </w:r>
      <w:r>
        <w:fldChar w:fldCharType="separate"/>
      </w:r>
      <w:r>
        <w:t>12</w:t>
      </w:r>
      <w:r>
        <w:fldChar w:fldCharType="end"/>
      </w:r>
    </w:p>
    <w:p>
      <w:pPr>
        <w:pStyle w:val="TOC8"/>
        <w:rPr>
          <w:sz w:val="24"/>
          <w:szCs w:val="24"/>
        </w:rPr>
      </w:pPr>
      <w:r>
        <w:rPr>
          <w:szCs w:val="22"/>
        </w:rPr>
        <w:t>10.</w:t>
      </w:r>
      <w:r>
        <w:rPr>
          <w:szCs w:val="22"/>
        </w:rPr>
        <w:tab/>
        <w:t>Tariff B1 (residential water heating tariff)</w:t>
      </w:r>
      <w:r>
        <w:tab/>
      </w:r>
      <w:r>
        <w:fldChar w:fldCharType="begin"/>
      </w:r>
      <w:r>
        <w:instrText xml:space="preserve"> PAGEREF _Toc226275358 \h </w:instrText>
      </w:r>
      <w:r>
        <w:fldChar w:fldCharType="separate"/>
      </w:r>
      <w:r>
        <w:t>13</w:t>
      </w:r>
      <w:r>
        <w:fldChar w:fldCharType="end"/>
      </w:r>
    </w:p>
    <w:p>
      <w:pPr>
        <w:pStyle w:val="TOC8"/>
        <w:rPr>
          <w:sz w:val="24"/>
          <w:szCs w:val="24"/>
        </w:rPr>
      </w:pPr>
      <w:r>
        <w:rPr>
          <w:szCs w:val="22"/>
        </w:rPr>
        <w:t>11.</w:t>
      </w:r>
      <w:r>
        <w:rPr>
          <w:szCs w:val="22"/>
        </w:rPr>
        <w:tab/>
        <w:t>Tariff C1 (special community service tariff)</w:t>
      </w:r>
      <w:r>
        <w:tab/>
      </w:r>
      <w:r>
        <w:fldChar w:fldCharType="begin"/>
      </w:r>
      <w:r>
        <w:instrText xml:space="preserve"> PAGEREF _Toc226275359 \h </w:instrText>
      </w:r>
      <w:r>
        <w:fldChar w:fldCharType="separate"/>
      </w:r>
      <w:r>
        <w:t>13</w:t>
      </w:r>
      <w:r>
        <w:fldChar w:fldCharType="end"/>
      </w:r>
    </w:p>
    <w:p>
      <w:pPr>
        <w:pStyle w:val="TOC8"/>
        <w:rPr>
          <w:sz w:val="24"/>
          <w:szCs w:val="24"/>
        </w:rPr>
      </w:pPr>
      <w:r>
        <w:rPr>
          <w:szCs w:val="22"/>
        </w:rPr>
        <w:t>12.</w:t>
      </w:r>
      <w:r>
        <w:rPr>
          <w:szCs w:val="22"/>
        </w:rPr>
        <w:tab/>
        <w:t>Tariff D1 (special tariff for certain premises)</w:t>
      </w:r>
      <w:r>
        <w:tab/>
      </w:r>
      <w:r>
        <w:fldChar w:fldCharType="begin"/>
      </w:r>
      <w:r>
        <w:instrText xml:space="preserve"> PAGEREF _Toc226275360 \h </w:instrText>
      </w:r>
      <w:r>
        <w:fldChar w:fldCharType="separate"/>
      </w:r>
      <w:r>
        <w:t>14</w:t>
      </w:r>
      <w:r>
        <w:fldChar w:fldCharType="end"/>
      </w:r>
    </w:p>
    <w:p>
      <w:pPr>
        <w:pStyle w:val="TOC8"/>
        <w:rPr>
          <w:sz w:val="24"/>
          <w:szCs w:val="24"/>
        </w:rPr>
      </w:pPr>
      <w:r>
        <w:rPr>
          <w:szCs w:val="22"/>
        </w:rPr>
        <w:t>13.</w:t>
      </w:r>
      <w:r>
        <w:rPr>
          <w:szCs w:val="22"/>
        </w:rPr>
        <w:tab/>
        <w:t>Tariff K1 (general supply with residential tariff)</w:t>
      </w:r>
      <w:r>
        <w:tab/>
      </w:r>
      <w:r>
        <w:fldChar w:fldCharType="begin"/>
      </w:r>
      <w:r>
        <w:instrText xml:space="preserve"> PAGEREF _Toc226275361 \h </w:instrText>
      </w:r>
      <w:r>
        <w:fldChar w:fldCharType="separate"/>
      </w:r>
      <w:r>
        <w:t>14</w:t>
      </w:r>
      <w:r>
        <w:fldChar w:fldCharType="end"/>
      </w:r>
    </w:p>
    <w:p>
      <w:pPr>
        <w:pStyle w:val="TOC8"/>
        <w:rPr>
          <w:sz w:val="24"/>
          <w:szCs w:val="24"/>
        </w:rPr>
      </w:pPr>
      <w:r>
        <w:rPr>
          <w:szCs w:val="22"/>
        </w:rPr>
        <w:t>14.</w:t>
      </w:r>
      <w:r>
        <w:rPr>
          <w:szCs w:val="22"/>
        </w:rPr>
        <w:tab/>
        <w:t>Tariff W1 (traffic light installations)</w:t>
      </w:r>
      <w:r>
        <w:tab/>
      </w:r>
      <w:r>
        <w:fldChar w:fldCharType="begin"/>
      </w:r>
      <w:r>
        <w:instrText xml:space="preserve"> PAGEREF _Toc226275362 \h </w:instrText>
      </w:r>
      <w:r>
        <w:fldChar w:fldCharType="separate"/>
      </w:r>
      <w:r>
        <w:t>15</w:t>
      </w:r>
      <w:r>
        <w:fldChar w:fldCharType="end"/>
      </w:r>
    </w:p>
    <w:p>
      <w:pPr>
        <w:pStyle w:val="TOC2"/>
        <w:tabs>
          <w:tab w:val="right" w:leader="dot" w:pos="7086"/>
        </w:tabs>
        <w:rPr>
          <w:b w:val="0"/>
          <w:sz w:val="24"/>
          <w:szCs w:val="24"/>
        </w:rPr>
      </w:pPr>
      <w:r>
        <w:rPr>
          <w:szCs w:val="28"/>
        </w:rPr>
        <w:t>Schedule 2 — Street lighting</w:t>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Meter rental</w:t>
      </w:r>
    </w:p>
    <w:p>
      <w:pPr>
        <w:pStyle w:val="TOC2"/>
        <w:tabs>
          <w:tab w:val="right" w:leader="dot" w:pos="7086"/>
        </w:tabs>
        <w:rPr>
          <w:b w:val="0"/>
          <w:sz w:val="24"/>
          <w:szCs w:val="24"/>
        </w:rPr>
      </w:pPr>
      <w:r>
        <w:rPr>
          <w:szCs w:val="28"/>
        </w:rPr>
        <w:t>Schedule 4</w:t>
      </w:r>
      <w:r>
        <w:rPr>
          <w:sz w:val="24"/>
          <w:szCs w:val="28"/>
        </w:rPr>
        <w:t> </w:t>
      </w:r>
      <w:r>
        <w:rPr>
          <w:szCs w:val="28"/>
        </w:rPr>
        <w:t>—</w:t>
      </w:r>
      <w:r>
        <w:rPr>
          <w:sz w:val="24"/>
          <w:szCs w:val="28"/>
        </w:rPr>
        <w:t> </w:t>
      </w:r>
      <w:r>
        <w:rPr>
          <w:szCs w:val="28"/>
        </w:rPr>
        <w:t>Fees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_Toc226275367 \h </w:instrText>
      </w:r>
      <w:r>
        <w:fldChar w:fldCharType="separate"/>
      </w:r>
      <w:r>
        <w:t>20</w:t>
      </w:r>
      <w:r>
        <w:fldChar w:fldCharType="end"/>
      </w:r>
    </w:p>
    <w:p>
      <w:pPr>
        <w:pStyle w:val="TOC8"/>
        <w:rPr>
          <w:sz w:val="24"/>
        </w:rPr>
      </w:pPr>
      <w:r>
        <w:tab/>
        <w:t>Provisions that have not come into operation</w:t>
      </w:r>
      <w:r>
        <w:tab/>
      </w:r>
      <w:r>
        <w:fldChar w:fldCharType="begin"/>
      </w:r>
      <w:r>
        <w:instrText xml:space="preserve"> PAGEREF _Toc226275368 \h </w:instrText>
      </w:r>
      <w:r>
        <w:fldChar w:fldCharType="separate"/>
      </w:r>
      <w:r>
        <w:t>20</w:t>
      </w:r>
      <w:r>
        <w:fldChar w:fldCharType="end"/>
      </w:r>
    </w:p>
    <w:p>
      <w:pPr>
        <w:pStyle w:val="TOC2"/>
        <w:tabs>
          <w:tab w:val="right" w:leader="dot" w:pos="7086"/>
        </w:tabs>
        <w:rPr>
          <w:b w:val="0"/>
          <w:sz w:val="24"/>
          <w:szCs w:val="24"/>
        </w:rPr>
      </w:pPr>
      <w:r>
        <w:rPr>
          <w:szCs w:val="26"/>
        </w:rPr>
        <w:t>Part 3 — Amendments commencing on 1 July 2009</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Energy Operators (Powers) Act 1979</w:t>
      </w:r>
    </w:p>
    <w:p>
      <w:pPr>
        <w:pStyle w:val="NameofActReg"/>
      </w:pPr>
      <w:r>
        <w:t>Energy Operators (Electricity Retail Corporation) (Charges) By-laws 2006</w:t>
      </w:r>
    </w:p>
    <w:p>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15958686"/>
      <w:bookmarkStart w:id="8" w:name="_Toc128282853"/>
      <w:bookmarkStart w:id="9" w:name="_Toc226275335"/>
      <w:r>
        <w:rPr>
          <w:rStyle w:val="CharSectno"/>
        </w:rPr>
        <w:t>1</w:t>
      </w:r>
      <w:r>
        <w:t>.</w:t>
      </w:r>
      <w:r>
        <w:tab/>
        <w:t>Citation</w:t>
      </w:r>
      <w:bookmarkEnd w:id="1"/>
      <w:bookmarkEnd w:id="2"/>
      <w:bookmarkEnd w:id="3"/>
      <w:bookmarkEnd w:id="4"/>
      <w:bookmarkEnd w:id="5"/>
      <w:bookmarkEnd w:id="6"/>
      <w:bookmarkEnd w:id="7"/>
      <w:bookmarkEnd w:id="8"/>
      <w:bookmarkEnd w:id="9"/>
    </w:p>
    <w:p>
      <w:pPr>
        <w:pStyle w:val="Subsection"/>
        <w:rPr>
          <w:i/>
        </w:rPr>
      </w:pPr>
      <w:r>
        <w:tab/>
      </w:r>
      <w:r>
        <w:tab/>
      </w:r>
      <w:r>
        <w:rPr>
          <w:spacing w:val="-2"/>
        </w:rPr>
        <w:t>These</w:t>
      </w:r>
      <w:r>
        <w:t xml:space="preserve"> </w:t>
      </w:r>
      <w:r>
        <w:rPr>
          <w:spacing w:val="-2"/>
        </w:rPr>
        <w:t>by-laws</w:t>
      </w:r>
      <w:r>
        <w:t xml:space="preserve"> are the </w:t>
      </w:r>
      <w:r>
        <w:rPr>
          <w:i/>
        </w:rPr>
        <w:t>Energy Operators (Electricity Retail Corporation) (Charges) By-laws 2006</w:t>
      </w:r>
      <w:r>
        <w:t>.</w:t>
      </w:r>
    </w:p>
    <w:p>
      <w:pPr>
        <w:pStyle w:val="Heading5"/>
        <w:rPr>
          <w:spacing w:val="-2"/>
        </w:rPr>
      </w:pPr>
      <w:bookmarkStart w:id="10" w:name="_Toc423332723"/>
      <w:bookmarkStart w:id="11" w:name="_Toc425219442"/>
      <w:bookmarkStart w:id="12" w:name="_Toc426249309"/>
      <w:bookmarkStart w:id="13" w:name="_Toc449924705"/>
      <w:bookmarkStart w:id="14" w:name="_Toc449947723"/>
      <w:bookmarkStart w:id="15" w:name="_Toc454185714"/>
      <w:bookmarkStart w:id="16" w:name="_Toc515958687"/>
      <w:bookmarkStart w:id="17" w:name="_Toc128282854"/>
      <w:bookmarkStart w:id="18" w:name="_Toc226275336"/>
      <w:r>
        <w:rPr>
          <w:rStyle w:val="CharSectno"/>
        </w:rPr>
        <w:t>2</w:t>
      </w:r>
      <w:r>
        <w:rPr>
          <w:spacing w:val="-2"/>
        </w:rPr>
        <w:t>.</w:t>
      </w:r>
      <w:r>
        <w:rPr>
          <w:spacing w:val="-2"/>
        </w:rPr>
        <w:tab/>
        <w:t>Commencement</w:t>
      </w:r>
      <w:bookmarkEnd w:id="10"/>
      <w:bookmarkEnd w:id="11"/>
      <w:bookmarkEnd w:id="12"/>
      <w:bookmarkEnd w:id="13"/>
      <w:bookmarkEnd w:id="14"/>
      <w:bookmarkEnd w:id="15"/>
      <w:bookmarkEnd w:id="16"/>
      <w:bookmarkEnd w:id="17"/>
      <w:bookmarkEnd w:id="18"/>
    </w:p>
    <w:p>
      <w:pPr>
        <w:pStyle w:val="Subsection"/>
        <w:rPr>
          <w:rFonts w:ascii="Times" w:hAnsi="Times"/>
        </w:rPr>
      </w:pPr>
      <w:r>
        <w:rPr>
          <w:spacing w:val="-2"/>
        </w:rPr>
        <w:tab/>
      </w:r>
      <w:r>
        <w:rPr>
          <w:spacing w:val="-2"/>
        </w:rPr>
        <w:tab/>
        <w:t>These by-laws come into operation on 1 April 2006</w:t>
      </w:r>
      <w:r>
        <w:rPr>
          <w:rFonts w:ascii="Times" w:hAnsi="Times"/>
        </w:rPr>
        <w:t>.</w:t>
      </w:r>
    </w:p>
    <w:p>
      <w:pPr>
        <w:pStyle w:val="Heading5"/>
        <w:rPr>
          <w:snapToGrid w:val="0"/>
        </w:rPr>
      </w:pPr>
      <w:bookmarkStart w:id="19" w:name="_Toc486232663"/>
      <w:bookmarkStart w:id="20" w:name="_Toc509735408"/>
      <w:bookmarkStart w:id="21" w:name="_Toc511625640"/>
      <w:bookmarkStart w:id="22" w:name="_Toc512237522"/>
      <w:bookmarkStart w:id="23" w:name="_Toc512935994"/>
      <w:bookmarkStart w:id="24" w:name="_Toc44470743"/>
      <w:bookmarkStart w:id="25" w:name="_Toc63831847"/>
      <w:bookmarkStart w:id="26" w:name="_Toc128282855"/>
      <w:bookmarkStart w:id="27" w:name="_Toc226275337"/>
      <w:r>
        <w:rPr>
          <w:rStyle w:val="CharSectno"/>
        </w:rPr>
        <w:t>3</w:t>
      </w:r>
      <w:r>
        <w:t>.</w:t>
      </w:r>
      <w:r>
        <w:tab/>
      </w:r>
      <w:bookmarkEnd w:id="19"/>
      <w:bookmarkEnd w:id="20"/>
      <w:bookmarkEnd w:id="21"/>
      <w:bookmarkEnd w:id="22"/>
      <w:bookmarkEnd w:id="23"/>
      <w:bookmarkEnd w:id="24"/>
      <w:bookmarkEnd w:id="25"/>
      <w:r>
        <w:rPr>
          <w:snapToGrid w:val="0"/>
        </w:rPr>
        <w:t>Terms used in these by</w:t>
      </w:r>
      <w:r>
        <w:rPr>
          <w:snapToGrid w:val="0"/>
        </w:rPr>
        <w:noBreakHyphen/>
        <w:t>laws</w:t>
      </w:r>
      <w:bookmarkEnd w:id="26"/>
      <w:bookmarkEnd w:id="27"/>
    </w:p>
    <w:p>
      <w:pPr>
        <w:pStyle w:val="Subsection"/>
        <w:rPr>
          <w:snapToGrid w:val="0"/>
        </w:rPr>
      </w:pPr>
      <w:r>
        <w:rPr>
          <w:snapToGrid w:val="0"/>
        </w:rPr>
        <w:tab/>
      </w:r>
      <w:r>
        <w:rPr>
          <w:snapToGrid w:val="0"/>
        </w:rPr>
        <w:tab/>
        <w:t>In these by</w:t>
      </w:r>
      <w:r>
        <w:rPr>
          <w:snapToGrid w:val="0"/>
        </w:rPr>
        <w:noBreakHyphen/>
        <w:t xml:space="preserve">laws, unless the contrary intention appears — </w:t>
      </w:r>
    </w:p>
    <w:p>
      <w:pPr>
        <w:pStyle w:val="Defstart"/>
      </w:pPr>
      <w:r>
        <w:rPr>
          <w:b/>
        </w:rPr>
        <w:tab/>
      </w:r>
      <w:r>
        <w:rPr>
          <w:rStyle w:val="CharDefText"/>
        </w:rPr>
        <w:t>corporation</w:t>
      </w:r>
      <w:r>
        <w:t xml:space="preserve"> means the body established by the </w:t>
      </w:r>
      <w:r>
        <w:rPr>
          <w:i/>
        </w:rPr>
        <w:t>Electricity Corporations Act 2005</w:t>
      </w:r>
      <w:r>
        <w:t xml:space="preserve"> section 4(1)(c);</w:t>
      </w:r>
    </w:p>
    <w:p>
      <w:pPr>
        <w:pStyle w:val="Defstart"/>
      </w:pPr>
      <w:r>
        <w:rPr>
          <w:b/>
        </w:rPr>
        <w:tab/>
      </w:r>
      <w:r>
        <w:rPr>
          <w:rStyle w:val="CharDefText"/>
        </w:rPr>
        <w:t>dwelling</w:t>
      </w:r>
      <w:r>
        <w:t xml:space="preserve"> means a house, flat, home unit or other place of residence used solely for residential purposes;</w:t>
      </w:r>
    </w:p>
    <w:p>
      <w:pPr>
        <w:pStyle w:val="Defstart"/>
      </w:pPr>
      <w:r>
        <w:rPr>
          <w:b/>
        </w:rPr>
        <w:tab/>
      </w:r>
      <w:r>
        <w:rPr>
          <w:rStyle w:val="CharDefText"/>
        </w:rPr>
        <w:t>half</w:t>
      </w:r>
      <w:r>
        <w:rPr>
          <w:rStyle w:val="CharDefText"/>
        </w:rPr>
        <w:noBreakHyphen/>
        <w:t>hourly maximum demand</w:t>
      </w:r>
      <w:r>
        <w:t xml:space="preserve"> means the maximum demand in kilowatts recorded during the accounting period concerned in any period of half an hour;</w:t>
      </w:r>
    </w:p>
    <w:p>
      <w:pPr>
        <w:pStyle w:val="Defstart"/>
      </w:pPr>
      <w:r>
        <w:rPr>
          <w:b/>
        </w:rPr>
        <w:tab/>
      </w:r>
      <w:r>
        <w:rPr>
          <w:rStyle w:val="CharDefText"/>
        </w:rPr>
        <w:t>off peak</w:t>
      </w:r>
      <w:r>
        <w:t xml:space="preserve"> means any period other than on peak;</w:t>
      </w:r>
    </w:p>
    <w:p>
      <w:pPr>
        <w:pStyle w:val="Defstart"/>
      </w:pPr>
      <w:r>
        <w:rPr>
          <w:b/>
        </w:rPr>
        <w:tab/>
      </w:r>
      <w:r>
        <w:rPr>
          <w:rStyle w:val="CharDefText"/>
        </w:rPr>
        <w:t>on peak</w:t>
      </w:r>
      <w:r>
        <w:t xml:space="preserve"> means the periods between 8.00 a.m. and 10.00 p.m. Monday to Friday;</w:t>
      </w:r>
    </w:p>
    <w:p>
      <w:pPr>
        <w:pStyle w:val="Defstart"/>
      </w:pPr>
      <w:r>
        <w:tab/>
      </w:r>
      <w:r>
        <w:rPr>
          <w:rStyle w:val="CharDefText"/>
        </w:rPr>
        <w:t>RBA cash rate</w:t>
      </w:r>
      <w:r>
        <w:t xml:space="preserve"> means the percentage (or maximum percentage) specified by the Reserve Bank of Australia as the Cash Rate Target;</w:t>
      </w:r>
    </w:p>
    <w:p>
      <w:pPr>
        <w:pStyle w:val="Defstart"/>
      </w:pPr>
      <w:r>
        <w:rPr>
          <w:b/>
        </w:rPr>
        <w:tab/>
      </w:r>
      <w:r>
        <w:rPr>
          <w:rStyle w:val="CharDefText"/>
        </w:rPr>
        <w:t>residential tarif</w:t>
      </w:r>
      <w:r>
        <w:rPr>
          <w:rStyle w:val="CharDefText"/>
          <w:rFonts w:ascii="Times" w:hAnsi="Times"/>
          <w:spacing w:val="40"/>
        </w:rPr>
        <w:t>f</w:t>
      </w:r>
      <w:r>
        <w:t xml:space="preserve"> means Tariff A1 or B1;</w:t>
      </w:r>
    </w:p>
    <w:p>
      <w:pPr>
        <w:pStyle w:val="Defstart"/>
      </w:pPr>
      <w:r>
        <w:rPr>
          <w:b/>
        </w:rPr>
        <w:tab/>
      </w:r>
      <w:r>
        <w:rPr>
          <w:rStyle w:val="CharDefText"/>
        </w:rPr>
        <w:t>Tarif</w:t>
      </w:r>
      <w:r>
        <w:rPr>
          <w:rStyle w:val="CharDefText"/>
          <w:rFonts w:ascii="Times" w:hAnsi="Times"/>
          <w:spacing w:val="40"/>
        </w:rPr>
        <w:t>f</w:t>
      </w:r>
      <w:r>
        <w:t xml:space="preserve"> followed by a designation means the tariff so designated in Schedule 1;</w:t>
      </w:r>
    </w:p>
    <w:p>
      <w:pPr>
        <w:pStyle w:val="Defstart"/>
      </w:pPr>
      <w:r>
        <w:rPr>
          <w:b/>
        </w:rPr>
        <w:tab/>
      </w:r>
      <w:r>
        <w:rPr>
          <w:rStyle w:val="CharDefText"/>
        </w:rPr>
        <w:t>unit</w:t>
      </w:r>
      <w:r>
        <w:t>, in relation to a charge for electricity, means one kilowatt hour.</w:t>
      </w:r>
    </w:p>
    <w:p>
      <w:pPr>
        <w:pStyle w:val="Footnotesection"/>
      </w:pPr>
      <w:r>
        <w:tab/>
        <w:t>[By-law 3 amended in Gazette 30 Mar 2009 p. 970.]</w:t>
      </w:r>
    </w:p>
    <w:p>
      <w:pPr>
        <w:pStyle w:val="Heading5"/>
      </w:pPr>
      <w:bookmarkStart w:id="28" w:name="_Toc226275338"/>
      <w:bookmarkStart w:id="29" w:name="_Toc486232664"/>
      <w:bookmarkStart w:id="30" w:name="_Toc509735409"/>
      <w:bookmarkStart w:id="31" w:name="_Toc511625641"/>
      <w:bookmarkStart w:id="32" w:name="_Toc512237523"/>
      <w:bookmarkStart w:id="33" w:name="_Toc512935995"/>
      <w:bookmarkStart w:id="34" w:name="_Toc44470744"/>
      <w:bookmarkStart w:id="35" w:name="_Toc63831848"/>
      <w:bookmarkStart w:id="36" w:name="_Toc128282856"/>
      <w:r>
        <w:rPr>
          <w:rStyle w:val="CharSectno"/>
        </w:rPr>
        <w:t>3A</w:t>
      </w:r>
      <w:r>
        <w:t>.</w:t>
      </w:r>
      <w:r>
        <w:tab/>
        <w:t>Construction of references to time</w:t>
      </w:r>
      <w:bookmarkEnd w:id="28"/>
    </w:p>
    <w:p>
      <w:pPr>
        <w:pStyle w:val="Subsection"/>
      </w:pPr>
      <w:r>
        <w:tab/>
        <w:t>(1)</w:t>
      </w:r>
      <w:r>
        <w:tab/>
        <w:t>In this by</w:t>
      </w:r>
      <w:r>
        <w:noBreakHyphen/>
        <w:t xml:space="preserve">law — </w:t>
      </w:r>
    </w:p>
    <w:p>
      <w:pPr>
        <w:pStyle w:val="Defstart"/>
      </w:pPr>
      <w:r>
        <w:rPr>
          <w:b/>
        </w:rPr>
        <w:tab/>
      </w:r>
      <w:r>
        <w:rPr>
          <w:rStyle w:val="CharDefText"/>
        </w:rPr>
        <w:t>standard time</w:t>
      </w:r>
      <w:r>
        <w:t xml:space="preserve"> and </w:t>
      </w:r>
      <w:r>
        <w:rPr>
          <w:rStyle w:val="CharDefText"/>
        </w:rPr>
        <w:t>summer time</w:t>
      </w:r>
      <w:r>
        <w:rPr>
          <w:b/>
        </w:rPr>
        <w:t xml:space="preserve"> </w:t>
      </w:r>
      <w:r>
        <w:t xml:space="preserve">have the meaning given to those terms in the </w:t>
      </w:r>
      <w:r>
        <w:rPr>
          <w:i/>
          <w:iCs/>
        </w:rPr>
        <w:t xml:space="preserve">Daylight Saving Act 2006 </w:t>
      </w:r>
      <w:r>
        <w:t>section 3.</w:t>
      </w:r>
    </w:p>
    <w:p>
      <w:pPr>
        <w:pStyle w:val="Subsection"/>
      </w:pPr>
      <w:r>
        <w:tab/>
        <w:t>(2)</w:t>
      </w:r>
      <w:r>
        <w:tab/>
        <w:t xml:space="preserve">For the purposes of the </w:t>
      </w:r>
      <w:r>
        <w:rPr>
          <w:i/>
          <w:iCs/>
        </w:rPr>
        <w:t>Daylight Saving Act 2006</w:t>
      </w:r>
      <w:r>
        <w:t xml:space="preserve"> section 7, it is provided that a reference in these by</w:t>
      </w:r>
      <w:r>
        <w:noBreakHyphen/>
        <w:t xml:space="preserve">laws to any time or period of time is to be construed as a reference to — </w:t>
      </w:r>
    </w:p>
    <w:p>
      <w:pPr>
        <w:pStyle w:val="Indenta"/>
      </w:pPr>
      <w:r>
        <w:tab/>
        <w:t>(a)</w:t>
      </w:r>
      <w:r>
        <w:tab/>
        <w:t>standard time and not to summer time; or</w:t>
      </w:r>
    </w:p>
    <w:p>
      <w:pPr>
        <w:pStyle w:val="Indenta"/>
      </w:pPr>
      <w:r>
        <w:tab/>
        <w:t>(b)</w:t>
      </w:r>
      <w:r>
        <w:tab/>
        <w:t>that period of time as determined by reference to standard time and not by reference to summer time.</w:t>
      </w:r>
    </w:p>
    <w:p>
      <w:pPr>
        <w:pStyle w:val="Footnotesection"/>
      </w:pPr>
      <w:r>
        <w:tab/>
        <w:t>[By-law 3A inserted in Gazette 1 Dec 2006 p. 5349</w:t>
      </w:r>
      <w:r>
        <w:noBreakHyphen/>
        <w:t>50.]</w:t>
      </w:r>
    </w:p>
    <w:p>
      <w:pPr>
        <w:pStyle w:val="Heading5"/>
        <w:rPr>
          <w:snapToGrid w:val="0"/>
        </w:rPr>
      </w:pPr>
      <w:bookmarkStart w:id="37" w:name="_Toc226275339"/>
      <w:r>
        <w:rPr>
          <w:rStyle w:val="CharSectno"/>
        </w:rPr>
        <w:t>4</w:t>
      </w:r>
      <w:r>
        <w:t>.</w:t>
      </w:r>
      <w:r>
        <w:tab/>
      </w:r>
      <w:r>
        <w:rPr>
          <w:snapToGrid w:val="0"/>
        </w:rPr>
        <w:t>Electricity charges</w:t>
      </w:r>
      <w:bookmarkEnd w:id="29"/>
      <w:bookmarkEnd w:id="30"/>
      <w:bookmarkEnd w:id="31"/>
      <w:bookmarkEnd w:id="32"/>
      <w:bookmarkEnd w:id="33"/>
      <w:bookmarkEnd w:id="34"/>
      <w:bookmarkEnd w:id="35"/>
      <w:bookmarkEnd w:id="36"/>
      <w:bookmarkEnd w:id="37"/>
    </w:p>
    <w:p>
      <w:pPr>
        <w:pStyle w:val="Subsection"/>
        <w:rPr>
          <w:snapToGrid w:val="0"/>
        </w:rPr>
      </w:pPr>
      <w:r>
        <w:rPr>
          <w:snapToGrid w:val="0"/>
        </w:rPr>
        <w:tab/>
        <w:t>(1)</w:t>
      </w:r>
      <w:r>
        <w:rPr>
          <w:snapToGrid w:val="0"/>
        </w:rPr>
        <w:tab/>
        <w:t>The charges to be paid by consumers for electricity supplied by the</w:t>
      </w:r>
      <w:r>
        <w:t xml:space="preserve"> corporation</w:t>
      </w:r>
      <w:r>
        <w:rPr>
          <w:snapToGrid w:val="0"/>
        </w:rPr>
        <w:t xml:space="preserve"> are those specified in, or calculated in accordance with, Schedule </w:t>
      </w:r>
      <w:r>
        <w:t>1</w:t>
      </w:r>
      <w:r>
        <w:rPr>
          <w:snapToGrid w:val="0"/>
        </w:rPr>
        <w:t>.</w:t>
      </w:r>
    </w:p>
    <w:p>
      <w:pPr>
        <w:pStyle w:val="Subsection"/>
        <w:rPr>
          <w:snapToGrid w:val="0"/>
        </w:rPr>
      </w:pPr>
      <w:r>
        <w:rPr>
          <w:snapToGrid w:val="0"/>
        </w:rPr>
        <w:tab/>
        <w:t>(2)</w:t>
      </w:r>
      <w:r>
        <w:rPr>
          <w:snapToGrid w:val="0"/>
        </w:rPr>
        <w:tab/>
        <w:t>The charges to be paid by consumers for street lighting supplied by the corporation are those specified in Schedule 2.</w:t>
      </w:r>
    </w:p>
    <w:p>
      <w:pPr>
        <w:pStyle w:val="Heading5"/>
      </w:pPr>
      <w:bookmarkStart w:id="38" w:name="_Toc128282857"/>
      <w:bookmarkStart w:id="39" w:name="_Toc226275340"/>
      <w:r>
        <w:rPr>
          <w:rStyle w:val="CharSectno"/>
        </w:rPr>
        <w:t>5</w:t>
      </w:r>
      <w:r>
        <w:t>.</w:t>
      </w:r>
      <w:r>
        <w:tab/>
        <w:t>Application of residential tariffs</w:t>
      </w:r>
      <w:bookmarkEnd w:id="38"/>
      <w:bookmarkEnd w:id="39"/>
    </w:p>
    <w:p>
      <w:pPr>
        <w:pStyle w:val="Subsection"/>
        <w:rPr>
          <w:snapToGrid w:val="0"/>
        </w:rPr>
      </w:pPr>
      <w:r>
        <w:rPr>
          <w:snapToGrid w:val="0"/>
        </w:rPr>
        <w:tab/>
        <w:t>(1)</w:t>
      </w:r>
      <w:r>
        <w:rPr>
          <w:snapToGrid w:val="0"/>
        </w:rPr>
        <w:tab/>
        <w:t>A consumer is entitled to be supplied on the basis of a residential tariff only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w:t>
      </w:r>
    </w:p>
    <w:p>
      <w:pPr>
        <w:pStyle w:val="Subsection"/>
        <w:rPr>
          <w:snapToGrid w:val="0"/>
        </w:rPr>
      </w:pPr>
      <w:r>
        <w:rPr>
          <w:snapToGrid w:val="0"/>
        </w:rPr>
        <w:tab/>
        <w:t>(2)</w:t>
      </w:r>
      <w:r>
        <w:rPr>
          <w:snapToGrid w:val="0"/>
        </w:rPr>
        <w:tab/>
        <w:t>Notwithstanding that any premises would not otherwise be treated as a dwelling for the purposes of this by</w:t>
      </w:r>
      <w:r>
        <w:rPr>
          <w:snapToGrid w:val="0"/>
        </w:rPr>
        <w:noBreakHyphen/>
        <w:t>law, a residential tariff may be applied if the premises or any part of the premises is independently supplied and separately metered solely for the purpose of a residential supply.</w:t>
      </w:r>
    </w:p>
    <w:p>
      <w:pPr>
        <w:pStyle w:val="Heading5"/>
      </w:pPr>
      <w:bookmarkStart w:id="40" w:name="_Toc128282858"/>
      <w:bookmarkStart w:id="41" w:name="_Toc226275341"/>
      <w:r>
        <w:rPr>
          <w:rStyle w:val="CharSectno"/>
        </w:rPr>
        <w:t>6</w:t>
      </w:r>
      <w:r>
        <w:t>.</w:t>
      </w:r>
      <w:r>
        <w:tab/>
        <w:t>Meter rental</w:t>
      </w:r>
      <w:bookmarkEnd w:id="40"/>
      <w:bookmarkEnd w:id="41"/>
    </w:p>
    <w:p>
      <w:pPr>
        <w:pStyle w:val="Subsection"/>
        <w:rPr>
          <w:snapToGrid w:val="0"/>
        </w:rPr>
      </w:pPr>
      <w:r>
        <w:rPr>
          <w:snapToGrid w:val="0"/>
        </w:rPr>
        <w:tab/>
        <w:t>(1)</w:t>
      </w:r>
      <w:r>
        <w:rPr>
          <w:snapToGrid w:val="0"/>
        </w:rPr>
        <w:tab/>
        <w:t>A consumer supplied by the corporation with electricity is liable to pay the rental specified in Schedule 3 in respect of each subsidiary meter used to meter the supply.</w:t>
      </w:r>
    </w:p>
    <w:p>
      <w:pPr>
        <w:pStyle w:val="Subsection"/>
        <w:rPr>
          <w:snapToGrid w:val="0"/>
        </w:rPr>
      </w:pPr>
      <w:r>
        <w:rPr>
          <w:snapToGrid w:val="0"/>
        </w:rPr>
        <w:tab/>
        <w:t>(2)</w:t>
      </w:r>
      <w:r>
        <w:rPr>
          <w:snapToGrid w:val="0"/>
        </w:rPr>
        <w:tab/>
        <w:t>Sub</w:t>
      </w:r>
      <w:r>
        <w:rPr>
          <w:snapToGrid w:val="0"/>
        </w:rPr>
        <w:noBreakHyphen/>
        <w:t xml:space="preserve">bylaw (1) does not apply to a consumer if — </w:t>
      </w:r>
    </w:p>
    <w:p>
      <w:pPr>
        <w:pStyle w:val="Indenta"/>
        <w:rPr>
          <w:snapToGrid w:val="0"/>
        </w:rPr>
      </w:pPr>
      <w:r>
        <w:rPr>
          <w:snapToGrid w:val="0"/>
        </w:rPr>
        <w:tab/>
        <w:t>(a)</w:t>
      </w:r>
      <w:r>
        <w:rPr>
          <w:snapToGrid w:val="0"/>
        </w:rPr>
        <w:tab/>
        <w:t>the premises supplied consist of a dwelling;</w:t>
      </w:r>
    </w:p>
    <w:p>
      <w:pPr>
        <w:pStyle w:val="Indenta"/>
        <w:rPr>
          <w:snapToGrid w:val="0"/>
        </w:rPr>
      </w:pPr>
      <w:r>
        <w:rPr>
          <w:snapToGrid w:val="0"/>
        </w:rPr>
        <w:tab/>
        <w:t>(b)</w:t>
      </w:r>
      <w:r>
        <w:rPr>
          <w:snapToGrid w:val="0"/>
        </w:rPr>
        <w:tab/>
        <w:t>the supply is not used for any industrial, commercial, business, or general purpose; and</w:t>
      </w:r>
    </w:p>
    <w:p>
      <w:pPr>
        <w:pStyle w:val="Indenta"/>
        <w:rPr>
          <w:snapToGrid w:val="0"/>
        </w:rPr>
      </w:pPr>
      <w:r>
        <w:rPr>
          <w:snapToGrid w:val="0"/>
        </w:rPr>
        <w:tab/>
        <w:t>(c)</w:t>
      </w:r>
      <w:r>
        <w:rPr>
          <w:snapToGrid w:val="0"/>
        </w:rPr>
        <w:tab/>
        <w:t>the master account is supplied under a residential tariff.</w:t>
      </w:r>
    </w:p>
    <w:p>
      <w:pPr>
        <w:pStyle w:val="Heading5"/>
      </w:pPr>
      <w:bookmarkStart w:id="42" w:name="_Toc128282859"/>
      <w:bookmarkStart w:id="43" w:name="_Toc226275342"/>
      <w:r>
        <w:rPr>
          <w:rStyle w:val="CharSectno"/>
        </w:rPr>
        <w:t>7</w:t>
      </w:r>
      <w:r>
        <w:t>.</w:t>
      </w:r>
      <w:r>
        <w:tab/>
        <w:t>Fees</w:t>
      </w:r>
      <w:bookmarkEnd w:id="42"/>
      <w:bookmarkEnd w:id="43"/>
    </w:p>
    <w:p>
      <w:pPr>
        <w:pStyle w:val="Subsection"/>
        <w:spacing w:before="140"/>
        <w:rPr>
          <w:snapToGrid w:val="0"/>
        </w:rPr>
      </w:pPr>
      <w:r>
        <w:rPr>
          <w:snapToGrid w:val="0"/>
        </w:rPr>
        <w:tab/>
      </w:r>
      <w:r>
        <w:rPr>
          <w:snapToGrid w:val="0"/>
        </w:rPr>
        <w:tab/>
        <w:t>The fees specified in Schedule 4 are payable in respect of the matters specified in that Schedule.</w:t>
      </w:r>
    </w:p>
    <w:p>
      <w:pPr>
        <w:pStyle w:val="Heading5"/>
      </w:pPr>
      <w:bookmarkStart w:id="44" w:name="_Toc128282860"/>
      <w:bookmarkStart w:id="45" w:name="_Toc226275343"/>
      <w:r>
        <w:rPr>
          <w:rStyle w:val="CharSectno"/>
        </w:rPr>
        <w:t>8</w:t>
      </w:r>
      <w:r>
        <w:t>.</w:t>
      </w:r>
      <w:r>
        <w:tab/>
        <w:t>Payment</w:t>
      </w:r>
      <w:bookmarkEnd w:id="44"/>
      <w:bookmarkEnd w:id="45"/>
    </w:p>
    <w:p>
      <w:pPr>
        <w:pStyle w:val="Subsection"/>
      </w:pPr>
      <w:r>
        <w:tab/>
        <w:t>(1)</w:t>
      </w:r>
      <w:r>
        <w:tab/>
        <w:t>In this by</w:t>
      </w:r>
      <w:r>
        <w:noBreakHyphen/>
        <w:t xml:space="preserve">law — </w:t>
      </w:r>
    </w:p>
    <w:p>
      <w:pPr>
        <w:pStyle w:val="Defstart"/>
      </w:pPr>
      <w:r>
        <w:rPr>
          <w:b/>
        </w:rPr>
        <w:tab/>
      </w:r>
      <w:r>
        <w:rPr>
          <w:rStyle w:val="CharDefText"/>
        </w:rPr>
        <w:t>relevant period</w:t>
      </w:r>
      <w:r>
        <w:t xml:space="preserve"> means — </w:t>
      </w:r>
    </w:p>
    <w:p>
      <w:pPr>
        <w:pStyle w:val="Defpara"/>
      </w:pPr>
      <w:r>
        <w:tab/>
        <w:t>(a)</w:t>
      </w:r>
      <w:r>
        <w:tab/>
        <w:t xml:space="preserve">in the case of a consumer to whom the </w:t>
      </w:r>
      <w:r>
        <w:rPr>
          <w:i/>
          <w:iCs/>
        </w:rPr>
        <w:t xml:space="preserve">Code of Conduct for the Supply of Electricity to Small Use Customers </w:t>
      </w:r>
      <w:r>
        <w:t>applies, the period ending on the due date for payment as specified by the corporation; and</w:t>
      </w:r>
    </w:p>
    <w:p>
      <w:pPr>
        <w:pStyle w:val="Defpara"/>
      </w:pPr>
      <w:r>
        <w:tab/>
        <w:t>(b)</w:t>
      </w:r>
      <w:r>
        <w:tab/>
        <w:t>in any other case, the period of 14 days after payment is requested by the corporation.</w:t>
      </w:r>
    </w:p>
    <w:p>
      <w:pPr>
        <w:pStyle w:val="Subsection"/>
        <w:rPr>
          <w:snapToGrid w:val="0"/>
        </w:rPr>
      </w:pPr>
      <w:r>
        <w:rPr>
          <w:snapToGrid w:val="0"/>
        </w:rPr>
        <w:tab/>
        <w:t>(2)</w:t>
      </w:r>
      <w:r>
        <w:rPr>
          <w:snapToGrid w:val="0"/>
        </w:rPr>
        <w:tab/>
        <w:t>A consumer supplied by the corporation must pay the appropriate charges specified in the Schedules within the relevant period.</w:t>
      </w:r>
    </w:p>
    <w:p>
      <w:pPr>
        <w:pStyle w:val="Subsection"/>
        <w:rPr>
          <w:snapToGrid w:val="0"/>
        </w:rPr>
      </w:pPr>
      <w:r>
        <w:rPr>
          <w:snapToGrid w:val="0"/>
        </w:rPr>
        <w:tab/>
        <w:t>(3)</w:t>
      </w:r>
      <w:r>
        <w:rPr>
          <w:snapToGrid w:val="0"/>
        </w:rPr>
        <w:tab/>
        <w:t xml:space="preserve">Subject to the Act section 124(4a), if payment of a charge exceeding $1 000 is not made in full within the relevant period, the consumer must pay an additional amount by way of interest </w:t>
      </w:r>
      <w:r>
        <w:t>for each day that the charge remains unpaid at a rate that is equal to the RBA cash rate as at that day increased by 6 percentage points.</w:t>
      </w:r>
    </w:p>
    <w:p>
      <w:pPr>
        <w:pStyle w:val="Subsection"/>
        <w:rPr>
          <w:snapToGrid w:val="0"/>
        </w:rPr>
      </w:pPr>
      <w:r>
        <w:rPr>
          <w:snapToGrid w:val="0"/>
        </w:rPr>
        <w:tab/>
        <w:t>(4)</w:t>
      </w:r>
      <w:r>
        <w:rPr>
          <w:snapToGrid w:val="0"/>
        </w:rPr>
        <w:tab/>
        <w:t>An amount payable under sub</w:t>
      </w:r>
      <w:r>
        <w:rPr>
          <w:snapToGrid w:val="0"/>
        </w:rPr>
        <w:noBreakHyphen/>
        <w:t>bylaw (2) or (3) is recoverable in any court of competent jurisdiction as a debt due to the</w:t>
      </w:r>
      <w:r>
        <w:t xml:space="preserve"> corporation</w:t>
      </w:r>
      <w:r>
        <w:rPr>
          <w:snapToGrid w:val="0"/>
        </w:rPr>
        <w:t>.</w:t>
      </w:r>
    </w:p>
    <w:p>
      <w:pPr>
        <w:pStyle w:val="Footnotesection"/>
      </w:pPr>
      <w:r>
        <w:tab/>
        <w:t>[By-law 8 amended in Gazette 30 Mar 2009 p. 970.]</w:t>
      </w:r>
    </w:p>
    <w:p>
      <w:pPr>
        <w:pStyle w:val="Heading5"/>
      </w:pPr>
      <w:bookmarkStart w:id="46" w:name="_Toc128282861"/>
      <w:bookmarkStart w:id="47" w:name="_Toc226275344"/>
      <w:r>
        <w:rPr>
          <w:rStyle w:val="CharSectno"/>
        </w:rPr>
        <w:t>9</w:t>
      </w:r>
      <w:r>
        <w:t>.</w:t>
      </w:r>
      <w:r>
        <w:tab/>
        <w:t>Rebates and reduced fees</w:t>
      </w:r>
      <w:bookmarkEnd w:id="46"/>
      <w:bookmarkEnd w:id="47"/>
    </w:p>
    <w:p>
      <w:pPr>
        <w:pStyle w:val="Subsection"/>
        <w:rPr>
          <w:snapToGrid w:val="0"/>
        </w:rPr>
      </w:pPr>
      <w:r>
        <w:rPr>
          <w:snapToGrid w:val="0"/>
        </w:rPr>
        <w:tab/>
        <w:t>(1)</w:t>
      </w:r>
      <w:r>
        <w:rPr>
          <w:snapToGrid w:val="0"/>
        </w:rPr>
        <w:tab/>
        <w:t>In this by</w:t>
      </w:r>
      <w:r>
        <w:rPr>
          <w:snapToGrid w:val="0"/>
        </w:rPr>
        <w:noBreakHyphen/>
        <w:t xml:space="preserve">law — </w:t>
      </w:r>
    </w:p>
    <w:p>
      <w:pPr>
        <w:pStyle w:val="Defstart"/>
      </w:pPr>
      <w:r>
        <w:rPr>
          <w:b/>
        </w:rPr>
        <w:tab/>
      </w:r>
      <w:r>
        <w:rPr>
          <w:rStyle w:val="CharDefText"/>
        </w:rPr>
        <w:t>eligible person</w:t>
      </w:r>
      <w:r>
        <w:t xml:space="preserve"> means a person who satisfies the corporation that the person holds — </w:t>
      </w:r>
    </w:p>
    <w:p>
      <w:pPr>
        <w:pStyle w:val="Defpara"/>
      </w:pPr>
      <w:r>
        <w:tab/>
        <w:t>(a)</w:t>
      </w:r>
      <w:r>
        <w:tab/>
        <w:t>a — </w:t>
      </w:r>
    </w:p>
    <w:p>
      <w:pPr>
        <w:pStyle w:val="Defsubpara"/>
        <w:keepLines w:val="0"/>
        <w:rPr>
          <w:snapToGrid w:val="0"/>
        </w:rPr>
      </w:pPr>
      <w:r>
        <w:rPr>
          <w:snapToGrid w:val="0"/>
        </w:rPr>
        <w:tab/>
        <w:t>(i)</w:t>
      </w:r>
      <w:r>
        <w:rPr>
          <w:snapToGrid w:val="0"/>
        </w:rPr>
        <w:tab/>
        <w:t>Health Care Card;</w:t>
      </w:r>
    </w:p>
    <w:p>
      <w:pPr>
        <w:pStyle w:val="Defsubpara"/>
        <w:keepLines w:val="0"/>
        <w:rPr>
          <w:snapToGrid w:val="0"/>
        </w:rPr>
      </w:pPr>
      <w:r>
        <w:rPr>
          <w:snapToGrid w:val="0"/>
        </w:rPr>
        <w:tab/>
        <w:t>(ii)</w:t>
      </w:r>
      <w:r>
        <w:rPr>
          <w:snapToGrid w:val="0"/>
        </w:rPr>
        <w:tab/>
      </w:r>
      <w:r>
        <w:t>Commonwealth seniors health card; or</w:t>
      </w:r>
    </w:p>
    <w:p>
      <w:pPr>
        <w:pStyle w:val="Defsubpara"/>
        <w:keepLines w:val="0"/>
        <w:rPr>
          <w:snapToGrid w:val="0"/>
        </w:rPr>
      </w:pPr>
      <w:r>
        <w:rPr>
          <w:snapToGrid w:val="0"/>
        </w:rPr>
        <w:tab/>
        <w:t>(iii)</w:t>
      </w:r>
      <w:r>
        <w:rPr>
          <w:snapToGrid w:val="0"/>
        </w:rPr>
        <w:tab/>
        <w:t>Pensioner Concession Card,</w:t>
      </w:r>
    </w:p>
    <w:p>
      <w:pPr>
        <w:pStyle w:val="Defpara"/>
      </w:pPr>
      <w:r>
        <w:tab/>
      </w:r>
      <w:r>
        <w:tab/>
        <w:t>issued by the Department of Social Security of the Government of the Commonwealth;</w:t>
      </w:r>
    </w:p>
    <w:p>
      <w:pPr>
        <w:pStyle w:val="Defpara"/>
      </w:pPr>
      <w:r>
        <w:tab/>
        <w:t>(b)</w:t>
      </w:r>
      <w:r>
        <w:tab/>
        <w:t>a Repatriation Health Card, issued by the Department of Veterans’ Affairs of the Government of the Commonwealth, that indicates on it that the person is totally and permanently incapacitated, a war widow or a dependant; or</w:t>
      </w:r>
    </w:p>
    <w:p>
      <w:pPr>
        <w:pStyle w:val="Defpara"/>
      </w:pPr>
      <w:r>
        <w:tab/>
        <w:t>(c)</w:t>
      </w:r>
      <w:r>
        <w:tab/>
        <w:t>a Seniors’ Card issued by the Office of Seniors’ Interests of the Government of the State.</w:t>
      </w:r>
    </w:p>
    <w:p>
      <w:pPr>
        <w:pStyle w:val="Subsection"/>
        <w:rPr>
          <w:snapToGrid w:val="0"/>
        </w:rPr>
      </w:pPr>
      <w:r>
        <w:rPr>
          <w:snapToGrid w:val="0"/>
        </w:rPr>
        <w:tab/>
        <w:t>(2)</w:t>
      </w:r>
      <w:r>
        <w:rPr>
          <w:snapToGrid w:val="0"/>
        </w:rPr>
        <w:tab/>
        <w:t>Where electricity is supplied to a consumer who is an eligible person, for use at his or her principal place of residence and the consumer is charged on the basis of Tariff A1, the consumer is entitled to a rebate equal to the fixed charge payable under that tariff for that residence.</w:t>
      </w:r>
    </w:p>
    <w:p>
      <w:pPr>
        <w:pStyle w:val="Subsection"/>
        <w:rPr>
          <w:snapToGrid w:val="0"/>
        </w:rPr>
      </w:pPr>
      <w:r>
        <w:rPr>
          <w:snapToGrid w:val="0"/>
        </w:rPr>
        <w:tab/>
        <w:t>(3)</w:t>
      </w:r>
      <w:r>
        <w:rPr>
          <w:snapToGrid w:val="0"/>
        </w:rPr>
        <w:tab/>
        <w:t>Where a consumer who is charged on the basis of Tariff A1 for electricity supplied by the corporation satisfies the corporation that electricity supplied to the consumer has been delivered to and used at premises occupied by an eligible person as his or her principal place of residence, the consumer is entitled to a rebate equal to the fixed charge payable under that tariff for those premises.</w:t>
      </w:r>
    </w:p>
    <w:p>
      <w:pPr>
        <w:pStyle w:val="Subsection"/>
        <w:rPr>
          <w:snapToGrid w:val="0"/>
        </w:rPr>
      </w:pPr>
      <w:r>
        <w:rPr>
          <w:snapToGrid w:val="0"/>
        </w:rPr>
        <w:tab/>
        <w:t>(4)</w:t>
      </w:r>
      <w:r>
        <w:rPr>
          <w:snapToGrid w:val="0"/>
        </w:rPr>
        <w:tab/>
        <w:t>Where a fixed charge is payable for multiple dwellings and there is a dwelling in respect of which the rebate is not payable, for the purposes of ascertaining the amount of the rebate payable the amount of the fixed charge payable in respect of the first dwelling shall be taken to relate to a dwelling in respect of which a rebate is not payable.</w:t>
      </w:r>
    </w:p>
    <w:p>
      <w:pPr>
        <w:pStyle w:val="Subsection"/>
        <w:rPr>
          <w:snapToGrid w:val="0"/>
        </w:rPr>
      </w:pPr>
      <w:r>
        <w:rPr>
          <w:snapToGrid w:val="0"/>
        </w:rPr>
        <w:tab/>
        <w:t>(5)</w:t>
      </w:r>
      <w:r>
        <w:rPr>
          <w:snapToGrid w:val="0"/>
        </w:rPr>
        <w:tab/>
        <w:t>A person who comes within paragraph (a) or (b) of the definition of “eligible person” in sub</w:t>
      </w:r>
      <w:r>
        <w:rPr>
          <w:snapToGrid w:val="0"/>
        </w:rPr>
        <w:noBreakHyphen/>
        <w:t>bylaw (1) and who is entitled to a rebate under this by</w:t>
      </w:r>
      <w:r>
        <w:rPr>
          <w:snapToGrid w:val="0"/>
        </w:rPr>
        <w:noBreakHyphen/>
        <w:t xml:space="preserve">law is also — </w:t>
      </w:r>
    </w:p>
    <w:p>
      <w:pPr>
        <w:pStyle w:val="Indenta"/>
        <w:rPr>
          <w:snapToGrid w:val="0"/>
        </w:rPr>
      </w:pPr>
      <w:r>
        <w:rPr>
          <w:snapToGrid w:val="0"/>
        </w:rPr>
        <w:tab/>
        <w:t>(a)</w:t>
      </w:r>
      <w:r>
        <w:rPr>
          <w:snapToGrid w:val="0"/>
        </w:rPr>
        <w:tab/>
        <w:t>exempted from payment of the account establishment fee specified in Schedule 4 item 1; and</w:t>
      </w:r>
    </w:p>
    <w:p>
      <w:pPr>
        <w:pStyle w:val="Indenta"/>
      </w:pPr>
      <w:r>
        <w:tab/>
        <w:t>(b)</w:t>
      </w:r>
      <w:r>
        <w:tab/>
        <w:t>entitled to pay the reduced meter testing fee specified in Schedule 4 item 6(b).</w:t>
      </w:r>
    </w:p>
    <w:p>
      <w:pPr>
        <w:pStyle w:val="Heading5"/>
      </w:pPr>
      <w:bookmarkStart w:id="48" w:name="_Toc128282862"/>
      <w:bookmarkStart w:id="49" w:name="_Toc226275345"/>
      <w:r>
        <w:rPr>
          <w:rStyle w:val="CharSectno"/>
        </w:rPr>
        <w:t>10</w:t>
      </w:r>
      <w:r>
        <w:t>.</w:t>
      </w:r>
      <w:r>
        <w:tab/>
        <w:t>Calculation of charges</w:t>
      </w:r>
      <w:bookmarkEnd w:id="48"/>
      <w:bookmarkEnd w:id="49"/>
    </w:p>
    <w:p>
      <w:pPr>
        <w:pStyle w:val="Subsection"/>
        <w:rPr>
          <w:snapToGrid w:val="0"/>
        </w:rPr>
      </w:pPr>
      <w:r>
        <w:rPr>
          <w:snapToGrid w:val="0"/>
        </w:rPr>
        <w:tab/>
        <w:t>(1)</w:t>
      </w:r>
      <w:r>
        <w:rPr>
          <w:snapToGrid w:val="0"/>
        </w:rPr>
        <w:tab/>
        <w:t>Where a charge per unit specified in Schedule 1 depends on the number of units consumed per day the charge per unit is to be based on the average daily consumption in the accounting period.</w:t>
      </w:r>
    </w:p>
    <w:p>
      <w:pPr>
        <w:pStyle w:val="Subsection"/>
        <w:rPr>
          <w:snapToGrid w:val="0"/>
        </w:rPr>
      </w:pPr>
      <w:r>
        <w:rPr>
          <w:snapToGrid w:val="0"/>
        </w:rPr>
        <w:tab/>
        <w:t>(2)</w:t>
      </w:r>
      <w:r>
        <w:rPr>
          <w:snapToGrid w:val="0"/>
        </w:rPr>
        <w:tab/>
        <w:t>Where a charge calculated in accordance with a Schedule is an amount which is not a whole number multiple of 5 cents the amount is to be rounded up or down, as the case may be, to the nearest whole number multiple of 5 cents.</w:t>
      </w:r>
    </w:p>
    <w:p>
      <w:pPr>
        <w:pStyle w:val="Heading5"/>
      </w:pPr>
      <w:bookmarkStart w:id="50" w:name="_Toc128282863"/>
      <w:bookmarkStart w:id="51" w:name="_Toc226275346"/>
      <w:r>
        <w:rPr>
          <w:rStyle w:val="CharSectno"/>
        </w:rPr>
        <w:t>11</w:t>
      </w:r>
      <w:r>
        <w:t>.</w:t>
      </w:r>
      <w:r>
        <w:tab/>
        <w:t>Changes in rates</w:t>
      </w:r>
      <w:bookmarkEnd w:id="50"/>
      <w:bookmarkEnd w:id="51"/>
    </w:p>
    <w:p>
      <w:pPr>
        <w:pStyle w:val="Subsection"/>
        <w:rPr>
          <w:snapToGrid w:val="0"/>
        </w:rPr>
      </w:pPr>
      <w:r>
        <w:rPr>
          <w:snapToGrid w:val="0"/>
        </w:rPr>
        <w:tab/>
      </w:r>
      <w:r>
        <w:rPr>
          <w:snapToGrid w:val="0"/>
        </w:rPr>
        <w:tab/>
        <w:t>Where during any accounting period a change in the applicable rate of charges occurs, the charge payable may be adjusted by reference to the date on which the change is to take effect or by reference to the date on which the change is applied to any applicable account, whichever results in the lower charge.</w:t>
      </w:r>
    </w:p>
    <w:p>
      <w:pPr>
        <w:pStyle w:val="Heading5"/>
      </w:pPr>
      <w:bookmarkStart w:id="52" w:name="_Toc226275347"/>
      <w:r>
        <w:rPr>
          <w:rStyle w:val="CharSectno"/>
        </w:rPr>
        <w:t>12</w:t>
      </w:r>
      <w:r>
        <w:t>.</w:t>
      </w:r>
      <w:r>
        <w:tab/>
        <w:t>Prescribed rate of interest for s. 62(16) of the Act</w:t>
      </w:r>
      <w:bookmarkEnd w:id="52"/>
    </w:p>
    <w:p>
      <w:pPr>
        <w:pStyle w:val="Subsection"/>
      </w:pPr>
      <w:r>
        <w:tab/>
        <w:t>(1)</w:t>
      </w:r>
      <w:r>
        <w:tab/>
        <w:t>In this by</w:t>
      </w:r>
      <w:r>
        <w:noBreakHyphen/>
        <w:t xml:space="preserve">law — </w:t>
      </w:r>
    </w:p>
    <w:p>
      <w:pPr>
        <w:pStyle w:val="Defstart"/>
      </w:pPr>
      <w:r>
        <w:tab/>
      </w:r>
      <w:r>
        <w:rPr>
          <w:rStyle w:val="CharDefText"/>
        </w:rPr>
        <w:t>interest period</w:t>
      </w:r>
      <w:r>
        <w:t xml:space="preserve"> means the period in respect of which payment is made or credit is given.</w:t>
      </w:r>
    </w:p>
    <w:p>
      <w:pPr>
        <w:pStyle w:val="Subsection"/>
      </w:pPr>
      <w:r>
        <w:tab/>
        <w:t>(2)</w:t>
      </w:r>
      <w:r>
        <w:tab/>
        <w:t xml:space="preserve">For the purposes of section 62(16) of the Act, the rate at which interest is to be paid, or given credit for, by the corporation is — </w:t>
      </w:r>
    </w:p>
    <w:p>
      <w:pPr>
        <w:pStyle w:val="Indenta"/>
      </w:pPr>
      <w:r>
        <w:tab/>
        <w:t>(a)</w:t>
      </w:r>
      <w:r>
        <w:tab/>
        <w:t>the rate that is equal to the RBA cash rate for the interest period; or</w:t>
      </w:r>
    </w:p>
    <w:p>
      <w:pPr>
        <w:pStyle w:val="Indenta"/>
      </w:pPr>
      <w:r>
        <w:tab/>
        <w:t>(b)</w:t>
      </w:r>
      <w:r>
        <w:tab/>
        <w:t>if there is more than one RBA cash rate for the interest period — the rate that is equal to the average of the RBA cash rates for that period.</w:t>
      </w:r>
    </w:p>
    <w:p>
      <w:pPr>
        <w:pStyle w:val="Footnotesection"/>
      </w:pPr>
      <w:r>
        <w:tab/>
        <w:t>[By-law 12 inserted in Gazette 30 Mar 2009 p. 970-1.]</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81" w:right="2410" w:bottom="3544" w:left="2410" w:header="720" w:footer="3380" w:gutter="0"/>
          <w:pgNumType w:start="1"/>
          <w:cols w:space="720"/>
          <w:noEndnote/>
          <w:titlePg/>
          <w:docGrid w:linePitch="326"/>
        </w:sectPr>
      </w:pPr>
    </w:p>
    <w:p>
      <w:pPr>
        <w:pStyle w:val="yScheduleHeading"/>
      </w:pPr>
      <w:bookmarkStart w:id="53" w:name="_Toc226275308"/>
      <w:bookmarkStart w:id="54" w:name="_Toc226275348"/>
      <w:bookmarkStart w:id="55" w:name="_Toc123621759"/>
      <w:bookmarkStart w:id="56" w:name="_Toc123621906"/>
      <w:bookmarkStart w:id="57" w:name="_Toc123624866"/>
      <w:bookmarkStart w:id="58" w:name="_Toc123624933"/>
      <w:bookmarkStart w:id="59" w:name="_Toc123626279"/>
      <w:bookmarkStart w:id="60" w:name="_Toc123629883"/>
      <w:bookmarkStart w:id="61" w:name="_Toc124135800"/>
      <w:bookmarkStart w:id="62" w:name="_Toc124137267"/>
      <w:bookmarkStart w:id="63" w:name="_Toc124147435"/>
      <w:bookmarkStart w:id="64" w:name="_Toc124147472"/>
      <w:bookmarkStart w:id="65" w:name="_Toc124158783"/>
      <w:bookmarkStart w:id="66" w:name="_Toc124158890"/>
      <w:bookmarkStart w:id="67" w:name="_Toc124158924"/>
      <w:bookmarkStart w:id="68" w:name="_Toc124216305"/>
      <w:bookmarkStart w:id="69" w:name="_Toc124227064"/>
      <w:bookmarkStart w:id="70" w:name="_Toc124227157"/>
      <w:bookmarkStart w:id="71" w:name="_Toc124234423"/>
      <w:bookmarkStart w:id="72" w:name="_Toc124234775"/>
      <w:bookmarkStart w:id="73" w:name="_Toc124234815"/>
      <w:r>
        <w:rPr>
          <w:rStyle w:val="CharSchNo"/>
        </w:rPr>
        <w:t>Schedule 1</w:t>
      </w:r>
      <w:r>
        <w:t> — </w:t>
      </w:r>
      <w:r>
        <w:rPr>
          <w:rStyle w:val="CharSchText"/>
        </w:rPr>
        <w:t>Supply charges</w:t>
      </w:r>
      <w:bookmarkEnd w:id="53"/>
      <w:bookmarkEnd w:id="54"/>
    </w:p>
    <w:p>
      <w:pPr>
        <w:pStyle w:val="yShoulderClause"/>
      </w:pPr>
      <w:r>
        <w:t>[bl. 3, 4(1) and 10(1)]</w:t>
      </w:r>
    </w:p>
    <w:p>
      <w:pPr>
        <w:pStyle w:val="yFootnoteheading"/>
      </w:pPr>
      <w:r>
        <w:tab/>
        <w:t>[Heading inserted in Gazette 30 Mar 2009 p. 971.]</w:t>
      </w:r>
    </w:p>
    <w:p>
      <w:pPr>
        <w:pStyle w:val="yHeading5"/>
      </w:pPr>
      <w:bookmarkStart w:id="74" w:name="_Toc226275349"/>
      <w:r>
        <w:rPr>
          <w:rStyle w:val="CharSClsNo"/>
        </w:rPr>
        <w:t>1</w:t>
      </w:r>
      <w:r>
        <w:t>.</w:t>
      </w:r>
      <w:r>
        <w:tab/>
        <w:t>Tariff L1 (general supply — low/medium voltage tariff)</w:t>
      </w:r>
      <w:bookmarkEnd w:id="74"/>
    </w:p>
    <w:p>
      <w:pPr>
        <w:pStyle w:val="ySubsection"/>
      </w:pPr>
      <w:r>
        <w:tab/>
        <w:t>(1)</w:t>
      </w:r>
      <w:r>
        <w:tab/>
        <w:t>Tariff L1 is available for low/medium voltage supply.</w:t>
      </w:r>
    </w:p>
    <w:p>
      <w:pPr>
        <w:pStyle w:val="ySubsection"/>
      </w:pPr>
      <w:r>
        <w:tab/>
        <w:t>(2)</w:t>
      </w:r>
      <w:r>
        <w:tab/>
        <w:t xml:space="preserve">Tariff L1 comprises — </w:t>
      </w:r>
    </w:p>
    <w:p>
      <w:pPr>
        <w:pStyle w:val="yIndenta"/>
      </w:pPr>
      <w:r>
        <w:tab/>
        <w:t>(a)</w:t>
      </w:r>
      <w:r>
        <w:tab/>
        <w:t>a fixed charge at the rate of 27.896 cents per day; and</w:t>
      </w:r>
    </w:p>
    <w:p>
      <w:pPr>
        <w:pStyle w:val="yIndenta"/>
      </w:pPr>
      <w:r>
        <w:tab/>
        <w:t>(b)</w:t>
      </w:r>
      <w:r>
        <w:tab/>
        <w:t xml:space="preserve">a charge for metered consumption at the rate of — </w:t>
      </w:r>
    </w:p>
    <w:p>
      <w:pPr>
        <w:pStyle w:val="yIndenti0"/>
      </w:pPr>
      <w:r>
        <w:tab/>
        <w:t>(i)</w:t>
      </w:r>
      <w:r>
        <w:tab/>
        <w:t>18.337 cents per unit for the first 1 650 units per day; and</w:t>
      </w:r>
    </w:p>
    <w:p>
      <w:pPr>
        <w:pStyle w:val="yIndenti0"/>
      </w:pPr>
      <w:r>
        <w:tab/>
        <w:t>(ii)</w:t>
      </w:r>
      <w:r>
        <w:tab/>
        <w:t>16.544 cents per unit for all units exceeding 1 650 units per day.</w:t>
      </w:r>
    </w:p>
    <w:p>
      <w:pPr>
        <w:pStyle w:val="ySubsection"/>
      </w:pPr>
      <w:r>
        <w:tab/>
        <w:t>(3)</w:t>
      </w:r>
      <w:r>
        <w:tab/>
        <w:t>Tariff L1 is available subject to the condition that the consumer satisfies the corporation that the amount of electricity supplied to the consumer’s premises will be less than 50 megawatt hours per annum.</w:t>
      </w:r>
    </w:p>
    <w:p>
      <w:pPr>
        <w:pStyle w:val="yFootnotesection"/>
      </w:pPr>
      <w:r>
        <w:tab/>
        <w:t>[Clause 1 inserted in Gazette 30 Mar 2009 p. 971.]</w:t>
      </w:r>
    </w:p>
    <w:p>
      <w:pPr>
        <w:pStyle w:val="yHeading5"/>
      </w:pPr>
      <w:bookmarkStart w:id="75" w:name="_Toc226275350"/>
      <w:r>
        <w:rPr>
          <w:rStyle w:val="CharSClsNo"/>
        </w:rPr>
        <w:t>2</w:t>
      </w:r>
      <w:r>
        <w:t>.</w:t>
      </w:r>
      <w:r>
        <w:tab/>
        <w:t>Tariff L3 (general supply — low/medium voltage tariff)</w:t>
      </w:r>
      <w:bookmarkEnd w:id="75"/>
      <w:r>
        <w:t xml:space="preserve"> </w:t>
      </w:r>
    </w:p>
    <w:p>
      <w:pPr>
        <w:pStyle w:val="ySubsection"/>
      </w:pPr>
      <w:r>
        <w:tab/>
        <w:t>(1)</w:t>
      </w:r>
      <w:r>
        <w:tab/>
        <w:t>Tariff L3 is available for low/medium voltage supply.</w:t>
      </w:r>
    </w:p>
    <w:p>
      <w:pPr>
        <w:pStyle w:val="ySubsection"/>
      </w:pPr>
      <w:r>
        <w:tab/>
        <w:t>(2)</w:t>
      </w:r>
      <w:r>
        <w:tab/>
        <w:t xml:space="preserve">Tariff L3 comprises — </w:t>
      </w:r>
    </w:p>
    <w:p>
      <w:pPr>
        <w:pStyle w:val="yIndenta"/>
      </w:pPr>
      <w:r>
        <w:tab/>
        <w:t>(a)</w:t>
      </w:r>
      <w:r>
        <w:tab/>
        <w:t>a fixed charge at the rate of 29.227 cents per day; and</w:t>
      </w:r>
    </w:p>
    <w:p>
      <w:pPr>
        <w:pStyle w:val="yIndenta"/>
      </w:pPr>
      <w:r>
        <w:tab/>
        <w:t>(b)</w:t>
      </w:r>
      <w:r>
        <w:tab/>
        <w:t xml:space="preserve">a charge for metered consumption at the rate of — </w:t>
      </w:r>
    </w:p>
    <w:p>
      <w:pPr>
        <w:pStyle w:val="yIndenti0"/>
      </w:pPr>
      <w:r>
        <w:tab/>
        <w:t>(i)</w:t>
      </w:r>
      <w:r>
        <w:tab/>
        <w:t>19.206 cents per unit for the first 1 650 units per day; and</w:t>
      </w:r>
    </w:p>
    <w:p>
      <w:pPr>
        <w:pStyle w:val="yIndenti0"/>
      </w:pPr>
      <w:r>
        <w:tab/>
        <w:t>(ii)</w:t>
      </w:r>
      <w:r>
        <w:tab/>
        <w:t>17.336 cents per unit for all units exceeding 1 650 units per day.</w:t>
      </w:r>
    </w:p>
    <w:p>
      <w:pPr>
        <w:pStyle w:val="ySubsection"/>
      </w:pPr>
      <w:r>
        <w:tab/>
        <w:t>(3)</w:t>
      </w:r>
      <w:r>
        <w:tab/>
        <w:t>Tariff L3 is available subject to the condition that the consumer satisfies the corporation that the amount of electricity supplied to the consumer’s premises will be 50 megawatt hours or more per annum.</w:t>
      </w:r>
    </w:p>
    <w:p>
      <w:pPr>
        <w:pStyle w:val="yFootnotesection"/>
      </w:pPr>
      <w:r>
        <w:tab/>
        <w:t>[Clause 2 inserted in Gazette 30 Mar 2009 p. 971</w:t>
      </w:r>
      <w:r>
        <w:noBreakHyphen/>
        <w:t>2.]</w:t>
      </w:r>
    </w:p>
    <w:p>
      <w:pPr>
        <w:pStyle w:val="yHeading5"/>
      </w:pPr>
      <w:bookmarkStart w:id="76" w:name="_Toc226275351"/>
      <w:r>
        <w:rPr>
          <w:rStyle w:val="CharSClsNo"/>
        </w:rPr>
        <w:t>3</w:t>
      </w:r>
      <w:r>
        <w:t>.</w:t>
      </w:r>
      <w:r>
        <w:rPr>
          <w:b w:val="0"/>
        </w:rPr>
        <w:tab/>
      </w:r>
      <w:r>
        <w:t>Tariff M1 (general supply — high voltage tariff)</w:t>
      </w:r>
      <w:bookmarkEnd w:id="76"/>
    </w:p>
    <w:p>
      <w:pPr>
        <w:pStyle w:val="ySubsection"/>
      </w:pPr>
      <w:r>
        <w:tab/>
        <w:t>(1)</w:t>
      </w:r>
      <w:r>
        <w:tab/>
        <w:t>Tariff M1 is available for consumers supplied at 6.6 kV, 11 kV, 22 kV or 33 kV or such higher voltage as the corporation may approve.</w:t>
      </w:r>
    </w:p>
    <w:p>
      <w:pPr>
        <w:pStyle w:val="ySubsection"/>
      </w:pPr>
      <w:r>
        <w:tab/>
        <w:t>(2)</w:t>
      </w:r>
      <w:r>
        <w:tab/>
        <w:t xml:space="preserve">Tariff M1 comprises — </w:t>
      </w:r>
    </w:p>
    <w:p>
      <w:pPr>
        <w:pStyle w:val="yIndenta"/>
      </w:pPr>
      <w:r>
        <w:tab/>
        <w:t>(a)</w:t>
      </w:r>
      <w:r>
        <w:tab/>
        <w:t>a fixed charge at the rate of 29.227 cents per day; and</w:t>
      </w:r>
    </w:p>
    <w:p>
      <w:pPr>
        <w:pStyle w:val="yIndenta"/>
      </w:pPr>
      <w:r>
        <w:tab/>
        <w:t>(b)</w:t>
      </w:r>
      <w:r>
        <w:tab/>
        <w:t>a charge for metered consumption at the rate of — </w:t>
      </w:r>
    </w:p>
    <w:p>
      <w:pPr>
        <w:pStyle w:val="yIndenti0"/>
        <w:rPr>
          <w:snapToGrid w:val="0"/>
        </w:rPr>
      </w:pPr>
      <w:r>
        <w:rPr>
          <w:snapToGrid w:val="0"/>
        </w:rPr>
        <w:tab/>
        <w:t>(i)</w:t>
      </w:r>
      <w:r>
        <w:rPr>
          <w:snapToGrid w:val="0"/>
        </w:rPr>
        <w:tab/>
        <w:t>18.557 cents per unit for the first 1 650 units per day; and</w:t>
      </w:r>
    </w:p>
    <w:p>
      <w:pPr>
        <w:pStyle w:val="yIndenti0"/>
        <w:rPr>
          <w:snapToGrid w:val="0"/>
        </w:rPr>
      </w:pPr>
      <w:r>
        <w:rPr>
          <w:snapToGrid w:val="0"/>
        </w:rPr>
        <w:tab/>
        <w:t>(ii)</w:t>
      </w:r>
      <w:r>
        <w:rPr>
          <w:snapToGrid w:val="0"/>
        </w:rPr>
        <w:tab/>
        <w:t>16.665 cents per unit per day for all units exceeding 1 650 units.</w:t>
      </w:r>
    </w:p>
    <w:p>
      <w:pPr>
        <w:pStyle w:val="yFootnotesection"/>
      </w:pPr>
      <w:r>
        <w:tab/>
        <w:t>[Clause 3 inserted in Gazette 30 Mar 2009 p. 972.]</w:t>
      </w:r>
    </w:p>
    <w:p>
      <w:pPr>
        <w:pStyle w:val="yHeading5"/>
      </w:pPr>
      <w:bookmarkStart w:id="77" w:name="_Toc226275352"/>
      <w:r>
        <w:rPr>
          <w:rStyle w:val="CharSClsNo"/>
        </w:rPr>
        <w:t>4</w:t>
      </w:r>
      <w:r>
        <w:t>.</w:t>
      </w:r>
      <w:r>
        <w:tab/>
        <w:t>Tariff R1 (time of use tariff)</w:t>
      </w:r>
      <w:bookmarkEnd w:id="77"/>
    </w:p>
    <w:p>
      <w:pPr>
        <w:pStyle w:val="ySubsection"/>
      </w:pPr>
      <w:r>
        <w:tab/>
        <w:t>(1)</w:t>
      </w:r>
      <w:r>
        <w:tab/>
        <w:t>Tariff R1 comprises —</w:t>
      </w:r>
    </w:p>
    <w:p>
      <w:pPr>
        <w:pStyle w:val="yIndenta"/>
        <w:rPr>
          <w:snapToGrid w:val="0"/>
        </w:rPr>
      </w:pPr>
      <w:r>
        <w:tab/>
        <w:t>(a)</w:t>
      </w:r>
      <w:r>
        <w:tab/>
        <w:t>a fi</w:t>
      </w:r>
      <w:r>
        <w:rPr>
          <w:snapToGrid w:val="0"/>
        </w:rPr>
        <w:t>xed charge at the rate of $1.1434 per day; and</w:t>
      </w:r>
    </w:p>
    <w:p>
      <w:pPr>
        <w:pStyle w:val="yIndenta"/>
        <w:rPr>
          <w:snapToGrid w:val="0"/>
        </w:rPr>
      </w:pPr>
      <w:r>
        <w:rPr>
          <w:snapToGrid w:val="0"/>
        </w:rPr>
        <w:tab/>
        <w:t>(b)</w:t>
      </w:r>
      <w:r>
        <w:rPr>
          <w:snapToGrid w:val="0"/>
        </w:rPr>
        <w:tab/>
      </w:r>
      <w:r>
        <w:t>an energy</w:t>
      </w:r>
      <w:r>
        <w:rPr>
          <w:snapToGrid w:val="0"/>
        </w:rPr>
        <w:t xml:space="preserve"> charge consisting of — </w:t>
      </w:r>
    </w:p>
    <w:p>
      <w:pPr>
        <w:pStyle w:val="yIndenti0"/>
        <w:rPr>
          <w:snapToGrid w:val="0"/>
        </w:rPr>
      </w:pPr>
      <w:r>
        <w:rPr>
          <w:snapToGrid w:val="0"/>
        </w:rPr>
        <w:tab/>
        <w:t>(i)</w:t>
      </w:r>
      <w:r>
        <w:rPr>
          <w:snapToGrid w:val="0"/>
        </w:rPr>
        <w:tab/>
        <w:t>an on peak energy charge at the rate of 20.075 cents per unit; and</w:t>
      </w:r>
    </w:p>
    <w:p>
      <w:pPr>
        <w:pStyle w:val="yIndenti0"/>
        <w:rPr>
          <w:snapToGrid w:val="0"/>
        </w:rPr>
      </w:pPr>
      <w:r>
        <w:tab/>
        <w:t>(ii)</w:t>
      </w:r>
      <w:r>
        <w:tab/>
        <w:t>an off</w:t>
      </w:r>
      <w:r>
        <w:rPr>
          <w:snapToGrid w:val="0"/>
        </w:rPr>
        <w:t xml:space="preserve"> peak energy charge at the rate of 6.193 cents per unit.</w:t>
      </w:r>
    </w:p>
    <w:p>
      <w:pPr>
        <w:pStyle w:val="ySubsection"/>
      </w:pPr>
      <w:r>
        <w:tab/>
        <w:t>(2)</w:t>
      </w:r>
      <w:r>
        <w:tab/>
        <w:t>Tariff R1 is subject to the following conditions —</w:t>
      </w:r>
    </w:p>
    <w:p>
      <w:pPr>
        <w:pStyle w:val="yIndenta"/>
      </w:pPr>
      <w:r>
        <w:tab/>
        <w:t>(a)</w:t>
      </w:r>
      <w:r>
        <w:tab/>
        <w:t>the consumer agrees to take the tariff for a minimum period of 12 months;</w:t>
      </w:r>
    </w:p>
    <w:p>
      <w:pPr>
        <w:pStyle w:val="yIndenta"/>
      </w:pPr>
      <w:r>
        <w:tab/>
        <w:t>(b)</w:t>
      </w:r>
      <w:r>
        <w:tab/>
        <w:t>the consumer pays the fee set out in Schedule 4 item 11;</w:t>
      </w:r>
    </w:p>
    <w:p>
      <w:pPr>
        <w:pStyle w:val="yIndenta"/>
      </w:pPr>
      <w:r>
        <w:tab/>
        <w:t>(c)</w:t>
      </w:r>
      <w:r>
        <w:tab/>
        <w:t>the consumer satisfies the corporation that the amount of electricity supplied to the consumer’s premises will be less than 50 megawatt hours per annum.</w:t>
      </w:r>
    </w:p>
    <w:p>
      <w:pPr>
        <w:pStyle w:val="yFootnotesection"/>
      </w:pPr>
      <w:r>
        <w:tab/>
        <w:t>[Clause 4 inserted in Gazette 30 Mar 2009 p. 972</w:t>
      </w:r>
      <w:r>
        <w:noBreakHyphen/>
        <w:t>3.]</w:t>
      </w:r>
    </w:p>
    <w:p>
      <w:pPr>
        <w:pStyle w:val="yHeading5"/>
      </w:pPr>
      <w:bookmarkStart w:id="78" w:name="_Toc226275353"/>
      <w:r>
        <w:rPr>
          <w:rStyle w:val="CharSClsNo"/>
        </w:rPr>
        <w:t>5</w:t>
      </w:r>
      <w:r>
        <w:t>.</w:t>
      </w:r>
      <w:r>
        <w:tab/>
        <w:t>Tariff R3 (time of use tariff)</w:t>
      </w:r>
      <w:bookmarkEnd w:id="78"/>
    </w:p>
    <w:p>
      <w:pPr>
        <w:pStyle w:val="ySubsection"/>
      </w:pPr>
      <w:r>
        <w:tab/>
        <w:t>(1)</w:t>
      </w:r>
      <w:r>
        <w:tab/>
        <w:t>Tariff R3 comprises —</w:t>
      </w:r>
    </w:p>
    <w:p>
      <w:pPr>
        <w:pStyle w:val="yIndenta"/>
        <w:rPr>
          <w:snapToGrid w:val="0"/>
        </w:rPr>
      </w:pPr>
      <w:r>
        <w:tab/>
        <w:t>(a)</w:t>
      </w:r>
      <w:r>
        <w:tab/>
        <w:t>a fi</w:t>
      </w:r>
      <w:r>
        <w:rPr>
          <w:snapToGrid w:val="0"/>
        </w:rPr>
        <w:t>xed charge at the rate of $1.3749 per day; and</w:t>
      </w:r>
    </w:p>
    <w:p>
      <w:pPr>
        <w:pStyle w:val="yIndenta"/>
        <w:rPr>
          <w:snapToGrid w:val="0"/>
        </w:rPr>
      </w:pPr>
      <w:r>
        <w:rPr>
          <w:snapToGrid w:val="0"/>
        </w:rPr>
        <w:tab/>
        <w:t>(b)</w:t>
      </w:r>
      <w:r>
        <w:rPr>
          <w:snapToGrid w:val="0"/>
        </w:rPr>
        <w:tab/>
      </w:r>
      <w:r>
        <w:t>an energy</w:t>
      </w:r>
      <w:r>
        <w:rPr>
          <w:snapToGrid w:val="0"/>
        </w:rPr>
        <w:t xml:space="preserve"> charge consisting of — </w:t>
      </w:r>
    </w:p>
    <w:p>
      <w:pPr>
        <w:pStyle w:val="yIndenti0"/>
        <w:rPr>
          <w:snapToGrid w:val="0"/>
        </w:rPr>
      </w:pPr>
      <w:r>
        <w:rPr>
          <w:snapToGrid w:val="0"/>
        </w:rPr>
        <w:tab/>
        <w:t>(i)</w:t>
      </w:r>
      <w:r>
        <w:rPr>
          <w:snapToGrid w:val="0"/>
        </w:rPr>
        <w:tab/>
        <w:t>an on peak energy charge at the rate of 24.079 cents per unit; and</w:t>
      </w:r>
    </w:p>
    <w:p>
      <w:pPr>
        <w:pStyle w:val="yIndenti0"/>
        <w:rPr>
          <w:snapToGrid w:val="0"/>
        </w:rPr>
      </w:pPr>
      <w:r>
        <w:tab/>
        <w:t>(ii)</w:t>
      </w:r>
      <w:r>
        <w:tab/>
        <w:t>an off</w:t>
      </w:r>
      <w:r>
        <w:rPr>
          <w:snapToGrid w:val="0"/>
        </w:rPr>
        <w:t xml:space="preserve"> peak energy charge at the rate of 7.414 cents per unit.</w:t>
      </w:r>
    </w:p>
    <w:p>
      <w:pPr>
        <w:pStyle w:val="ySubsection"/>
      </w:pPr>
      <w:r>
        <w:tab/>
        <w:t>(2)</w:t>
      </w:r>
      <w:r>
        <w:tab/>
        <w:t>Tariff R3 is available subject to the following conditions —</w:t>
      </w:r>
    </w:p>
    <w:p>
      <w:pPr>
        <w:pStyle w:val="yIndenta"/>
      </w:pPr>
      <w:r>
        <w:tab/>
        <w:t>(a)</w:t>
      </w:r>
      <w:r>
        <w:tab/>
        <w:t>the consumer agrees to take the tariff for a minimum period of 12 months;</w:t>
      </w:r>
    </w:p>
    <w:p>
      <w:pPr>
        <w:pStyle w:val="yIndenta"/>
      </w:pPr>
      <w:r>
        <w:tab/>
        <w:t>(b)</w:t>
      </w:r>
      <w:r>
        <w:tab/>
        <w:t>the consumer pays the fee set out in Schedule 4 item 11;</w:t>
      </w:r>
    </w:p>
    <w:p>
      <w:pPr>
        <w:pStyle w:val="yIndenta"/>
      </w:pPr>
      <w:r>
        <w:tab/>
        <w:t>(c)</w:t>
      </w:r>
      <w:r>
        <w:tab/>
        <w:t>the consumer satisfies the corporation that the amount of electricity supplied to the consumer’s premises will be 50 megawatt hours or more per annum.</w:t>
      </w:r>
    </w:p>
    <w:p>
      <w:pPr>
        <w:pStyle w:val="yFootnotesection"/>
      </w:pPr>
      <w:r>
        <w:tab/>
        <w:t>[Clause 5 inserted in Gazette 30 Mar 2009 p. 973.]</w:t>
      </w:r>
    </w:p>
    <w:p>
      <w:pPr>
        <w:pStyle w:val="yHeading5"/>
        <w:rPr>
          <w:snapToGrid w:val="0"/>
        </w:rPr>
      </w:pPr>
      <w:bookmarkStart w:id="79" w:name="_Toc226275354"/>
      <w:r>
        <w:rPr>
          <w:rStyle w:val="CharSClsNo"/>
        </w:rPr>
        <w:t>6</w:t>
      </w:r>
      <w:r>
        <w:t>.</w:t>
      </w:r>
      <w:r>
        <w:rPr>
          <w:b w:val="0"/>
        </w:rPr>
        <w:tab/>
      </w:r>
      <w:r>
        <w:rPr>
          <w:snapToGrid w:val="0"/>
        </w:rPr>
        <w:t>Tariff S1 (low/medium voltage time based demand and energy tariff)</w:t>
      </w:r>
      <w:bookmarkEnd w:id="79"/>
    </w:p>
    <w:p>
      <w:pPr>
        <w:pStyle w:val="ySubsection"/>
      </w:pPr>
      <w:r>
        <w:tab/>
        <w:t>(1)</w:t>
      </w:r>
      <w:r>
        <w:tab/>
        <w:t>Tariff S1 is available for low/medium voltage supply.</w:t>
      </w:r>
    </w:p>
    <w:p>
      <w:pPr>
        <w:pStyle w:val="ySubsection"/>
      </w:pPr>
      <w:r>
        <w:tab/>
        <w:t>(2)</w:t>
      </w:r>
      <w:r>
        <w:tab/>
        <w:t xml:space="preserve">Tariff S1 comprises — </w:t>
      </w:r>
    </w:p>
    <w:p>
      <w:pPr>
        <w:pStyle w:val="yIndenta"/>
      </w:pPr>
      <w:r>
        <w:tab/>
        <w:t>(a)</w:t>
      </w:r>
      <w:r>
        <w:tab/>
        <w:t>a minimum charge at the rate of $304.8759 per day; and</w:t>
      </w:r>
    </w:p>
    <w:p>
      <w:pPr>
        <w:pStyle w:val="yIndenta"/>
      </w:pPr>
      <w:r>
        <w:tab/>
        <w:t>(b)</w:t>
      </w:r>
      <w:r>
        <w:tab/>
        <w:t xml:space="preserve">a demand charge at the rate of 77.44 cents per day multiplied by — </w:t>
      </w:r>
    </w:p>
    <w:p>
      <w:pPr>
        <w:pStyle w:val="yIndenti0"/>
      </w:pPr>
      <w:r>
        <w:tab/>
        <w:t>(i)</w:t>
      </w:r>
      <w:r>
        <w:tab/>
        <w:t>the on peak half</w:t>
      </w:r>
      <w:r>
        <w:noBreakHyphen/>
        <w:t>hourly maximum demand; or</w:t>
      </w:r>
    </w:p>
    <w:p>
      <w:pPr>
        <w:pStyle w:val="yIndenti0"/>
      </w:pPr>
      <w:r>
        <w:tab/>
        <w:t>(ii)</w:t>
      </w:r>
      <w:r>
        <w:tab/>
        <w:t>30% of the off peak half</w:t>
      </w:r>
      <w:r>
        <w:noBreakHyphen/>
        <w:t>hourly maximum demand,</w:t>
      </w:r>
    </w:p>
    <w:p>
      <w:pPr>
        <w:pStyle w:val="yIndenta"/>
      </w:pPr>
      <w:r>
        <w:tab/>
      </w:r>
      <w:r>
        <w:tab/>
        <w:t>whichever is the greater; and</w:t>
      </w:r>
    </w:p>
    <w:p>
      <w:pPr>
        <w:pStyle w:val="yIndenta"/>
      </w:pPr>
      <w:r>
        <w:tab/>
        <w:t>(c)</w:t>
      </w:r>
      <w:r>
        <w:tab/>
        <w:t xml:space="preserve">an energy charge consisting of — </w:t>
      </w:r>
    </w:p>
    <w:p>
      <w:pPr>
        <w:pStyle w:val="yIndenti0"/>
      </w:pPr>
      <w:r>
        <w:tab/>
        <w:t>(i)</w:t>
      </w:r>
      <w:r>
        <w:tab/>
        <w:t>an on peak energy charge at the rate of 11.088 cents per unit; and</w:t>
      </w:r>
    </w:p>
    <w:p>
      <w:pPr>
        <w:pStyle w:val="yIndenti0"/>
      </w:pPr>
      <w:r>
        <w:tab/>
        <w:t>(ii)</w:t>
      </w:r>
      <w:r>
        <w:tab/>
        <w:t>an off peak energy charge at the rate of 7.018 cents per unit.</w:t>
      </w:r>
    </w:p>
    <w:p>
      <w:pPr>
        <w:pStyle w:val="ySubsection"/>
      </w:pPr>
      <w:r>
        <w:tab/>
        <w:t>(3)</w:t>
      </w:r>
      <w:r>
        <w:tab/>
        <w:t xml:space="preserve">Tariff S1 is available subject to the following conditions — </w:t>
      </w:r>
    </w:p>
    <w:p>
      <w:pPr>
        <w:pStyle w:val="yIndenta"/>
        <w:rPr>
          <w:snapToGrid w:val="0"/>
        </w:rPr>
      </w:pPr>
      <w:r>
        <w:tab/>
        <w:t>(a)</w:t>
      </w:r>
      <w:r>
        <w:tab/>
        <w:t xml:space="preserve">the consumer must </w:t>
      </w:r>
      <w:r>
        <w:rPr>
          <w:snapToGrid w:val="0"/>
        </w:rPr>
        <w:t>agree to take the tariff for a minimum period of 12 months;</w:t>
      </w:r>
    </w:p>
    <w:p>
      <w:pPr>
        <w:pStyle w:val="yIndenta"/>
        <w:rPr>
          <w:snapToGrid w:val="0"/>
        </w:rPr>
      </w:pPr>
      <w:r>
        <w:tab/>
        <w:t>(b)</w:t>
      </w:r>
      <w:r>
        <w:tab/>
        <w:t>the p</w:t>
      </w:r>
      <w:r>
        <w:rPr>
          <w:snapToGrid w:val="0"/>
        </w:rPr>
        <w:t>ower factor must be 0.8 or better during the on peak period.</w:t>
      </w:r>
    </w:p>
    <w:p>
      <w:pPr>
        <w:pStyle w:val="ySubsection"/>
        <w:rPr>
          <w:snapToGrid w:val="0"/>
        </w:rPr>
      </w:pPr>
      <w:r>
        <w:tab/>
        <w:t>(4)</w:t>
      </w:r>
      <w:r>
        <w:tab/>
        <w:t xml:space="preserve">The </w:t>
      </w:r>
      <w:r>
        <w:rPr>
          <w:snapToGrid w:val="0"/>
        </w:rPr>
        <w:t>c</w:t>
      </w:r>
      <w:r>
        <w:t>orporation</w:t>
      </w:r>
      <w:r>
        <w:rPr>
          <w:snapToGrid w:val="0"/>
        </w:rPr>
        <w:t xml:space="preserve"> reserves the right to levy a charge of 41.06 cents per day per kVAR for the kVAR necessary to improve the power factor to 0.8 lagging in any period during which the power factor at the time of the consumer’s maximum demand is less than 0.8.</w:t>
      </w:r>
    </w:p>
    <w:p>
      <w:pPr>
        <w:pStyle w:val="yFootnotesection"/>
      </w:pPr>
      <w:r>
        <w:tab/>
        <w:t>[Clause 6 inserted in Gazette 30 Mar 2009 p. 973</w:t>
      </w:r>
      <w:r>
        <w:noBreakHyphen/>
        <w:t>4.]</w:t>
      </w:r>
    </w:p>
    <w:p>
      <w:pPr>
        <w:pStyle w:val="yHeading5"/>
        <w:rPr>
          <w:snapToGrid w:val="0"/>
        </w:rPr>
      </w:pPr>
      <w:bookmarkStart w:id="80" w:name="_Toc226275355"/>
      <w:r>
        <w:rPr>
          <w:rStyle w:val="CharSClsNo"/>
        </w:rPr>
        <w:t>7</w:t>
      </w:r>
      <w:r>
        <w:t>.</w:t>
      </w:r>
      <w:r>
        <w:rPr>
          <w:b w:val="0"/>
        </w:rPr>
        <w:tab/>
      </w:r>
      <w:r>
        <w:t xml:space="preserve">Tariff T1 </w:t>
      </w:r>
      <w:r>
        <w:rPr>
          <w:snapToGrid w:val="0"/>
        </w:rPr>
        <w:t>(high voltage time based demand and energy tariff)</w:t>
      </w:r>
      <w:bookmarkEnd w:id="80"/>
    </w:p>
    <w:p>
      <w:pPr>
        <w:pStyle w:val="ySubsection"/>
        <w:rPr>
          <w:snapToGrid w:val="0"/>
        </w:rPr>
      </w:pPr>
      <w:r>
        <w:tab/>
        <w:t>(1)</w:t>
      </w:r>
      <w:r>
        <w:tab/>
      </w:r>
      <w:r>
        <w:rPr>
          <w:snapToGrid w:val="0"/>
        </w:rPr>
        <w:t>Tariff T1 is available to consumers supplied at 6.6 kV, 11 kV, 22 kV or 33 kV or such higher voltage as the c</w:t>
      </w:r>
      <w:r>
        <w:t>orporation</w:t>
      </w:r>
      <w:r>
        <w:rPr>
          <w:snapToGrid w:val="0"/>
        </w:rPr>
        <w:t xml:space="preserve"> may approve.</w:t>
      </w:r>
    </w:p>
    <w:p>
      <w:pPr>
        <w:pStyle w:val="ySubsection"/>
      </w:pPr>
      <w:r>
        <w:tab/>
        <w:t>(2)</w:t>
      </w:r>
      <w:r>
        <w:tab/>
        <w:t xml:space="preserve">Tariff T1 comprises — </w:t>
      </w:r>
    </w:p>
    <w:p>
      <w:pPr>
        <w:pStyle w:val="yIndenta"/>
      </w:pPr>
      <w:r>
        <w:tab/>
        <w:t>(a)</w:t>
      </w:r>
      <w:r>
        <w:tab/>
        <w:t>a minimum charge at the rate of $402.204 per day; and</w:t>
      </w:r>
    </w:p>
    <w:p>
      <w:pPr>
        <w:pStyle w:val="yIndenta"/>
      </w:pPr>
      <w:r>
        <w:tab/>
        <w:t>(b)</w:t>
      </w:r>
      <w:r>
        <w:tab/>
        <w:t xml:space="preserve">a demand charge at the rate of 70.862 cents per day multiplied by — </w:t>
      </w:r>
    </w:p>
    <w:p>
      <w:pPr>
        <w:pStyle w:val="yIndenti0"/>
      </w:pPr>
      <w:r>
        <w:tab/>
        <w:t>(i)</w:t>
      </w:r>
      <w:r>
        <w:tab/>
        <w:t>the on peak half</w:t>
      </w:r>
      <w:r>
        <w:noBreakHyphen/>
        <w:t>hourly maximum demand; or</w:t>
      </w:r>
    </w:p>
    <w:p>
      <w:pPr>
        <w:pStyle w:val="yIndenti0"/>
      </w:pPr>
      <w:r>
        <w:tab/>
        <w:t>(ii)</w:t>
      </w:r>
      <w:r>
        <w:tab/>
        <w:t>30% of the off peak half</w:t>
      </w:r>
      <w:r>
        <w:noBreakHyphen/>
        <w:t>hourly maximum demand,</w:t>
      </w:r>
    </w:p>
    <w:p>
      <w:pPr>
        <w:pStyle w:val="yIndenta"/>
      </w:pPr>
      <w:r>
        <w:tab/>
      </w:r>
      <w:r>
        <w:tab/>
        <w:t>whichever is the greater; and</w:t>
      </w:r>
    </w:p>
    <w:p>
      <w:pPr>
        <w:pStyle w:val="yIndenta"/>
      </w:pPr>
      <w:r>
        <w:tab/>
        <w:t>(c)</w:t>
      </w:r>
      <w:r>
        <w:tab/>
        <w:t xml:space="preserve">an energy charge consisting of — </w:t>
      </w:r>
    </w:p>
    <w:p>
      <w:pPr>
        <w:pStyle w:val="yIndenti0"/>
      </w:pPr>
      <w:r>
        <w:tab/>
        <w:t>(i)</w:t>
      </w:r>
      <w:r>
        <w:tab/>
        <w:t>an on peak energy charge at the rate of 10.362 cents per unit; and</w:t>
      </w:r>
    </w:p>
    <w:p>
      <w:pPr>
        <w:pStyle w:val="yIndenti0"/>
      </w:pPr>
      <w:r>
        <w:tab/>
        <w:t>(ii)</w:t>
      </w:r>
      <w:r>
        <w:tab/>
        <w:t>an off peak energy charge at the rate of 6.897 cents per unit.</w:t>
      </w:r>
    </w:p>
    <w:p>
      <w:pPr>
        <w:pStyle w:val="ySubsection"/>
      </w:pPr>
      <w:r>
        <w:tab/>
        <w:t>(3)</w:t>
      </w:r>
      <w:r>
        <w:tab/>
        <w:t xml:space="preserve">Tariff T1 applies to a </w:t>
      </w:r>
      <w:r>
        <w:rPr>
          <w:snapToGrid w:val="0"/>
        </w:rPr>
        <w:t>consumer who owns all equipment except tariff metering equipment on the load side of the consumer’s high voltage terminals.</w:t>
      </w:r>
    </w:p>
    <w:p>
      <w:pPr>
        <w:pStyle w:val="ySubsection"/>
      </w:pPr>
      <w:r>
        <w:tab/>
        <w:t>(4)</w:t>
      </w:r>
      <w:r>
        <w:tab/>
        <w:t xml:space="preserve">Tariff T1 is available subject to the following conditions — </w:t>
      </w:r>
    </w:p>
    <w:p>
      <w:pPr>
        <w:pStyle w:val="yIndenta"/>
        <w:rPr>
          <w:snapToGrid w:val="0"/>
        </w:rPr>
      </w:pPr>
      <w:r>
        <w:tab/>
        <w:t>(a)</w:t>
      </w:r>
      <w:r>
        <w:tab/>
        <w:t xml:space="preserve">the consumer must </w:t>
      </w:r>
      <w:r>
        <w:rPr>
          <w:snapToGrid w:val="0"/>
        </w:rPr>
        <w:t>agree to take the tariff for a minimum period of 12 months;</w:t>
      </w:r>
    </w:p>
    <w:p>
      <w:pPr>
        <w:pStyle w:val="yIndenta"/>
        <w:rPr>
          <w:snapToGrid w:val="0"/>
        </w:rPr>
      </w:pPr>
      <w:r>
        <w:tab/>
        <w:t>(b)</w:t>
      </w:r>
      <w:r>
        <w:tab/>
        <w:t>the p</w:t>
      </w:r>
      <w:r>
        <w:rPr>
          <w:snapToGrid w:val="0"/>
        </w:rPr>
        <w:t>ower factor must be 0.8 or better during the on peak period.</w:t>
      </w:r>
    </w:p>
    <w:p>
      <w:pPr>
        <w:pStyle w:val="ySubsection"/>
        <w:rPr>
          <w:snapToGrid w:val="0"/>
        </w:rPr>
      </w:pPr>
      <w:r>
        <w:tab/>
        <w:t>(5)</w:t>
      </w:r>
      <w:r>
        <w:tab/>
        <w:t>Th</w:t>
      </w:r>
      <w:r>
        <w:rPr>
          <w:snapToGrid w:val="0"/>
        </w:rPr>
        <w:t>e c</w:t>
      </w:r>
      <w:r>
        <w:t>orporation</w:t>
      </w:r>
      <w:r>
        <w:rPr>
          <w:snapToGrid w:val="0"/>
        </w:rPr>
        <w:t xml:space="preserve"> reserves the right to levy a charge of 41.06 cents per day per kVAR for the kVAR necessary to improve the power factor to 0.8 lagging in any period during which the power factor at the time of the consumer’s maximum demand is less than 0.8.</w:t>
      </w:r>
    </w:p>
    <w:p>
      <w:pPr>
        <w:pStyle w:val="yFootnotesection"/>
      </w:pPr>
      <w:r>
        <w:tab/>
        <w:t>[Clause 7 inserted in Gazette 30 Mar 2009 p. 974</w:t>
      </w:r>
      <w:r>
        <w:noBreakHyphen/>
        <w:t>5.]</w:t>
      </w:r>
    </w:p>
    <w:p>
      <w:pPr>
        <w:pStyle w:val="yHeading5"/>
      </w:pPr>
      <w:bookmarkStart w:id="81" w:name="_Toc226275356"/>
      <w:r>
        <w:rPr>
          <w:rStyle w:val="CharSClsNo"/>
        </w:rPr>
        <w:t>8</w:t>
      </w:r>
      <w:r>
        <w:t>.</w:t>
      </w:r>
      <w:r>
        <w:rPr>
          <w:b w:val="0"/>
        </w:rPr>
        <w:tab/>
      </w:r>
      <w:r>
        <w:t>Standby charges</w:t>
      </w:r>
      <w:bookmarkEnd w:id="81"/>
    </w:p>
    <w:p>
      <w:pPr>
        <w:pStyle w:val="ySubsection"/>
        <w:rPr>
          <w:snapToGrid w:val="0"/>
        </w:rPr>
      </w:pPr>
      <w:r>
        <w:tab/>
        <w:t>(1)</w:t>
      </w:r>
      <w:r>
        <w:tab/>
      </w:r>
      <w:r>
        <w:rPr>
          <w:snapToGrid w:val="0"/>
        </w:rPr>
        <w:t>Standby</w:t>
      </w:r>
      <w:r>
        <w:t xml:space="preserve"> charges are a</w:t>
      </w:r>
      <w:r>
        <w:rPr>
          <w:snapToGrid w:val="0"/>
        </w:rPr>
        <w:t xml:space="preserve">pplicable to consumers with their own generation and supplied on Tariff L1, L3, M1, R1, </w:t>
      </w:r>
      <w:r>
        <w:t xml:space="preserve">R3, </w:t>
      </w:r>
      <w:r>
        <w:rPr>
          <w:snapToGrid w:val="0"/>
        </w:rPr>
        <w:t>S1 or T1 and are payable in addition to those tariffs.</w:t>
      </w:r>
    </w:p>
    <w:p>
      <w:pPr>
        <w:pStyle w:val="ySubsection"/>
        <w:rPr>
          <w:snapToGrid w:val="0"/>
        </w:rPr>
      </w:pPr>
      <w:r>
        <w:tab/>
        <w:t>(2)</w:t>
      </w:r>
      <w:r>
        <w:tab/>
      </w:r>
      <w:r>
        <w:rPr>
          <w:snapToGrid w:val="0"/>
        </w:rPr>
        <w:t>In the case of Tariff L1</w:t>
      </w:r>
      <w:r>
        <w:t>, L3, R1 or R3,</w:t>
      </w:r>
      <w:r>
        <w:rPr>
          <w:snapToGrid w:val="0"/>
        </w:rPr>
        <w:t xml:space="preserve"> the standby charge is 5.72 cents per day per kW based on the difference between total half</w:t>
      </w:r>
      <w:r>
        <w:rPr>
          <w:snapToGrid w:val="0"/>
        </w:rPr>
        <w:noBreakHyphen/>
        <w:t>hourly maximum demand and normal half</w:t>
      </w:r>
      <w:r>
        <w:rPr>
          <w:snapToGrid w:val="0"/>
        </w:rPr>
        <w:noBreakHyphen/>
        <w:t>hourly maximum demand.</w:t>
      </w:r>
    </w:p>
    <w:p>
      <w:pPr>
        <w:pStyle w:val="ySubsection"/>
        <w:rPr>
          <w:snapToGrid w:val="0"/>
        </w:rPr>
      </w:pPr>
      <w:r>
        <w:rPr>
          <w:snapToGrid w:val="0"/>
        </w:rPr>
        <w:tab/>
        <w:t>(3)</w:t>
      </w:r>
      <w:r>
        <w:rPr>
          <w:snapToGrid w:val="0"/>
        </w:rPr>
        <w:tab/>
        <w:t>In the case of Tariff M1, the standby charge is 5.10 cents per day per kW based on the difference between total half</w:t>
      </w:r>
      <w:r>
        <w:rPr>
          <w:snapToGrid w:val="0"/>
        </w:rPr>
        <w:noBreakHyphen/>
        <w:t>hourly maximum demand and normal half</w:t>
      </w:r>
      <w:r>
        <w:rPr>
          <w:snapToGrid w:val="0"/>
        </w:rPr>
        <w:noBreakHyphen/>
        <w:t>hourly maximum demand.</w:t>
      </w:r>
    </w:p>
    <w:p>
      <w:pPr>
        <w:pStyle w:val="ySubsection"/>
        <w:rPr>
          <w:snapToGrid w:val="0"/>
        </w:rPr>
      </w:pPr>
      <w:r>
        <w:tab/>
        <w:t>(4)</w:t>
      </w:r>
      <w:r>
        <w:tab/>
      </w:r>
      <w:r>
        <w:rPr>
          <w:snapToGrid w:val="0"/>
        </w:rPr>
        <w:t>In the case of Tariff S1, the standby charge is 5.72 cents per day per kW based on — </w:t>
      </w:r>
    </w:p>
    <w:p>
      <w:pPr>
        <w:pStyle w:val="yIndenta"/>
        <w:rPr>
          <w:snapToGrid w:val="0"/>
        </w:rPr>
      </w:pPr>
      <w:r>
        <w:rPr>
          <w:snapToGrid w:val="0"/>
        </w:rPr>
        <w:tab/>
        <w:t>(a)</w:t>
      </w:r>
      <w:r>
        <w:rPr>
          <w:snapToGrid w:val="0"/>
        </w:rPr>
        <w:tab/>
        <w:t>the difference between total half</w:t>
      </w:r>
      <w:r>
        <w:rPr>
          <w:snapToGrid w:val="0"/>
        </w:rPr>
        <w:noBreakHyphen/>
        <w:t>hourly maximum demand and normal half</w:t>
      </w:r>
      <w:r>
        <w:rPr>
          <w:snapToGrid w:val="0"/>
        </w:rPr>
        <w:noBreakHyphen/>
        <w:t>hourly maximum demand; or</w:t>
      </w:r>
    </w:p>
    <w:p>
      <w:pPr>
        <w:pStyle w:val="yIndenta"/>
        <w:rPr>
          <w:snapToGrid w:val="0"/>
        </w:rPr>
      </w:pPr>
      <w:r>
        <w:rPr>
          <w:snapToGrid w:val="0"/>
        </w:rPr>
        <w:tab/>
        <w:t>(b)</w:t>
      </w:r>
      <w:r>
        <w:rPr>
          <w:snapToGrid w:val="0"/>
        </w:rPr>
        <w:tab/>
      </w:r>
      <w:r>
        <w:t xml:space="preserve">the difference between </w:t>
      </w:r>
      <w:r>
        <w:rPr>
          <w:snapToGrid w:val="0"/>
        </w:rPr>
        <w:t>total half</w:t>
      </w:r>
      <w:r>
        <w:rPr>
          <w:snapToGrid w:val="0"/>
        </w:rPr>
        <w:noBreakHyphen/>
        <w:t>hourly maximum demand and registered half</w:t>
      </w:r>
      <w:r>
        <w:rPr>
          <w:snapToGrid w:val="0"/>
        </w:rPr>
        <w:noBreakHyphen/>
        <w:t>hourly maximum demand,</w:t>
      </w:r>
    </w:p>
    <w:p>
      <w:pPr>
        <w:pStyle w:val="ySubsection"/>
        <w:rPr>
          <w:snapToGrid w:val="0"/>
        </w:rPr>
      </w:pPr>
      <w:r>
        <w:rPr>
          <w:snapToGrid w:val="0"/>
        </w:rPr>
        <w:tab/>
      </w:r>
      <w:r>
        <w:rPr>
          <w:snapToGrid w:val="0"/>
        </w:rPr>
        <w:tab/>
        <w:t>whichever is less.</w:t>
      </w:r>
    </w:p>
    <w:p>
      <w:pPr>
        <w:pStyle w:val="ySubsection"/>
        <w:rPr>
          <w:snapToGrid w:val="0"/>
        </w:rPr>
      </w:pPr>
      <w:r>
        <w:tab/>
        <w:t>(5)</w:t>
      </w:r>
      <w:r>
        <w:tab/>
      </w:r>
      <w:r>
        <w:rPr>
          <w:snapToGrid w:val="0"/>
        </w:rPr>
        <w:t>In the case of Tariff T1, the standby charge is 5.10 cents per day per kW based on — </w:t>
      </w:r>
    </w:p>
    <w:p>
      <w:pPr>
        <w:pStyle w:val="yIndenta"/>
        <w:rPr>
          <w:snapToGrid w:val="0"/>
        </w:rPr>
      </w:pPr>
      <w:r>
        <w:tab/>
        <w:t>(a)</w:t>
      </w:r>
      <w:r>
        <w:tab/>
        <w:t xml:space="preserve">the difference between </w:t>
      </w:r>
      <w:r>
        <w:rPr>
          <w:snapToGrid w:val="0"/>
        </w:rPr>
        <w:t>total half</w:t>
      </w:r>
      <w:r>
        <w:rPr>
          <w:snapToGrid w:val="0"/>
        </w:rPr>
        <w:noBreakHyphen/>
        <w:t>hourly maximum demand and normal half</w:t>
      </w:r>
      <w:r>
        <w:rPr>
          <w:snapToGrid w:val="0"/>
        </w:rPr>
        <w:noBreakHyphen/>
        <w:t>hourly maximum demand; or</w:t>
      </w:r>
    </w:p>
    <w:p>
      <w:pPr>
        <w:pStyle w:val="yIndenta"/>
        <w:rPr>
          <w:snapToGrid w:val="0"/>
        </w:rPr>
      </w:pPr>
      <w:r>
        <w:tab/>
        <w:t>(b)</w:t>
      </w:r>
      <w:r>
        <w:tab/>
        <w:t xml:space="preserve">the difference between </w:t>
      </w:r>
      <w:r>
        <w:rPr>
          <w:snapToGrid w:val="0"/>
        </w:rPr>
        <w:t>total half</w:t>
      </w:r>
      <w:r>
        <w:rPr>
          <w:snapToGrid w:val="0"/>
        </w:rPr>
        <w:noBreakHyphen/>
        <w:t>hourly maximum demand and registered half</w:t>
      </w:r>
      <w:r>
        <w:rPr>
          <w:snapToGrid w:val="0"/>
        </w:rPr>
        <w:noBreakHyphen/>
        <w:t>hourly maximum demand,</w:t>
      </w:r>
    </w:p>
    <w:p>
      <w:pPr>
        <w:pStyle w:val="ySubsection"/>
      </w:pPr>
      <w:r>
        <w:tab/>
      </w:r>
      <w:r>
        <w:tab/>
        <w:t>whichever is less.</w:t>
      </w:r>
    </w:p>
    <w:p>
      <w:pPr>
        <w:pStyle w:val="ySubsection"/>
        <w:rPr>
          <w:snapToGrid w:val="0"/>
        </w:rPr>
      </w:pPr>
      <w:r>
        <w:tab/>
        <w:t>(6)</w:t>
      </w:r>
      <w:r>
        <w:tab/>
        <w:t>T</w:t>
      </w:r>
      <w:r>
        <w:rPr>
          <w:snapToGrid w:val="0"/>
        </w:rPr>
        <w:t>he normal half</w:t>
      </w:r>
      <w:r>
        <w:rPr>
          <w:snapToGrid w:val="0"/>
        </w:rPr>
        <w:noBreakHyphen/>
        <w:t>hourly maximum demand is to be assessed by the c</w:t>
      </w:r>
      <w:r>
        <w:t>orporation</w:t>
      </w:r>
      <w:r>
        <w:rPr>
          <w:snapToGrid w:val="0"/>
        </w:rPr>
        <w:t xml:space="preserve"> and is to be based on loading normally supplied from the c</w:t>
      </w:r>
      <w:r>
        <w:t>orporation’s</w:t>
      </w:r>
      <w:r>
        <w:rPr>
          <w:snapToGrid w:val="0"/>
        </w:rPr>
        <w:t xml:space="preserve"> supply.</w:t>
      </w:r>
    </w:p>
    <w:p>
      <w:pPr>
        <w:pStyle w:val="ySubsection"/>
        <w:rPr>
          <w:snapToGrid w:val="0"/>
        </w:rPr>
      </w:pPr>
      <w:r>
        <w:rPr>
          <w:snapToGrid w:val="0"/>
        </w:rPr>
        <w:tab/>
        <w:t>(7)</w:t>
      </w:r>
      <w:r>
        <w:rPr>
          <w:snapToGrid w:val="0"/>
        </w:rPr>
        <w:tab/>
      </w:r>
      <w:r>
        <w:t>N</w:t>
      </w:r>
      <w:r>
        <w:rPr>
          <w:snapToGrid w:val="0"/>
        </w:rPr>
        <w:t>otwithstanding the c</w:t>
      </w:r>
      <w:r>
        <w:t>orporation’</w:t>
      </w:r>
      <w:r>
        <w:rPr>
          <w:snapToGrid w:val="0"/>
        </w:rPr>
        <w:t>s assessment, in any accounting period the normal half</w:t>
      </w:r>
      <w:r>
        <w:rPr>
          <w:snapToGrid w:val="0"/>
        </w:rPr>
        <w:noBreakHyphen/>
        <w:t>hourly maximum demand is taken to be not less than — </w:t>
      </w:r>
    </w:p>
    <w:p>
      <w:pPr>
        <w:pStyle w:val="ySubsection"/>
        <w:rPr>
          <w:snapToGrid w:val="0"/>
        </w:rPr>
      </w:pPr>
      <w:r>
        <w:rPr>
          <w:snapToGrid w:val="0"/>
          <w:position w:val="-26"/>
          <w:sz w:val="20"/>
        </w:rPr>
        <w:tab/>
      </w:r>
      <w:r>
        <w:rPr>
          <w:snapToGrid w:val="0"/>
          <w:position w:val="-26"/>
          <w:sz w:val="20"/>
        </w:rPr>
        <w:tab/>
      </w:r>
      <w:r>
        <w:rPr>
          <w:noProof/>
          <w:position w:val="-26"/>
          <w:sz w:val="20"/>
          <w:lang w:eastAsia="en-AU"/>
        </w:rPr>
        <w:drawing>
          <wp:inline distT="0" distB="0" distL="0" distR="0">
            <wp:extent cx="2924175" cy="3905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924175" cy="390525"/>
                    </a:xfrm>
                    <a:prstGeom prst="rect">
                      <a:avLst/>
                    </a:prstGeom>
                    <a:noFill/>
                    <a:ln>
                      <a:noFill/>
                    </a:ln>
                  </pic:spPr>
                </pic:pic>
              </a:graphicData>
            </a:graphic>
          </wp:inline>
        </w:drawing>
      </w:r>
    </w:p>
    <w:p>
      <w:pPr>
        <w:pStyle w:val="ySubsection"/>
      </w:pPr>
      <w:r>
        <w:tab/>
        <w:t>(8)</w:t>
      </w:r>
      <w:r>
        <w:tab/>
        <w:t>T</w:t>
      </w:r>
      <w:r>
        <w:rPr>
          <w:snapToGrid w:val="0"/>
        </w:rPr>
        <w:t>he total half</w:t>
      </w:r>
      <w:r>
        <w:rPr>
          <w:snapToGrid w:val="0"/>
        </w:rPr>
        <w:noBreakHyphen/>
        <w:t>hourly maximum demand is to be assessed by the c</w:t>
      </w:r>
      <w:r>
        <w:t>orporation</w:t>
      </w:r>
      <w:r>
        <w:rPr>
          <w:snapToGrid w:val="0"/>
        </w:rPr>
        <w:t xml:space="preserve"> as the consumer’s expected half</w:t>
      </w:r>
      <w:r>
        <w:rPr>
          <w:snapToGrid w:val="0"/>
        </w:rPr>
        <w:noBreakHyphen/>
        <w:t>hourly minimum demand on the c</w:t>
      </w:r>
      <w:r>
        <w:t>orporation’s</w:t>
      </w:r>
      <w:r>
        <w:rPr>
          <w:snapToGrid w:val="0"/>
        </w:rPr>
        <w:t xml:space="preserve"> system without the consumer’s generation equipment in operation.</w:t>
      </w:r>
    </w:p>
    <w:p>
      <w:pPr>
        <w:pStyle w:val="ySubsection"/>
        <w:rPr>
          <w:snapToGrid w:val="0"/>
        </w:rPr>
      </w:pPr>
      <w:r>
        <w:tab/>
        <w:t>(9)</w:t>
      </w:r>
      <w:r>
        <w:tab/>
        <w:t>T</w:t>
      </w:r>
      <w:r>
        <w:rPr>
          <w:snapToGrid w:val="0"/>
        </w:rPr>
        <w:t>he difference between total half</w:t>
      </w:r>
      <w:r>
        <w:rPr>
          <w:snapToGrid w:val="0"/>
        </w:rPr>
        <w:noBreakHyphen/>
        <w:t>hourly maximum demand and normal half</w:t>
      </w:r>
      <w:r>
        <w:rPr>
          <w:snapToGrid w:val="0"/>
        </w:rPr>
        <w:noBreakHyphen/>
        <w:t>hourly maximum demand is not to exceed — </w:t>
      </w:r>
    </w:p>
    <w:p>
      <w:pPr>
        <w:pStyle w:val="yIndenta"/>
        <w:rPr>
          <w:snapToGrid w:val="0"/>
        </w:rPr>
      </w:pPr>
      <w:r>
        <w:rPr>
          <w:snapToGrid w:val="0"/>
        </w:rPr>
        <w:tab/>
        <w:t>(a)</w:t>
      </w:r>
      <w:r>
        <w:rPr>
          <w:snapToGrid w:val="0"/>
        </w:rPr>
        <w:tab/>
        <w:t>the capacity of the consumer’s generation equipment; or</w:t>
      </w:r>
    </w:p>
    <w:p>
      <w:pPr>
        <w:pStyle w:val="yIndenta"/>
      </w:pPr>
      <w:r>
        <w:rPr>
          <w:snapToGrid w:val="0"/>
        </w:rPr>
        <w:tab/>
        <w:t>(b)</w:t>
      </w:r>
      <w:r>
        <w:rPr>
          <w:snapToGrid w:val="0"/>
        </w:rPr>
        <w:tab/>
        <w:t>the expected maximum loading of such generation equipment, as assessed by the</w:t>
      </w:r>
      <w:r>
        <w:t xml:space="preserve"> corporation</w:t>
      </w:r>
      <w:r>
        <w:rPr>
          <w:snapToGrid w:val="0"/>
        </w:rPr>
        <w:t>.</w:t>
      </w:r>
    </w:p>
    <w:p>
      <w:pPr>
        <w:pStyle w:val="ySubsection"/>
        <w:rPr>
          <w:snapToGrid w:val="0"/>
        </w:rPr>
      </w:pPr>
      <w:r>
        <w:tab/>
        <w:t>(10)</w:t>
      </w:r>
      <w:r>
        <w:tab/>
      </w:r>
      <w:r>
        <w:rPr>
          <w:snapToGrid w:val="0"/>
        </w:rPr>
        <w:t xml:space="preserve">The provision of a standby service is subject to the following conditions — </w:t>
      </w:r>
    </w:p>
    <w:p>
      <w:pPr>
        <w:pStyle w:val="yIndenta"/>
        <w:rPr>
          <w:snapToGrid w:val="0"/>
        </w:rPr>
      </w:pPr>
      <w:r>
        <w:rPr>
          <w:snapToGrid w:val="0"/>
        </w:rPr>
        <w:tab/>
        <w:t>(a)</w:t>
      </w:r>
      <w:r>
        <w:rPr>
          <w:snapToGrid w:val="0"/>
        </w:rPr>
        <w:tab/>
      </w:r>
      <w:r>
        <w:t>t</w:t>
      </w:r>
      <w:r>
        <w:rPr>
          <w:snapToGrid w:val="0"/>
        </w:rPr>
        <w:t>he consumer must pay for the cost of all additional mains and equipment necessary to provide the standby service;</w:t>
      </w:r>
    </w:p>
    <w:p>
      <w:pPr>
        <w:pStyle w:val="yIndenta"/>
        <w:rPr>
          <w:snapToGrid w:val="0"/>
        </w:rPr>
      </w:pPr>
      <w:r>
        <w:rPr>
          <w:snapToGrid w:val="0"/>
        </w:rPr>
        <w:tab/>
        <w:t>(b)</w:t>
      </w:r>
      <w:r>
        <w:rPr>
          <w:snapToGrid w:val="0"/>
        </w:rPr>
        <w:tab/>
        <w:t>the standby service agreement must be for a minimum period of 12 months;</w:t>
      </w:r>
    </w:p>
    <w:p>
      <w:pPr>
        <w:pStyle w:val="yIndenta"/>
        <w:rPr>
          <w:snapToGrid w:val="0"/>
        </w:rPr>
      </w:pPr>
      <w:r>
        <w:rPr>
          <w:snapToGrid w:val="0"/>
        </w:rPr>
        <w:tab/>
        <w:t>(c)</w:t>
      </w:r>
      <w:r>
        <w:rPr>
          <w:snapToGrid w:val="0"/>
        </w:rPr>
        <w:tab/>
        <w:t>the consumer must give 6 months notice in writing to the c</w:t>
      </w:r>
      <w:r>
        <w:t>orporation</w:t>
      </w:r>
      <w:r>
        <w:rPr>
          <w:snapToGrid w:val="0"/>
        </w:rPr>
        <w:t xml:space="preserve"> of intention to terminate the standby service agreement.</w:t>
      </w:r>
    </w:p>
    <w:p>
      <w:pPr>
        <w:pStyle w:val="yFootnotesection"/>
      </w:pPr>
      <w:r>
        <w:tab/>
        <w:t>[Clause 8 inserted in Gazette 30 Mar 2009 p. 975</w:t>
      </w:r>
      <w:r>
        <w:noBreakHyphen/>
        <w:t>7.]</w:t>
      </w:r>
    </w:p>
    <w:p>
      <w:pPr>
        <w:pStyle w:val="yHeading5"/>
      </w:pPr>
      <w:bookmarkStart w:id="82" w:name="_Toc226275357"/>
      <w:r>
        <w:rPr>
          <w:rStyle w:val="CharSClsNo"/>
        </w:rPr>
        <w:t>9</w:t>
      </w:r>
      <w:r>
        <w:t>.</w:t>
      </w:r>
      <w:r>
        <w:rPr>
          <w:b w:val="0"/>
        </w:rPr>
        <w:tab/>
      </w:r>
      <w:r>
        <w:t>Tariff A1 (residential tariff)</w:t>
      </w:r>
      <w:bookmarkEnd w:id="82"/>
    </w:p>
    <w:p>
      <w:pPr>
        <w:pStyle w:val="ySubsection"/>
        <w:rPr>
          <w:snapToGrid w:val="0"/>
        </w:rPr>
      </w:pPr>
      <w:r>
        <w:tab/>
        <w:t>(1)</w:t>
      </w:r>
      <w:r>
        <w:tab/>
      </w:r>
      <w:r>
        <w:rPr>
          <w:snapToGrid w:val="0"/>
        </w:rPr>
        <w:t>Tariff A1 is available for residential use only.</w:t>
      </w:r>
    </w:p>
    <w:p>
      <w:pPr>
        <w:pStyle w:val="ySubsection"/>
      </w:pPr>
      <w:r>
        <w:tab/>
        <w:t>(2)</w:t>
      </w:r>
      <w:r>
        <w:tab/>
        <w:t xml:space="preserve">Tariff A1 comprises — </w:t>
      </w:r>
    </w:p>
    <w:p>
      <w:pPr>
        <w:pStyle w:val="yIndenta"/>
        <w:rPr>
          <w:snapToGrid w:val="0"/>
        </w:rPr>
      </w:pPr>
      <w:r>
        <w:rPr>
          <w:snapToGrid w:val="0"/>
        </w:rPr>
        <w:tab/>
        <w:t>(a)</w:t>
      </w:r>
      <w:r>
        <w:rPr>
          <w:snapToGrid w:val="0"/>
        </w:rPr>
        <w:tab/>
      </w:r>
      <w:r>
        <w:t>a</w:t>
      </w:r>
      <w:r>
        <w:rPr>
          <w:snapToGrid w:val="0"/>
        </w:rPr>
        <w:t xml:space="preserve"> fixed charge at the rate of 28.116 cents per day or, for multiple dwellings supplied through one metered supply point, a fixed charge at the rate of — </w:t>
      </w:r>
    </w:p>
    <w:p>
      <w:pPr>
        <w:pStyle w:val="yIndenti0"/>
        <w:rPr>
          <w:snapToGrid w:val="0"/>
        </w:rPr>
      </w:pPr>
      <w:r>
        <w:rPr>
          <w:snapToGrid w:val="0"/>
        </w:rPr>
        <w:tab/>
        <w:t>(i)</w:t>
      </w:r>
      <w:r>
        <w:rPr>
          <w:snapToGrid w:val="0"/>
        </w:rPr>
        <w:tab/>
        <w:t>28.116 cents per day for the first dwelling; and</w:t>
      </w:r>
    </w:p>
    <w:p>
      <w:pPr>
        <w:pStyle w:val="yIndenti0"/>
        <w:rPr>
          <w:snapToGrid w:val="0"/>
        </w:rPr>
      </w:pPr>
      <w:r>
        <w:rPr>
          <w:snapToGrid w:val="0"/>
        </w:rPr>
        <w:tab/>
        <w:t>(ii)</w:t>
      </w:r>
      <w:r>
        <w:rPr>
          <w:snapToGrid w:val="0"/>
        </w:rPr>
        <w:tab/>
        <w:t>21.835 cents per day for each additional dwelling;</w:t>
      </w:r>
    </w:p>
    <w:p>
      <w:pPr>
        <w:pStyle w:val="yIndenta"/>
      </w:pPr>
      <w:r>
        <w:tab/>
      </w:r>
      <w:r>
        <w:tab/>
        <w:t>and</w:t>
      </w:r>
    </w:p>
    <w:p>
      <w:pPr>
        <w:pStyle w:val="yIndenta"/>
      </w:pPr>
      <w:r>
        <w:tab/>
        <w:t>(b)</w:t>
      </w:r>
      <w:r>
        <w:tab/>
        <w:t>a charge for metered consumption at the rate of 15.323 cents per unit.</w:t>
      </w:r>
    </w:p>
    <w:p>
      <w:pPr>
        <w:pStyle w:val="yFootnotesection"/>
      </w:pPr>
      <w:r>
        <w:tab/>
        <w:t>[Clause 9 inserted in Gazette 30 Mar 2009 p. 977.]</w:t>
      </w:r>
    </w:p>
    <w:p>
      <w:pPr>
        <w:pStyle w:val="yHeading5"/>
      </w:pPr>
      <w:bookmarkStart w:id="83" w:name="_Toc226275358"/>
      <w:r>
        <w:rPr>
          <w:rStyle w:val="CharSClsNo"/>
        </w:rPr>
        <w:t>10</w:t>
      </w:r>
      <w:r>
        <w:t>.</w:t>
      </w:r>
      <w:r>
        <w:rPr>
          <w:b w:val="0"/>
        </w:rPr>
        <w:tab/>
      </w:r>
      <w:r>
        <w:t>Tariff B1 (residential water heating tariff)</w:t>
      </w:r>
      <w:bookmarkEnd w:id="83"/>
    </w:p>
    <w:p>
      <w:pPr>
        <w:pStyle w:val="ySubsection"/>
        <w:rPr>
          <w:snapToGrid w:val="0"/>
        </w:rPr>
      </w:pPr>
      <w:r>
        <w:tab/>
        <w:t>(1)</w:t>
      </w:r>
      <w:r>
        <w:tab/>
        <w:t>Tariff B1</w:t>
      </w:r>
      <w:r>
        <w:rPr>
          <w:snapToGrid w:val="0"/>
        </w:rPr>
        <w:t xml:space="preserve"> is available for residential water heating during a 6 hour period between the hours of 11.00 p.m. and 6.00 a.m. for installations approved by the</w:t>
      </w:r>
      <w:r>
        <w:t xml:space="preserve"> corporation</w:t>
      </w:r>
      <w:r>
        <w:rPr>
          <w:snapToGrid w:val="0"/>
        </w:rPr>
        <w:t>.  Other single phase hardwired appliances may be connected in conjunction with the water heater.</w:t>
      </w:r>
    </w:p>
    <w:p>
      <w:pPr>
        <w:pStyle w:val="ySubsection"/>
      </w:pPr>
      <w:r>
        <w:tab/>
        <w:t>(2)</w:t>
      </w:r>
      <w:r>
        <w:tab/>
        <w:t xml:space="preserve">Tariff B1 comprises — </w:t>
      </w:r>
    </w:p>
    <w:p>
      <w:pPr>
        <w:pStyle w:val="yIndenta"/>
        <w:rPr>
          <w:snapToGrid w:val="0"/>
        </w:rPr>
      </w:pPr>
      <w:r>
        <w:tab/>
        <w:t>(a)</w:t>
      </w:r>
      <w:r>
        <w:tab/>
        <w:t>a</w:t>
      </w:r>
      <w:r>
        <w:rPr>
          <w:snapToGrid w:val="0"/>
        </w:rPr>
        <w:t xml:space="preserve"> fixed charge at the rate of 14.773 cents per day or, for multiple dwellings supplied through one metered supply point, a fixed charge at the rate of 14.773 cents per day for each dwelling; and</w:t>
      </w:r>
    </w:p>
    <w:p>
      <w:pPr>
        <w:pStyle w:val="yIndenta"/>
        <w:rPr>
          <w:snapToGrid w:val="0"/>
        </w:rPr>
      </w:pPr>
      <w:r>
        <w:rPr>
          <w:snapToGrid w:val="0"/>
        </w:rPr>
        <w:tab/>
        <w:t>(b)</w:t>
      </w:r>
      <w:r>
        <w:rPr>
          <w:snapToGrid w:val="0"/>
        </w:rPr>
        <w:tab/>
      </w:r>
      <w:r>
        <w:t>a charge for</w:t>
      </w:r>
      <w:r>
        <w:rPr>
          <w:snapToGrid w:val="0"/>
        </w:rPr>
        <w:t xml:space="preserve"> metered consumption at the rate of 8.162 cents per unit.</w:t>
      </w:r>
    </w:p>
    <w:p>
      <w:pPr>
        <w:pStyle w:val="yFootnotesection"/>
      </w:pPr>
      <w:r>
        <w:tab/>
        <w:t>[Clause 10 inserted in Gazette 30 Mar 2009 p. 978.]</w:t>
      </w:r>
    </w:p>
    <w:p>
      <w:pPr>
        <w:pStyle w:val="yHeading5"/>
      </w:pPr>
      <w:bookmarkStart w:id="84" w:name="_Toc226275359"/>
      <w:r>
        <w:rPr>
          <w:rStyle w:val="CharSClsNo"/>
        </w:rPr>
        <w:t>11</w:t>
      </w:r>
      <w:r>
        <w:t>.</w:t>
      </w:r>
      <w:r>
        <w:rPr>
          <w:b w:val="0"/>
        </w:rPr>
        <w:tab/>
      </w:r>
      <w:r>
        <w:t>Tariff C1 (special community service tariff)</w:t>
      </w:r>
      <w:bookmarkEnd w:id="84"/>
    </w:p>
    <w:p>
      <w:pPr>
        <w:pStyle w:val="ySubsection"/>
        <w:rPr>
          <w:snapToGrid w:val="0"/>
        </w:rPr>
      </w:pPr>
      <w:r>
        <w:tab/>
        <w:t>(1)</w:t>
      </w:r>
      <w:r>
        <w:tab/>
        <w:t xml:space="preserve">Tariff </w:t>
      </w:r>
      <w:r>
        <w:rPr>
          <w:snapToGrid w:val="0"/>
        </w:rPr>
        <w:t>C1 is available for small voluntary and charitable organisations, subject to the conditions listed in subclause (3).</w:t>
      </w:r>
    </w:p>
    <w:p>
      <w:pPr>
        <w:pStyle w:val="ySubsection"/>
        <w:rPr>
          <w:snapToGrid w:val="0"/>
        </w:rPr>
      </w:pPr>
      <w:r>
        <w:tab/>
        <w:t>(2)</w:t>
      </w:r>
      <w:r>
        <w:tab/>
      </w:r>
      <w:r>
        <w:rPr>
          <w:snapToGrid w:val="0"/>
        </w:rPr>
        <w:t xml:space="preserve">Tariff C1 comprises — </w:t>
      </w:r>
    </w:p>
    <w:p>
      <w:pPr>
        <w:pStyle w:val="yIndenta"/>
        <w:rPr>
          <w:snapToGrid w:val="0"/>
        </w:rPr>
      </w:pPr>
      <w:r>
        <w:rPr>
          <w:snapToGrid w:val="0"/>
        </w:rPr>
        <w:tab/>
        <w:t>(a)</w:t>
      </w:r>
      <w:r>
        <w:rPr>
          <w:snapToGrid w:val="0"/>
        </w:rPr>
        <w:tab/>
      </w:r>
      <w:r>
        <w:t xml:space="preserve">a </w:t>
      </w:r>
      <w:r>
        <w:rPr>
          <w:snapToGrid w:val="0"/>
        </w:rPr>
        <w:t>fixed charge at the rate of 26.84 cents per day; and</w:t>
      </w:r>
    </w:p>
    <w:p>
      <w:pPr>
        <w:pStyle w:val="yIndenta"/>
        <w:rPr>
          <w:snapToGrid w:val="0"/>
        </w:rPr>
      </w:pPr>
      <w:r>
        <w:rPr>
          <w:snapToGrid w:val="0"/>
        </w:rPr>
        <w:tab/>
        <w:t>(b)</w:t>
      </w:r>
      <w:r>
        <w:rPr>
          <w:snapToGrid w:val="0"/>
        </w:rPr>
        <w:tab/>
      </w:r>
      <w:r>
        <w:t>a charge for</w:t>
      </w:r>
      <w:r>
        <w:rPr>
          <w:snapToGrid w:val="0"/>
        </w:rPr>
        <w:t xml:space="preserve"> metered consumption at the rate of — </w:t>
      </w:r>
    </w:p>
    <w:p>
      <w:pPr>
        <w:pStyle w:val="yIndenti0"/>
        <w:rPr>
          <w:snapToGrid w:val="0"/>
        </w:rPr>
      </w:pPr>
      <w:r>
        <w:rPr>
          <w:snapToGrid w:val="0"/>
        </w:rPr>
        <w:tab/>
        <w:t>(i)</w:t>
      </w:r>
      <w:r>
        <w:rPr>
          <w:snapToGrid w:val="0"/>
        </w:rPr>
        <w:tab/>
        <w:t>14.63 cents per unit for the first 20 units per day; and</w:t>
      </w:r>
    </w:p>
    <w:p>
      <w:pPr>
        <w:pStyle w:val="yIndenti0"/>
        <w:rPr>
          <w:snapToGrid w:val="0"/>
        </w:rPr>
      </w:pPr>
      <w:r>
        <w:rPr>
          <w:snapToGrid w:val="0"/>
        </w:rPr>
        <w:tab/>
        <w:t>(ii)</w:t>
      </w:r>
      <w:r>
        <w:rPr>
          <w:snapToGrid w:val="0"/>
        </w:rPr>
        <w:tab/>
        <w:t>18.337 cents for the next 1 630 units per day; and</w:t>
      </w:r>
    </w:p>
    <w:p>
      <w:pPr>
        <w:pStyle w:val="yIndenti0"/>
        <w:rPr>
          <w:snapToGrid w:val="0"/>
        </w:rPr>
      </w:pPr>
      <w:r>
        <w:rPr>
          <w:snapToGrid w:val="0"/>
        </w:rPr>
        <w:tab/>
        <w:t>(iii)</w:t>
      </w:r>
      <w:r>
        <w:rPr>
          <w:snapToGrid w:val="0"/>
        </w:rPr>
        <w:tab/>
        <w:t>16.544 cents per unit per day for all units exceeding 1 650 units.</w:t>
      </w:r>
    </w:p>
    <w:p>
      <w:pPr>
        <w:pStyle w:val="ySubsection"/>
        <w:rPr>
          <w:snapToGrid w:val="0"/>
        </w:rPr>
      </w:pPr>
      <w:r>
        <w:rPr>
          <w:snapToGrid w:val="0"/>
        </w:rPr>
        <w:tab/>
        <w:t>(3)</w:t>
      </w:r>
      <w:r>
        <w:rPr>
          <w:snapToGrid w:val="0"/>
        </w:rPr>
        <w:tab/>
        <w:t xml:space="preserve">Tariff C1 is available subject to the following conditions — </w:t>
      </w:r>
    </w:p>
    <w:p>
      <w:pPr>
        <w:pStyle w:val="yIndenta"/>
        <w:rPr>
          <w:snapToGrid w:val="0"/>
        </w:rPr>
      </w:pPr>
      <w:r>
        <w:rPr>
          <w:snapToGrid w:val="0"/>
        </w:rPr>
        <w:tab/>
        <w:t>(a)</w:t>
      </w:r>
      <w:r>
        <w:rPr>
          <w:snapToGrid w:val="0"/>
        </w:rPr>
        <w:tab/>
      </w:r>
      <w:r>
        <w:t>the</w:t>
      </w:r>
      <w:r>
        <w:rPr>
          <w:snapToGrid w:val="0"/>
        </w:rPr>
        <w:t xml:space="preserve"> consumer must be a direct customer of the</w:t>
      </w:r>
      <w:r>
        <w:t xml:space="preserve"> corporation</w:t>
      </w:r>
      <w:r>
        <w:rPr>
          <w:snapToGrid w:val="0"/>
        </w:rPr>
        <w:t>;</w:t>
      </w:r>
    </w:p>
    <w:p>
      <w:pPr>
        <w:pStyle w:val="yIndenta"/>
        <w:rPr>
          <w:snapToGrid w:val="0"/>
        </w:rPr>
      </w:pPr>
      <w:r>
        <w:rPr>
          <w:snapToGrid w:val="0"/>
        </w:rPr>
        <w:tab/>
        <w:t>(b)</w:t>
      </w:r>
      <w:r>
        <w:rPr>
          <w:snapToGrid w:val="0"/>
        </w:rPr>
        <w:tab/>
        <w:t>the consumer must be a voluntary, non</w:t>
      </w:r>
      <w:r>
        <w:rPr>
          <w:snapToGrid w:val="0"/>
        </w:rPr>
        <w:noBreakHyphen/>
        <w:t>profit making organisation;</w:t>
      </w:r>
    </w:p>
    <w:p>
      <w:pPr>
        <w:pStyle w:val="yIndenta"/>
      </w:pPr>
      <w:r>
        <w:rPr>
          <w:snapToGrid w:val="0"/>
        </w:rPr>
        <w:tab/>
        <w:t>(c)</w:t>
      </w:r>
      <w:r>
        <w:rPr>
          <w:snapToGrid w:val="0"/>
        </w:rPr>
        <w:tab/>
        <w:t xml:space="preserve">the consumer must be endorsed as exempt from income tax under </w:t>
      </w:r>
      <w:r>
        <w:t xml:space="preserve">the </w:t>
      </w:r>
      <w:r>
        <w:rPr>
          <w:i/>
        </w:rPr>
        <w:t>Income Tax Assessment Act 1997</w:t>
      </w:r>
      <w:r>
        <w:t xml:space="preserve"> (Commonwealth) Subdivision 50</w:t>
      </w:r>
      <w:r>
        <w:noBreakHyphen/>
        <w:t>B;</w:t>
      </w:r>
    </w:p>
    <w:p>
      <w:pPr>
        <w:pStyle w:val="yIndenta"/>
        <w:rPr>
          <w:snapToGrid w:val="0"/>
        </w:rPr>
      </w:pPr>
      <w:r>
        <w:rPr>
          <w:snapToGrid w:val="0"/>
        </w:rPr>
        <w:tab/>
        <w:t>(d)</w:t>
      </w:r>
      <w:r>
        <w:rPr>
          <w:snapToGrid w:val="0"/>
        </w:rPr>
        <w:tab/>
        <w:t>the consumer must provide a public service, which is available to any member of the public without discrimination;</w:t>
      </w:r>
    </w:p>
    <w:p>
      <w:pPr>
        <w:pStyle w:val="yIndenta"/>
        <w:rPr>
          <w:snapToGrid w:val="0"/>
        </w:rPr>
      </w:pPr>
      <w:r>
        <w:rPr>
          <w:snapToGrid w:val="0"/>
        </w:rPr>
        <w:tab/>
        <w:t>(e)</w:t>
      </w:r>
      <w:r>
        <w:rPr>
          <w:snapToGrid w:val="0"/>
        </w:rPr>
        <w:tab/>
        <w:t>the consumer must not be a Commonwealth, State or local government department, instrumentality or agency;</w:t>
      </w:r>
    </w:p>
    <w:p>
      <w:pPr>
        <w:pStyle w:val="yIndenta"/>
        <w:rPr>
          <w:snapToGrid w:val="0"/>
        </w:rPr>
      </w:pPr>
      <w:r>
        <w:rPr>
          <w:snapToGrid w:val="0"/>
        </w:rPr>
        <w:tab/>
        <w:t>(f)</w:t>
      </w:r>
      <w:r>
        <w:rPr>
          <w:snapToGrid w:val="0"/>
        </w:rPr>
        <w:tab/>
        <w:t>the consumer must not receive the major part of its funding from any organisation mentioned in paragraph (e).</w:t>
      </w:r>
    </w:p>
    <w:p>
      <w:pPr>
        <w:pStyle w:val="ySubsection"/>
        <w:rPr>
          <w:snapToGrid w:val="0"/>
        </w:rPr>
      </w:pPr>
      <w:r>
        <w:rPr>
          <w:snapToGrid w:val="0"/>
        </w:rPr>
        <w:tab/>
        <w:t>(4)</w:t>
      </w:r>
      <w:r>
        <w:rPr>
          <w:snapToGrid w:val="0"/>
        </w:rPr>
        <w:tab/>
        <w:t>A consumer seeking supply under Tariff C1 must make an application to the c</w:t>
      </w:r>
      <w:r>
        <w:t>orporation</w:t>
      </w:r>
      <w:r>
        <w:rPr>
          <w:snapToGrid w:val="0"/>
        </w:rPr>
        <w:t xml:space="preserve"> in writing accompanied by evidence which clearly demonstrates that the consumer meets all the conditions listed in subclause (3).</w:t>
      </w:r>
    </w:p>
    <w:p>
      <w:pPr>
        <w:pStyle w:val="yFootnotesection"/>
      </w:pPr>
      <w:r>
        <w:tab/>
        <w:t>[Clause 11 inserted in Gazette 30 Mar 2009 p. 978</w:t>
      </w:r>
      <w:r>
        <w:noBreakHyphen/>
        <w:t>9.]</w:t>
      </w:r>
    </w:p>
    <w:p>
      <w:pPr>
        <w:pStyle w:val="yHeading5"/>
      </w:pPr>
      <w:bookmarkStart w:id="85" w:name="_Toc226275360"/>
      <w:r>
        <w:rPr>
          <w:rStyle w:val="CharSClsNo"/>
        </w:rPr>
        <w:t>12</w:t>
      </w:r>
      <w:r>
        <w:t>.</w:t>
      </w:r>
      <w:r>
        <w:rPr>
          <w:b w:val="0"/>
        </w:rPr>
        <w:tab/>
      </w:r>
      <w:r>
        <w:t>Tariff D1 (special tariff for certain premises)</w:t>
      </w:r>
      <w:bookmarkEnd w:id="85"/>
    </w:p>
    <w:p>
      <w:pPr>
        <w:pStyle w:val="ySubsection"/>
        <w:rPr>
          <w:snapToGrid w:val="0"/>
        </w:rPr>
      </w:pPr>
      <w:r>
        <w:tab/>
        <w:t>(1)</w:t>
      </w:r>
      <w:r>
        <w:tab/>
        <w:t>Tariff D1</w:t>
      </w:r>
      <w:r>
        <w:rPr>
          <w:snapToGrid w:val="0"/>
        </w:rPr>
        <w:t xml:space="preserve"> is available for premises wholly used by a charitable or benevolent organisation for providing residential accommodation other than for commercial gain, being premises for which Tariff A1 is not available.</w:t>
      </w:r>
    </w:p>
    <w:p>
      <w:pPr>
        <w:pStyle w:val="ySubsection"/>
      </w:pPr>
      <w:r>
        <w:tab/>
        <w:t>(2)</w:t>
      </w:r>
      <w:r>
        <w:tab/>
        <w:t xml:space="preserve">Tariff D1 comprises — </w:t>
      </w:r>
    </w:p>
    <w:p>
      <w:pPr>
        <w:pStyle w:val="yIndenta"/>
        <w:rPr>
          <w:snapToGrid w:val="0"/>
        </w:rPr>
      </w:pPr>
      <w:r>
        <w:rPr>
          <w:snapToGrid w:val="0"/>
        </w:rPr>
        <w:tab/>
        <w:t>(a)</w:t>
      </w:r>
      <w:r>
        <w:rPr>
          <w:snapToGrid w:val="0"/>
        </w:rPr>
        <w:tab/>
      </w:r>
      <w:r>
        <w:t>a</w:t>
      </w:r>
      <w:r>
        <w:rPr>
          <w:snapToGrid w:val="0"/>
        </w:rPr>
        <w:t xml:space="preserve"> fixed charge at the rate of 26.84 cents per day; and</w:t>
      </w:r>
    </w:p>
    <w:p>
      <w:pPr>
        <w:pStyle w:val="yIndenta"/>
        <w:rPr>
          <w:snapToGrid w:val="0"/>
        </w:rPr>
      </w:pPr>
      <w:r>
        <w:tab/>
        <w:t>(b)</w:t>
      </w:r>
      <w:r>
        <w:tab/>
        <w:t>if</w:t>
      </w:r>
      <w:r>
        <w:rPr>
          <w:snapToGrid w:val="0"/>
        </w:rPr>
        <w:t xml:space="preserve"> under subclause (3) there is deemed to be more than one equivalent domestic residence in the premises, a charge of 20.845 cents per day for each equivalent domestic residence except the first that is deemed to be in the premises; and</w:t>
      </w:r>
    </w:p>
    <w:p>
      <w:pPr>
        <w:pStyle w:val="yIndenta"/>
        <w:rPr>
          <w:snapToGrid w:val="0"/>
        </w:rPr>
      </w:pPr>
      <w:r>
        <w:tab/>
        <w:t>(c)</w:t>
      </w:r>
      <w:r>
        <w:tab/>
        <w:t>a charge for</w:t>
      </w:r>
      <w:r>
        <w:rPr>
          <w:snapToGrid w:val="0"/>
        </w:rPr>
        <w:t xml:space="preserve"> metered consumption at the rate of 14.63 cents per unit.</w:t>
      </w:r>
    </w:p>
    <w:p>
      <w:pPr>
        <w:pStyle w:val="ySubsection"/>
        <w:rPr>
          <w:snapToGrid w:val="0"/>
        </w:rPr>
      </w:pPr>
      <w:r>
        <w:rPr>
          <w:snapToGrid w:val="0"/>
        </w:rPr>
        <w:tab/>
        <w:t>(3)</w:t>
      </w:r>
      <w:r>
        <w:rPr>
          <w:snapToGrid w:val="0"/>
        </w:rPr>
        <w:tab/>
        <w:t>The number of equivalent domestic residences deemed to be in particular premises is ascertained by dividing the facility’s total bed capacity by 5 and, where the quotient is not a whole number, by increasing it to the next highest whole number.</w:t>
      </w:r>
    </w:p>
    <w:p>
      <w:pPr>
        <w:pStyle w:val="yFootnotesection"/>
      </w:pPr>
      <w:r>
        <w:tab/>
        <w:t>[Clause 12 inserted in Gazette 30 Mar 2009 p. 979.]</w:t>
      </w:r>
    </w:p>
    <w:p>
      <w:pPr>
        <w:pStyle w:val="yHeading5"/>
      </w:pPr>
      <w:bookmarkStart w:id="86" w:name="_Toc226275361"/>
      <w:r>
        <w:rPr>
          <w:rStyle w:val="CharSClsNo"/>
        </w:rPr>
        <w:t>13</w:t>
      </w:r>
      <w:r>
        <w:t>.</w:t>
      </w:r>
      <w:r>
        <w:rPr>
          <w:b w:val="0"/>
        </w:rPr>
        <w:tab/>
      </w:r>
      <w:r>
        <w:t>Tariff K1 (general supply with residential tariff)</w:t>
      </w:r>
      <w:bookmarkEnd w:id="86"/>
    </w:p>
    <w:p>
      <w:pPr>
        <w:pStyle w:val="ySubsection"/>
        <w:rPr>
          <w:snapToGrid w:val="0"/>
        </w:rPr>
      </w:pPr>
      <w:r>
        <w:tab/>
        <w:t>(1)</w:t>
      </w:r>
      <w:r>
        <w:tab/>
        <w:t>Tariff K1</w:t>
      </w:r>
      <w:r>
        <w:rPr>
          <w:snapToGrid w:val="0"/>
        </w:rPr>
        <w:t xml:space="preserve"> is available for premises where the circuit wiring is not separate and the electricity is used partly for general purposes and partly for residential purposes.</w:t>
      </w:r>
    </w:p>
    <w:p>
      <w:pPr>
        <w:pStyle w:val="ySubsection"/>
      </w:pPr>
      <w:r>
        <w:tab/>
        <w:t>(2)</w:t>
      </w:r>
      <w:r>
        <w:tab/>
        <w:t xml:space="preserve">Tariff K1 comprises — </w:t>
      </w:r>
    </w:p>
    <w:p>
      <w:pPr>
        <w:pStyle w:val="yIndenta"/>
        <w:rPr>
          <w:snapToGrid w:val="0"/>
        </w:rPr>
      </w:pPr>
      <w:r>
        <w:rPr>
          <w:snapToGrid w:val="0"/>
        </w:rPr>
        <w:tab/>
        <w:t>(a)</w:t>
      </w:r>
      <w:r>
        <w:rPr>
          <w:snapToGrid w:val="0"/>
        </w:rPr>
        <w:tab/>
      </w:r>
      <w:r>
        <w:t>a</w:t>
      </w:r>
      <w:r>
        <w:rPr>
          <w:snapToGrid w:val="0"/>
        </w:rPr>
        <w:t xml:space="preserve"> fixed charge at the rate of 28.116 cents per day; and</w:t>
      </w:r>
    </w:p>
    <w:p>
      <w:pPr>
        <w:pStyle w:val="yIndenta"/>
        <w:rPr>
          <w:snapToGrid w:val="0"/>
        </w:rPr>
      </w:pPr>
      <w:r>
        <w:rPr>
          <w:snapToGrid w:val="0"/>
        </w:rPr>
        <w:tab/>
        <w:t>(b)</w:t>
      </w:r>
      <w:r>
        <w:rPr>
          <w:snapToGrid w:val="0"/>
        </w:rPr>
        <w:tab/>
      </w:r>
      <w:r>
        <w:t>a charge for</w:t>
      </w:r>
      <w:r>
        <w:rPr>
          <w:snapToGrid w:val="0"/>
        </w:rPr>
        <w:t xml:space="preserve"> metered consumption at the rate of — </w:t>
      </w:r>
    </w:p>
    <w:p>
      <w:pPr>
        <w:pStyle w:val="yIndenti0"/>
        <w:rPr>
          <w:snapToGrid w:val="0"/>
        </w:rPr>
      </w:pPr>
      <w:r>
        <w:rPr>
          <w:snapToGrid w:val="0"/>
        </w:rPr>
        <w:tab/>
        <w:t>(i)</w:t>
      </w:r>
      <w:r>
        <w:rPr>
          <w:snapToGrid w:val="0"/>
        </w:rPr>
        <w:tab/>
        <w:t>15.323 cents per unit for the first 20 units per day; and</w:t>
      </w:r>
    </w:p>
    <w:p>
      <w:pPr>
        <w:pStyle w:val="yIndenti0"/>
        <w:rPr>
          <w:snapToGrid w:val="0"/>
        </w:rPr>
      </w:pPr>
      <w:r>
        <w:rPr>
          <w:snapToGrid w:val="0"/>
        </w:rPr>
        <w:tab/>
        <w:t>(ii)</w:t>
      </w:r>
      <w:r>
        <w:rPr>
          <w:snapToGrid w:val="0"/>
        </w:rPr>
        <w:tab/>
        <w:t>19.206 cents per unit for the next 1 630 units per day; and</w:t>
      </w:r>
    </w:p>
    <w:p>
      <w:pPr>
        <w:pStyle w:val="yIndenti0"/>
        <w:rPr>
          <w:snapToGrid w:val="0"/>
        </w:rPr>
      </w:pPr>
      <w:r>
        <w:rPr>
          <w:snapToGrid w:val="0"/>
        </w:rPr>
        <w:tab/>
        <w:t>(iii)</w:t>
      </w:r>
      <w:r>
        <w:rPr>
          <w:snapToGrid w:val="0"/>
        </w:rPr>
        <w:tab/>
        <w:t>17.336 cents per unit per day for all units exceeding 1 650 units.</w:t>
      </w:r>
    </w:p>
    <w:p>
      <w:pPr>
        <w:pStyle w:val="yFootnotesection"/>
      </w:pPr>
      <w:r>
        <w:tab/>
        <w:t>[Clause 13 inserted in Gazette 30 Mar 2009 p. 980.]</w:t>
      </w:r>
    </w:p>
    <w:p>
      <w:pPr>
        <w:pStyle w:val="yHeading5"/>
      </w:pPr>
      <w:bookmarkStart w:id="87" w:name="_Toc226275362"/>
      <w:r>
        <w:rPr>
          <w:rStyle w:val="CharSClsNo"/>
        </w:rPr>
        <w:t>14</w:t>
      </w:r>
      <w:r>
        <w:t>.</w:t>
      </w:r>
      <w:r>
        <w:rPr>
          <w:b w:val="0"/>
        </w:rPr>
        <w:tab/>
      </w:r>
      <w:r>
        <w:t>Tariff W1 (traffic light installations)</w:t>
      </w:r>
      <w:bookmarkEnd w:id="87"/>
    </w:p>
    <w:p>
      <w:pPr>
        <w:pStyle w:val="ySubsection"/>
      </w:pPr>
      <w:r>
        <w:tab/>
      </w:r>
      <w:r>
        <w:tab/>
        <w:t>Tariff W1 comprises a charge of $2.4973 per day per kW of installed wattage.</w:t>
      </w:r>
    </w:p>
    <w:p>
      <w:pPr>
        <w:pStyle w:val="yFootnotesection"/>
      </w:pPr>
      <w:r>
        <w:tab/>
        <w:t>[Clause 14 inserted in Gazette 30 Mar 2009 p. 980.]</w:t>
      </w:r>
    </w:p>
    <w:p>
      <w:pPr>
        <w:pStyle w:val="ySubsection"/>
        <w:sectPr>
          <w:headerReference w:type="even" r:id="rId26"/>
          <w:headerReference w:type="default" r:id="rId27"/>
          <w:endnotePr>
            <w:numFmt w:val="decimal"/>
          </w:endnotePr>
          <w:pgSz w:w="11907" w:h="16840" w:code="9"/>
          <w:pgMar w:top="2381" w:right="2410" w:bottom="3544" w:left="2410" w:header="720" w:footer="3380" w:gutter="0"/>
          <w:cols w:space="720"/>
          <w:docGrid w:linePitch="326"/>
        </w:sectPr>
      </w:pPr>
    </w:p>
    <w:p>
      <w:pPr>
        <w:pStyle w:val="yScheduleHeading"/>
      </w:pPr>
      <w:bookmarkStart w:id="88" w:name="_Toc226275323"/>
      <w:bookmarkStart w:id="89" w:name="_Toc226275363"/>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r>
        <w:rPr>
          <w:rStyle w:val="CharSchNo"/>
        </w:rPr>
        <w:t>Schedule 2</w:t>
      </w:r>
      <w:r>
        <w:t> — </w:t>
      </w:r>
      <w:r>
        <w:rPr>
          <w:rStyle w:val="CharSchText"/>
        </w:rPr>
        <w:t>Street lighting</w:t>
      </w:r>
      <w:bookmarkEnd w:id="88"/>
      <w:bookmarkEnd w:id="89"/>
    </w:p>
    <w:p>
      <w:pPr>
        <w:pStyle w:val="yShoulderClause"/>
      </w:pPr>
      <w:r>
        <w:t>[bl. 4(2)]</w:t>
      </w:r>
    </w:p>
    <w:p>
      <w:pPr>
        <w:pStyle w:val="yFootnoteheading"/>
        <w:spacing w:after="120"/>
      </w:pPr>
      <w:r>
        <w:tab/>
        <w:t>[Heading inserted in Gazette 30 Mar 2009 p. 980.]</w:t>
      </w:r>
    </w:p>
    <w:tbl>
      <w:tblPr>
        <w:tblW w:w="0" w:type="auto"/>
        <w:tblInd w:w="212" w:type="dxa"/>
        <w:tblLayout w:type="fixed"/>
        <w:tblCellMar>
          <w:left w:w="70" w:type="dxa"/>
          <w:right w:w="70" w:type="dxa"/>
        </w:tblCellMar>
        <w:tblLook w:val="0000" w:firstRow="0" w:lastRow="0" w:firstColumn="0" w:lastColumn="0" w:noHBand="0" w:noVBand="0"/>
      </w:tblPr>
      <w:tblGrid>
        <w:gridCol w:w="567"/>
        <w:gridCol w:w="851"/>
        <w:gridCol w:w="1701"/>
        <w:gridCol w:w="1275"/>
        <w:gridCol w:w="1276"/>
        <w:gridCol w:w="1134"/>
      </w:tblGrid>
      <w:tr>
        <w:trPr>
          <w:cantSplit/>
          <w:tblHeader/>
        </w:trPr>
        <w:tc>
          <w:tcPr>
            <w:tcW w:w="567" w:type="dxa"/>
            <w:tcBorders>
              <w:top w:val="single" w:sz="4" w:space="0" w:color="auto"/>
              <w:bottom w:val="single" w:sz="4" w:space="0" w:color="auto"/>
            </w:tcBorders>
          </w:tcPr>
          <w:p>
            <w:pPr>
              <w:pStyle w:val="yTableNAm"/>
              <w:rPr>
                <w:b/>
                <w:bCs/>
                <w:sz w:val="18"/>
              </w:rPr>
            </w:pPr>
            <w:r>
              <w:rPr>
                <w:b/>
                <w:bCs/>
                <w:sz w:val="18"/>
              </w:rPr>
              <w:t>Item</w:t>
            </w:r>
          </w:p>
        </w:tc>
        <w:tc>
          <w:tcPr>
            <w:tcW w:w="851" w:type="dxa"/>
            <w:tcBorders>
              <w:top w:val="single" w:sz="4" w:space="0" w:color="auto"/>
              <w:bottom w:val="single" w:sz="4" w:space="0" w:color="auto"/>
            </w:tcBorders>
          </w:tcPr>
          <w:p>
            <w:pPr>
              <w:pStyle w:val="yTableNAm"/>
              <w:rPr>
                <w:b/>
                <w:bCs/>
                <w:sz w:val="18"/>
              </w:rPr>
            </w:pPr>
            <w:r>
              <w:rPr>
                <w:b/>
                <w:bCs/>
                <w:sz w:val="18"/>
              </w:rPr>
              <w:t>Wattage</w:t>
            </w:r>
          </w:p>
        </w:tc>
        <w:tc>
          <w:tcPr>
            <w:tcW w:w="1701" w:type="dxa"/>
            <w:tcBorders>
              <w:top w:val="single" w:sz="4" w:space="0" w:color="auto"/>
              <w:bottom w:val="single" w:sz="4" w:space="0" w:color="auto"/>
            </w:tcBorders>
          </w:tcPr>
          <w:p>
            <w:pPr>
              <w:pStyle w:val="yTableNAm"/>
              <w:rPr>
                <w:b/>
                <w:bCs/>
                <w:sz w:val="18"/>
              </w:rPr>
            </w:pPr>
            <w:r>
              <w:rPr>
                <w:b/>
                <w:bCs/>
                <w:sz w:val="18"/>
              </w:rPr>
              <w:t>Type</w:t>
            </w:r>
          </w:p>
        </w:tc>
        <w:tc>
          <w:tcPr>
            <w:tcW w:w="1275" w:type="dxa"/>
            <w:tcBorders>
              <w:top w:val="single" w:sz="4" w:space="0" w:color="auto"/>
              <w:bottom w:val="single" w:sz="4" w:space="0" w:color="auto"/>
            </w:tcBorders>
          </w:tcPr>
          <w:p>
            <w:pPr>
              <w:pStyle w:val="yTableNAm"/>
              <w:rPr>
                <w:b/>
                <w:bCs/>
                <w:spacing w:val="-4"/>
                <w:sz w:val="18"/>
              </w:rPr>
            </w:pPr>
            <w:r>
              <w:rPr>
                <w:b/>
                <w:bCs/>
                <w:spacing w:val="-4"/>
                <w:sz w:val="18"/>
              </w:rPr>
              <w:t>Midnight Switch</w:t>
            </w:r>
            <w:r>
              <w:rPr>
                <w:b/>
                <w:bCs/>
                <w:spacing w:val="-4"/>
                <w:sz w:val="18"/>
              </w:rPr>
              <w:noBreakHyphen/>
              <w:t>off (Obsolescent) Cents per day</w:t>
            </w:r>
          </w:p>
        </w:tc>
        <w:tc>
          <w:tcPr>
            <w:tcW w:w="1276" w:type="dxa"/>
            <w:tcBorders>
              <w:top w:val="single" w:sz="4" w:space="0" w:color="auto"/>
              <w:bottom w:val="single" w:sz="4" w:space="0" w:color="auto"/>
            </w:tcBorders>
          </w:tcPr>
          <w:p>
            <w:pPr>
              <w:pStyle w:val="yTableNAm"/>
              <w:rPr>
                <w:b/>
                <w:bCs/>
                <w:spacing w:val="-8"/>
                <w:sz w:val="18"/>
              </w:rPr>
            </w:pPr>
            <w:r>
              <w:rPr>
                <w:b/>
                <w:bCs/>
                <w:spacing w:val="-8"/>
                <w:sz w:val="18"/>
              </w:rPr>
              <w:t>1.15 a.m. Switch</w:t>
            </w:r>
            <w:r>
              <w:rPr>
                <w:b/>
                <w:bCs/>
                <w:spacing w:val="-8"/>
                <w:sz w:val="18"/>
              </w:rPr>
              <w:noBreakHyphen/>
              <w:t>off Cents per day</w:t>
            </w:r>
          </w:p>
        </w:tc>
        <w:tc>
          <w:tcPr>
            <w:tcW w:w="1134" w:type="dxa"/>
            <w:tcBorders>
              <w:top w:val="single" w:sz="4" w:space="0" w:color="auto"/>
              <w:bottom w:val="single" w:sz="4" w:space="0" w:color="auto"/>
            </w:tcBorders>
          </w:tcPr>
          <w:p>
            <w:pPr>
              <w:pStyle w:val="yTableNAm"/>
              <w:rPr>
                <w:b/>
                <w:bCs/>
                <w:spacing w:val="-8"/>
                <w:sz w:val="18"/>
              </w:rPr>
            </w:pPr>
            <w:r>
              <w:rPr>
                <w:b/>
                <w:bCs/>
                <w:spacing w:val="-8"/>
                <w:sz w:val="18"/>
              </w:rPr>
              <w:t>Dawn Switch</w:t>
            </w:r>
            <w:r>
              <w:rPr>
                <w:b/>
                <w:bCs/>
                <w:spacing w:val="-8"/>
                <w:sz w:val="18"/>
              </w:rPr>
              <w:noBreakHyphen/>
              <w:t>off Cents per day</w:t>
            </w:r>
          </w:p>
        </w:tc>
      </w:tr>
      <w:tr>
        <w:trPr>
          <w:cantSplit/>
        </w:trPr>
        <w:tc>
          <w:tcPr>
            <w:tcW w:w="6804" w:type="dxa"/>
            <w:gridSpan w:val="6"/>
          </w:tcPr>
          <w:p>
            <w:pPr>
              <w:pStyle w:val="yTableNAm"/>
              <w:rPr>
                <w:i/>
                <w:iCs/>
                <w:sz w:val="18"/>
              </w:rPr>
            </w:pPr>
            <w:bookmarkStart w:id="90" w:name="UpToHere"/>
            <w:r>
              <w:rPr>
                <w:i/>
                <w:iCs/>
                <w:sz w:val="18"/>
              </w:rPr>
              <w:t>Street lighting on current offer and for existing services</w:t>
            </w:r>
          </w:p>
        </w:tc>
      </w:tr>
      <w:bookmarkEnd w:id="90"/>
      <w:tr>
        <w:trPr>
          <w:cantSplit/>
        </w:trPr>
        <w:tc>
          <w:tcPr>
            <w:tcW w:w="567" w:type="dxa"/>
          </w:tcPr>
          <w:p>
            <w:pPr>
              <w:pStyle w:val="yTableNAm"/>
              <w:rPr>
                <w:sz w:val="18"/>
              </w:rPr>
            </w:pPr>
            <w:r>
              <w:rPr>
                <w:sz w:val="18"/>
              </w:rPr>
              <w:t>Z.01</w:t>
            </w:r>
          </w:p>
        </w:tc>
        <w:tc>
          <w:tcPr>
            <w:tcW w:w="851" w:type="dxa"/>
          </w:tcPr>
          <w:p>
            <w:pPr>
              <w:pStyle w:val="yTableNAm"/>
              <w:rPr>
                <w:sz w:val="18"/>
              </w:rPr>
            </w:pPr>
            <w:r>
              <w:rPr>
                <w:sz w:val="18"/>
              </w:rPr>
              <w:t>50</w:t>
            </w:r>
          </w:p>
        </w:tc>
        <w:tc>
          <w:tcPr>
            <w:tcW w:w="1701" w:type="dxa"/>
          </w:tcPr>
          <w:p>
            <w:pPr>
              <w:pStyle w:val="yTableNAm"/>
              <w:rPr>
                <w:sz w:val="18"/>
              </w:rPr>
            </w:pPr>
            <w:r>
              <w:rPr>
                <w:sz w:val="18"/>
              </w:rPr>
              <w:t>Mercury Vapour</w:t>
            </w:r>
          </w:p>
        </w:tc>
        <w:tc>
          <w:tcPr>
            <w:tcW w:w="1275" w:type="dxa"/>
          </w:tcPr>
          <w:p>
            <w:pPr>
              <w:pStyle w:val="yTableNAm"/>
              <w:rPr>
                <w:sz w:val="18"/>
              </w:rPr>
            </w:pPr>
            <w:r>
              <w:rPr>
                <w:sz w:val="18"/>
              </w:rPr>
              <w:t>19.657</w:t>
            </w:r>
          </w:p>
        </w:tc>
        <w:tc>
          <w:tcPr>
            <w:tcW w:w="1276" w:type="dxa"/>
          </w:tcPr>
          <w:p>
            <w:pPr>
              <w:pStyle w:val="yTableNAm"/>
              <w:rPr>
                <w:sz w:val="18"/>
              </w:rPr>
            </w:pPr>
            <w:r>
              <w:rPr>
                <w:sz w:val="18"/>
              </w:rPr>
              <w:t>20.086</w:t>
            </w:r>
          </w:p>
        </w:tc>
        <w:tc>
          <w:tcPr>
            <w:tcW w:w="1134" w:type="dxa"/>
          </w:tcPr>
          <w:p>
            <w:pPr>
              <w:pStyle w:val="yTableNAm"/>
              <w:rPr>
                <w:sz w:val="18"/>
              </w:rPr>
            </w:pPr>
            <w:r>
              <w:rPr>
                <w:sz w:val="18"/>
              </w:rPr>
              <w:t>21.604</w:t>
            </w:r>
          </w:p>
        </w:tc>
      </w:tr>
      <w:tr>
        <w:trPr>
          <w:cantSplit/>
        </w:trPr>
        <w:tc>
          <w:tcPr>
            <w:tcW w:w="567" w:type="dxa"/>
          </w:tcPr>
          <w:p>
            <w:pPr>
              <w:pStyle w:val="yTableNAm"/>
              <w:rPr>
                <w:sz w:val="18"/>
              </w:rPr>
            </w:pPr>
            <w:r>
              <w:rPr>
                <w:sz w:val="18"/>
              </w:rPr>
              <w:t>Z.02</w:t>
            </w:r>
          </w:p>
        </w:tc>
        <w:tc>
          <w:tcPr>
            <w:tcW w:w="851" w:type="dxa"/>
          </w:tcPr>
          <w:p>
            <w:pPr>
              <w:pStyle w:val="yTableNAm"/>
              <w:rPr>
                <w:sz w:val="18"/>
              </w:rPr>
            </w:pPr>
            <w:r>
              <w:rPr>
                <w:sz w:val="18"/>
              </w:rPr>
              <w:t>80</w:t>
            </w:r>
          </w:p>
        </w:tc>
        <w:tc>
          <w:tcPr>
            <w:tcW w:w="1701" w:type="dxa"/>
          </w:tcPr>
          <w:p>
            <w:pPr>
              <w:pStyle w:val="yTableNAm"/>
              <w:rPr>
                <w:sz w:val="18"/>
              </w:rPr>
            </w:pPr>
            <w:r>
              <w:rPr>
                <w:sz w:val="18"/>
              </w:rPr>
              <w:t>Mercury Vapour</w:t>
            </w:r>
          </w:p>
        </w:tc>
        <w:tc>
          <w:tcPr>
            <w:tcW w:w="1275" w:type="dxa"/>
          </w:tcPr>
          <w:p>
            <w:pPr>
              <w:pStyle w:val="yTableNAm"/>
              <w:rPr>
                <w:sz w:val="18"/>
              </w:rPr>
            </w:pPr>
            <w:r>
              <w:rPr>
                <w:sz w:val="18"/>
              </w:rPr>
              <w:t>23.155</w:t>
            </w:r>
          </w:p>
        </w:tc>
        <w:tc>
          <w:tcPr>
            <w:tcW w:w="1276" w:type="dxa"/>
          </w:tcPr>
          <w:p>
            <w:pPr>
              <w:pStyle w:val="yTableNAm"/>
              <w:rPr>
                <w:sz w:val="18"/>
              </w:rPr>
            </w:pPr>
            <w:r>
              <w:rPr>
                <w:sz w:val="18"/>
              </w:rPr>
              <w:t>23.672</w:t>
            </w:r>
          </w:p>
        </w:tc>
        <w:tc>
          <w:tcPr>
            <w:tcW w:w="1134" w:type="dxa"/>
          </w:tcPr>
          <w:p>
            <w:pPr>
              <w:pStyle w:val="yTableNAm"/>
              <w:rPr>
                <w:sz w:val="18"/>
              </w:rPr>
            </w:pPr>
            <w:r>
              <w:rPr>
                <w:sz w:val="18"/>
              </w:rPr>
              <w:t>26.037</w:t>
            </w:r>
          </w:p>
        </w:tc>
      </w:tr>
      <w:tr>
        <w:trPr>
          <w:cantSplit/>
        </w:trPr>
        <w:tc>
          <w:tcPr>
            <w:tcW w:w="567" w:type="dxa"/>
          </w:tcPr>
          <w:p>
            <w:pPr>
              <w:pStyle w:val="yTableNAm"/>
              <w:rPr>
                <w:sz w:val="18"/>
              </w:rPr>
            </w:pPr>
            <w:r>
              <w:rPr>
                <w:sz w:val="18"/>
              </w:rPr>
              <w:t>Z.03</w:t>
            </w:r>
          </w:p>
        </w:tc>
        <w:tc>
          <w:tcPr>
            <w:tcW w:w="851" w:type="dxa"/>
          </w:tcPr>
          <w:p>
            <w:pPr>
              <w:pStyle w:val="yTableNAm"/>
              <w:rPr>
                <w:sz w:val="18"/>
              </w:rPr>
            </w:pPr>
            <w:r>
              <w:rPr>
                <w:sz w:val="18"/>
              </w:rPr>
              <w:t>125</w:t>
            </w:r>
          </w:p>
        </w:tc>
        <w:tc>
          <w:tcPr>
            <w:tcW w:w="1701" w:type="dxa"/>
          </w:tcPr>
          <w:p>
            <w:pPr>
              <w:pStyle w:val="yTableNAm"/>
              <w:rPr>
                <w:sz w:val="18"/>
              </w:rPr>
            </w:pPr>
            <w:r>
              <w:rPr>
                <w:sz w:val="18"/>
              </w:rPr>
              <w:t>Mercury Vapour</w:t>
            </w:r>
          </w:p>
        </w:tc>
        <w:tc>
          <w:tcPr>
            <w:tcW w:w="1275" w:type="dxa"/>
          </w:tcPr>
          <w:p>
            <w:pPr>
              <w:pStyle w:val="yTableNAm"/>
              <w:rPr>
                <w:sz w:val="18"/>
              </w:rPr>
            </w:pPr>
            <w:r>
              <w:rPr>
                <w:sz w:val="18"/>
              </w:rPr>
              <w:t>28.633</w:t>
            </w:r>
          </w:p>
        </w:tc>
        <w:tc>
          <w:tcPr>
            <w:tcW w:w="1276" w:type="dxa"/>
          </w:tcPr>
          <w:p>
            <w:pPr>
              <w:pStyle w:val="yTableNAm"/>
              <w:rPr>
                <w:sz w:val="18"/>
              </w:rPr>
            </w:pPr>
            <w:r>
              <w:rPr>
                <w:sz w:val="18"/>
              </w:rPr>
              <w:t>29.557</w:t>
            </w:r>
          </w:p>
        </w:tc>
        <w:tc>
          <w:tcPr>
            <w:tcW w:w="1134" w:type="dxa"/>
          </w:tcPr>
          <w:p>
            <w:pPr>
              <w:pStyle w:val="yTableNAm"/>
              <w:rPr>
                <w:sz w:val="18"/>
              </w:rPr>
            </w:pPr>
            <w:r>
              <w:rPr>
                <w:sz w:val="18"/>
              </w:rPr>
              <w:t>32.912</w:t>
            </w:r>
          </w:p>
        </w:tc>
      </w:tr>
      <w:tr>
        <w:trPr>
          <w:cantSplit/>
        </w:trPr>
        <w:tc>
          <w:tcPr>
            <w:tcW w:w="567" w:type="dxa"/>
          </w:tcPr>
          <w:p>
            <w:pPr>
              <w:pStyle w:val="yTableNAm"/>
              <w:rPr>
                <w:sz w:val="18"/>
              </w:rPr>
            </w:pPr>
            <w:r>
              <w:rPr>
                <w:sz w:val="18"/>
              </w:rPr>
              <w:t>Z.04</w:t>
            </w:r>
          </w:p>
        </w:tc>
        <w:tc>
          <w:tcPr>
            <w:tcW w:w="851" w:type="dxa"/>
          </w:tcPr>
          <w:p>
            <w:pPr>
              <w:pStyle w:val="yTableNAm"/>
              <w:rPr>
                <w:sz w:val="18"/>
              </w:rPr>
            </w:pPr>
            <w:r>
              <w:rPr>
                <w:sz w:val="18"/>
              </w:rPr>
              <w:t>140</w:t>
            </w:r>
          </w:p>
        </w:tc>
        <w:tc>
          <w:tcPr>
            <w:tcW w:w="1701" w:type="dxa"/>
          </w:tcPr>
          <w:p>
            <w:pPr>
              <w:pStyle w:val="yTableNAm"/>
              <w:rPr>
                <w:sz w:val="18"/>
              </w:rPr>
            </w:pPr>
            <w:r>
              <w:rPr>
                <w:sz w:val="18"/>
              </w:rPr>
              <w:t xml:space="preserve">Low Pressure Sodium </w:t>
            </w:r>
          </w:p>
        </w:tc>
        <w:tc>
          <w:tcPr>
            <w:tcW w:w="1275" w:type="dxa"/>
          </w:tcPr>
          <w:p>
            <w:pPr>
              <w:pStyle w:val="yTableNAm"/>
              <w:rPr>
                <w:sz w:val="18"/>
              </w:rPr>
            </w:pPr>
            <w:r>
              <w:rPr>
                <w:sz w:val="18"/>
              </w:rPr>
              <w:br/>
              <w:t>29.304</w:t>
            </w:r>
          </w:p>
        </w:tc>
        <w:tc>
          <w:tcPr>
            <w:tcW w:w="1276" w:type="dxa"/>
          </w:tcPr>
          <w:p>
            <w:pPr>
              <w:pStyle w:val="yTableNAm"/>
              <w:rPr>
                <w:sz w:val="18"/>
              </w:rPr>
            </w:pPr>
            <w:r>
              <w:rPr>
                <w:sz w:val="18"/>
              </w:rPr>
              <w:br/>
              <w:t>30.261</w:t>
            </w:r>
          </w:p>
        </w:tc>
        <w:tc>
          <w:tcPr>
            <w:tcW w:w="1134" w:type="dxa"/>
          </w:tcPr>
          <w:p>
            <w:pPr>
              <w:pStyle w:val="yTableNAm"/>
              <w:rPr>
                <w:sz w:val="18"/>
              </w:rPr>
            </w:pPr>
            <w:r>
              <w:rPr>
                <w:sz w:val="18"/>
              </w:rPr>
              <w:br/>
              <w:t>34.100</w:t>
            </w:r>
          </w:p>
        </w:tc>
      </w:tr>
      <w:tr>
        <w:trPr>
          <w:cantSplit/>
        </w:trPr>
        <w:tc>
          <w:tcPr>
            <w:tcW w:w="567" w:type="dxa"/>
          </w:tcPr>
          <w:p>
            <w:pPr>
              <w:pStyle w:val="yTableNAm"/>
              <w:rPr>
                <w:sz w:val="18"/>
              </w:rPr>
            </w:pPr>
            <w:r>
              <w:rPr>
                <w:sz w:val="18"/>
              </w:rPr>
              <w:t>Z.07</w:t>
            </w:r>
          </w:p>
        </w:tc>
        <w:tc>
          <w:tcPr>
            <w:tcW w:w="851" w:type="dxa"/>
          </w:tcPr>
          <w:p>
            <w:pPr>
              <w:pStyle w:val="yTableNAm"/>
              <w:rPr>
                <w:sz w:val="18"/>
              </w:rPr>
            </w:pPr>
            <w:r>
              <w:rPr>
                <w:sz w:val="18"/>
              </w:rPr>
              <w:t>250</w:t>
            </w:r>
          </w:p>
        </w:tc>
        <w:tc>
          <w:tcPr>
            <w:tcW w:w="1701" w:type="dxa"/>
          </w:tcPr>
          <w:p>
            <w:pPr>
              <w:pStyle w:val="yTableNAm"/>
              <w:rPr>
                <w:sz w:val="18"/>
              </w:rPr>
            </w:pPr>
            <w:r>
              <w:rPr>
                <w:sz w:val="18"/>
              </w:rPr>
              <w:t>Mercury Vapour</w:t>
            </w:r>
          </w:p>
        </w:tc>
        <w:tc>
          <w:tcPr>
            <w:tcW w:w="1275" w:type="dxa"/>
          </w:tcPr>
          <w:p>
            <w:pPr>
              <w:pStyle w:val="yTableNAm"/>
              <w:rPr>
                <w:sz w:val="18"/>
              </w:rPr>
            </w:pPr>
            <w:r>
              <w:rPr>
                <w:sz w:val="18"/>
              </w:rPr>
              <w:t>35.530</w:t>
            </w:r>
          </w:p>
        </w:tc>
        <w:tc>
          <w:tcPr>
            <w:tcW w:w="1276" w:type="dxa"/>
          </w:tcPr>
          <w:p>
            <w:pPr>
              <w:pStyle w:val="yTableNAm"/>
              <w:rPr>
                <w:sz w:val="18"/>
              </w:rPr>
            </w:pPr>
            <w:r>
              <w:rPr>
                <w:sz w:val="18"/>
              </w:rPr>
              <w:t>37.334</w:t>
            </w:r>
          </w:p>
        </w:tc>
        <w:tc>
          <w:tcPr>
            <w:tcW w:w="1134" w:type="dxa"/>
          </w:tcPr>
          <w:p>
            <w:pPr>
              <w:pStyle w:val="yTableNAm"/>
              <w:rPr>
                <w:sz w:val="18"/>
              </w:rPr>
            </w:pPr>
            <w:r>
              <w:rPr>
                <w:sz w:val="18"/>
              </w:rPr>
              <w:t>44.077</w:t>
            </w:r>
          </w:p>
        </w:tc>
      </w:tr>
      <w:tr>
        <w:trPr>
          <w:cantSplit/>
        </w:trPr>
        <w:tc>
          <w:tcPr>
            <w:tcW w:w="567" w:type="dxa"/>
          </w:tcPr>
          <w:p>
            <w:pPr>
              <w:pStyle w:val="yTableNAm"/>
              <w:rPr>
                <w:sz w:val="18"/>
              </w:rPr>
            </w:pPr>
            <w:r>
              <w:rPr>
                <w:sz w:val="18"/>
              </w:rPr>
              <w:t>Z.10</w:t>
            </w:r>
          </w:p>
        </w:tc>
        <w:tc>
          <w:tcPr>
            <w:tcW w:w="851" w:type="dxa"/>
          </w:tcPr>
          <w:p>
            <w:pPr>
              <w:pStyle w:val="yTableNAm"/>
              <w:rPr>
                <w:sz w:val="18"/>
              </w:rPr>
            </w:pPr>
            <w:r>
              <w:rPr>
                <w:sz w:val="18"/>
              </w:rPr>
              <w:t>400</w:t>
            </w:r>
          </w:p>
        </w:tc>
        <w:tc>
          <w:tcPr>
            <w:tcW w:w="1701" w:type="dxa"/>
          </w:tcPr>
          <w:p>
            <w:pPr>
              <w:pStyle w:val="yTableNAm"/>
              <w:rPr>
                <w:sz w:val="18"/>
              </w:rPr>
            </w:pPr>
            <w:r>
              <w:rPr>
                <w:sz w:val="18"/>
              </w:rPr>
              <w:t>Mercury Vapour</w:t>
            </w:r>
          </w:p>
        </w:tc>
        <w:tc>
          <w:tcPr>
            <w:tcW w:w="1275" w:type="dxa"/>
          </w:tcPr>
          <w:p>
            <w:pPr>
              <w:pStyle w:val="yTableNAm"/>
              <w:rPr>
                <w:sz w:val="18"/>
              </w:rPr>
            </w:pPr>
            <w:r>
              <w:rPr>
                <w:sz w:val="18"/>
              </w:rPr>
              <w:t>52.635</w:t>
            </w:r>
          </w:p>
        </w:tc>
        <w:tc>
          <w:tcPr>
            <w:tcW w:w="1276" w:type="dxa"/>
          </w:tcPr>
          <w:p>
            <w:pPr>
              <w:pStyle w:val="yTableNAm"/>
              <w:rPr>
                <w:sz w:val="18"/>
              </w:rPr>
            </w:pPr>
            <w:r>
              <w:rPr>
                <w:sz w:val="18"/>
              </w:rPr>
              <w:t>55.385</w:t>
            </w:r>
          </w:p>
        </w:tc>
        <w:tc>
          <w:tcPr>
            <w:tcW w:w="1134" w:type="dxa"/>
          </w:tcPr>
          <w:p>
            <w:pPr>
              <w:pStyle w:val="yTableNAm"/>
              <w:rPr>
                <w:sz w:val="18"/>
              </w:rPr>
            </w:pPr>
            <w:r>
              <w:rPr>
                <w:sz w:val="18"/>
              </w:rPr>
              <w:t>65.912</w:t>
            </w:r>
          </w:p>
        </w:tc>
      </w:tr>
      <w:tr>
        <w:trPr>
          <w:cantSplit/>
        </w:trPr>
        <w:tc>
          <w:tcPr>
            <w:tcW w:w="567" w:type="dxa"/>
          </w:tcPr>
          <w:p>
            <w:pPr>
              <w:pStyle w:val="yTableNAm"/>
              <w:rPr>
                <w:sz w:val="18"/>
              </w:rPr>
            </w:pPr>
            <w:r>
              <w:rPr>
                <w:sz w:val="18"/>
              </w:rPr>
              <w:t>Z.13</w:t>
            </w:r>
          </w:p>
        </w:tc>
        <w:tc>
          <w:tcPr>
            <w:tcW w:w="851" w:type="dxa"/>
          </w:tcPr>
          <w:p>
            <w:pPr>
              <w:pStyle w:val="yTableNAm"/>
              <w:rPr>
                <w:sz w:val="18"/>
              </w:rPr>
            </w:pPr>
            <w:r>
              <w:rPr>
                <w:sz w:val="18"/>
              </w:rPr>
              <w:t>150</w:t>
            </w:r>
          </w:p>
        </w:tc>
        <w:tc>
          <w:tcPr>
            <w:tcW w:w="1701" w:type="dxa"/>
          </w:tcPr>
          <w:p>
            <w:pPr>
              <w:pStyle w:val="yTableNAm"/>
              <w:rPr>
                <w:sz w:val="18"/>
              </w:rPr>
            </w:pPr>
            <w:r>
              <w:rPr>
                <w:sz w:val="18"/>
              </w:rPr>
              <w:t>High Pressure Sodium</w:t>
            </w:r>
          </w:p>
        </w:tc>
        <w:tc>
          <w:tcPr>
            <w:tcW w:w="1275" w:type="dxa"/>
          </w:tcPr>
          <w:p>
            <w:pPr>
              <w:pStyle w:val="yTableNAm"/>
              <w:rPr>
                <w:sz w:val="18"/>
              </w:rPr>
            </w:pPr>
            <w:r>
              <w:rPr>
                <w:sz w:val="18"/>
              </w:rPr>
              <w:br/>
              <w:t>27.126</w:t>
            </w:r>
          </w:p>
        </w:tc>
        <w:tc>
          <w:tcPr>
            <w:tcW w:w="1276" w:type="dxa"/>
          </w:tcPr>
          <w:p>
            <w:pPr>
              <w:pStyle w:val="yTableNAm"/>
              <w:rPr>
                <w:sz w:val="18"/>
              </w:rPr>
            </w:pPr>
            <w:r>
              <w:rPr>
                <w:sz w:val="18"/>
              </w:rPr>
              <w:br/>
              <w:t>28.116</w:t>
            </w:r>
          </w:p>
        </w:tc>
        <w:tc>
          <w:tcPr>
            <w:tcW w:w="1134" w:type="dxa"/>
          </w:tcPr>
          <w:p>
            <w:pPr>
              <w:pStyle w:val="yTableNAm"/>
              <w:rPr>
                <w:sz w:val="18"/>
              </w:rPr>
            </w:pPr>
            <w:r>
              <w:rPr>
                <w:sz w:val="18"/>
              </w:rPr>
              <w:br/>
              <w:t>33.682</w:t>
            </w:r>
          </w:p>
        </w:tc>
      </w:tr>
      <w:tr>
        <w:trPr>
          <w:cantSplit/>
        </w:trPr>
        <w:tc>
          <w:tcPr>
            <w:tcW w:w="567" w:type="dxa"/>
          </w:tcPr>
          <w:p>
            <w:pPr>
              <w:pStyle w:val="yTableNAm"/>
              <w:rPr>
                <w:sz w:val="18"/>
              </w:rPr>
            </w:pPr>
            <w:r>
              <w:rPr>
                <w:sz w:val="18"/>
              </w:rPr>
              <w:t>Z.15</w:t>
            </w:r>
          </w:p>
        </w:tc>
        <w:tc>
          <w:tcPr>
            <w:tcW w:w="851" w:type="dxa"/>
          </w:tcPr>
          <w:p>
            <w:pPr>
              <w:pStyle w:val="yTableNAm"/>
              <w:rPr>
                <w:sz w:val="18"/>
              </w:rPr>
            </w:pPr>
            <w:r>
              <w:rPr>
                <w:sz w:val="18"/>
              </w:rPr>
              <w:t>250</w:t>
            </w:r>
          </w:p>
        </w:tc>
        <w:tc>
          <w:tcPr>
            <w:tcW w:w="1701" w:type="dxa"/>
          </w:tcPr>
          <w:p>
            <w:pPr>
              <w:pStyle w:val="yTableNAm"/>
              <w:rPr>
                <w:sz w:val="18"/>
              </w:rPr>
            </w:pPr>
            <w:r>
              <w:rPr>
                <w:sz w:val="18"/>
              </w:rPr>
              <w:t>High Pressure Sodium</w:t>
            </w:r>
          </w:p>
        </w:tc>
        <w:tc>
          <w:tcPr>
            <w:tcW w:w="1275" w:type="dxa"/>
          </w:tcPr>
          <w:p>
            <w:pPr>
              <w:pStyle w:val="yTableNAm"/>
              <w:rPr>
                <w:sz w:val="18"/>
              </w:rPr>
            </w:pPr>
            <w:r>
              <w:rPr>
                <w:sz w:val="18"/>
              </w:rPr>
              <w:br/>
              <w:t>40.205</w:t>
            </w:r>
          </w:p>
        </w:tc>
        <w:tc>
          <w:tcPr>
            <w:tcW w:w="1276" w:type="dxa"/>
          </w:tcPr>
          <w:p>
            <w:pPr>
              <w:pStyle w:val="yTableNAm"/>
              <w:rPr>
                <w:sz w:val="18"/>
              </w:rPr>
            </w:pPr>
            <w:r>
              <w:rPr>
                <w:sz w:val="18"/>
              </w:rPr>
              <w:br/>
              <w:t>42.350</w:t>
            </w:r>
          </w:p>
        </w:tc>
        <w:tc>
          <w:tcPr>
            <w:tcW w:w="1134" w:type="dxa"/>
          </w:tcPr>
          <w:p>
            <w:pPr>
              <w:pStyle w:val="yTableNAm"/>
              <w:rPr>
                <w:sz w:val="18"/>
              </w:rPr>
            </w:pPr>
            <w:r>
              <w:rPr>
                <w:sz w:val="18"/>
              </w:rPr>
              <w:br/>
              <w:t>50.611</w:t>
            </w:r>
          </w:p>
        </w:tc>
      </w:tr>
      <w:tr>
        <w:trPr>
          <w:cantSplit/>
        </w:trPr>
        <w:tc>
          <w:tcPr>
            <w:tcW w:w="567" w:type="dxa"/>
          </w:tcPr>
          <w:p>
            <w:pPr>
              <w:pStyle w:val="yTableNAm"/>
              <w:rPr>
                <w:sz w:val="18"/>
              </w:rPr>
            </w:pPr>
            <w:r>
              <w:rPr>
                <w:sz w:val="18"/>
              </w:rPr>
              <w:t>Z.18</w:t>
            </w:r>
          </w:p>
        </w:tc>
        <w:tc>
          <w:tcPr>
            <w:tcW w:w="851" w:type="dxa"/>
          </w:tcPr>
          <w:p>
            <w:pPr>
              <w:pStyle w:val="yTableNAm"/>
              <w:rPr>
                <w:sz w:val="18"/>
              </w:rPr>
            </w:pPr>
            <w:r>
              <w:rPr>
                <w:sz w:val="18"/>
              </w:rPr>
              <w:t>per kW</w:t>
            </w:r>
          </w:p>
        </w:tc>
        <w:tc>
          <w:tcPr>
            <w:tcW w:w="1701" w:type="dxa"/>
          </w:tcPr>
          <w:p>
            <w:pPr>
              <w:pStyle w:val="yTableNAm"/>
              <w:rPr>
                <w:sz w:val="18"/>
              </w:rPr>
            </w:pPr>
            <w:r>
              <w:rPr>
                <w:sz w:val="18"/>
              </w:rPr>
              <w:t>Auxiliary Lighting in Public Places</w:t>
            </w:r>
          </w:p>
        </w:tc>
        <w:tc>
          <w:tcPr>
            <w:tcW w:w="1275" w:type="dxa"/>
          </w:tcPr>
          <w:p>
            <w:pPr>
              <w:pStyle w:val="yTableNAm"/>
              <w:rPr>
                <w:sz w:val="18"/>
              </w:rPr>
            </w:pPr>
            <w:r>
              <w:rPr>
                <w:sz w:val="18"/>
              </w:rPr>
              <w:br/>
              <w:t>115.181</w:t>
            </w:r>
          </w:p>
        </w:tc>
        <w:tc>
          <w:tcPr>
            <w:tcW w:w="1276" w:type="dxa"/>
          </w:tcPr>
          <w:p>
            <w:pPr>
              <w:pStyle w:val="yTableNAm"/>
              <w:rPr>
                <w:sz w:val="18"/>
              </w:rPr>
            </w:pPr>
            <w:r>
              <w:rPr>
                <w:sz w:val="18"/>
              </w:rPr>
              <w:br/>
              <w:t>121.583</w:t>
            </w:r>
          </w:p>
        </w:tc>
        <w:tc>
          <w:tcPr>
            <w:tcW w:w="1134" w:type="dxa"/>
          </w:tcPr>
          <w:p>
            <w:pPr>
              <w:pStyle w:val="yTableNAm"/>
              <w:rPr>
                <w:sz w:val="18"/>
              </w:rPr>
            </w:pPr>
            <w:r>
              <w:rPr>
                <w:sz w:val="18"/>
              </w:rPr>
              <w:br/>
              <w:t>146.762</w:t>
            </w:r>
          </w:p>
        </w:tc>
      </w:tr>
      <w:tr>
        <w:trPr>
          <w:cantSplit/>
        </w:trPr>
        <w:tc>
          <w:tcPr>
            <w:tcW w:w="6804" w:type="dxa"/>
            <w:gridSpan w:val="6"/>
          </w:tcPr>
          <w:p>
            <w:pPr>
              <w:pStyle w:val="yTableNAm"/>
              <w:rPr>
                <w:i/>
                <w:iCs/>
                <w:sz w:val="18"/>
              </w:rPr>
            </w:pPr>
            <w:r>
              <w:rPr>
                <w:i/>
                <w:iCs/>
                <w:sz w:val="18"/>
              </w:rPr>
              <w:t>Street lighting for existing services only</w:t>
            </w:r>
          </w:p>
        </w:tc>
      </w:tr>
      <w:tr>
        <w:trPr>
          <w:cantSplit/>
        </w:trPr>
        <w:tc>
          <w:tcPr>
            <w:tcW w:w="567" w:type="dxa"/>
          </w:tcPr>
          <w:p>
            <w:pPr>
              <w:pStyle w:val="yTableNAm"/>
              <w:rPr>
                <w:sz w:val="18"/>
              </w:rPr>
            </w:pPr>
            <w:r>
              <w:rPr>
                <w:sz w:val="18"/>
              </w:rPr>
              <w:t>Z.05</w:t>
            </w:r>
          </w:p>
        </w:tc>
        <w:tc>
          <w:tcPr>
            <w:tcW w:w="851" w:type="dxa"/>
          </w:tcPr>
          <w:p>
            <w:pPr>
              <w:pStyle w:val="yTableNAm"/>
              <w:rPr>
                <w:sz w:val="18"/>
              </w:rPr>
            </w:pPr>
            <w:r>
              <w:rPr>
                <w:sz w:val="18"/>
              </w:rPr>
              <w:t>250</w:t>
            </w:r>
          </w:p>
        </w:tc>
        <w:tc>
          <w:tcPr>
            <w:tcW w:w="1701" w:type="dxa"/>
          </w:tcPr>
          <w:p>
            <w:pPr>
              <w:pStyle w:val="yTableNAm"/>
              <w:rPr>
                <w:sz w:val="18"/>
              </w:rPr>
            </w:pPr>
            <w:r>
              <w:rPr>
                <w:sz w:val="18"/>
              </w:rPr>
              <w:t>Mercury Vapour</w:t>
            </w:r>
          </w:p>
        </w:tc>
        <w:tc>
          <w:tcPr>
            <w:tcW w:w="1275" w:type="dxa"/>
          </w:tcPr>
          <w:p>
            <w:pPr>
              <w:pStyle w:val="yTableNAm"/>
              <w:rPr>
                <w:sz w:val="18"/>
              </w:rPr>
            </w:pPr>
            <w:r>
              <w:rPr>
                <w:sz w:val="18"/>
              </w:rPr>
              <w:t>46.046</w:t>
            </w:r>
          </w:p>
        </w:tc>
        <w:tc>
          <w:tcPr>
            <w:tcW w:w="1276" w:type="dxa"/>
          </w:tcPr>
          <w:p>
            <w:pPr>
              <w:pStyle w:val="yTableNAm"/>
              <w:rPr>
                <w:sz w:val="18"/>
              </w:rPr>
            </w:pPr>
            <w:r>
              <w:rPr>
                <w:sz w:val="18"/>
              </w:rPr>
              <w:t>47.839</w:t>
            </w:r>
          </w:p>
        </w:tc>
        <w:tc>
          <w:tcPr>
            <w:tcW w:w="1134" w:type="dxa"/>
          </w:tcPr>
          <w:p>
            <w:pPr>
              <w:pStyle w:val="yTableNAm"/>
              <w:rPr>
                <w:sz w:val="18"/>
              </w:rPr>
            </w:pPr>
            <w:r>
              <w:rPr>
                <w:sz w:val="18"/>
              </w:rPr>
              <w:t>54.593</w:t>
            </w:r>
          </w:p>
        </w:tc>
      </w:tr>
      <w:tr>
        <w:trPr>
          <w:cantSplit/>
        </w:trPr>
        <w:tc>
          <w:tcPr>
            <w:tcW w:w="567" w:type="dxa"/>
          </w:tcPr>
          <w:p>
            <w:pPr>
              <w:pStyle w:val="yTableNAm"/>
              <w:rPr>
                <w:sz w:val="18"/>
              </w:rPr>
            </w:pPr>
            <w:r>
              <w:rPr>
                <w:sz w:val="18"/>
              </w:rPr>
              <w:t>Z.06</w:t>
            </w:r>
          </w:p>
        </w:tc>
        <w:tc>
          <w:tcPr>
            <w:tcW w:w="851" w:type="dxa"/>
          </w:tcPr>
          <w:p>
            <w:pPr>
              <w:pStyle w:val="yTableNAm"/>
              <w:rPr>
                <w:sz w:val="18"/>
              </w:rPr>
            </w:pPr>
            <w:r>
              <w:rPr>
                <w:sz w:val="18"/>
              </w:rPr>
              <w:t>400</w:t>
            </w:r>
          </w:p>
        </w:tc>
        <w:tc>
          <w:tcPr>
            <w:tcW w:w="1701" w:type="dxa"/>
          </w:tcPr>
          <w:p>
            <w:pPr>
              <w:pStyle w:val="yTableNAm"/>
              <w:rPr>
                <w:sz w:val="18"/>
              </w:rPr>
            </w:pPr>
            <w:r>
              <w:rPr>
                <w:sz w:val="18"/>
              </w:rPr>
              <w:t>Mercury Vapour</w:t>
            </w:r>
          </w:p>
        </w:tc>
        <w:tc>
          <w:tcPr>
            <w:tcW w:w="1275" w:type="dxa"/>
          </w:tcPr>
          <w:p>
            <w:pPr>
              <w:pStyle w:val="yTableNAm"/>
              <w:rPr>
                <w:sz w:val="18"/>
              </w:rPr>
            </w:pPr>
            <w:r>
              <w:rPr>
                <w:sz w:val="18"/>
              </w:rPr>
              <w:t>63.151</w:t>
            </w:r>
          </w:p>
        </w:tc>
        <w:tc>
          <w:tcPr>
            <w:tcW w:w="1276" w:type="dxa"/>
          </w:tcPr>
          <w:p>
            <w:pPr>
              <w:pStyle w:val="yTableNAm"/>
              <w:rPr>
                <w:sz w:val="18"/>
              </w:rPr>
            </w:pPr>
            <w:r>
              <w:rPr>
                <w:sz w:val="18"/>
              </w:rPr>
              <w:t>65.912</w:t>
            </w:r>
          </w:p>
        </w:tc>
        <w:tc>
          <w:tcPr>
            <w:tcW w:w="1134" w:type="dxa"/>
          </w:tcPr>
          <w:p>
            <w:pPr>
              <w:pStyle w:val="yTableNAm"/>
              <w:rPr>
                <w:sz w:val="18"/>
              </w:rPr>
            </w:pPr>
            <w:r>
              <w:rPr>
                <w:sz w:val="18"/>
              </w:rPr>
              <w:t>76.384</w:t>
            </w:r>
          </w:p>
        </w:tc>
      </w:tr>
      <w:tr>
        <w:trPr>
          <w:cantSplit/>
        </w:trPr>
        <w:tc>
          <w:tcPr>
            <w:tcW w:w="567" w:type="dxa"/>
          </w:tcPr>
          <w:p>
            <w:pPr>
              <w:pStyle w:val="yTableNAm"/>
              <w:rPr>
                <w:sz w:val="18"/>
              </w:rPr>
            </w:pPr>
            <w:r>
              <w:rPr>
                <w:sz w:val="18"/>
              </w:rPr>
              <w:t>Z.08</w:t>
            </w:r>
          </w:p>
        </w:tc>
        <w:tc>
          <w:tcPr>
            <w:tcW w:w="851" w:type="dxa"/>
          </w:tcPr>
          <w:p>
            <w:pPr>
              <w:pStyle w:val="yTableNAm"/>
              <w:rPr>
                <w:sz w:val="18"/>
              </w:rPr>
            </w:pPr>
            <w:r>
              <w:rPr>
                <w:sz w:val="18"/>
              </w:rPr>
              <w:t>250</w:t>
            </w:r>
          </w:p>
        </w:tc>
        <w:tc>
          <w:tcPr>
            <w:tcW w:w="1701" w:type="dxa"/>
          </w:tcPr>
          <w:p>
            <w:pPr>
              <w:pStyle w:val="yTableNAm"/>
              <w:rPr>
                <w:sz w:val="18"/>
              </w:rPr>
            </w:pPr>
            <w:r>
              <w:rPr>
                <w:sz w:val="18"/>
              </w:rPr>
              <w:t>Mercury Vapour 50% E.C. cost</w:t>
            </w:r>
          </w:p>
        </w:tc>
        <w:tc>
          <w:tcPr>
            <w:tcW w:w="1275" w:type="dxa"/>
          </w:tcPr>
          <w:p>
            <w:pPr>
              <w:pStyle w:val="yTableNAm"/>
              <w:rPr>
                <w:sz w:val="18"/>
              </w:rPr>
            </w:pPr>
            <w:r>
              <w:rPr>
                <w:sz w:val="18"/>
              </w:rPr>
              <w:br/>
              <w:t>40.777</w:t>
            </w:r>
          </w:p>
        </w:tc>
        <w:tc>
          <w:tcPr>
            <w:tcW w:w="1276" w:type="dxa"/>
          </w:tcPr>
          <w:p>
            <w:pPr>
              <w:pStyle w:val="yTableNAm"/>
              <w:rPr>
                <w:sz w:val="18"/>
              </w:rPr>
            </w:pPr>
            <w:r>
              <w:rPr>
                <w:sz w:val="18"/>
              </w:rPr>
              <w:br/>
              <w:t>42.559</w:t>
            </w:r>
          </w:p>
        </w:tc>
        <w:tc>
          <w:tcPr>
            <w:tcW w:w="1134" w:type="dxa"/>
          </w:tcPr>
          <w:p>
            <w:pPr>
              <w:pStyle w:val="yTableNAm"/>
              <w:rPr>
                <w:sz w:val="18"/>
              </w:rPr>
            </w:pPr>
            <w:r>
              <w:rPr>
                <w:sz w:val="18"/>
              </w:rPr>
              <w:br/>
              <w:t>49.335</w:t>
            </w:r>
          </w:p>
        </w:tc>
      </w:tr>
      <w:tr>
        <w:trPr>
          <w:cantSplit/>
        </w:trPr>
        <w:tc>
          <w:tcPr>
            <w:tcW w:w="567" w:type="dxa"/>
          </w:tcPr>
          <w:p>
            <w:pPr>
              <w:pStyle w:val="yTableNAm"/>
              <w:rPr>
                <w:sz w:val="18"/>
              </w:rPr>
            </w:pPr>
            <w:r>
              <w:rPr>
                <w:sz w:val="18"/>
              </w:rPr>
              <w:t>Z.09</w:t>
            </w:r>
          </w:p>
        </w:tc>
        <w:tc>
          <w:tcPr>
            <w:tcW w:w="851" w:type="dxa"/>
          </w:tcPr>
          <w:p>
            <w:pPr>
              <w:pStyle w:val="yTableNAm"/>
              <w:rPr>
                <w:sz w:val="18"/>
              </w:rPr>
            </w:pPr>
            <w:r>
              <w:rPr>
                <w:sz w:val="18"/>
              </w:rPr>
              <w:t>250</w:t>
            </w:r>
          </w:p>
        </w:tc>
        <w:tc>
          <w:tcPr>
            <w:tcW w:w="1701" w:type="dxa"/>
          </w:tcPr>
          <w:p>
            <w:pPr>
              <w:pStyle w:val="yTableNAm"/>
              <w:rPr>
                <w:sz w:val="18"/>
              </w:rPr>
            </w:pPr>
            <w:r>
              <w:rPr>
                <w:sz w:val="18"/>
              </w:rPr>
              <w:t>Mercury Vapour 100% E.C. cost</w:t>
            </w:r>
          </w:p>
        </w:tc>
        <w:tc>
          <w:tcPr>
            <w:tcW w:w="1275" w:type="dxa"/>
          </w:tcPr>
          <w:p>
            <w:pPr>
              <w:pStyle w:val="yTableNAm"/>
              <w:rPr>
                <w:sz w:val="18"/>
              </w:rPr>
            </w:pPr>
            <w:r>
              <w:rPr>
                <w:sz w:val="18"/>
              </w:rPr>
              <w:br/>
              <w:t>46.046</w:t>
            </w:r>
          </w:p>
        </w:tc>
        <w:tc>
          <w:tcPr>
            <w:tcW w:w="1276" w:type="dxa"/>
          </w:tcPr>
          <w:p>
            <w:pPr>
              <w:pStyle w:val="yTableNAm"/>
              <w:rPr>
                <w:sz w:val="18"/>
              </w:rPr>
            </w:pPr>
            <w:r>
              <w:rPr>
                <w:sz w:val="18"/>
              </w:rPr>
              <w:br/>
              <w:t>47.839</w:t>
            </w:r>
          </w:p>
        </w:tc>
        <w:tc>
          <w:tcPr>
            <w:tcW w:w="1134" w:type="dxa"/>
          </w:tcPr>
          <w:p>
            <w:pPr>
              <w:pStyle w:val="yTableNAm"/>
              <w:rPr>
                <w:sz w:val="18"/>
              </w:rPr>
            </w:pPr>
            <w:r>
              <w:rPr>
                <w:sz w:val="18"/>
              </w:rPr>
              <w:br/>
              <w:t>54.593</w:t>
            </w:r>
          </w:p>
        </w:tc>
      </w:tr>
      <w:tr>
        <w:trPr>
          <w:cantSplit/>
        </w:trPr>
        <w:tc>
          <w:tcPr>
            <w:tcW w:w="567" w:type="dxa"/>
          </w:tcPr>
          <w:p>
            <w:pPr>
              <w:pStyle w:val="yTableNAm"/>
              <w:rPr>
                <w:sz w:val="18"/>
              </w:rPr>
            </w:pPr>
            <w:r>
              <w:rPr>
                <w:sz w:val="18"/>
              </w:rPr>
              <w:t>Z.11</w:t>
            </w:r>
          </w:p>
        </w:tc>
        <w:tc>
          <w:tcPr>
            <w:tcW w:w="851" w:type="dxa"/>
          </w:tcPr>
          <w:p>
            <w:pPr>
              <w:pStyle w:val="yTableNAm"/>
              <w:rPr>
                <w:sz w:val="18"/>
              </w:rPr>
            </w:pPr>
            <w:r>
              <w:rPr>
                <w:sz w:val="18"/>
              </w:rPr>
              <w:t>400</w:t>
            </w:r>
          </w:p>
        </w:tc>
        <w:tc>
          <w:tcPr>
            <w:tcW w:w="1701" w:type="dxa"/>
          </w:tcPr>
          <w:p>
            <w:pPr>
              <w:pStyle w:val="yTableNAm"/>
              <w:rPr>
                <w:sz w:val="18"/>
              </w:rPr>
            </w:pPr>
            <w:r>
              <w:rPr>
                <w:sz w:val="18"/>
              </w:rPr>
              <w:t>Mercury Vapour 50% E.C. cost</w:t>
            </w:r>
          </w:p>
        </w:tc>
        <w:tc>
          <w:tcPr>
            <w:tcW w:w="1275" w:type="dxa"/>
          </w:tcPr>
          <w:p>
            <w:pPr>
              <w:pStyle w:val="yTableNAm"/>
              <w:rPr>
                <w:sz w:val="18"/>
              </w:rPr>
            </w:pPr>
            <w:r>
              <w:rPr>
                <w:sz w:val="18"/>
              </w:rPr>
              <w:br/>
              <w:t>57.893</w:t>
            </w:r>
          </w:p>
        </w:tc>
        <w:tc>
          <w:tcPr>
            <w:tcW w:w="1276" w:type="dxa"/>
          </w:tcPr>
          <w:p>
            <w:pPr>
              <w:pStyle w:val="yTableNAm"/>
              <w:rPr>
                <w:sz w:val="18"/>
              </w:rPr>
            </w:pPr>
            <w:r>
              <w:rPr>
                <w:sz w:val="18"/>
              </w:rPr>
              <w:br/>
              <w:t>60.654</w:t>
            </w:r>
          </w:p>
        </w:tc>
        <w:tc>
          <w:tcPr>
            <w:tcW w:w="1134" w:type="dxa"/>
          </w:tcPr>
          <w:p>
            <w:pPr>
              <w:pStyle w:val="yTableNAm"/>
              <w:rPr>
                <w:sz w:val="18"/>
              </w:rPr>
            </w:pPr>
            <w:r>
              <w:rPr>
                <w:sz w:val="18"/>
              </w:rPr>
              <w:br/>
              <w:t>71.137</w:t>
            </w:r>
          </w:p>
        </w:tc>
      </w:tr>
      <w:tr>
        <w:trPr>
          <w:cantSplit/>
        </w:trPr>
        <w:tc>
          <w:tcPr>
            <w:tcW w:w="567" w:type="dxa"/>
          </w:tcPr>
          <w:p>
            <w:pPr>
              <w:pStyle w:val="yTableNAm"/>
              <w:rPr>
                <w:sz w:val="18"/>
              </w:rPr>
            </w:pPr>
            <w:r>
              <w:rPr>
                <w:sz w:val="18"/>
              </w:rPr>
              <w:t>Z.12</w:t>
            </w:r>
          </w:p>
        </w:tc>
        <w:tc>
          <w:tcPr>
            <w:tcW w:w="851" w:type="dxa"/>
          </w:tcPr>
          <w:p>
            <w:pPr>
              <w:pStyle w:val="yTableNAm"/>
              <w:rPr>
                <w:sz w:val="18"/>
              </w:rPr>
            </w:pPr>
            <w:r>
              <w:rPr>
                <w:sz w:val="18"/>
              </w:rPr>
              <w:t>400</w:t>
            </w:r>
          </w:p>
        </w:tc>
        <w:tc>
          <w:tcPr>
            <w:tcW w:w="1701" w:type="dxa"/>
          </w:tcPr>
          <w:p>
            <w:pPr>
              <w:pStyle w:val="yTableNAm"/>
              <w:rPr>
                <w:sz w:val="18"/>
              </w:rPr>
            </w:pPr>
            <w:r>
              <w:rPr>
                <w:sz w:val="18"/>
              </w:rPr>
              <w:t>Mercury Vapour 100% E.C. cost</w:t>
            </w:r>
          </w:p>
        </w:tc>
        <w:tc>
          <w:tcPr>
            <w:tcW w:w="1275" w:type="dxa"/>
          </w:tcPr>
          <w:p>
            <w:pPr>
              <w:pStyle w:val="yTableNAm"/>
              <w:rPr>
                <w:sz w:val="18"/>
              </w:rPr>
            </w:pPr>
            <w:r>
              <w:rPr>
                <w:sz w:val="18"/>
              </w:rPr>
              <w:br/>
              <w:t>63.151</w:t>
            </w:r>
          </w:p>
        </w:tc>
        <w:tc>
          <w:tcPr>
            <w:tcW w:w="1276" w:type="dxa"/>
          </w:tcPr>
          <w:p>
            <w:pPr>
              <w:pStyle w:val="yTableNAm"/>
              <w:rPr>
                <w:sz w:val="18"/>
              </w:rPr>
            </w:pPr>
            <w:r>
              <w:rPr>
                <w:sz w:val="18"/>
              </w:rPr>
              <w:br/>
              <w:t>65.912</w:t>
            </w:r>
          </w:p>
        </w:tc>
        <w:tc>
          <w:tcPr>
            <w:tcW w:w="1134" w:type="dxa"/>
          </w:tcPr>
          <w:p>
            <w:pPr>
              <w:pStyle w:val="yTableNAm"/>
              <w:rPr>
                <w:sz w:val="18"/>
              </w:rPr>
            </w:pPr>
            <w:r>
              <w:rPr>
                <w:sz w:val="18"/>
              </w:rPr>
              <w:br/>
              <w:t>76.384</w:t>
            </w:r>
          </w:p>
        </w:tc>
      </w:tr>
      <w:tr>
        <w:trPr>
          <w:cantSplit/>
        </w:trPr>
        <w:tc>
          <w:tcPr>
            <w:tcW w:w="567" w:type="dxa"/>
          </w:tcPr>
          <w:p>
            <w:pPr>
              <w:pStyle w:val="yTableNAm"/>
              <w:rPr>
                <w:sz w:val="18"/>
              </w:rPr>
            </w:pPr>
            <w:r>
              <w:rPr>
                <w:sz w:val="18"/>
              </w:rPr>
              <w:t>Z.14</w:t>
            </w:r>
          </w:p>
        </w:tc>
        <w:tc>
          <w:tcPr>
            <w:tcW w:w="851" w:type="dxa"/>
          </w:tcPr>
          <w:p>
            <w:pPr>
              <w:pStyle w:val="yTableNAm"/>
              <w:rPr>
                <w:sz w:val="18"/>
              </w:rPr>
            </w:pPr>
            <w:r>
              <w:rPr>
                <w:sz w:val="18"/>
              </w:rPr>
              <w:t>150</w:t>
            </w:r>
          </w:p>
        </w:tc>
        <w:tc>
          <w:tcPr>
            <w:tcW w:w="1701" w:type="dxa"/>
          </w:tcPr>
          <w:p>
            <w:pPr>
              <w:pStyle w:val="yTableNAm"/>
              <w:rPr>
                <w:sz w:val="18"/>
              </w:rPr>
            </w:pPr>
            <w:r>
              <w:rPr>
                <w:sz w:val="18"/>
              </w:rPr>
              <w:t>H.P. Sodium</w:t>
            </w:r>
          </w:p>
        </w:tc>
        <w:tc>
          <w:tcPr>
            <w:tcW w:w="1275" w:type="dxa"/>
          </w:tcPr>
          <w:p>
            <w:pPr>
              <w:pStyle w:val="yTableNAm"/>
              <w:rPr>
                <w:sz w:val="18"/>
              </w:rPr>
            </w:pPr>
            <w:r>
              <w:rPr>
                <w:sz w:val="18"/>
              </w:rPr>
              <w:t>41.844</w:t>
            </w:r>
          </w:p>
        </w:tc>
        <w:tc>
          <w:tcPr>
            <w:tcW w:w="1276" w:type="dxa"/>
          </w:tcPr>
          <w:p>
            <w:pPr>
              <w:pStyle w:val="yTableNAm"/>
              <w:rPr>
                <w:sz w:val="18"/>
              </w:rPr>
            </w:pPr>
            <w:r>
              <w:rPr>
                <w:sz w:val="18"/>
              </w:rPr>
              <w:t>42.823</w:t>
            </w:r>
          </w:p>
        </w:tc>
        <w:tc>
          <w:tcPr>
            <w:tcW w:w="1134" w:type="dxa"/>
          </w:tcPr>
          <w:p>
            <w:pPr>
              <w:pStyle w:val="yTableNAm"/>
              <w:rPr>
                <w:sz w:val="18"/>
              </w:rPr>
            </w:pPr>
            <w:r>
              <w:rPr>
                <w:sz w:val="18"/>
              </w:rPr>
              <w:t>48.367</w:t>
            </w:r>
          </w:p>
        </w:tc>
      </w:tr>
      <w:tr>
        <w:trPr>
          <w:cantSplit/>
        </w:trPr>
        <w:tc>
          <w:tcPr>
            <w:tcW w:w="567" w:type="dxa"/>
          </w:tcPr>
          <w:p>
            <w:pPr>
              <w:pStyle w:val="yTableNAm"/>
              <w:rPr>
                <w:sz w:val="18"/>
              </w:rPr>
            </w:pPr>
            <w:r>
              <w:rPr>
                <w:sz w:val="18"/>
              </w:rPr>
              <w:t>Z.16</w:t>
            </w:r>
          </w:p>
        </w:tc>
        <w:tc>
          <w:tcPr>
            <w:tcW w:w="851" w:type="dxa"/>
          </w:tcPr>
          <w:p>
            <w:pPr>
              <w:pStyle w:val="yTableNAm"/>
              <w:rPr>
                <w:sz w:val="18"/>
              </w:rPr>
            </w:pPr>
            <w:r>
              <w:rPr>
                <w:sz w:val="18"/>
              </w:rPr>
              <w:t>250</w:t>
            </w:r>
          </w:p>
        </w:tc>
        <w:tc>
          <w:tcPr>
            <w:tcW w:w="1701" w:type="dxa"/>
          </w:tcPr>
          <w:p>
            <w:pPr>
              <w:pStyle w:val="yTableNAm"/>
              <w:rPr>
                <w:sz w:val="18"/>
              </w:rPr>
            </w:pPr>
            <w:r>
              <w:rPr>
                <w:sz w:val="18"/>
              </w:rPr>
              <w:t>H.P. Sodium 50% E.C. cost</w:t>
            </w:r>
          </w:p>
        </w:tc>
        <w:tc>
          <w:tcPr>
            <w:tcW w:w="1275" w:type="dxa"/>
          </w:tcPr>
          <w:p>
            <w:pPr>
              <w:pStyle w:val="yTableNAm"/>
              <w:rPr>
                <w:sz w:val="18"/>
              </w:rPr>
            </w:pPr>
            <w:r>
              <w:rPr>
                <w:sz w:val="18"/>
              </w:rPr>
              <w:br/>
              <w:t>48.081</w:t>
            </w:r>
          </w:p>
        </w:tc>
        <w:tc>
          <w:tcPr>
            <w:tcW w:w="1276" w:type="dxa"/>
          </w:tcPr>
          <w:p>
            <w:pPr>
              <w:pStyle w:val="yTableNAm"/>
              <w:rPr>
                <w:sz w:val="18"/>
              </w:rPr>
            </w:pPr>
            <w:r>
              <w:rPr>
                <w:sz w:val="18"/>
              </w:rPr>
              <w:br/>
              <w:t>50.237</w:t>
            </w:r>
          </w:p>
        </w:tc>
        <w:tc>
          <w:tcPr>
            <w:tcW w:w="1134" w:type="dxa"/>
          </w:tcPr>
          <w:p>
            <w:pPr>
              <w:pStyle w:val="yTableNAm"/>
              <w:rPr>
                <w:sz w:val="18"/>
              </w:rPr>
            </w:pPr>
            <w:r>
              <w:rPr>
                <w:sz w:val="18"/>
              </w:rPr>
              <w:br/>
              <w:t>58.487</w:t>
            </w:r>
          </w:p>
        </w:tc>
      </w:tr>
      <w:tr>
        <w:trPr>
          <w:cantSplit/>
        </w:trPr>
        <w:tc>
          <w:tcPr>
            <w:tcW w:w="567" w:type="dxa"/>
          </w:tcPr>
          <w:p>
            <w:pPr>
              <w:pStyle w:val="yTableNAm"/>
              <w:rPr>
                <w:sz w:val="18"/>
              </w:rPr>
            </w:pPr>
            <w:r>
              <w:rPr>
                <w:sz w:val="18"/>
              </w:rPr>
              <w:t>Z.17</w:t>
            </w:r>
          </w:p>
        </w:tc>
        <w:tc>
          <w:tcPr>
            <w:tcW w:w="851" w:type="dxa"/>
          </w:tcPr>
          <w:p>
            <w:pPr>
              <w:pStyle w:val="yTableNAm"/>
              <w:rPr>
                <w:sz w:val="18"/>
              </w:rPr>
            </w:pPr>
            <w:r>
              <w:rPr>
                <w:sz w:val="18"/>
              </w:rPr>
              <w:t>250</w:t>
            </w:r>
          </w:p>
        </w:tc>
        <w:tc>
          <w:tcPr>
            <w:tcW w:w="1701" w:type="dxa"/>
          </w:tcPr>
          <w:p>
            <w:pPr>
              <w:pStyle w:val="yTableNAm"/>
              <w:rPr>
                <w:sz w:val="18"/>
              </w:rPr>
            </w:pPr>
            <w:r>
              <w:rPr>
                <w:sz w:val="18"/>
              </w:rPr>
              <w:t>H.P. Sodium 100% E.C. cost</w:t>
            </w:r>
          </w:p>
        </w:tc>
        <w:tc>
          <w:tcPr>
            <w:tcW w:w="1275" w:type="dxa"/>
          </w:tcPr>
          <w:p>
            <w:pPr>
              <w:pStyle w:val="yTableNAm"/>
              <w:rPr>
                <w:sz w:val="18"/>
              </w:rPr>
            </w:pPr>
            <w:r>
              <w:rPr>
                <w:sz w:val="18"/>
              </w:rPr>
              <w:br/>
              <w:t>55.935</w:t>
            </w:r>
          </w:p>
        </w:tc>
        <w:tc>
          <w:tcPr>
            <w:tcW w:w="1276" w:type="dxa"/>
          </w:tcPr>
          <w:p>
            <w:pPr>
              <w:pStyle w:val="yTableNAm"/>
              <w:rPr>
                <w:sz w:val="18"/>
              </w:rPr>
            </w:pPr>
            <w:r>
              <w:rPr>
                <w:sz w:val="18"/>
              </w:rPr>
              <w:br/>
              <w:t>58.124</w:t>
            </w:r>
          </w:p>
        </w:tc>
        <w:tc>
          <w:tcPr>
            <w:tcW w:w="1134" w:type="dxa"/>
          </w:tcPr>
          <w:p>
            <w:pPr>
              <w:pStyle w:val="yTableNAm"/>
              <w:rPr>
                <w:sz w:val="18"/>
              </w:rPr>
            </w:pPr>
            <w:r>
              <w:rPr>
                <w:sz w:val="18"/>
              </w:rPr>
              <w:br/>
              <w:t>66.374</w:t>
            </w:r>
          </w:p>
        </w:tc>
      </w:tr>
      <w:tr>
        <w:trPr>
          <w:cantSplit/>
        </w:trPr>
        <w:tc>
          <w:tcPr>
            <w:tcW w:w="567" w:type="dxa"/>
          </w:tcPr>
          <w:p>
            <w:pPr>
              <w:pStyle w:val="yTableNAm"/>
              <w:rPr>
                <w:sz w:val="18"/>
              </w:rPr>
            </w:pPr>
            <w:r>
              <w:rPr>
                <w:sz w:val="18"/>
              </w:rPr>
              <w:t>Z.51</w:t>
            </w:r>
          </w:p>
        </w:tc>
        <w:tc>
          <w:tcPr>
            <w:tcW w:w="851" w:type="dxa"/>
          </w:tcPr>
          <w:p>
            <w:pPr>
              <w:pStyle w:val="yTableNAm"/>
              <w:rPr>
                <w:sz w:val="18"/>
              </w:rPr>
            </w:pPr>
            <w:r>
              <w:rPr>
                <w:sz w:val="18"/>
              </w:rPr>
              <w:t>60</w:t>
            </w:r>
          </w:p>
        </w:tc>
        <w:tc>
          <w:tcPr>
            <w:tcW w:w="1701" w:type="dxa"/>
          </w:tcPr>
          <w:p>
            <w:pPr>
              <w:pStyle w:val="yTableNAm"/>
              <w:rPr>
                <w:sz w:val="18"/>
              </w:rPr>
            </w:pPr>
            <w:r>
              <w:rPr>
                <w:sz w:val="18"/>
              </w:rPr>
              <w:t>Incandescent</w:t>
            </w:r>
          </w:p>
        </w:tc>
        <w:tc>
          <w:tcPr>
            <w:tcW w:w="1275" w:type="dxa"/>
          </w:tcPr>
          <w:p>
            <w:pPr>
              <w:pStyle w:val="yTableNAm"/>
              <w:rPr>
                <w:sz w:val="18"/>
              </w:rPr>
            </w:pPr>
            <w:r>
              <w:rPr>
                <w:sz w:val="18"/>
              </w:rPr>
              <w:t>19.657</w:t>
            </w:r>
          </w:p>
        </w:tc>
        <w:tc>
          <w:tcPr>
            <w:tcW w:w="1276" w:type="dxa"/>
          </w:tcPr>
          <w:p>
            <w:pPr>
              <w:pStyle w:val="yTableNAm"/>
              <w:rPr>
                <w:sz w:val="18"/>
              </w:rPr>
            </w:pPr>
            <w:r>
              <w:rPr>
                <w:sz w:val="18"/>
              </w:rPr>
              <w:t>20.086</w:t>
            </w:r>
          </w:p>
        </w:tc>
        <w:tc>
          <w:tcPr>
            <w:tcW w:w="1134" w:type="dxa"/>
          </w:tcPr>
          <w:p>
            <w:pPr>
              <w:pStyle w:val="yTableNAm"/>
              <w:rPr>
                <w:sz w:val="18"/>
              </w:rPr>
            </w:pPr>
            <w:r>
              <w:rPr>
                <w:sz w:val="18"/>
              </w:rPr>
              <w:t>21.604</w:t>
            </w:r>
          </w:p>
        </w:tc>
      </w:tr>
      <w:tr>
        <w:trPr>
          <w:cantSplit/>
        </w:trPr>
        <w:tc>
          <w:tcPr>
            <w:tcW w:w="567" w:type="dxa"/>
          </w:tcPr>
          <w:p>
            <w:pPr>
              <w:pStyle w:val="yTableNAm"/>
              <w:rPr>
                <w:sz w:val="18"/>
              </w:rPr>
            </w:pPr>
            <w:r>
              <w:rPr>
                <w:sz w:val="18"/>
              </w:rPr>
              <w:t>Z.52</w:t>
            </w:r>
          </w:p>
        </w:tc>
        <w:tc>
          <w:tcPr>
            <w:tcW w:w="851" w:type="dxa"/>
          </w:tcPr>
          <w:p>
            <w:pPr>
              <w:pStyle w:val="yTableNAm"/>
              <w:rPr>
                <w:sz w:val="18"/>
              </w:rPr>
            </w:pPr>
            <w:r>
              <w:rPr>
                <w:sz w:val="18"/>
              </w:rPr>
              <w:t>100</w:t>
            </w:r>
          </w:p>
        </w:tc>
        <w:tc>
          <w:tcPr>
            <w:tcW w:w="1701" w:type="dxa"/>
          </w:tcPr>
          <w:p>
            <w:pPr>
              <w:pStyle w:val="yTableNAm"/>
              <w:rPr>
                <w:sz w:val="18"/>
              </w:rPr>
            </w:pPr>
            <w:r>
              <w:rPr>
                <w:sz w:val="18"/>
              </w:rPr>
              <w:t>Incandescent</w:t>
            </w:r>
          </w:p>
        </w:tc>
        <w:tc>
          <w:tcPr>
            <w:tcW w:w="1275" w:type="dxa"/>
          </w:tcPr>
          <w:p>
            <w:pPr>
              <w:pStyle w:val="yTableNAm"/>
              <w:rPr>
                <w:sz w:val="18"/>
              </w:rPr>
            </w:pPr>
            <w:r>
              <w:rPr>
                <w:sz w:val="18"/>
              </w:rPr>
              <w:t>19.657</w:t>
            </w:r>
          </w:p>
        </w:tc>
        <w:tc>
          <w:tcPr>
            <w:tcW w:w="1276" w:type="dxa"/>
          </w:tcPr>
          <w:p>
            <w:pPr>
              <w:pStyle w:val="yTableNAm"/>
              <w:rPr>
                <w:sz w:val="18"/>
              </w:rPr>
            </w:pPr>
            <w:r>
              <w:rPr>
                <w:sz w:val="18"/>
              </w:rPr>
              <w:t>20.086</w:t>
            </w:r>
          </w:p>
        </w:tc>
        <w:tc>
          <w:tcPr>
            <w:tcW w:w="1134" w:type="dxa"/>
          </w:tcPr>
          <w:p>
            <w:pPr>
              <w:pStyle w:val="yTableNAm"/>
              <w:rPr>
                <w:sz w:val="18"/>
              </w:rPr>
            </w:pPr>
            <w:r>
              <w:rPr>
                <w:sz w:val="18"/>
              </w:rPr>
              <w:t>21.604</w:t>
            </w:r>
          </w:p>
        </w:tc>
      </w:tr>
      <w:tr>
        <w:trPr>
          <w:cantSplit/>
        </w:trPr>
        <w:tc>
          <w:tcPr>
            <w:tcW w:w="567" w:type="dxa"/>
          </w:tcPr>
          <w:p>
            <w:pPr>
              <w:pStyle w:val="yTableNAm"/>
              <w:rPr>
                <w:sz w:val="18"/>
              </w:rPr>
            </w:pPr>
            <w:r>
              <w:rPr>
                <w:sz w:val="18"/>
              </w:rPr>
              <w:t>Z.53</w:t>
            </w:r>
          </w:p>
        </w:tc>
        <w:tc>
          <w:tcPr>
            <w:tcW w:w="851" w:type="dxa"/>
          </w:tcPr>
          <w:p>
            <w:pPr>
              <w:pStyle w:val="yTableNAm"/>
              <w:rPr>
                <w:sz w:val="18"/>
              </w:rPr>
            </w:pPr>
            <w:r>
              <w:rPr>
                <w:sz w:val="18"/>
              </w:rPr>
              <w:t>200</w:t>
            </w:r>
          </w:p>
        </w:tc>
        <w:tc>
          <w:tcPr>
            <w:tcW w:w="1701" w:type="dxa"/>
          </w:tcPr>
          <w:p>
            <w:pPr>
              <w:pStyle w:val="yTableNAm"/>
              <w:rPr>
                <w:sz w:val="18"/>
              </w:rPr>
            </w:pPr>
            <w:r>
              <w:rPr>
                <w:sz w:val="18"/>
              </w:rPr>
              <w:t>Incandescent</w:t>
            </w:r>
          </w:p>
        </w:tc>
        <w:tc>
          <w:tcPr>
            <w:tcW w:w="1275" w:type="dxa"/>
          </w:tcPr>
          <w:p>
            <w:pPr>
              <w:pStyle w:val="yTableNAm"/>
              <w:rPr>
                <w:sz w:val="18"/>
              </w:rPr>
            </w:pPr>
            <w:r>
              <w:rPr>
                <w:sz w:val="18"/>
              </w:rPr>
              <w:t>23.155</w:t>
            </w:r>
          </w:p>
        </w:tc>
        <w:tc>
          <w:tcPr>
            <w:tcW w:w="1276" w:type="dxa"/>
          </w:tcPr>
          <w:p>
            <w:pPr>
              <w:pStyle w:val="yTableNAm"/>
              <w:rPr>
                <w:sz w:val="18"/>
              </w:rPr>
            </w:pPr>
            <w:r>
              <w:rPr>
                <w:sz w:val="18"/>
              </w:rPr>
              <w:t>23.672</w:t>
            </w:r>
          </w:p>
        </w:tc>
        <w:tc>
          <w:tcPr>
            <w:tcW w:w="1134" w:type="dxa"/>
          </w:tcPr>
          <w:p>
            <w:pPr>
              <w:pStyle w:val="yTableNAm"/>
              <w:rPr>
                <w:sz w:val="18"/>
              </w:rPr>
            </w:pPr>
            <w:r>
              <w:rPr>
                <w:sz w:val="18"/>
              </w:rPr>
              <w:t>26.037</w:t>
            </w:r>
          </w:p>
        </w:tc>
      </w:tr>
      <w:tr>
        <w:trPr>
          <w:cantSplit/>
        </w:trPr>
        <w:tc>
          <w:tcPr>
            <w:tcW w:w="567" w:type="dxa"/>
          </w:tcPr>
          <w:p>
            <w:pPr>
              <w:pStyle w:val="yTableNAm"/>
              <w:rPr>
                <w:sz w:val="18"/>
              </w:rPr>
            </w:pPr>
            <w:r>
              <w:rPr>
                <w:sz w:val="18"/>
              </w:rPr>
              <w:t>Z.54</w:t>
            </w:r>
          </w:p>
        </w:tc>
        <w:tc>
          <w:tcPr>
            <w:tcW w:w="851" w:type="dxa"/>
          </w:tcPr>
          <w:p>
            <w:pPr>
              <w:pStyle w:val="yTableNAm"/>
              <w:rPr>
                <w:sz w:val="18"/>
              </w:rPr>
            </w:pPr>
            <w:r>
              <w:rPr>
                <w:sz w:val="18"/>
              </w:rPr>
              <w:t>300</w:t>
            </w:r>
          </w:p>
        </w:tc>
        <w:tc>
          <w:tcPr>
            <w:tcW w:w="1701" w:type="dxa"/>
          </w:tcPr>
          <w:p>
            <w:pPr>
              <w:pStyle w:val="yTableNAm"/>
              <w:rPr>
                <w:sz w:val="18"/>
              </w:rPr>
            </w:pPr>
            <w:r>
              <w:rPr>
                <w:sz w:val="18"/>
              </w:rPr>
              <w:t>Incandescent</w:t>
            </w:r>
          </w:p>
        </w:tc>
        <w:tc>
          <w:tcPr>
            <w:tcW w:w="1275" w:type="dxa"/>
          </w:tcPr>
          <w:p>
            <w:pPr>
              <w:pStyle w:val="yTableNAm"/>
              <w:rPr>
                <w:sz w:val="18"/>
              </w:rPr>
            </w:pPr>
            <w:r>
              <w:rPr>
                <w:sz w:val="18"/>
              </w:rPr>
              <w:t>28.633</w:t>
            </w:r>
          </w:p>
        </w:tc>
        <w:tc>
          <w:tcPr>
            <w:tcW w:w="1276" w:type="dxa"/>
          </w:tcPr>
          <w:p>
            <w:pPr>
              <w:pStyle w:val="yTableNAm"/>
              <w:rPr>
                <w:sz w:val="18"/>
              </w:rPr>
            </w:pPr>
            <w:r>
              <w:rPr>
                <w:sz w:val="18"/>
              </w:rPr>
              <w:t>29.557</w:t>
            </w:r>
          </w:p>
        </w:tc>
        <w:tc>
          <w:tcPr>
            <w:tcW w:w="1134" w:type="dxa"/>
          </w:tcPr>
          <w:p>
            <w:pPr>
              <w:pStyle w:val="yTableNAm"/>
              <w:rPr>
                <w:sz w:val="18"/>
              </w:rPr>
            </w:pPr>
            <w:r>
              <w:rPr>
                <w:sz w:val="18"/>
              </w:rPr>
              <w:t>32.912</w:t>
            </w:r>
          </w:p>
        </w:tc>
      </w:tr>
      <w:tr>
        <w:trPr>
          <w:cantSplit/>
        </w:trPr>
        <w:tc>
          <w:tcPr>
            <w:tcW w:w="567" w:type="dxa"/>
          </w:tcPr>
          <w:p>
            <w:pPr>
              <w:pStyle w:val="yTableNAm"/>
              <w:rPr>
                <w:sz w:val="18"/>
              </w:rPr>
            </w:pPr>
            <w:r>
              <w:rPr>
                <w:sz w:val="18"/>
              </w:rPr>
              <w:t>Z.55</w:t>
            </w:r>
          </w:p>
        </w:tc>
        <w:tc>
          <w:tcPr>
            <w:tcW w:w="851" w:type="dxa"/>
          </w:tcPr>
          <w:p>
            <w:pPr>
              <w:pStyle w:val="yTableNAm"/>
              <w:rPr>
                <w:sz w:val="18"/>
              </w:rPr>
            </w:pPr>
            <w:r>
              <w:rPr>
                <w:sz w:val="18"/>
              </w:rPr>
              <w:t>500</w:t>
            </w:r>
          </w:p>
        </w:tc>
        <w:tc>
          <w:tcPr>
            <w:tcW w:w="1701" w:type="dxa"/>
          </w:tcPr>
          <w:p>
            <w:pPr>
              <w:pStyle w:val="yTableNAm"/>
              <w:rPr>
                <w:sz w:val="18"/>
              </w:rPr>
            </w:pPr>
            <w:r>
              <w:rPr>
                <w:sz w:val="18"/>
              </w:rPr>
              <w:t>Incandescent</w:t>
            </w:r>
          </w:p>
        </w:tc>
        <w:tc>
          <w:tcPr>
            <w:tcW w:w="1275" w:type="dxa"/>
          </w:tcPr>
          <w:p>
            <w:pPr>
              <w:pStyle w:val="yTableNAm"/>
              <w:rPr>
                <w:sz w:val="18"/>
              </w:rPr>
            </w:pPr>
            <w:r>
              <w:rPr>
                <w:sz w:val="18"/>
              </w:rPr>
              <w:t>46.046</w:t>
            </w:r>
          </w:p>
        </w:tc>
        <w:tc>
          <w:tcPr>
            <w:tcW w:w="1276" w:type="dxa"/>
          </w:tcPr>
          <w:p>
            <w:pPr>
              <w:pStyle w:val="yTableNAm"/>
              <w:rPr>
                <w:sz w:val="18"/>
              </w:rPr>
            </w:pPr>
            <w:r>
              <w:rPr>
                <w:sz w:val="18"/>
              </w:rPr>
              <w:t>47.839</w:t>
            </w:r>
          </w:p>
        </w:tc>
        <w:tc>
          <w:tcPr>
            <w:tcW w:w="1134" w:type="dxa"/>
          </w:tcPr>
          <w:p>
            <w:pPr>
              <w:pStyle w:val="yTableNAm"/>
              <w:rPr>
                <w:sz w:val="18"/>
              </w:rPr>
            </w:pPr>
            <w:r>
              <w:rPr>
                <w:sz w:val="18"/>
              </w:rPr>
              <w:t>54.593</w:t>
            </w:r>
          </w:p>
        </w:tc>
      </w:tr>
      <w:tr>
        <w:trPr>
          <w:cantSplit/>
        </w:trPr>
        <w:tc>
          <w:tcPr>
            <w:tcW w:w="567" w:type="dxa"/>
          </w:tcPr>
          <w:p>
            <w:pPr>
              <w:pStyle w:val="yTableNAm"/>
              <w:rPr>
                <w:sz w:val="18"/>
              </w:rPr>
            </w:pPr>
            <w:r>
              <w:rPr>
                <w:sz w:val="18"/>
              </w:rPr>
              <w:t>Z.56</w:t>
            </w:r>
          </w:p>
        </w:tc>
        <w:tc>
          <w:tcPr>
            <w:tcW w:w="851" w:type="dxa"/>
          </w:tcPr>
          <w:p>
            <w:pPr>
              <w:pStyle w:val="yTableNAm"/>
              <w:rPr>
                <w:sz w:val="18"/>
              </w:rPr>
            </w:pPr>
            <w:r>
              <w:rPr>
                <w:sz w:val="18"/>
              </w:rPr>
              <w:t>40</w:t>
            </w:r>
          </w:p>
        </w:tc>
        <w:tc>
          <w:tcPr>
            <w:tcW w:w="1701" w:type="dxa"/>
          </w:tcPr>
          <w:p>
            <w:pPr>
              <w:pStyle w:val="yTableNAm"/>
              <w:rPr>
                <w:sz w:val="18"/>
              </w:rPr>
            </w:pPr>
            <w:r>
              <w:rPr>
                <w:sz w:val="18"/>
              </w:rPr>
              <w:t>Fluorescent</w:t>
            </w:r>
          </w:p>
        </w:tc>
        <w:tc>
          <w:tcPr>
            <w:tcW w:w="1275" w:type="dxa"/>
          </w:tcPr>
          <w:p>
            <w:pPr>
              <w:pStyle w:val="yTableNAm"/>
              <w:rPr>
                <w:sz w:val="18"/>
              </w:rPr>
            </w:pPr>
            <w:r>
              <w:rPr>
                <w:sz w:val="18"/>
              </w:rPr>
              <w:t>19.657</w:t>
            </w:r>
          </w:p>
        </w:tc>
        <w:tc>
          <w:tcPr>
            <w:tcW w:w="1276" w:type="dxa"/>
          </w:tcPr>
          <w:p>
            <w:pPr>
              <w:pStyle w:val="yTableNAm"/>
              <w:rPr>
                <w:sz w:val="18"/>
              </w:rPr>
            </w:pPr>
            <w:r>
              <w:rPr>
                <w:sz w:val="18"/>
              </w:rPr>
              <w:t>20.086</w:t>
            </w:r>
          </w:p>
        </w:tc>
        <w:tc>
          <w:tcPr>
            <w:tcW w:w="1134" w:type="dxa"/>
          </w:tcPr>
          <w:p>
            <w:pPr>
              <w:pStyle w:val="yTableNAm"/>
              <w:rPr>
                <w:sz w:val="18"/>
              </w:rPr>
            </w:pPr>
            <w:r>
              <w:rPr>
                <w:sz w:val="18"/>
              </w:rPr>
              <w:t>21.604</w:t>
            </w:r>
          </w:p>
        </w:tc>
      </w:tr>
      <w:tr>
        <w:trPr>
          <w:cantSplit/>
        </w:trPr>
        <w:tc>
          <w:tcPr>
            <w:tcW w:w="567" w:type="dxa"/>
          </w:tcPr>
          <w:p>
            <w:pPr>
              <w:pStyle w:val="yTableNAm"/>
              <w:rPr>
                <w:sz w:val="18"/>
              </w:rPr>
            </w:pPr>
            <w:r>
              <w:rPr>
                <w:sz w:val="18"/>
              </w:rPr>
              <w:t>Z.57</w:t>
            </w:r>
          </w:p>
        </w:tc>
        <w:tc>
          <w:tcPr>
            <w:tcW w:w="851" w:type="dxa"/>
          </w:tcPr>
          <w:p>
            <w:pPr>
              <w:pStyle w:val="yTableNAm"/>
              <w:rPr>
                <w:sz w:val="18"/>
              </w:rPr>
            </w:pPr>
            <w:r>
              <w:rPr>
                <w:sz w:val="18"/>
              </w:rPr>
              <w:t>80</w:t>
            </w:r>
          </w:p>
        </w:tc>
        <w:tc>
          <w:tcPr>
            <w:tcW w:w="1701" w:type="dxa"/>
          </w:tcPr>
          <w:p>
            <w:pPr>
              <w:pStyle w:val="yTableNAm"/>
              <w:rPr>
                <w:sz w:val="18"/>
              </w:rPr>
            </w:pPr>
            <w:r>
              <w:rPr>
                <w:sz w:val="18"/>
              </w:rPr>
              <w:t>Fluorescent</w:t>
            </w:r>
          </w:p>
        </w:tc>
        <w:tc>
          <w:tcPr>
            <w:tcW w:w="1275" w:type="dxa"/>
          </w:tcPr>
          <w:p>
            <w:pPr>
              <w:pStyle w:val="yTableNAm"/>
              <w:rPr>
                <w:sz w:val="18"/>
              </w:rPr>
            </w:pPr>
            <w:r>
              <w:rPr>
                <w:sz w:val="18"/>
              </w:rPr>
              <w:t>23.155</w:t>
            </w:r>
          </w:p>
        </w:tc>
        <w:tc>
          <w:tcPr>
            <w:tcW w:w="1276" w:type="dxa"/>
          </w:tcPr>
          <w:p>
            <w:pPr>
              <w:pStyle w:val="yTableNAm"/>
              <w:rPr>
                <w:sz w:val="18"/>
              </w:rPr>
            </w:pPr>
            <w:r>
              <w:rPr>
                <w:sz w:val="18"/>
              </w:rPr>
              <w:t>23.672</w:t>
            </w:r>
          </w:p>
        </w:tc>
        <w:tc>
          <w:tcPr>
            <w:tcW w:w="1134" w:type="dxa"/>
          </w:tcPr>
          <w:p>
            <w:pPr>
              <w:pStyle w:val="yTableNAm"/>
              <w:rPr>
                <w:sz w:val="18"/>
              </w:rPr>
            </w:pPr>
            <w:r>
              <w:rPr>
                <w:sz w:val="18"/>
              </w:rPr>
              <w:t>26.037</w:t>
            </w:r>
          </w:p>
        </w:tc>
      </w:tr>
      <w:tr>
        <w:trPr>
          <w:cantSplit/>
        </w:trPr>
        <w:tc>
          <w:tcPr>
            <w:tcW w:w="567" w:type="dxa"/>
            <w:tcBorders>
              <w:bottom w:val="single" w:sz="4" w:space="0" w:color="auto"/>
            </w:tcBorders>
          </w:tcPr>
          <w:p>
            <w:pPr>
              <w:pStyle w:val="yTableNAm"/>
              <w:rPr>
                <w:sz w:val="18"/>
              </w:rPr>
            </w:pPr>
            <w:r>
              <w:rPr>
                <w:sz w:val="18"/>
              </w:rPr>
              <w:t>Z.58</w:t>
            </w:r>
          </w:p>
        </w:tc>
        <w:tc>
          <w:tcPr>
            <w:tcW w:w="851" w:type="dxa"/>
            <w:tcBorders>
              <w:bottom w:val="single" w:sz="4" w:space="0" w:color="auto"/>
            </w:tcBorders>
          </w:tcPr>
          <w:p>
            <w:pPr>
              <w:pStyle w:val="yTableNAm"/>
              <w:rPr>
                <w:sz w:val="18"/>
              </w:rPr>
            </w:pPr>
            <w:r>
              <w:rPr>
                <w:sz w:val="18"/>
              </w:rPr>
              <w:t>160</w:t>
            </w:r>
          </w:p>
        </w:tc>
        <w:tc>
          <w:tcPr>
            <w:tcW w:w="1701" w:type="dxa"/>
            <w:tcBorders>
              <w:bottom w:val="single" w:sz="4" w:space="0" w:color="auto"/>
            </w:tcBorders>
          </w:tcPr>
          <w:p>
            <w:pPr>
              <w:pStyle w:val="yTableNAm"/>
              <w:rPr>
                <w:sz w:val="18"/>
              </w:rPr>
            </w:pPr>
            <w:r>
              <w:rPr>
                <w:sz w:val="18"/>
              </w:rPr>
              <w:t>Fluorescent</w:t>
            </w:r>
          </w:p>
        </w:tc>
        <w:tc>
          <w:tcPr>
            <w:tcW w:w="1275" w:type="dxa"/>
            <w:tcBorders>
              <w:bottom w:val="single" w:sz="4" w:space="0" w:color="auto"/>
            </w:tcBorders>
          </w:tcPr>
          <w:p>
            <w:pPr>
              <w:pStyle w:val="yTableNAm"/>
              <w:rPr>
                <w:sz w:val="18"/>
              </w:rPr>
            </w:pPr>
            <w:r>
              <w:rPr>
                <w:sz w:val="18"/>
              </w:rPr>
              <w:t>32.384</w:t>
            </w:r>
          </w:p>
        </w:tc>
        <w:tc>
          <w:tcPr>
            <w:tcW w:w="1276" w:type="dxa"/>
            <w:tcBorders>
              <w:bottom w:val="single" w:sz="4" w:space="0" w:color="auto"/>
            </w:tcBorders>
          </w:tcPr>
          <w:p>
            <w:pPr>
              <w:pStyle w:val="yTableNAm"/>
              <w:rPr>
                <w:sz w:val="18"/>
              </w:rPr>
            </w:pPr>
            <w:r>
              <w:rPr>
                <w:sz w:val="18"/>
              </w:rPr>
              <w:t>32.835</w:t>
            </w:r>
          </w:p>
        </w:tc>
        <w:tc>
          <w:tcPr>
            <w:tcW w:w="1134" w:type="dxa"/>
            <w:tcBorders>
              <w:bottom w:val="single" w:sz="4" w:space="0" w:color="auto"/>
            </w:tcBorders>
          </w:tcPr>
          <w:p>
            <w:pPr>
              <w:pStyle w:val="yTableNAm"/>
              <w:rPr>
                <w:sz w:val="18"/>
              </w:rPr>
            </w:pPr>
            <w:r>
              <w:rPr>
                <w:sz w:val="18"/>
              </w:rPr>
              <w:t>38.093</w:t>
            </w:r>
          </w:p>
        </w:tc>
      </w:tr>
    </w:tbl>
    <w:p>
      <w:pPr>
        <w:pStyle w:val="yFootnotesection"/>
      </w:pPr>
      <w:r>
        <w:tab/>
        <w:t>[Schedule 2 inserted in Gazette 30 Mar 2009 p. 980</w:t>
      </w:r>
      <w:r>
        <w:noBreakHyphen/>
        <w:t>2.]</w:t>
      </w:r>
    </w:p>
    <w:p>
      <w:pPr>
        <w:pStyle w:val="yScheduleHeading"/>
      </w:pPr>
      <w:bookmarkStart w:id="91" w:name="_Toc124158784"/>
      <w:bookmarkStart w:id="92" w:name="_Toc124158891"/>
      <w:bookmarkStart w:id="93" w:name="_Toc124158925"/>
      <w:bookmarkStart w:id="94" w:name="_Toc124216306"/>
      <w:bookmarkStart w:id="95" w:name="_Toc124227065"/>
      <w:bookmarkStart w:id="96" w:name="_Toc124227158"/>
      <w:bookmarkStart w:id="97" w:name="_Toc124234424"/>
      <w:bookmarkStart w:id="98" w:name="_Toc124234776"/>
      <w:bookmarkStart w:id="99" w:name="_Toc124234816"/>
      <w:bookmarkStart w:id="100" w:name="_Toc124934232"/>
      <w:bookmarkStart w:id="101" w:name="_Toc125279682"/>
      <w:bookmarkStart w:id="102" w:name="_Toc127067109"/>
      <w:bookmarkStart w:id="103" w:name="_Toc127076312"/>
      <w:bookmarkStart w:id="104" w:name="_Toc127085645"/>
      <w:bookmarkStart w:id="105" w:name="_Toc127086737"/>
      <w:bookmarkStart w:id="106" w:name="_Toc127671680"/>
      <w:bookmarkStart w:id="107" w:name="_Toc127690057"/>
      <w:bookmarkStart w:id="108" w:name="_Toc127699338"/>
      <w:bookmarkStart w:id="109" w:name="_Toc127760430"/>
      <w:bookmarkStart w:id="110" w:name="_Toc127760458"/>
      <w:bookmarkStart w:id="111" w:name="_Toc127946780"/>
      <w:bookmarkStart w:id="112" w:name="_Toc127960813"/>
      <w:bookmarkStart w:id="113" w:name="_Toc127960841"/>
      <w:bookmarkStart w:id="114" w:name="_Toc128190515"/>
      <w:bookmarkStart w:id="115" w:name="_Toc128196187"/>
      <w:bookmarkStart w:id="116" w:name="_Toc128197606"/>
      <w:bookmarkStart w:id="117" w:name="_Toc128282879"/>
      <w:bookmarkStart w:id="118" w:name="_Toc131490127"/>
      <w:bookmarkStart w:id="119" w:name="_Toc131491087"/>
      <w:bookmarkStart w:id="120" w:name="_Toc152664696"/>
      <w:bookmarkStart w:id="121" w:name="_Toc152669127"/>
      <w:bookmarkStart w:id="122" w:name="_Toc171051502"/>
      <w:bookmarkStart w:id="123" w:name="_Toc226275324"/>
      <w:bookmarkStart w:id="124" w:name="_Toc226275364"/>
      <w:bookmarkStart w:id="125" w:name="_Toc123621760"/>
      <w:bookmarkStart w:id="126" w:name="_Toc123621907"/>
      <w:bookmarkStart w:id="127" w:name="_Toc123624867"/>
      <w:bookmarkStart w:id="128" w:name="_Toc123624934"/>
      <w:bookmarkStart w:id="129" w:name="_Toc123626280"/>
      <w:bookmarkStart w:id="130" w:name="_Toc123629884"/>
      <w:bookmarkStart w:id="131" w:name="_Toc124135801"/>
      <w:bookmarkStart w:id="132" w:name="_Toc124137268"/>
      <w:bookmarkStart w:id="133" w:name="_Toc124147436"/>
      <w:bookmarkStart w:id="134" w:name="_Toc124147473"/>
      <w:r>
        <w:rPr>
          <w:rStyle w:val="CharSchNo"/>
        </w:rPr>
        <w:t>Schedule 3</w:t>
      </w:r>
      <w:r>
        <w:rPr>
          <w:rStyle w:val="CharSDivNo"/>
        </w:rPr>
        <w:t> </w:t>
      </w:r>
      <w:r>
        <w:t>—</w:t>
      </w:r>
      <w:r>
        <w:rPr>
          <w:rStyle w:val="CharSDivText"/>
        </w:rPr>
        <w:t> </w:t>
      </w:r>
      <w:r>
        <w:rPr>
          <w:rStyle w:val="CharSchText"/>
        </w:rPr>
        <w:t>Meter rental</w:t>
      </w:r>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p>
    <w:bookmarkEnd w:id="125"/>
    <w:bookmarkEnd w:id="126"/>
    <w:bookmarkEnd w:id="127"/>
    <w:bookmarkEnd w:id="128"/>
    <w:bookmarkEnd w:id="129"/>
    <w:bookmarkEnd w:id="130"/>
    <w:bookmarkEnd w:id="131"/>
    <w:bookmarkEnd w:id="132"/>
    <w:bookmarkEnd w:id="133"/>
    <w:bookmarkEnd w:id="134"/>
    <w:p>
      <w:pPr>
        <w:pStyle w:val="yShoulderClause"/>
        <w:rPr>
          <w:rStyle w:val="CharSDivText"/>
          <w:sz w:val="22"/>
        </w:rPr>
      </w:pPr>
      <w:r>
        <w:rPr>
          <w:rStyle w:val="CharSDivText"/>
          <w:sz w:val="22"/>
        </w:rPr>
        <w:t>[bl. 6(1)]</w:t>
      </w:r>
    </w:p>
    <w:p>
      <w:pPr>
        <w:pStyle w:val="yMiscellaneousBody"/>
      </w:pPr>
      <w:r>
        <w:t>The rental payable in respect of a subsidiary meter is 15.97 cents per day.</w:t>
      </w:r>
    </w:p>
    <w:p>
      <w:pPr>
        <w:pStyle w:val="yMiscellaneousBody"/>
        <w:ind w:left="709" w:hanging="709"/>
        <w:rPr>
          <w:i/>
          <w:sz w:val="20"/>
        </w:rPr>
      </w:pPr>
      <w:r>
        <w:rPr>
          <w:i/>
          <w:sz w:val="20"/>
        </w:rPr>
        <w:t>Note:</w:t>
      </w:r>
      <w:r>
        <w:rPr>
          <w:i/>
          <w:sz w:val="20"/>
        </w:rPr>
        <w:tab/>
        <w:t>Subsidiary meters are available on application for purposes approved by the</w:t>
      </w:r>
      <w:r>
        <w:t xml:space="preserve"> </w:t>
      </w:r>
      <w:r>
        <w:rPr>
          <w:i/>
          <w:sz w:val="20"/>
        </w:rPr>
        <w:t>corporation.</w:t>
      </w:r>
    </w:p>
    <w:p>
      <w:pPr>
        <w:pStyle w:val="yScheduleHeading"/>
      </w:pPr>
      <w:bookmarkStart w:id="135" w:name="_Toc123621761"/>
      <w:bookmarkStart w:id="136" w:name="_Toc123621908"/>
      <w:bookmarkStart w:id="137" w:name="_Toc123624868"/>
      <w:bookmarkStart w:id="138" w:name="_Toc123624935"/>
      <w:bookmarkStart w:id="139" w:name="_Toc123626281"/>
      <w:bookmarkStart w:id="140" w:name="_Toc123629885"/>
      <w:bookmarkStart w:id="141" w:name="_Toc124135802"/>
      <w:bookmarkStart w:id="142" w:name="_Toc124137269"/>
      <w:bookmarkStart w:id="143" w:name="_Toc124147437"/>
      <w:bookmarkStart w:id="144" w:name="_Toc124147474"/>
      <w:bookmarkStart w:id="145" w:name="_Toc124158785"/>
      <w:bookmarkStart w:id="146" w:name="_Toc124158892"/>
      <w:bookmarkStart w:id="147" w:name="_Toc124158926"/>
      <w:bookmarkStart w:id="148" w:name="_Toc124216307"/>
      <w:bookmarkStart w:id="149" w:name="_Toc124227066"/>
      <w:bookmarkStart w:id="150" w:name="_Toc124227159"/>
      <w:bookmarkStart w:id="151" w:name="_Toc124234425"/>
      <w:bookmarkStart w:id="152" w:name="_Toc124234777"/>
      <w:bookmarkStart w:id="153" w:name="_Toc124234817"/>
      <w:bookmarkStart w:id="154" w:name="_Toc124934233"/>
      <w:bookmarkStart w:id="155" w:name="_Toc125279683"/>
      <w:bookmarkStart w:id="156" w:name="_Toc127067110"/>
      <w:bookmarkStart w:id="157" w:name="_Toc127076313"/>
      <w:bookmarkStart w:id="158" w:name="_Toc127085646"/>
      <w:bookmarkStart w:id="159" w:name="_Toc127086738"/>
      <w:bookmarkStart w:id="160" w:name="_Toc127671681"/>
      <w:bookmarkStart w:id="161" w:name="_Toc127690058"/>
      <w:bookmarkStart w:id="162" w:name="_Toc127699339"/>
      <w:bookmarkStart w:id="163" w:name="_Toc127760431"/>
      <w:bookmarkStart w:id="164" w:name="_Toc127760459"/>
      <w:bookmarkStart w:id="165" w:name="_Toc127946781"/>
      <w:bookmarkStart w:id="166" w:name="_Toc127960814"/>
      <w:bookmarkStart w:id="167" w:name="_Toc127960842"/>
      <w:bookmarkStart w:id="168" w:name="_Toc128190516"/>
      <w:bookmarkStart w:id="169" w:name="_Toc128196188"/>
      <w:bookmarkStart w:id="170" w:name="_Toc128197607"/>
      <w:bookmarkStart w:id="171" w:name="_Toc128282880"/>
      <w:bookmarkStart w:id="172" w:name="_Toc131490128"/>
      <w:bookmarkStart w:id="173" w:name="_Toc131491088"/>
      <w:bookmarkStart w:id="174" w:name="_Toc152664697"/>
      <w:bookmarkStart w:id="175" w:name="_Toc152669128"/>
      <w:bookmarkStart w:id="176" w:name="_Toc171051503"/>
      <w:bookmarkStart w:id="177" w:name="_Toc226275325"/>
      <w:bookmarkStart w:id="178" w:name="_Toc226275365"/>
      <w:r>
        <w:rPr>
          <w:rStyle w:val="CharSchNo"/>
        </w:rPr>
        <w:t>Schedule 4</w:t>
      </w:r>
      <w:r>
        <w:rPr>
          <w:rStyle w:val="CharSDivNo"/>
        </w:rPr>
        <w:t> </w:t>
      </w:r>
      <w:r>
        <w:t>—</w:t>
      </w:r>
      <w:r>
        <w:rPr>
          <w:rStyle w:val="CharSDivText"/>
        </w:rPr>
        <w:t> </w:t>
      </w:r>
      <w:r>
        <w:rPr>
          <w:rStyle w:val="CharSchText"/>
        </w:rPr>
        <w:t>Fees</w:t>
      </w:r>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p>
    <w:p>
      <w:pPr>
        <w:pStyle w:val="yShoulderClause"/>
        <w:spacing w:after="120"/>
      </w:pPr>
      <w:r>
        <w:t>[bl. 7 and 9(5)]</w:t>
      </w:r>
    </w:p>
    <w:tbl>
      <w:tblPr>
        <w:tblW w:w="0" w:type="auto"/>
        <w:tblInd w:w="284" w:type="dxa"/>
        <w:tblLayout w:type="fixed"/>
        <w:tblCellMar>
          <w:left w:w="142" w:type="dxa"/>
          <w:right w:w="142" w:type="dxa"/>
        </w:tblCellMar>
        <w:tblLook w:val="0000" w:firstRow="0" w:lastRow="0" w:firstColumn="0" w:lastColumn="0" w:noHBand="0" w:noVBand="0"/>
      </w:tblPr>
      <w:tblGrid>
        <w:gridCol w:w="709"/>
        <w:gridCol w:w="4678"/>
        <w:gridCol w:w="1418"/>
      </w:tblGrid>
      <w:tr>
        <w:tc>
          <w:tcPr>
            <w:tcW w:w="709" w:type="dxa"/>
            <w:tcBorders>
              <w:top w:val="single" w:sz="4" w:space="0" w:color="auto"/>
              <w:bottom w:val="single" w:sz="4" w:space="0" w:color="auto"/>
            </w:tcBorders>
          </w:tcPr>
          <w:p>
            <w:pPr>
              <w:pStyle w:val="yTable"/>
              <w:spacing w:before="0"/>
            </w:pPr>
          </w:p>
        </w:tc>
        <w:tc>
          <w:tcPr>
            <w:tcW w:w="4678" w:type="dxa"/>
            <w:tcBorders>
              <w:top w:val="single" w:sz="4" w:space="0" w:color="auto"/>
              <w:bottom w:val="single" w:sz="4" w:space="0" w:color="auto"/>
            </w:tcBorders>
          </w:tcPr>
          <w:p>
            <w:pPr>
              <w:pStyle w:val="yTable"/>
              <w:rPr>
                <w:b/>
                <w:iCs/>
              </w:rPr>
            </w:pPr>
            <w:r>
              <w:rPr>
                <w:b/>
                <w:iCs/>
              </w:rPr>
              <w:t>Description of fee</w:t>
            </w:r>
          </w:p>
          <w:p>
            <w:pPr>
              <w:pStyle w:val="yTable"/>
              <w:spacing w:before="0"/>
              <w:rPr>
                <w:b/>
                <w:iCs/>
              </w:rPr>
            </w:pPr>
          </w:p>
        </w:tc>
        <w:tc>
          <w:tcPr>
            <w:tcW w:w="1418" w:type="dxa"/>
            <w:tcBorders>
              <w:top w:val="single" w:sz="4" w:space="0" w:color="auto"/>
              <w:bottom w:val="single" w:sz="4" w:space="0" w:color="auto"/>
            </w:tcBorders>
          </w:tcPr>
          <w:p>
            <w:pPr>
              <w:pStyle w:val="yTable"/>
              <w:rPr>
                <w:b/>
                <w:iCs/>
              </w:rPr>
            </w:pPr>
            <w:r>
              <w:rPr>
                <w:b/>
                <w:iCs/>
              </w:rPr>
              <w:t>Amount</w:t>
            </w:r>
          </w:p>
        </w:tc>
      </w:tr>
      <w:tr>
        <w:tc>
          <w:tcPr>
            <w:tcW w:w="5387" w:type="dxa"/>
            <w:gridSpan w:val="2"/>
            <w:tcBorders>
              <w:top w:val="single" w:sz="4" w:space="0" w:color="auto"/>
            </w:tcBorders>
          </w:tcPr>
          <w:p>
            <w:pPr>
              <w:pStyle w:val="yTable"/>
              <w:tabs>
                <w:tab w:val="left" w:pos="567"/>
              </w:tabs>
              <w:spacing w:before="0"/>
              <w:ind w:left="567" w:right="-142" w:hanging="567"/>
            </w:pPr>
            <w:r>
              <w:t>1.</w:t>
            </w:r>
            <w:r>
              <w:tab/>
              <w:t>Non</w:t>
            </w:r>
            <w:r>
              <w:noBreakHyphen/>
              <w:t>refundable account establishment fee payable on the establishment or transfer of an account ……...</w:t>
            </w:r>
          </w:p>
        </w:tc>
        <w:tc>
          <w:tcPr>
            <w:tcW w:w="1418" w:type="dxa"/>
            <w:tcBorders>
              <w:top w:val="single" w:sz="4" w:space="0" w:color="auto"/>
            </w:tcBorders>
          </w:tcPr>
          <w:p>
            <w:pPr>
              <w:pStyle w:val="yTable"/>
              <w:tabs>
                <w:tab w:val="decimal" w:pos="425"/>
              </w:tabs>
              <w:spacing w:before="0"/>
            </w:pPr>
            <w:r>
              <w:br/>
              <w:t>$29.80</w:t>
            </w:r>
          </w:p>
        </w:tc>
      </w:tr>
      <w:tr>
        <w:tc>
          <w:tcPr>
            <w:tcW w:w="5387" w:type="dxa"/>
            <w:gridSpan w:val="2"/>
          </w:tcPr>
          <w:p>
            <w:pPr>
              <w:pStyle w:val="yTable"/>
              <w:tabs>
                <w:tab w:val="left" w:pos="567"/>
              </w:tabs>
              <w:spacing w:before="0"/>
              <w:ind w:left="567" w:right="-142" w:hanging="567"/>
            </w:pPr>
            <w:r>
              <w:t>2.</w:t>
            </w:r>
            <w:r>
              <w:tab/>
              <w:t>Three phase residential installation — </w:t>
            </w:r>
          </w:p>
          <w:p>
            <w:pPr>
              <w:pStyle w:val="yTable"/>
              <w:tabs>
                <w:tab w:val="left" w:pos="850"/>
                <w:tab w:val="left" w:pos="1417"/>
              </w:tabs>
              <w:spacing w:before="0"/>
              <w:ind w:left="1417" w:right="-142" w:hanging="1417"/>
            </w:pPr>
            <w:r>
              <w:tab/>
              <w:t>(a)</w:t>
            </w:r>
            <w:r>
              <w:tab/>
              <w:t>new installation or replacement of single phase meter ……………………………….</w:t>
            </w:r>
          </w:p>
          <w:p>
            <w:pPr>
              <w:pStyle w:val="yTable"/>
              <w:tabs>
                <w:tab w:val="left" w:pos="850"/>
                <w:tab w:val="left" w:pos="1417"/>
              </w:tabs>
              <w:spacing w:before="0"/>
              <w:ind w:left="1417" w:right="-142" w:hanging="1417"/>
            </w:pPr>
            <w:r>
              <w:tab/>
              <w:t>(b)</w:t>
            </w:r>
            <w:r>
              <w:tab/>
              <w:t>installation of subsidiary three phase meter (each installation) ………………………...</w:t>
            </w:r>
          </w:p>
        </w:tc>
        <w:tc>
          <w:tcPr>
            <w:tcW w:w="1418" w:type="dxa"/>
          </w:tcPr>
          <w:p>
            <w:pPr>
              <w:pStyle w:val="yTable"/>
              <w:tabs>
                <w:tab w:val="decimal" w:pos="425"/>
              </w:tabs>
              <w:spacing w:before="0"/>
            </w:pPr>
          </w:p>
          <w:p>
            <w:pPr>
              <w:pStyle w:val="yTable"/>
              <w:tabs>
                <w:tab w:val="decimal" w:pos="425"/>
              </w:tabs>
              <w:spacing w:before="0"/>
            </w:pPr>
            <w:r>
              <w:br/>
              <w:t>$240.40</w:t>
            </w:r>
          </w:p>
          <w:p>
            <w:pPr>
              <w:pStyle w:val="yTable"/>
              <w:tabs>
                <w:tab w:val="decimal" w:pos="425"/>
              </w:tabs>
              <w:spacing w:before="0"/>
            </w:pPr>
            <w:r>
              <w:br/>
              <w:t>$148.50</w:t>
            </w:r>
          </w:p>
        </w:tc>
      </w:tr>
      <w:tr>
        <w:tc>
          <w:tcPr>
            <w:tcW w:w="5387" w:type="dxa"/>
            <w:gridSpan w:val="2"/>
          </w:tcPr>
          <w:p>
            <w:pPr>
              <w:pStyle w:val="yTable"/>
              <w:tabs>
                <w:tab w:val="left" w:pos="567"/>
              </w:tabs>
              <w:spacing w:before="0"/>
              <w:ind w:left="567" w:right="-142" w:hanging="567"/>
            </w:pPr>
            <w:r>
              <w:t>3.</w:t>
            </w:r>
            <w:r>
              <w:tab/>
              <w:t>Non</w:t>
            </w:r>
            <w:r>
              <w:noBreakHyphen/>
              <w:t>refundable reconnection fee where supply has been terminated for non</w:t>
            </w:r>
            <w:r>
              <w:noBreakHyphen/>
              <w:t>payment of charges or for any other lawful reason ……………………………..</w:t>
            </w:r>
          </w:p>
        </w:tc>
        <w:tc>
          <w:tcPr>
            <w:tcW w:w="1418" w:type="dxa"/>
          </w:tcPr>
          <w:p>
            <w:pPr>
              <w:pStyle w:val="yTable"/>
              <w:tabs>
                <w:tab w:val="decimal" w:pos="425"/>
              </w:tabs>
              <w:spacing w:before="0"/>
            </w:pPr>
            <w:r>
              <w:br/>
            </w:r>
            <w:r>
              <w:br/>
              <w:t>$27.50</w:t>
            </w:r>
          </w:p>
        </w:tc>
      </w:tr>
      <w:tr>
        <w:tc>
          <w:tcPr>
            <w:tcW w:w="5387" w:type="dxa"/>
            <w:gridSpan w:val="2"/>
          </w:tcPr>
          <w:p>
            <w:pPr>
              <w:pStyle w:val="yTable"/>
              <w:tabs>
                <w:tab w:val="left" w:pos="567"/>
              </w:tabs>
              <w:spacing w:before="0"/>
              <w:ind w:left="567" w:right="-142" w:hanging="567"/>
            </w:pPr>
            <w:r>
              <w:t>4.</w:t>
            </w:r>
            <w:r>
              <w:tab/>
              <w:t>Connection to standard public telephone facility where supply not independently metered (per day) ...</w:t>
            </w:r>
          </w:p>
        </w:tc>
        <w:tc>
          <w:tcPr>
            <w:tcW w:w="1418" w:type="dxa"/>
          </w:tcPr>
          <w:p>
            <w:pPr>
              <w:pStyle w:val="yTable"/>
              <w:tabs>
                <w:tab w:val="decimal" w:pos="425"/>
              </w:tabs>
              <w:spacing w:before="0"/>
            </w:pPr>
            <w:r>
              <w:br/>
              <w:t>35.277 cents</w:t>
            </w:r>
          </w:p>
        </w:tc>
      </w:tr>
      <w:tr>
        <w:tc>
          <w:tcPr>
            <w:tcW w:w="5387" w:type="dxa"/>
            <w:gridSpan w:val="2"/>
          </w:tcPr>
          <w:p>
            <w:pPr>
              <w:pStyle w:val="yTable"/>
              <w:tabs>
                <w:tab w:val="left" w:pos="567"/>
              </w:tabs>
              <w:spacing w:before="0"/>
              <w:ind w:left="567" w:right="-142" w:hanging="567"/>
            </w:pPr>
            <w:r>
              <w:t>5.</w:t>
            </w:r>
            <w:r>
              <w:tab/>
              <w:t>Temporary supply connection — </w:t>
            </w:r>
          </w:p>
        </w:tc>
        <w:tc>
          <w:tcPr>
            <w:tcW w:w="1418" w:type="dxa"/>
          </w:tcPr>
          <w:p>
            <w:pPr>
              <w:pStyle w:val="yTable"/>
              <w:spacing w:before="0"/>
            </w:pPr>
          </w:p>
        </w:tc>
      </w:tr>
      <w:tr>
        <w:tc>
          <w:tcPr>
            <w:tcW w:w="5387" w:type="dxa"/>
            <w:gridSpan w:val="2"/>
          </w:tcPr>
          <w:p>
            <w:pPr>
              <w:pStyle w:val="yTable"/>
              <w:tabs>
                <w:tab w:val="left" w:pos="850"/>
                <w:tab w:val="left" w:pos="1417"/>
              </w:tabs>
              <w:spacing w:before="0"/>
              <w:ind w:left="1417" w:right="-142" w:hanging="1417"/>
            </w:pPr>
            <w:r>
              <w:tab/>
              <w:t>(a)</w:t>
            </w:r>
            <w:r>
              <w:tab/>
              <w:t>single phase (overhead) …………………..</w:t>
            </w:r>
          </w:p>
        </w:tc>
        <w:tc>
          <w:tcPr>
            <w:tcW w:w="1418" w:type="dxa"/>
          </w:tcPr>
          <w:p>
            <w:pPr>
              <w:pStyle w:val="yTable"/>
              <w:tabs>
                <w:tab w:val="decimal" w:pos="425"/>
              </w:tabs>
              <w:spacing w:before="0"/>
            </w:pPr>
            <w:r>
              <w:t>$300.00</w:t>
            </w:r>
          </w:p>
        </w:tc>
      </w:tr>
      <w:tr>
        <w:tc>
          <w:tcPr>
            <w:tcW w:w="5387" w:type="dxa"/>
            <w:gridSpan w:val="2"/>
          </w:tcPr>
          <w:p>
            <w:pPr>
              <w:pStyle w:val="yTable"/>
              <w:tabs>
                <w:tab w:val="left" w:pos="850"/>
                <w:tab w:val="left" w:pos="1417"/>
              </w:tabs>
              <w:spacing w:before="0"/>
              <w:ind w:left="1417" w:right="-142" w:hanging="1417"/>
            </w:pPr>
            <w:r>
              <w:tab/>
              <w:t>(b)</w:t>
            </w:r>
            <w:r>
              <w:tab/>
              <w:t>three phase (overhead) ……………………</w:t>
            </w:r>
          </w:p>
        </w:tc>
        <w:tc>
          <w:tcPr>
            <w:tcW w:w="1418" w:type="dxa"/>
          </w:tcPr>
          <w:p>
            <w:pPr>
              <w:pStyle w:val="yTable"/>
              <w:tabs>
                <w:tab w:val="decimal" w:pos="425"/>
              </w:tabs>
              <w:spacing w:before="0"/>
            </w:pPr>
            <w:r>
              <w:t>$600.00</w:t>
            </w:r>
          </w:p>
        </w:tc>
      </w:tr>
      <w:tr>
        <w:tc>
          <w:tcPr>
            <w:tcW w:w="5387" w:type="dxa"/>
            <w:gridSpan w:val="2"/>
          </w:tcPr>
          <w:p>
            <w:pPr>
              <w:pStyle w:val="yTable"/>
              <w:tabs>
                <w:tab w:val="left" w:pos="567"/>
              </w:tabs>
              <w:spacing w:before="0"/>
              <w:ind w:left="567" w:right="-142" w:hanging="567"/>
            </w:pPr>
            <w:r>
              <w:t>6.</w:t>
            </w:r>
            <w:r>
              <w:tab/>
              <w:t>Meter testing — </w:t>
            </w:r>
          </w:p>
        </w:tc>
        <w:tc>
          <w:tcPr>
            <w:tcW w:w="1418" w:type="dxa"/>
          </w:tcPr>
          <w:p>
            <w:pPr>
              <w:pStyle w:val="yTable"/>
              <w:spacing w:before="0"/>
            </w:pPr>
          </w:p>
        </w:tc>
      </w:tr>
      <w:tr>
        <w:tc>
          <w:tcPr>
            <w:tcW w:w="5387" w:type="dxa"/>
            <w:gridSpan w:val="2"/>
          </w:tcPr>
          <w:p>
            <w:pPr>
              <w:pStyle w:val="yTable"/>
              <w:tabs>
                <w:tab w:val="left" w:pos="850"/>
                <w:tab w:val="left" w:pos="1417"/>
              </w:tabs>
              <w:spacing w:before="0"/>
              <w:ind w:left="1417" w:right="-142" w:hanging="1417"/>
            </w:pPr>
            <w:r>
              <w:tab/>
              <w:t>(a)</w:t>
            </w:r>
            <w:r>
              <w:tab/>
              <w:t>standard meter testing fee ………………...</w:t>
            </w:r>
          </w:p>
        </w:tc>
        <w:tc>
          <w:tcPr>
            <w:tcW w:w="1418" w:type="dxa"/>
          </w:tcPr>
          <w:p>
            <w:pPr>
              <w:pStyle w:val="yTable"/>
              <w:tabs>
                <w:tab w:val="decimal" w:pos="425"/>
              </w:tabs>
              <w:spacing w:before="0"/>
            </w:pPr>
            <w:r>
              <w:t>$152.00</w:t>
            </w:r>
          </w:p>
        </w:tc>
      </w:tr>
      <w:tr>
        <w:tc>
          <w:tcPr>
            <w:tcW w:w="5387" w:type="dxa"/>
            <w:gridSpan w:val="2"/>
          </w:tcPr>
          <w:p>
            <w:pPr>
              <w:pStyle w:val="yTable"/>
              <w:tabs>
                <w:tab w:val="left" w:pos="850"/>
                <w:tab w:val="left" w:pos="1417"/>
              </w:tabs>
              <w:spacing w:before="0"/>
              <w:ind w:left="1417" w:right="-142" w:hanging="1417"/>
            </w:pPr>
            <w:r>
              <w:tab/>
              <w:t>(b)</w:t>
            </w:r>
            <w:r>
              <w:tab/>
              <w:t>reduced meter testing fee …………………</w:t>
            </w:r>
          </w:p>
        </w:tc>
        <w:tc>
          <w:tcPr>
            <w:tcW w:w="1418" w:type="dxa"/>
          </w:tcPr>
          <w:p>
            <w:pPr>
              <w:pStyle w:val="yTable"/>
              <w:tabs>
                <w:tab w:val="decimal" w:pos="425"/>
              </w:tabs>
              <w:spacing w:before="0"/>
            </w:pPr>
            <w:r>
              <w:t>$139.80</w:t>
            </w:r>
          </w:p>
        </w:tc>
      </w:tr>
      <w:tr>
        <w:tc>
          <w:tcPr>
            <w:tcW w:w="5387" w:type="dxa"/>
            <w:gridSpan w:val="2"/>
          </w:tcPr>
          <w:p>
            <w:pPr>
              <w:pStyle w:val="yTable"/>
              <w:tabs>
                <w:tab w:val="left" w:pos="567"/>
              </w:tabs>
              <w:spacing w:before="0"/>
              <w:ind w:left="567" w:right="-142" w:hanging="567"/>
            </w:pPr>
            <w:r>
              <w:t>7.</w:t>
            </w:r>
            <w:r>
              <w:tab/>
              <w:t>Disconnection of overhead service leads following unauthorised reconnection ………………………….</w:t>
            </w:r>
          </w:p>
        </w:tc>
        <w:tc>
          <w:tcPr>
            <w:tcW w:w="1418" w:type="dxa"/>
          </w:tcPr>
          <w:p>
            <w:pPr>
              <w:pStyle w:val="yTable"/>
              <w:tabs>
                <w:tab w:val="decimal" w:pos="425"/>
              </w:tabs>
              <w:spacing w:before="0"/>
            </w:pPr>
            <w:r>
              <w:br/>
              <w:t>$190.00</w:t>
            </w:r>
          </w:p>
        </w:tc>
      </w:tr>
      <w:tr>
        <w:tc>
          <w:tcPr>
            <w:tcW w:w="5387" w:type="dxa"/>
            <w:gridSpan w:val="2"/>
          </w:tcPr>
          <w:p>
            <w:pPr>
              <w:pStyle w:val="yTable"/>
              <w:tabs>
                <w:tab w:val="left" w:pos="567"/>
              </w:tabs>
              <w:spacing w:before="0"/>
              <w:ind w:left="567" w:right="-142" w:hanging="567"/>
            </w:pPr>
            <w:r>
              <w:t>8.</w:t>
            </w:r>
            <w:r>
              <w:tab/>
              <w:t xml:space="preserve">Meter reading where reading requested by consumer </w:t>
            </w:r>
          </w:p>
        </w:tc>
        <w:tc>
          <w:tcPr>
            <w:tcW w:w="1418" w:type="dxa"/>
          </w:tcPr>
          <w:p>
            <w:pPr>
              <w:pStyle w:val="yTable"/>
              <w:tabs>
                <w:tab w:val="decimal" w:pos="425"/>
              </w:tabs>
              <w:spacing w:before="0"/>
            </w:pPr>
            <w:r>
              <w:t>$19.20</w:t>
            </w:r>
          </w:p>
        </w:tc>
      </w:tr>
      <w:tr>
        <w:tc>
          <w:tcPr>
            <w:tcW w:w="5387" w:type="dxa"/>
            <w:gridSpan w:val="2"/>
          </w:tcPr>
          <w:p>
            <w:pPr>
              <w:pStyle w:val="yTable"/>
              <w:tabs>
                <w:tab w:val="left" w:pos="567"/>
              </w:tabs>
              <w:spacing w:before="0"/>
              <w:ind w:left="567" w:right="-142" w:hanging="567"/>
            </w:pPr>
            <w:r>
              <w:t>9.</w:t>
            </w:r>
            <w:r>
              <w:tab/>
              <w:t>Supply of electricity to standard railway crossing lights (per day) ……………………………………...</w:t>
            </w:r>
          </w:p>
        </w:tc>
        <w:tc>
          <w:tcPr>
            <w:tcW w:w="1418" w:type="dxa"/>
          </w:tcPr>
          <w:p>
            <w:pPr>
              <w:pStyle w:val="yTable"/>
              <w:tabs>
                <w:tab w:val="decimal" w:pos="425"/>
              </w:tabs>
              <w:spacing w:before="0"/>
            </w:pPr>
            <w:r>
              <w:br/>
              <w:t>45.089 cents</w:t>
            </w:r>
          </w:p>
        </w:tc>
      </w:tr>
      <w:tr>
        <w:tc>
          <w:tcPr>
            <w:tcW w:w="5387" w:type="dxa"/>
            <w:gridSpan w:val="2"/>
          </w:tcPr>
          <w:p>
            <w:pPr>
              <w:pStyle w:val="yTable"/>
              <w:tabs>
                <w:tab w:val="left" w:pos="567"/>
              </w:tabs>
              <w:spacing w:before="0"/>
              <w:ind w:left="567" w:right="-142" w:hanging="567"/>
            </w:pPr>
            <w:r>
              <w:t>10.</w:t>
            </w:r>
            <w:r>
              <w:tab/>
              <w:t>Overdue account notices ……………………………</w:t>
            </w:r>
          </w:p>
        </w:tc>
        <w:tc>
          <w:tcPr>
            <w:tcW w:w="1418" w:type="dxa"/>
          </w:tcPr>
          <w:p>
            <w:pPr>
              <w:pStyle w:val="yTable"/>
              <w:tabs>
                <w:tab w:val="decimal" w:pos="425"/>
              </w:tabs>
              <w:spacing w:before="0"/>
            </w:pPr>
            <w:r>
              <w:t>$4.10</w:t>
            </w:r>
          </w:p>
        </w:tc>
      </w:tr>
      <w:tr>
        <w:tc>
          <w:tcPr>
            <w:tcW w:w="5387" w:type="dxa"/>
            <w:gridSpan w:val="2"/>
            <w:tcBorders>
              <w:bottom w:val="single" w:sz="4" w:space="0" w:color="auto"/>
            </w:tcBorders>
          </w:tcPr>
          <w:p>
            <w:pPr>
              <w:pStyle w:val="yTable"/>
              <w:tabs>
                <w:tab w:val="left" w:pos="567"/>
              </w:tabs>
              <w:spacing w:before="0"/>
              <w:ind w:left="567" w:right="-142" w:hanging="567"/>
            </w:pPr>
            <w:r>
              <w:t>11.</w:t>
            </w:r>
            <w:r>
              <w:tab/>
              <w:t>Tariff R1 or R3 “time</w:t>
            </w:r>
            <w:r>
              <w:noBreakHyphen/>
              <w:t>of</w:t>
            </w:r>
            <w:r>
              <w:noBreakHyphen/>
              <w:t>use meter” installation fee ……...</w:t>
            </w:r>
          </w:p>
        </w:tc>
        <w:tc>
          <w:tcPr>
            <w:tcW w:w="1418" w:type="dxa"/>
            <w:tcBorders>
              <w:bottom w:val="single" w:sz="4" w:space="0" w:color="auto"/>
            </w:tcBorders>
          </w:tcPr>
          <w:p>
            <w:pPr>
              <w:pStyle w:val="yTable"/>
              <w:tabs>
                <w:tab w:val="decimal" w:pos="425"/>
              </w:tabs>
              <w:spacing w:before="0"/>
            </w:pPr>
            <w:r>
              <w:t>$709.00</w:t>
            </w:r>
          </w:p>
        </w:tc>
      </w:tr>
    </w:tbl>
    <w:p>
      <w:pPr>
        <w:pStyle w:val="yFootnotesection"/>
      </w:pPr>
      <w:r>
        <w:tab/>
        <w:t>[Schedule 4 amended in Gazette 26 Jun 2007 p. 3017; 30 Mar 2009 p. 982.]</w:t>
      </w:r>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pPr>
        <w:pStyle w:val="nHeading2"/>
      </w:pPr>
      <w:bookmarkStart w:id="179" w:name="_Toc113695922"/>
      <w:bookmarkStart w:id="180" w:name="_Toc131491089"/>
      <w:bookmarkStart w:id="181" w:name="_Toc152664698"/>
      <w:bookmarkStart w:id="182" w:name="_Toc152669129"/>
      <w:bookmarkStart w:id="183" w:name="_Toc171051504"/>
      <w:bookmarkStart w:id="184" w:name="_Toc226275326"/>
      <w:bookmarkStart w:id="185" w:name="_Toc226275366"/>
      <w:r>
        <w:t>Notes</w:t>
      </w:r>
      <w:bookmarkEnd w:id="179"/>
      <w:bookmarkEnd w:id="180"/>
      <w:bookmarkEnd w:id="181"/>
      <w:bookmarkEnd w:id="182"/>
      <w:bookmarkEnd w:id="183"/>
      <w:bookmarkEnd w:id="184"/>
      <w:bookmarkEnd w:id="185"/>
    </w:p>
    <w:p>
      <w:pPr>
        <w:pStyle w:val="nSubsection"/>
        <w:rPr>
          <w:snapToGrid w:val="0"/>
        </w:rPr>
      </w:pPr>
      <w:r>
        <w:rPr>
          <w:snapToGrid w:val="0"/>
          <w:vertAlign w:val="superscript"/>
        </w:rPr>
        <w:t>1</w:t>
      </w:r>
      <w:r>
        <w:rPr>
          <w:snapToGrid w:val="0"/>
        </w:rPr>
        <w:tab/>
        <w:t xml:space="preserve">This is a compilation of the </w:t>
      </w:r>
      <w:r>
        <w:rPr>
          <w:i/>
        </w:rPr>
        <w:t>Energy Operators (Electricity Retail Corporation) (Charges) By-laws 2006</w:t>
      </w:r>
      <w:r>
        <w:rPr>
          <w:snapToGrid w:val="0"/>
        </w:rPr>
        <w:t xml:space="preserve"> and includes the amendments made by the other written laws referred to in the following table </w:t>
      </w:r>
      <w:r>
        <w:rPr>
          <w:snapToGrid w:val="0"/>
          <w:vertAlign w:val="superscript"/>
        </w:rPr>
        <w:t>1a</w:t>
      </w:r>
      <w:r>
        <w:rPr>
          <w:snapToGrid w:val="0"/>
        </w:rPr>
        <w:t xml:space="preserve">. </w:t>
      </w:r>
      <w:bookmarkStart w:id="186" w:name="_Toc70311430"/>
      <w:bookmarkStart w:id="187" w:name="_Toc113695923"/>
    </w:p>
    <w:p>
      <w:pPr>
        <w:pStyle w:val="nHeading3"/>
      </w:pPr>
      <w:bookmarkStart w:id="188" w:name="_Toc226275367"/>
      <w:r>
        <w:t>Compilation table</w:t>
      </w:r>
      <w:bookmarkEnd w:id="186"/>
      <w:bookmarkEnd w:id="187"/>
      <w:bookmarkEnd w:id="18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Borders>
              <w:top w:val="single" w:sz="8" w:space="0" w:color="auto"/>
            </w:tcBorders>
          </w:tcPr>
          <w:p>
            <w:pPr>
              <w:pStyle w:val="nTable"/>
              <w:rPr>
                <w:sz w:val="19"/>
              </w:rPr>
            </w:pPr>
            <w:r>
              <w:rPr>
                <w:i/>
                <w:sz w:val="19"/>
              </w:rPr>
              <w:t>Energy Operators (Electricity Retail Corporation) (Charges) By-laws 2006</w:t>
            </w:r>
          </w:p>
        </w:tc>
        <w:tc>
          <w:tcPr>
            <w:tcW w:w="1276" w:type="dxa"/>
            <w:tcBorders>
              <w:top w:val="single" w:sz="8" w:space="0" w:color="auto"/>
            </w:tcBorders>
          </w:tcPr>
          <w:p>
            <w:pPr>
              <w:pStyle w:val="nTable"/>
              <w:rPr>
                <w:sz w:val="19"/>
              </w:rPr>
            </w:pPr>
            <w:r>
              <w:rPr>
                <w:sz w:val="19"/>
              </w:rPr>
              <w:t>31 Mar 2006 p. 1225-46</w:t>
            </w:r>
          </w:p>
        </w:tc>
        <w:tc>
          <w:tcPr>
            <w:tcW w:w="2693" w:type="dxa"/>
            <w:tcBorders>
              <w:top w:val="single" w:sz="8" w:space="0" w:color="auto"/>
            </w:tcBorders>
          </w:tcPr>
          <w:p>
            <w:pPr>
              <w:pStyle w:val="nTable"/>
              <w:rPr>
                <w:sz w:val="19"/>
              </w:rPr>
            </w:pPr>
            <w:r>
              <w:rPr>
                <w:sz w:val="19"/>
              </w:rPr>
              <w:t>1 Apr 2006 (see bl. 2)</w:t>
            </w:r>
          </w:p>
        </w:tc>
      </w:tr>
      <w:tr>
        <w:tc>
          <w:tcPr>
            <w:tcW w:w="3118" w:type="dxa"/>
          </w:tcPr>
          <w:p>
            <w:pPr>
              <w:pStyle w:val="nTable"/>
              <w:rPr>
                <w:i/>
                <w:sz w:val="19"/>
              </w:rPr>
            </w:pPr>
            <w:r>
              <w:rPr>
                <w:i/>
                <w:sz w:val="19"/>
              </w:rPr>
              <w:t>Energy Operators (Electricity Retail Corporation) (Charges) Amendment By-laws 2006</w:t>
            </w:r>
          </w:p>
        </w:tc>
        <w:tc>
          <w:tcPr>
            <w:tcW w:w="1276" w:type="dxa"/>
          </w:tcPr>
          <w:p>
            <w:pPr>
              <w:pStyle w:val="nTable"/>
              <w:rPr>
                <w:sz w:val="19"/>
              </w:rPr>
            </w:pPr>
            <w:r>
              <w:rPr>
                <w:sz w:val="19"/>
              </w:rPr>
              <w:t>1 Dec 2006 p. 5349</w:t>
            </w:r>
            <w:r>
              <w:rPr>
                <w:sz w:val="19"/>
              </w:rPr>
              <w:noBreakHyphen/>
              <w:t>50</w:t>
            </w:r>
          </w:p>
        </w:tc>
        <w:tc>
          <w:tcPr>
            <w:tcW w:w="2693" w:type="dxa"/>
          </w:tcPr>
          <w:p>
            <w:pPr>
              <w:pStyle w:val="nTable"/>
              <w:rPr>
                <w:sz w:val="19"/>
              </w:rPr>
            </w:pPr>
            <w:r>
              <w:rPr>
                <w:sz w:val="19"/>
              </w:rPr>
              <w:t>1 Dec 2006</w:t>
            </w:r>
          </w:p>
        </w:tc>
      </w:tr>
      <w:tr>
        <w:tc>
          <w:tcPr>
            <w:tcW w:w="3118" w:type="dxa"/>
          </w:tcPr>
          <w:p>
            <w:pPr>
              <w:pStyle w:val="nTable"/>
              <w:rPr>
                <w:i/>
                <w:sz w:val="19"/>
              </w:rPr>
            </w:pPr>
            <w:r>
              <w:rPr>
                <w:i/>
                <w:sz w:val="19"/>
              </w:rPr>
              <w:t>Energy Operators (Electricity Retail Corporation) (Charges) Amendment By-laws 2007</w:t>
            </w:r>
          </w:p>
        </w:tc>
        <w:tc>
          <w:tcPr>
            <w:tcW w:w="1276" w:type="dxa"/>
          </w:tcPr>
          <w:p>
            <w:pPr>
              <w:pStyle w:val="nTable"/>
              <w:rPr>
                <w:sz w:val="19"/>
              </w:rPr>
            </w:pPr>
            <w:r>
              <w:rPr>
                <w:sz w:val="19"/>
              </w:rPr>
              <w:t>26 Jun 2007 p. 3013-17</w:t>
            </w:r>
          </w:p>
        </w:tc>
        <w:tc>
          <w:tcPr>
            <w:tcW w:w="2693" w:type="dxa"/>
          </w:tcPr>
          <w:p>
            <w:pPr>
              <w:pStyle w:val="nTable"/>
              <w:rPr>
                <w:sz w:val="19"/>
              </w:rPr>
            </w:pPr>
            <w:r>
              <w:rPr>
                <w:sz w:val="19"/>
              </w:rPr>
              <w:t>bl. 1 and 2: 26 Jun 2007 (see bl. 2(a));</w:t>
            </w:r>
          </w:p>
          <w:p>
            <w:pPr>
              <w:pStyle w:val="nTable"/>
              <w:rPr>
                <w:sz w:val="19"/>
              </w:rPr>
            </w:pPr>
            <w:r>
              <w:rPr>
                <w:sz w:val="19"/>
              </w:rPr>
              <w:t>By-laws other than bl. 1 and 2: 1 Jul 2007 (see bl. 2(b))</w:t>
            </w:r>
          </w:p>
        </w:tc>
      </w:tr>
      <w:tr>
        <w:tc>
          <w:tcPr>
            <w:tcW w:w="3118" w:type="dxa"/>
            <w:tcBorders>
              <w:bottom w:val="single" w:sz="4" w:space="0" w:color="auto"/>
            </w:tcBorders>
          </w:tcPr>
          <w:p>
            <w:pPr>
              <w:pStyle w:val="nTable"/>
              <w:rPr>
                <w:i/>
                <w:sz w:val="19"/>
              </w:rPr>
            </w:pPr>
            <w:r>
              <w:rPr>
                <w:i/>
                <w:sz w:val="19"/>
              </w:rPr>
              <w:t>Energy Operators (Electricity Retail Corporation) (Charges) Amendment By-laws 2009</w:t>
            </w:r>
            <w:r>
              <w:rPr>
                <w:iCs/>
                <w:sz w:val="19"/>
              </w:rPr>
              <w:t xml:space="preserve"> bl. 3 and Pt 2</w:t>
            </w:r>
          </w:p>
        </w:tc>
        <w:tc>
          <w:tcPr>
            <w:tcW w:w="1276" w:type="dxa"/>
            <w:tcBorders>
              <w:bottom w:val="single" w:sz="4" w:space="0" w:color="auto"/>
            </w:tcBorders>
          </w:tcPr>
          <w:p>
            <w:pPr>
              <w:pStyle w:val="nTable"/>
              <w:rPr>
                <w:sz w:val="19"/>
              </w:rPr>
            </w:pPr>
            <w:r>
              <w:rPr>
                <w:sz w:val="19"/>
              </w:rPr>
              <w:t>30 Mar 2009 p. 967</w:t>
            </w:r>
            <w:r>
              <w:rPr>
                <w:sz w:val="19"/>
              </w:rPr>
              <w:noBreakHyphen/>
              <w:t>95</w:t>
            </w:r>
          </w:p>
        </w:tc>
        <w:tc>
          <w:tcPr>
            <w:tcW w:w="2693" w:type="dxa"/>
            <w:tcBorders>
              <w:bottom w:val="single" w:sz="4" w:space="0" w:color="auto"/>
            </w:tcBorders>
          </w:tcPr>
          <w:p>
            <w:pPr>
              <w:pStyle w:val="nTable"/>
              <w:rPr>
                <w:sz w:val="19"/>
              </w:rPr>
            </w:pPr>
            <w:r>
              <w:rPr>
                <w:sz w:val="19"/>
              </w:rPr>
              <w:t>1 Apr 2009 (see bl.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89" w:name="_Toc7405065"/>
      <w:bookmarkStart w:id="190" w:name="_Toc181500909"/>
      <w:bookmarkStart w:id="191" w:name="_Toc193100050"/>
      <w:bookmarkStart w:id="192" w:name="_Toc226275368"/>
      <w:r>
        <w:t>Provisions that have not come into operation</w:t>
      </w:r>
      <w:bookmarkEnd w:id="189"/>
      <w:bookmarkEnd w:id="190"/>
      <w:bookmarkEnd w:id="191"/>
      <w:bookmarkEnd w:id="19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Borders>
              <w:top w:val="single" w:sz="8" w:space="0" w:color="auto"/>
              <w:bottom w:val="single" w:sz="4" w:space="0" w:color="auto"/>
            </w:tcBorders>
          </w:tcPr>
          <w:p>
            <w:pPr>
              <w:pStyle w:val="nTable"/>
              <w:rPr>
                <w:iCs/>
                <w:sz w:val="19"/>
                <w:vertAlign w:val="superscript"/>
              </w:rPr>
            </w:pPr>
            <w:r>
              <w:rPr>
                <w:i/>
                <w:sz w:val="19"/>
              </w:rPr>
              <w:t>Energy Operators (Electricity Retail Corporation) (Charges) Amendment By-laws 2009</w:t>
            </w:r>
            <w:r>
              <w:rPr>
                <w:iCs/>
                <w:sz w:val="19"/>
              </w:rPr>
              <w:t xml:space="preserve"> Pt. 3 </w:t>
            </w:r>
            <w:r>
              <w:rPr>
                <w:iCs/>
                <w:sz w:val="19"/>
                <w:vertAlign w:val="superscript"/>
              </w:rPr>
              <w:t>2</w:t>
            </w:r>
          </w:p>
        </w:tc>
        <w:tc>
          <w:tcPr>
            <w:tcW w:w="1276" w:type="dxa"/>
            <w:tcBorders>
              <w:top w:val="single" w:sz="8" w:space="0" w:color="auto"/>
              <w:bottom w:val="single" w:sz="4" w:space="0" w:color="auto"/>
            </w:tcBorders>
          </w:tcPr>
          <w:p>
            <w:pPr>
              <w:pStyle w:val="nTable"/>
              <w:rPr>
                <w:sz w:val="19"/>
              </w:rPr>
            </w:pPr>
            <w:r>
              <w:rPr>
                <w:sz w:val="19"/>
              </w:rPr>
              <w:t>30 Mar 2009 p. 967</w:t>
            </w:r>
            <w:r>
              <w:rPr>
                <w:sz w:val="19"/>
              </w:rPr>
              <w:noBreakHyphen/>
              <w:t>95</w:t>
            </w:r>
          </w:p>
        </w:tc>
        <w:tc>
          <w:tcPr>
            <w:tcW w:w="2693" w:type="dxa"/>
            <w:tcBorders>
              <w:top w:val="single" w:sz="8" w:space="0" w:color="auto"/>
              <w:bottom w:val="single" w:sz="4" w:space="0" w:color="auto"/>
            </w:tcBorders>
          </w:tcPr>
          <w:p>
            <w:pPr>
              <w:pStyle w:val="nTable"/>
              <w:rPr>
                <w:sz w:val="19"/>
              </w:rPr>
            </w:pPr>
            <w:r>
              <w:rPr>
                <w:sz w:val="19"/>
              </w:rPr>
              <w:t>1 Jul 2009 (see bl. 2(c))</w:t>
            </w:r>
          </w:p>
        </w:tc>
      </w:tr>
    </w:tbl>
    <w:p>
      <w:pPr>
        <w:pStyle w:val="nSubsection"/>
        <w:keepLines/>
        <w:rPr>
          <w:snapToGrid w:val="0"/>
        </w:rPr>
      </w:pPr>
      <w:r>
        <w:rPr>
          <w:snapToGrid w:val="0"/>
          <w:vertAlign w:val="superscript"/>
        </w:rPr>
        <w:t>2</w:t>
      </w:r>
      <w:r>
        <w:rPr>
          <w:snapToGrid w:val="0"/>
          <w:vertAlign w:val="superscript"/>
        </w:rPr>
        <w:tab/>
      </w:r>
      <w:r>
        <w:t xml:space="preserve">On the date as at which this compilation was prepared, </w:t>
      </w:r>
      <w:r>
        <w:rPr>
          <w:snapToGrid w:val="0"/>
        </w:rPr>
        <w:t xml:space="preserve">the </w:t>
      </w:r>
      <w:r>
        <w:rPr>
          <w:i/>
          <w:iCs/>
          <w:snapToGrid w:val="0"/>
        </w:rPr>
        <w:t>Energy Operators (Electricity Retail Corporation) (Charges) Amendment By-laws 2009</w:t>
      </w:r>
      <w:r>
        <w:rPr>
          <w:snapToGrid w:val="0"/>
        </w:rPr>
        <w:t xml:space="preserve"> Pt. 3 had not come into operation.  It reads as follows:</w:t>
      </w:r>
    </w:p>
    <w:p>
      <w:pPr>
        <w:pStyle w:val="BlankOpen"/>
      </w:pPr>
    </w:p>
    <w:p>
      <w:pPr>
        <w:pStyle w:val="nHeading2"/>
      </w:pPr>
      <w:bookmarkStart w:id="193" w:name="_Toc226275329"/>
      <w:bookmarkStart w:id="194" w:name="_Toc226275369"/>
      <w:r>
        <w:rPr>
          <w:rStyle w:val="CharPartNo"/>
        </w:rPr>
        <w:t>Part 3</w:t>
      </w:r>
      <w:r>
        <w:rPr>
          <w:rStyle w:val="CharDivNo"/>
        </w:rPr>
        <w:t> </w:t>
      </w:r>
      <w:r>
        <w:t>—</w:t>
      </w:r>
      <w:r>
        <w:rPr>
          <w:rStyle w:val="CharDivText"/>
        </w:rPr>
        <w:t> </w:t>
      </w:r>
      <w:r>
        <w:rPr>
          <w:rStyle w:val="CharPartText"/>
        </w:rPr>
        <w:t>Amendments commencing on 1 July 2009</w:t>
      </w:r>
      <w:bookmarkEnd w:id="193"/>
      <w:bookmarkEnd w:id="194"/>
    </w:p>
    <w:p>
      <w:pPr>
        <w:pStyle w:val="nHeading5"/>
      </w:pPr>
      <w:r>
        <w:rPr>
          <w:rStyle w:val="CharSectno"/>
        </w:rPr>
        <w:t>10</w:t>
      </w:r>
      <w:r>
        <w:t>.</w:t>
      </w:r>
      <w:r>
        <w:tab/>
        <w:t>Schedule 1 replaced</w:t>
      </w:r>
    </w:p>
    <w:p>
      <w:pPr>
        <w:pStyle w:val="nSubsection"/>
        <w:tabs>
          <w:tab w:val="left" w:pos="882"/>
        </w:tabs>
      </w:pPr>
      <w:r>
        <w:tab/>
      </w:r>
      <w:r>
        <w:tab/>
        <w:t>Delete Schedule 1 and insert:</w:t>
      </w:r>
    </w:p>
    <w:p>
      <w:pPr>
        <w:pStyle w:val="BlankOpen"/>
      </w:pPr>
    </w:p>
    <w:p>
      <w:pPr>
        <w:pStyle w:val="nzHeading2"/>
      </w:pPr>
      <w:r>
        <w:t>Schedule 1 — Supply charges</w:t>
      </w:r>
    </w:p>
    <w:p>
      <w:pPr>
        <w:pStyle w:val="nzMiscellaneousBody"/>
        <w:jc w:val="right"/>
      </w:pPr>
      <w:r>
        <w:t>[bl. 3, 4(1) and 10(1)]</w:t>
      </w:r>
    </w:p>
    <w:p>
      <w:pPr>
        <w:pStyle w:val="nzHeading5"/>
      </w:pPr>
      <w:r>
        <w:t>1.</w:t>
      </w:r>
      <w:r>
        <w:tab/>
        <w:t>Tariff L1 (general supply — low/medium voltage tariff)</w:t>
      </w:r>
    </w:p>
    <w:p>
      <w:pPr>
        <w:pStyle w:val="nzSubsection"/>
      </w:pPr>
      <w:r>
        <w:tab/>
        <w:t>(1)</w:t>
      </w:r>
      <w:r>
        <w:tab/>
        <w:t>Tariff L1 is available for low/medium voltage supply.</w:t>
      </w:r>
    </w:p>
    <w:p>
      <w:pPr>
        <w:pStyle w:val="nzSubsection"/>
      </w:pPr>
      <w:r>
        <w:tab/>
        <w:t>(2)</w:t>
      </w:r>
      <w:r>
        <w:tab/>
        <w:t xml:space="preserve">Tariff L1 comprises — </w:t>
      </w:r>
    </w:p>
    <w:p>
      <w:pPr>
        <w:pStyle w:val="nzIndenta"/>
      </w:pPr>
      <w:r>
        <w:tab/>
        <w:t>(a)</w:t>
      </w:r>
      <w:r>
        <w:tab/>
        <w:t>a fixed charge at the rate of 30.679 cents per day; and</w:t>
      </w:r>
    </w:p>
    <w:p>
      <w:pPr>
        <w:pStyle w:val="nzIndenta"/>
      </w:pPr>
      <w:r>
        <w:tab/>
        <w:t>(b)</w:t>
      </w:r>
      <w:r>
        <w:tab/>
        <w:t xml:space="preserve">a charge for metered consumption at the rate of — </w:t>
      </w:r>
    </w:p>
    <w:p>
      <w:pPr>
        <w:pStyle w:val="nzIndenti"/>
      </w:pPr>
      <w:r>
        <w:tab/>
        <w:t>(i)</w:t>
      </w:r>
      <w:r>
        <w:tab/>
        <w:t>20.163 cents per unit for the first 1 650 units per day; and</w:t>
      </w:r>
    </w:p>
    <w:p>
      <w:pPr>
        <w:pStyle w:val="nzIndenti"/>
      </w:pPr>
      <w:r>
        <w:tab/>
        <w:t>(ii)</w:t>
      </w:r>
      <w:r>
        <w:tab/>
        <w:t>18.194 cents per unit for all units exceeding 1 650 units per day.</w:t>
      </w:r>
    </w:p>
    <w:p>
      <w:pPr>
        <w:pStyle w:val="nzSubsection"/>
      </w:pPr>
      <w:r>
        <w:tab/>
        <w:t>(3)</w:t>
      </w:r>
      <w:r>
        <w:tab/>
        <w:t>Tariff L1 is available subject to the condition that the consumer satisfies the corporation that the amount of electricity supplied to the consumer’s premises will be less than 50 megawatt hours per annum.</w:t>
      </w:r>
    </w:p>
    <w:p>
      <w:pPr>
        <w:pStyle w:val="nzHeading5"/>
      </w:pPr>
      <w:r>
        <w:t>2.</w:t>
      </w:r>
      <w:r>
        <w:tab/>
        <w:t xml:space="preserve">Tariff L3 (general supply — low/medium voltage tariff) </w:t>
      </w:r>
    </w:p>
    <w:p>
      <w:pPr>
        <w:pStyle w:val="nzSubsection"/>
      </w:pPr>
      <w:r>
        <w:tab/>
        <w:t>(1)</w:t>
      </w:r>
      <w:r>
        <w:tab/>
        <w:t>Tariff L3 is available for low/medium voltage supply.</w:t>
      </w:r>
    </w:p>
    <w:p>
      <w:pPr>
        <w:pStyle w:val="nzSubsection"/>
      </w:pPr>
      <w:r>
        <w:tab/>
        <w:t>(2)</w:t>
      </w:r>
      <w:r>
        <w:tab/>
        <w:t xml:space="preserve">Tariff L3 comprises — </w:t>
      </w:r>
    </w:p>
    <w:p>
      <w:pPr>
        <w:pStyle w:val="nzIndenta"/>
      </w:pPr>
      <w:r>
        <w:tab/>
        <w:t>(a)</w:t>
      </w:r>
      <w:r>
        <w:tab/>
        <w:t>a fixed charge at the rate of 32.142 cents per day; and</w:t>
      </w:r>
    </w:p>
    <w:p>
      <w:pPr>
        <w:pStyle w:val="nzIndenta"/>
      </w:pPr>
      <w:r>
        <w:tab/>
        <w:t>(b)</w:t>
      </w:r>
      <w:r>
        <w:tab/>
        <w:t xml:space="preserve">a charge for metered consumption at the rate of — </w:t>
      </w:r>
    </w:p>
    <w:p>
      <w:pPr>
        <w:pStyle w:val="nzIndenti"/>
      </w:pPr>
      <w:r>
        <w:tab/>
        <w:t>(i)</w:t>
      </w:r>
      <w:r>
        <w:tab/>
        <w:t>21.12 cents per unit for the first 1 650 units per day; and</w:t>
      </w:r>
    </w:p>
    <w:p>
      <w:pPr>
        <w:pStyle w:val="nzIndenti"/>
      </w:pPr>
      <w:r>
        <w:tab/>
        <w:t>(ii)</w:t>
      </w:r>
      <w:r>
        <w:tab/>
        <w:t>19.063 cents per unit for all units exceeding 1 650 units per day.</w:t>
      </w:r>
    </w:p>
    <w:p>
      <w:pPr>
        <w:pStyle w:val="nzSubsection"/>
      </w:pPr>
      <w:r>
        <w:tab/>
        <w:t>(3)</w:t>
      </w:r>
      <w:r>
        <w:tab/>
        <w:t>Tariff L3 is available subject to the condition that the consumer satisfies the corporation that the amount of electricity supplied to the consumer’s premises will be 50 megawatt hours or more per annum.</w:t>
      </w:r>
    </w:p>
    <w:p>
      <w:pPr>
        <w:pStyle w:val="nzHeading5"/>
      </w:pPr>
      <w:r>
        <w:t>3.</w:t>
      </w:r>
      <w:r>
        <w:rPr>
          <w:b w:val="0"/>
        </w:rPr>
        <w:tab/>
      </w:r>
      <w:r>
        <w:t>Tariff M1 (general supply — high voltage tariff)</w:t>
      </w:r>
    </w:p>
    <w:p>
      <w:pPr>
        <w:pStyle w:val="nzSubsection"/>
      </w:pPr>
      <w:r>
        <w:tab/>
        <w:t>(1)</w:t>
      </w:r>
      <w:r>
        <w:tab/>
        <w:t>Tariff M1 is available for consumers supplied at 6.6 kV, 11 kV, 22 kV or 33 kV or such higher voltage as the corporation may approve.</w:t>
      </w:r>
    </w:p>
    <w:p>
      <w:pPr>
        <w:pStyle w:val="nzSubsection"/>
      </w:pPr>
      <w:r>
        <w:tab/>
        <w:t>(2)</w:t>
      </w:r>
      <w:r>
        <w:tab/>
        <w:t xml:space="preserve">Tariff M1 comprises — </w:t>
      </w:r>
    </w:p>
    <w:p>
      <w:pPr>
        <w:pStyle w:val="nzIndenta"/>
      </w:pPr>
      <w:r>
        <w:tab/>
        <w:t>(a)</w:t>
      </w:r>
      <w:r>
        <w:tab/>
        <w:t>a fixed charge at the rate of 32.142 cents per day; and</w:t>
      </w:r>
    </w:p>
    <w:p>
      <w:pPr>
        <w:pStyle w:val="nzIndenta"/>
      </w:pPr>
      <w:r>
        <w:tab/>
        <w:t>(b)</w:t>
      </w:r>
      <w:r>
        <w:tab/>
        <w:t>a charge for metered consumption at the rate of — </w:t>
      </w:r>
    </w:p>
    <w:p>
      <w:pPr>
        <w:pStyle w:val="nzIndenti"/>
        <w:rPr>
          <w:snapToGrid w:val="0"/>
        </w:rPr>
      </w:pPr>
      <w:r>
        <w:rPr>
          <w:snapToGrid w:val="0"/>
        </w:rPr>
        <w:tab/>
        <w:t>(i)</w:t>
      </w:r>
      <w:r>
        <w:rPr>
          <w:snapToGrid w:val="0"/>
        </w:rPr>
        <w:tab/>
        <w:t>20.405 cents per unit for the first 1 650 units per day; and</w:t>
      </w:r>
    </w:p>
    <w:p>
      <w:pPr>
        <w:pStyle w:val="nzIndenti"/>
        <w:rPr>
          <w:snapToGrid w:val="0"/>
        </w:rPr>
      </w:pPr>
      <w:r>
        <w:rPr>
          <w:snapToGrid w:val="0"/>
        </w:rPr>
        <w:tab/>
        <w:t>(ii)</w:t>
      </w:r>
      <w:r>
        <w:rPr>
          <w:snapToGrid w:val="0"/>
        </w:rPr>
        <w:tab/>
        <w:t>18.326 cents per unit per day for all units exceeding 1 650 units.</w:t>
      </w:r>
    </w:p>
    <w:p>
      <w:pPr>
        <w:pStyle w:val="nzHeading5"/>
      </w:pPr>
      <w:r>
        <w:t>4.</w:t>
      </w:r>
      <w:r>
        <w:tab/>
        <w:t>Tariff R1 (time of use tariff)</w:t>
      </w:r>
    </w:p>
    <w:p>
      <w:pPr>
        <w:pStyle w:val="nzSubsection"/>
      </w:pPr>
      <w:r>
        <w:tab/>
        <w:t>(1)</w:t>
      </w:r>
      <w:r>
        <w:tab/>
        <w:t>Tariff R1 comprises —</w:t>
      </w:r>
    </w:p>
    <w:p>
      <w:pPr>
        <w:pStyle w:val="nzIndenta"/>
        <w:rPr>
          <w:snapToGrid w:val="0"/>
        </w:rPr>
      </w:pPr>
      <w:r>
        <w:tab/>
        <w:t>(a)</w:t>
      </w:r>
      <w:r>
        <w:tab/>
        <w:t>a fi</w:t>
      </w:r>
      <w:r>
        <w:rPr>
          <w:snapToGrid w:val="0"/>
        </w:rPr>
        <w:t>xed charge at the rate of $1.2577 per day; and</w:t>
      </w:r>
    </w:p>
    <w:p>
      <w:pPr>
        <w:pStyle w:val="nzIndenta"/>
        <w:rPr>
          <w:snapToGrid w:val="0"/>
        </w:rPr>
      </w:pPr>
      <w:r>
        <w:rPr>
          <w:snapToGrid w:val="0"/>
        </w:rPr>
        <w:tab/>
        <w:t>(b)</w:t>
      </w:r>
      <w:r>
        <w:rPr>
          <w:snapToGrid w:val="0"/>
        </w:rPr>
        <w:tab/>
      </w:r>
      <w:r>
        <w:t>an energy</w:t>
      </w:r>
      <w:r>
        <w:rPr>
          <w:snapToGrid w:val="0"/>
        </w:rPr>
        <w:t xml:space="preserve"> charge consisting of — </w:t>
      </w:r>
    </w:p>
    <w:p>
      <w:pPr>
        <w:pStyle w:val="nzIndenti"/>
        <w:rPr>
          <w:snapToGrid w:val="0"/>
        </w:rPr>
      </w:pPr>
      <w:r>
        <w:rPr>
          <w:snapToGrid w:val="0"/>
        </w:rPr>
        <w:tab/>
        <w:t>(i)</w:t>
      </w:r>
      <w:r>
        <w:rPr>
          <w:snapToGrid w:val="0"/>
        </w:rPr>
        <w:tab/>
        <w:t>an on peak energy charge at the rate of 22.077 cents per unit; and</w:t>
      </w:r>
    </w:p>
    <w:p>
      <w:pPr>
        <w:pStyle w:val="nzIndenti"/>
        <w:rPr>
          <w:snapToGrid w:val="0"/>
        </w:rPr>
      </w:pPr>
      <w:r>
        <w:tab/>
        <w:t>(ii)</w:t>
      </w:r>
      <w:r>
        <w:tab/>
        <w:t>an off</w:t>
      </w:r>
      <w:r>
        <w:rPr>
          <w:snapToGrid w:val="0"/>
        </w:rPr>
        <w:t xml:space="preserve"> peak energy charge at the rate of 6.809 cents per unit.</w:t>
      </w:r>
    </w:p>
    <w:p>
      <w:pPr>
        <w:pStyle w:val="nzSubsection"/>
      </w:pPr>
      <w:r>
        <w:tab/>
        <w:t>(2)</w:t>
      </w:r>
      <w:r>
        <w:tab/>
        <w:t>Tariff R1 is available subject to the following conditions —</w:t>
      </w:r>
    </w:p>
    <w:p>
      <w:pPr>
        <w:pStyle w:val="nzIndenta"/>
      </w:pPr>
      <w:r>
        <w:tab/>
        <w:t>(a)</w:t>
      </w:r>
      <w:r>
        <w:tab/>
        <w:t>the consumer agrees to take the tariff for a minimum period of 12 months;</w:t>
      </w:r>
    </w:p>
    <w:p>
      <w:pPr>
        <w:pStyle w:val="nzIndenta"/>
      </w:pPr>
      <w:r>
        <w:tab/>
        <w:t>(b)</w:t>
      </w:r>
      <w:r>
        <w:tab/>
        <w:t>the consumer pays the fee set out in Schedule 4 item 11;</w:t>
      </w:r>
    </w:p>
    <w:p>
      <w:pPr>
        <w:pStyle w:val="nzIndenta"/>
      </w:pPr>
      <w:r>
        <w:tab/>
        <w:t>(c)</w:t>
      </w:r>
      <w:r>
        <w:tab/>
        <w:t>the consumer satisfies the corporation that the amount of electricity supplied to the consumer’s premises will be less than 50 megawatt hours per annum.</w:t>
      </w:r>
    </w:p>
    <w:p>
      <w:pPr>
        <w:pStyle w:val="nzHeading5"/>
      </w:pPr>
      <w:r>
        <w:t>5.</w:t>
      </w:r>
      <w:r>
        <w:tab/>
        <w:t>Tariff R3 (time of use tariff)</w:t>
      </w:r>
    </w:p>
    <w:p>
      <w:pPr>
        <w:pStyle w:val="nzSubsection"/>
      </w:pPr>
      <w:r>
        <w:tab/>
        <w:t>(1)</w:t>
      </w:r>
      <w:r>
        <w:tab/>
        <w:t>Tariff R3 comprises —</w:t>
      </w:r>
    </w:p>
    <w:p>
      <w:pPr>
        <w:pStyle w:val="nzIndenta"/>
        <w:rPr>
          <w:snapToGrid w:val="0"/>
        </w:rPr>
      </w:pPr>
      <w:r>
        <w:tab/>
        <w:t>(a)</w:t>
      </w:r>
      <w:r>
        <w:tab/>
        <w:t>a fi</w:t>
      </w:r>
      <w:r>
        <w:rPr>
          <w:snapToGrid w:val="0"/>
        </w:rPr>
        <w:t>xed charge at the rate of $1.5123 per day; and</w:t>
      </w:r>
    </w:p>
    <w:p>
      <w:pPr>
        <w:pStyle w:val="nzIndenta"/>
        <w:rPr>
          <w:snapToGrid w:val="0"/>
        </w:rPr>
      </w:pPr>
      <w:r>
        <w:rPr>
          <w:snapToGrid w:val="0"/>
        </w:rPr>
        <w:tab/>
        <w:t>(b)</w:t>
      </w:r>
      <w:r>
        <w:rPr>
          <w:snapToGrid w:val="0"/>
        </w:rPr>
        <w:tab/>
      </w:r>
      <w:r>
        <w:t>an energy</w:t>
      </w:r>
      <w:r>
        <w:rPr>
          <w:snapToGrid w:val="0"/>
        </w:rPr>
        <w:t xml:space="preserve"> charge consisting of — </w:t>
      </w:r>
    </w:p>
    <w:p>
      <w:pPr>
        <w:pStyle w:val="nzIndenti"/>
        <w:rPr>
          <w:snapToGrid w:val="0"/>
        </w:rPr>
      </w:pPr>
      <w:r>
        <w:rPr>
          <w:snapToGrid w:val="0"/>
        </w:rPr>
        <w:tab/>
        <w:t>(i)</w:t>
      </w:r>
      <w:r>
        <w:rPr>
          <w:snapToGrid w:val="0"/>
        </w:rPr>
        <w:tab/>
        <w:t>an on peak energy charge at the rate of 26.477 cents per unit; and</w:t>
      </w:r>
    </w:p>
    <w:p>
      <w:pPr>
        <w:pStyle w:val="nzIndenti"/>
        <w:rPr>
          <w:snapToGrid w:val="0"/>
        </w:rPr>
      </w:pPr>
      <w:r>
        <w:tab/>
        <w:t>(ii)</w:t>
      </w:r>
      <w:r>
        <w:tab/>
        <w:t>an off</w:t>
      </w:r>
      <w:r>
        <w:rPr>
          <w:snapToGrid w:val="0"/>
        </w:rPr>
        <w:t xml:space="preserve"> peak energy charge at the rate of 8.151 cents per unit.</w:t>
      </w:r>
    </w:p>
    <w:p>
      <w:pPr>
        <w:pStyle w:val="nzSubsection"/>
      </w:pPr>
      <w:r>
        <w:tab/>
        <w:t>(2)</w:t>
      </w:r>
      <w:r>
        <w:tab/>
        <w:t>Tariff R3 is available subject to the following conditions —</w:t>
      </w:r>
    </w:p>
    <w:p>
      <w:pPr>
        <w:pStyle w:val="nzIndenta"/>
      </w:pPr>
      <w:r>
        <w:tab/>
        <w:t>(a)</w:t>
      </w:r>
      <w:r>
        <w:tab/>
        <w:t>the consumer agrees to take the tariff for a minimum period of 12 months;</w:t>
      </w:r>
    </w:p>
    <w:p>
      <w:pPr>
        <w:pStyle w:val="nzIndenta"/>
      </w:pPr>
      <w:r>
        <w:tab/>
        <w:t>(b)</w:t>
      </w:r>
      <w:r>
        <w:tab/>
        <w:t>the consumer pays the fee set out in Schedule 4 item 11;</w:t>
      </w:r>
    </w:p>
    <w:p>
      <w:pPr>
        <w:pStyle w:val="nzIndenta"/>
      </w:pPr>
      <w:r>
        <w:tab/>
        <w:t>(c)</w:t>
      </w:r>
      <w:r>
        <w:tab/>
        <w:t>the consumer satisfies the corporation that the amount of electricity supplied to the consumer’s premises will be 50 megawatt hours or more per annum.</w:t>
      </w:r>
    </w:p>
    <w:p>
      <w:pPr>
        <w:pStyle w:val="nzHeading5"/>
        <w:rPr>
          <w:snapToGrid w:val="0"/>
        </w:rPr>
      </w:pPr>
      <w:r>
        <w:t>6.</w:t>
      </w:r>
      <w:r>
        <w:rPr>
          <w:b w:val="0"/>
        </w:rPr>
        <w:tab/>
      </w:r>
      <w:r>
        <w:rPr>
          <w:snapToGrid w:val="0"/>
        </w:rPr>
        <w:t>Tariff S1 (low/medium voltage time based demand and energy tariff)</w:t>
      </w:r>
    </w:p>
    <w:p>
      <w:pPr>
        <w:pStyle w:val="nzSubsection"/>
      </w:pPr>
      <w:r>
        <w:tab/>
        <w:t>(1)</w:t>
      </w:r>
      <w:r>
        <w:tab/>
        <w:t>Tariff S1 is available for low/medium voltage supply.</w:t>
      </w:r>
    </w:p>
    <w:p>
      <w:pPr>
        <w:pStyle w:val="nzSubsection"/>
      </w:pPr>
      <w:r>
        <w:tab/>
        <w:t>(2)</w:t>
      </w:r>
      <w:r>
        <w:tab/>
        <w:t xml:space="preserve">Tariff S1 comprises — </w:t>
      </w:r>
    </w:p>
    <w:p>
      <w:pPr>
        <w:pStyle w:val="nzIndenta"/>
      </w:pPr>
      <w:r>
        <w:tab/>
        <w:t>(a)</w:t>
      </w:r>
      <w:r>
        <w:tab/>
        <w:t>a minimum charge at the rate of $335.3634 per day; and</w:t>
      </w:r>
    </w:p>
    <w:p>
      <w:pPr>
        <w:pStyle w:val="nzIndenta"/>
      </w:pPr>
      <w:r>
        <w:tab/>
        <w:t>(b)</w:t>
      </w:r>
      <w:r>
        <w:tab/>
        <w:t xml:space="preserve">a demand charge at the rate of 85.184 cents per day multiplied by — </w:t>
      </w:r>
    </w:p>
    <w:p>
      <w:pPr>
        <w:pStyle w:val="nzIndenti"/>
      </w:pPr>
      <w:r>
        <w:tab/>
        <w:t>(i)</w:t>
      </w:r>
      <w:r>
        <w:tab/>
        <w:t>the on peak half</w:t>
      </w:r>
      <w:r>
        <w:noBreakHyphen/>
        <w:t>hourly maximum demand; or</w:t>
      </w:r>
    </w:p>
    <w:p>
      <w:pPr>
        <w:pStyle w:val="nzIndenti"/>
      </w:pPr>
      <w:r>
        <w:tab/>
        <w:t>(ii)</w:t>
      </w:r>
      <w:r>
        <w:tab/>
        <w:t>30% of the off peak half</w:t>
      </w:r>
      <w:r>
        <w:noBreakHyphen/>
        <w:t>hourly maximum demand,</w:t>
      </w:r>
    </w:p>
    <w:p>
      <w:pPr>
        <w:pStyle w:val="nzIndenta"/>
      </w:pPr>
      <w:r>
        <w:tab/>
      </w:r>
      <w:r>
        <w:tab/>
        <w:t>whichever is the greater; and</w:t>
      </w:r>
    </w:p>
    <w:p>
      <w:pPr>
        <w:pStyle w:val="nzIndenta"/>
      </w:pPr>
      <w:r>
        <w:tab/>
        <w:t>(c)</w:t>
      </w:r>
      <w:r>
        <w:tab/>
        <w:t xml:space="preserve">an energy charge consisting of — </w:t>
      </w:r>
    </w:p>
    <w:p>
      <w:pPr>
        <w:pStyle w:val="nzIndenti"/>
      </w:pPr>
      <w:r>
        <w:tab/>
        <w:t>(i)</w:t>
      </w:r>
      <w:r>
        <w:tab/>
        <w:t>an on peak energy charge at the rate of 12.188 cents per unit; and</w:t>
      </w:r>
    </w:p>
    <w:p>
      <w:pPr>
        <w:pStyle w:val="nzIndenti"/>
      </w:pPr>
      <w:r>
        <w:tab/>
        <w:t>(ii)</w:t>
      </w:r>
      <w:r>
        <w:tab/>
        <w:t>an off peak energy charge at the rate of 7.711 cents per unit.</w:t>
      </w:r>
    </w:p>
    <w:p>
      <w:pPr>
        <w:pStyle w:val="nzSubsection"/>
      </w:pPr>
      <w:r>
        <w:tab/>
        <w:t>(3)</w:t>
      </w:r>
      <w:r>
        <w:tab/>
        <w:t xml:space="preserve">Tariff S1 is available subject to the following conditions — </w:t>
      </w:r>
    </w:p>
    <w:p>
      <w:pPr>
        <w:pStyle w:val="nzIndenta"/>
        <w:rPr>
          <w:snapToGrid w:val="0"/>
        </w:rPr>
      </w:pPr>
      <w:r>
        <w:tab/>
        <w:t>(a)</w:t>
      </w:r>
      <w:r>
        <w:tab/>
        <w:t xml:space="preserve">the consumer must </w:t>
      </w:r>
      <w:r>
        <w:rPr>
          <w:snapToGrid w:val="0"/>
        </w:rPr>
        <w:t>agree to take the tariff for a minimum period of 12 months;</w:t>
      </w:r>
    </w:p>
    <w:p>
      <w:pPr>
        <w:pStyle w:val="nzIndenta"/>
        <w:rPr>
          <w:snapToGrid w:val="0"/>
        </w:rPr>
      </w:pPr>
      <w:r>
        <w:tab/>
        <w:t>(b)</w:t>
      </w:r>
      <w:r>
        <w:tab/>
        <w:t>the p</w:t>
      </w:r>
      <w:r>
        <w:rPr>
          <w:snapToGrid w:val="0"/>
        </w:rPr>
        <w:t>ower factor must be 0.8 or better during the on peak period.</w:t>
      </w:r>
    </w:p>
    <w:p>
      <w:pPr>
        <w:pStyle w:val="nzSubsection"/>
        <w:rPr>
          <w:snapToGrid w:val="0"/>
        </w:rPr>
      </w:pPr>
      <w:r>
        <w:tab/>
        <w:t>(4)</w:t>
      </w:r>
      <w:r>
        <w:tab/>
        <w:t>Th</w:t>
      </w:r>
      <w:r>
        <w:rPr>
          <w:snapToGrid w:val="0"/>
        </w:rPr>
        <w:t>e c</w:t>
      </w:r>
      <w:r>
        <w:t>orporation</w:t>
      </w:r>
      <w:r>
        <w:rPr>
          <w:snapToGrid w:val="0"/>
        </w:rPr>
        <w:t xml:space="preserve"> reserves the right to levy a charge of 41.06 cents per day per kVAR for the kVAR necessary to improve the power factor to 0.8 lagging in any period during which the power factor at the time of the consumer’s maximum demand is less than 0.8.</w:t>
      </w:r>
    </w:p>
    <w:p>
      <w:pPr>
        <w:pStyle w:val="nzHeading5"/>
        <w:rPr>
          <w:snapToGrid w:val="0"/>
        </w:rPr>
      </w:pPr>
      <w:r>
        <w:t>7.</w:t>
      </w:r>
      <w:r>
        <w:rPr>
          <w:b w:val="0"/>
        </w:rPr>
        <w:tab/>
      </w:r>
      <w:r>
        <w:t xml:space="preserve">Tariff T1 </w:t>
      </w:r>
      <w:r>
        <w:rPr>
          <w:snapToGrid w:val="0"/>
        </w:rPr>
        <w:t>(high voltage time based demand and energy tariff)</w:t>
      </w:r>
    </w:p>
    <w:p>
      <w:pPr>
        <w:pStyle w:val="nzSubsection"/>
        <w:rPr>
          <w:snapToGrid w:val="0"/>
        </w:rPr>
      </w:pPr>
      <w:r>
        <w:tab/>
        <w:t>(1)</w:t>
      </w:r>
      <w:r>
        <w:tab/>
      </w:r>
      <w:r>
        <w:rPr>
          <w:snapToGrid w:val="0"/>
        </w:rPr>
        <w:t>Tariff T1 is available to consumers supplied at 6.6 kV, 11 kV, 22 kV or 33 kV or such higher voltage as the c</w:t>
      </w:r>
      <w:r>
        <w:t>orporation</w:t>
      </w:r>
      <w:r>
        <w:rPr>
          <w:snapToGrid w:val="0"/>
        </w:rPr>
        <w:t xml:space="preserve"> may approve.</w:t>
      </w:r>
    </w:p>
    <w:p>
      <w:pPr>
        <w:pStyle w:val="nzSubsection"/>
      </w:pPr>
      <w:r>
        <w:tab/>
        <w:t>(2)</w:t>
      </w:r>
      <w:r>
        <w:tab/>
        <w:t xml:space="preserve">Tariff T1 comprises — </w:t>
      </w:r>
    </w:p>
    <w:p>
      <w:pPr>
        <w:pStyle w:val="nzIndenta"/>
      </w:pPr>
      <w:r>
        <w:tab/>
        <w:t>(a)</w:t>
      </w:r>
      <w:r>
        <w:tab/>
        <w:t>a minimum charge at the rate of $442.4244 per day; and</w:t>
      </w:r>
    </w:p>
    <w:p>
      <w:pPr>
        <w:pStyle w:val="nzIndenta"/>
      </w:pPr>
      <w:r>
        <w:tab/>
        <w:t>(b)</w:t>
      </w:r>
      <w:r>
        <w:tab/>
        <w:t xml:space="preserve">a demand charge at the rate of 77.946 cents per day multiplied by — </w:t>
      </w:r>
    </w:p>
    <w:p>
      <w:pPr>
        <w:pStyle w:val="nzIndenti"/>
      </w:pPr>
      <w:r>
        <w:tab/>
        <w:t>(i)</w:t>
      </w:r>
      <w:r>
        <w:tab/>
        <w:t>the on peak half</w:t>
      </w:r>
      <w:r>
        <w:noBreakHyphen/>
        <w:t>hourly maximum demand; or</w:t>
      </w:r>
    </w:p>
    <w:p>
      <w:pPr>
        <w:pStyle w:val="nzIndenti"/>
      </w:pPr>
      <w:r>
        <w:tab/>
        <w:t>(ii)</w:t>
      </w:r>
      <w:r>
        <w:tab/>
        <w:t>30% of the off peak half</w:t>
      </w:r>
      <w:r>
        <w:noBreakHyphen/>
        <w:t>hourly maximum demand,</w:t>
      </w:r>
    </w:p>
    <w:p>
      <w:pPr>
        <w:pStyle w:val="nzIndenta"/>
      </w:pPr>
      <w:r>
        <w:tab/>
      </w:r>
      <w:r>
        <w:tab/>
        <w:t>whichever is the greater; and</w:t>
      </w:r>
    </w:p>
    <w:p>
      <w:pPr>
        <w:pStyle w:val="nzIndenta"/>
      </w:pPr>
      <w:r>
        <w:tab/>
        <w:t>(c)</w:t>
      </w:r>
      <w:r>
        <w:tab/>
        <w:t xml:space="preserve">an energy charge consisting of — </w:t>
      </w:r>
    </w:p>
    <w:p>
      <w:pPr>
        <w:pStyle w:val="nzIndenti"/>
      </w:pPr>
      <w:r>
        <w:tab/>
        <w:t>(i)</w:t>
      </w:r>
      <w:r>
        <w:tab/>
        <w:t>an on peak energy charge at the rate of 11.396 cents per unit; and</w:t>
      </w:r>
    </w:p>
    <w:p>
      <w:pPr>
        <w:pStyle w:val="nzIndenti"/>
      </w:pPr>
      <w:r>
        <w:tab/>
        <w:t>(ii)</w:t>
      </w:r>
      <w:r>
        <w:tab/>
        <w:t>an off peak energy charge at the rate of 7.579 cents per unit.</w:t>
      </w:r>
    </w:p>
    <w:p>
      <w:pPr>
        <w:pStyle w:val="nzSubsection"/>
      </w:pPr>
      <w:r>
        <w:tab/>
        <w:t>(3)</w:t>
      </w:r>
      <w:r>
        <w:tab/>
        <w:t xml:space="preserve">Tariff T1 is available subject to the following conditions — </w:t>
      </w:r>
    </w:p>
    <w:p>
      <w:pPr>
        <w:pStyle w:val="nzIndenta"/>
        <w:rPr>
          <w:snapToGrid w:val="0"/>
        </w:rPr>
      </w:pPr>
      <w:r>
        <w:tab/>
        <w:t>(a)</w:t>
      </w:r>
      <w:r>
        <w:tab/>
        <w:t xml:space="preserve">the consumer must </w:t>
      </w:r>
      <w:r>
        <w:rPr>
          <w:snapToGrid w:val="0"/>
        </w:rPr>
        <w:t>agree to take the tariff for a minimum period of 12 months;</w:t>
      </w:r>
    </w:p>
    <w:p>
      <w:pPr>
        <w:pStyle w:val="nzIndenta"/>
      </w:pPr>
      <w:r>
        <w:tab/>
        <w:t>(b)</w:t>
      </w:r>
      <w:r>
        <w:tab/>
        <w:t xml:space="preserve">it applies to a </w:t>
      </w:r>
      <w:r>
        <w:rPr>
          <w:snapToGrid w:val="0"/>
        </w:rPr>
        <w:t>consumer who owns all equipment except tariff metering equipment on the load side of the consumer’s high voltage terminals;</w:t>
      </w:r>
    </w:p>
    <w:p>
      <w:pPr>
        <w:pStyle w:val="nzIndenta"/>
        <w:rPr>
          <w:snapToGrid w:val="0"/>
        </w:rPr>
      </w:pPr>
      <w:r>
        <w:tab/>
        <w:t>(c)</w:t>
      </w:r>
      <w:r>
        <w:tab/>
        <w:t>the p</w:t>
      </w:r>
      <w:r>
        <w:rPr>
          <w:snapToGrid w:val="0"/>
        </w:rPr>
        <w:t>ower factor must be 0.8 or better during the on peak period.</w:t>
      </w:r>
    </w:p>
    <w:p>
      <w:pPr>
        <w:pStyle w:val="nzSubsection"/>
        <w:rPr>
          <w:snapToGrid w:val="0"/>
        </w:rPr>
      </w:pPr>
      <w:r>
        <w:tab/>
        <w:t>(4)</w:t>
      </w:r>
      <w:r>
        <w:tab/>
        <w:t>Th</w:t>
      </w:r>
      <w:r>
        <w:rPr>
          <w:snapToGrid w:val="0"/>
        </w:rPr>
        <w:t>e c</w:t>
      </w:r>
      <w:r>
        <w:t>orporation</w:t>
      </w:r>
      <w:r>
        <w:rPr>
          <w:snapToGrid w:val="0"/>
        </w:rPr>
        <w:t xml:space="preserve"> reserves the right to levy a charge of 41.06 cents per day per kVAR for the kVAR necessary to improve the power factor to 0.8 lagging in any period during which the power factor at the time of the consumer’s maximum demand is less than 0.8.</w:t>
      </w:r>
    </w:p>
    <w:p>
      <w:pPr>
        <w:pStyle w:val="nzHeading5"/>
      </w:pPr>
      <w:r>
        <w:t>8.</w:t>
      </w:r>
      <w:r>
        <w:rPr>
          <w:b w:val="0"/>
        </w:rPr>
        <w:tab/>
      </w:r>
      <w:r>
        <w:t>Standby charges</w:t>
      </w:r>
    </w:p>
    <w:p>
      <w:pPr>
        <w:pStyle w:val="nzSubsection"/>
        <w:rPr>
          <w:snapToGrid w:val="0"/>
        </w:rPr>
      </w:pPr>
      <w:r>
        <w:tab/>
        <w:t>(1)</w:t>
      </w:r>
      <w:r>
        <w:tab/>
      </w:r>
      <w:r>
        <w:rPr>
          <w:snapToGrid w:val="0"/>
        </w:rPr>
        <w:t>Standby</w:t>
      </w:r>
      <w:r>
        <w:t xml:space="preserve"> charges are a</w:t>
      </w:r>
      <w:r>
        <w:rPr>
          <w:snapToGrid w:val="0"/>
        </w:rPr>
        <w:t xml:space="preserve">pplicable to consumers with their own generation and supplied on Tariff L1, L3, M1, R1, </w:t>
      </w:r>
      <w:r>
        <w:t xml:space="preserve">R3, </w:t>
      </w:r>
      <w:r>
        <w:rPr>
          <w:snapToGrid w:val="0"/>
        </w:rPr>
        <w:t>S1 or T1 and are payable in addition to those tariffs.</w:t>
      </w:r>
    </w:p>
    <w:p>
      <w:pPr>
        <w:pStyle w:val="nzSubsection"/>
        <w:rPr>
          <w:snapToGrid w:val="0"/>
        </w:rPr>
      </w:pPr>
      <w:r>
        <w:tab/>
        <w:t>(2)</w:t>
      </w:r>
      <w:r>
        <w:tab/>
      </w:r>
      <w:r>
        <w:rPr>
          <w:snapToGrid w:val="0"/>
        </w:rPr>
        <w:t>In the case of Tariff L1</w:t>
      </w:r>
      <w:r>
        <w:t>, L3, R1 or R3,</w:t>
      </w:r>
      <w:r>
        <w:rPr>
          <w:snapToGrid w:val="0"/>
        </w:rPr>
        <w:t xml:space="preserve"> the standby charge is 5.72 cents per day per kW based on the difference between total half</w:t>
      </w:r>
      <w:r>
        <w:rPr>
          <w:snapToGrid w:val="0"/>
        </w:rPr>
        <w:noBreakHyphen/>
        <w:t>hourly maximum demand and normal half</w:t>
      </w:r>
      <w:r>
        <w:rPr>
          <w:snapToGrid w:val="0"/>
        </w:rPr>
        <w:noBreakHyphen/>
        <w:t>hourly maximum demand.</w:t>
      </w:r>
    </w:p>
    <w:p>
      <w:pPr>
        <w:pStyle w:val="nzSubsection"/>
        <w:rPr>
          <w:snapToGrid w:val="0"/>
        </w:rPr>
      </w:pPr>
      <w:r>
        <w:rPr>
          <w:snapToGrid w:val="0"/>
        </w:rPr>
        <w:tab/>
        <w:t>(3)</w:t>
      </w:r>
      <w:r>
        <w:rPr>
          <w:snapToGrid w:val="0"/>
        </w:rPr>
        <w:tab/>
        <w:t>In the case of Tariff M1, the standby charge is 5.10 cents per day per kW based on the difference between total half</w:t>
      </w:r>
      <w:r>
        <w:rPr>
          <w:snapToGrid w:val="0"/>
        </w:rPr>
        <w:noBreakHyphen/>
        <w:t>hourly maximum demand and normal half</w:t>
      </w:r>
      <w:r>
        <w:rPr>
          <w:snapToGrid w:val="0"/>
        </w:rPr>
        <w:noBreakHyphen/>
        <w:t>hourly maximum demand.</w:t>
      </w:r>
    </w:p>
    <w:p>
      <w:pPr>
        <w:pStyle w:val="nzSubsection"/>
        <w:rPr>
          <w:snapToGrid w:val="0"/>
        </w:rPr>
      </w:pPr>
      <w:r>
        <w:tab/>
        <w:t>(4)</w:t>
      </w:r>
      <w:r>
        <w:tab/>
      </w:r>
      <w:r>
        <w:rPr>
          <w:snapToGrid w:val="0"/>
        </w:rPr>
        <w:t>In the case of Tariff S1, the standby charge is 5.72 cents per day per kW based on — </w:t>
      </w:r>
    </w:p>
    <w:p>
      <w:pPr>
        <w:pStyle w:val="nzIndenta"/>
        <w:rPr>
          <w:snapToGrid w:val="0"/>
        </w:rPr>
      </w:pPr>
      <w:r>
        <w:rPr>
          <w:snapToGrid w:val="0"/>
        </w:rPr>
        <w:tab/>
        <w:t>(a)</w:t>
      </w:r>
      <w:r>
        <w:rPr>
          <w:snapToGrid w:val="0"/>
        </w:rPr>
        <w:tab/>
        <w:t>the difference between total half</w:t>
      </w:r>
      <w:r>
        <w:rPr>
          <w:snapToGrid w:val="0"/>
        </w:rPr>
        <w:noBreakHyphen/>
        <w:t>hourly maximum demand and normal half</w:t>
      </w:r>
      <w:r>
        <w:rPr>
          <w:snapToGrid w:val="0"/>
        </w:rPr>
        <w:noBreakHyphen/>
        <w:t>hourly maximum demand; or</w:t>
      </w:r>
    </w:p>
    <w:p>
      <w:pPr>
        <w:pStyle w:val="nzIndenta"/>
        <w:rPr>
          <w:snapToGrid w:val="0"/>
        </w:rPr>
      </w:pPr>
      <w:r>
        <w:rPr>
          <w:snapToGrid w:val="0"/>
        </w:rPr>
        <w:tab/>
        <w:t>(b)</w:t>
      </w:r>
      <w:r>
        <w:rPr>
          <w:snapToGrid w:val="0"/>
        </w:rPr>
        <w:tab/>
      </w:r>
      <w:r>
        <w:t xml:space="preserve">the difference between </w:t>
      </w:r>
      <w:r>
        <w:rPr>
          <w:snapToGrid w:val="0"/>
        </w:rPr>
        <w:t>total half</w:t>
      </w:r>
      <w:r>
        <w:rPr>
          <w:snapToGrid w:val="0"/>
        </w:rPr>
        <w:noBreakHyphen/>
        <w:t>hourly maximum demand and registered half</w:t>
      </w:r>
      <w:r>
        <w:rPr>
          <w:snapToGrid w:val="0"/>
        </w:rPr>
        <w:noBreakHyphen/>
        <w:t>hourly maximum demand,</w:t>
      </w:r>
    </w:p>
    <w:p>
      <w:pPr>
        <w:pStyle w:val="nzSubsection"/>
        <w:rPr>
          <w:snapToGrid w:val="0"/>
        </w:rPr>
      </w:pPr>
      <w:r>
        <w:rPr>
          <w:snapToGrid w:val="0"/>
        </w:rPr>
        <w:tab/>
      </w:r>
      <w:r>
        <w:rPr>
          <w:snapToGrid w:val="0"/>
        </w:rPr>
        <w:tab/>
        <w:t>whichever is less.</w:t>
      </w:r>
    </w:p>
    <w:p>
      <w:pPr>
        <w:pStyle w:val="nzSubsection"/>
        <w:rPr>
          <w:snapToGrid w:val="0"/>
        </w:rPr>
      </w:pPr>
      <w:r>
        <w:tab/>
        <w:t>(5)</w:t>
      </w:r>
      <w:r>
        <w:tab/>
      </w:r>
      <w:r>
        <w:rPr>
          <w:snapToGrid w:val="0"/>
        </w:rPr>
        <w:t>In the case of Tariff T1, the standby charge is 5.10 cents per day per kW based on — </w:t>
      </w:r>
    </w:p>
    <w:p>
      <w:pPr>
        <w:pStyle w:val="nzIndenta"/>
        <w:rPr>
          <w:snapToGrid w:val="0"/>
        </w:rPr>
      </w:pPr>
      <w:r>
        <w:tab/>
        <w:t>(a)</w:t>
      </w:r>
      <w:r>
        <w:tab/>
        <w:t xml:space="preserve">the difference between </w:t>
      </w:r>
      <w:r>
        <w:rPr>
          <w:snapToGrid w:val="0"/>
        </w:rPr>
        <w:t>total half</w:t>
      </w:r>
      <w:r>
        <w:rPr>
          <w:snapToGrid w:val="0"/>
        </w:rPr>
        <w:noBreakHyphen/>
        <w:t>hourly maximum demand and normal half</w:t>
      </w:r>
      <w:r>
        <w:rPr>
          <w:snapToGrid w:val="0"/>
        </w:rPr>
        <w:noBreakHyphen/>
        <w:t>hourly maximum demand; or</w:t>
      </w:r>
    </w:p>
    <w:p>
      <w:pPr>
        <w:pStyle w:val="nzIndenta"/>
        <w:rPr>
          <w:snapToGrid w:val="0"/>
        </w:rPr>
      </w:pPr>
      <w:r>
        <w:tab/>
        <w:t>(b)</w:t>
      </w:r>
      <w:r>
        <w:tab/>
        <w:t xml:space="preserve">the difference between </w:t>
      </w:r>
      <w:r>
        <w:rPr>
          <w:snapToGrid w:val="0"/>
        </w:rPr>
        <w:t>total half</w:t>
      </w:r>
      <w:r>
        <w:rPr>
          <w:snapToGrid w:val="0"/>
        </w:rPr>
        <w:noBreakHyphen/>
        <w:t>hourly maximum demand and registered half</w:t>
      </w:r>
      <w:r>
        <w:rPr>
          <w:snapToGrid w:val="0"/>
        </w:rPr>
        <w:noBreakHyphen/>
        <w:t>hourly maximum demand,</w:t>
      </w:r>
    </w:p>
    <w:p>
      <w:pPr>
        <w:pStyle w:val="nzSubsection"/>
      </w:pPr>
      <w:r>
        <w:tab/>
      </w:r>
      <w:r>
        <w:tab/>
        <w:t>whichever is less.</w:t>
      </w:r>
    </w:p>
    <w:p>
      <w:pPr>
        <w:pStyle w:val="nzSubsection"/>
        <w:rPr>
          <w:snapToGrid w:val="0"/>
        </w:rPr>
      </w:pPr>
      <w:r>
        <w:tab/>
        <w:t>(6)</w:t>
      </w:r>
      <w:r>
        <w:tab/>
        <w:t>T</w:t>
      </w:r>
      <w:r>
        <w:rPr>
          <w:snapToGrid w:val="0"/>
        </w:rPr>
        <w:t>he normal half</w:t>
      </w:r>
      <w:r>
        <w:rPr>
          <w:snapToGrid w:val="0"/>
        </w:rPr>
        <w:noBreakHyphen/>
        <w:t>hourly maximum demand is to be assessed by the c</w:t>
      </w:r>
      <w:r>
        <w:t>orporation</w:t>
      </w:r>
      <w:r>
        <w:rPr>
          <w:snapToGrid w:val="0"/>
        </w:rPr>
        <w:t xml:space="preserve"> and is to be based on loading normally supplied from the c</w:t>
      </w:r>
      <w:r>
        <w:t>orporation’s</w:t>
      </w:r>
      <w:r>
        <w:rPr>
          <w:snapToGrid w:val="0"/>
        </w:rPr>
        <w:t xml:space="preserve"> supply.</w:t>
      </w:r>
    </w:p>
    <w:p>
      <w:pPr>
        <w:pStyle w:val="nzSubsection"/>
        <w:rPr>
          <w:snapToGrid w:val="0"/>
        </w:rPr>
      </w:pPr>
      <w:r>
        <w:rPr>
          <w:snapToGrid w:val="0"/>
        </w:rPr>
        <w:tab/>
        <w:t>(7)</w:t>
      </w:r>
      <w:r>
        <w:rPr>
          <w:snapToGrid w:val="0"/>
        </w:rPr>
        <w:tab/>
      </w:r>
      <w:r>
        <w:t>N</w:t>
      </w:r>
      <w:r>
        <w:rPr>
          <w:snapToGrid w:val="0"/>
        </w:rPr>
        <w:t>otwithstanding the c</w:t>
      </w:r>
      <w:r>
        <w:t>orporation’</w:t>
      </w:r>
      <w:r>
        <w:rPr>
          <w:snapToGrid w:val="0"/>
        </w:rPr>
        <w:t>s assessment, in any accounting period the normal half</w:t>
      </w:r>
      <w:r>
        <w:rPr>
          <w:snapToGrid w:val="0"/>
        </w:rPr>
        <w:noBreakHyphen/>
        <w:t>hourly maximum demand is taken to be not less than — </w:t>
      </w:r>
    </w:p>
    <w:p>
      <w:pPr>
        <w:pStyle w:val="nzSubsection"/>
        <w:rPr>
          <w:snapToGrid w:val="0"/>
        </w:rPr>
      </w:pPr>
      <w:r>
        <w:rPr>
          <w:snapToGrid w:val="0"/>
          <w:position w:val="-26"/>
        </w:rPr>
        <w:tab/>
      </w:r>
      <w:r>
        <w:rPr>
          <w:snapToGrid w:val="0"/>
          <w:position w:val="-26"/>
        </w:rPr>
        <w:tab/>
      </w:r>
      <w:r>
        <w:rPr>
          <w:noProof/>
          <w:position w:val="-26"/>
          <w:lang w:eastAsia="en-AU"/>
        </w:rPr>
        <w:drawing>
          <wp:inline distT="0" distB="0" distL="0" distR="0">
            <wp:extent cx="2924175" cy="3905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924175" cy="390525"/>
                    </a:xfrm>
                    <a:prstGeom prst="rect">
                      <a:avLst/>
                    </a:prstGeom>
                    <a:noFill/>
                    <a:ln>
                      <a:noFill/>
                    </a:ln>
                  </pic:spPr>
                </pic:pic>
              </a:graphicData>
            </a:graphic>
          </wp:inline>
        </w:drawing>
      </w:r>
    </w:p>
    <w:p>
      <w:pPr>
        <w:pStyle w:val="nzSubsection"/>
      </w:pPr>
      <w:r>
        <w:tab/>
        <w:t>(8)</w:t>
      </w:r>
      <w:r>
        <w:tab/>
        <w:t>T</w:t>
      </w:r>
      <w:r>
        <w:rPr>
          <w:snapToGrid w:val="0"/>
        </w:rPr>
        <w:t>he total half</w:t>
      </w:r>
      <w:r>
        <w:rPr>
          <w:snapToGrid w:val="0"/>
        </w:rPr>
        <w:noBreakHyphen/>
        <w:t>hourly maximum demand is to be assessed by the c</w:t>
      </w:r>
      <w:r>
        <w:t>orporation</w:t>
      </w:r>
      <w:r>
        <w:rPr>
          <w:snapToGrid w:val="0"/>
        </w:rPr>
        <w:t xml:space="preserve"> as the consumer’s expected half</w:t>
      </w:r>
      <w:r>
        <w:rPr>
          <w:snapToGrid w:val="0"/>
        </w:rPr>
        <w:noBreakHyphen/>
        <w:t>hourly minimum demand on the c</w:t>
      </w:r>
      <w:r>
        <w:t>orporation’s</w:t>
      </w:r>
      <w:r>
        <w:rPr>
          <w:snapToGrid w:val="0"/>
        </w:rPr>
        <w:t xml:space="preserve"> system without the consumer’s generation equipment in operation.</w:t>
      </w:r>
    </w:p>
    <w:p>
      <w:pPr>
        <w:pStyle w:val="nzSubsection"/>
        <w:rPr>
          <w:snapToGrid w:val="0"/>
        </w:rPr>
      </w:pPr>
      <w:r>
        <w:tab/>
        <w:t>(9)</w:t>
      </w:r>
      <w:r>
        <w:tab/>
        <w:t>T</w:t>
      </w:r>
      <w:r>
        <w:rPr>
          <w:snapToGrid w:val="0"/>
        </w:rPr>
        <w:t>he difference between total half</w:t>
      </w:r>
      <w:r>
        <w:rPr>
          <w:snapToGrid w:val="0"/>
        </w:rPr>
        <w:noBreakHyphen/>
        <w:t>hourly maximum demand and normal half</w:t>
      </w:r>
      <w:r>
        <w:rPr>
          <w:snapToGrid w:val="0"/>
        </w:rPr>
        <w:noBreakHyphen/>
        <w:t>hourly maximum demand is not to exceed — </w:t>
      </w:r>
    </w:p>
    <w:p>
      <w:pPr>
        <w:pStyle w:val="nzIndenta"/>
        <w:rPr>
          <w:snapToGrid w:val="0"/>
        </w:rPr>
      </w:pPr>
      <w:r>
        <w:rPr>
          <w:snapToGrid w:val="0"/>
        </w:rPr>
        <w:tab/>
        <w:t>(a)</w:t>
      </w:r>
      <w:r>
        <w:rPr>
          <w:snapToGrid w:val="0"/>
        </w:rPr>
        <w:tab/>
        <w:t>the capacity of the consumer’s generation equipment; or</w:t>
      </w:r>
    </w:p>
    <w:p>
      <w:pPr>
        <w:pStyle w:val="nzIndenta"/>
      </w:pPr>
      <w:r>
        <w:rPr>
          <w:snapToGrid w:val="0"/>
        </w:rPr>
        <w:tab/>
        <w:t>(b)</w:t>
      </w:r>
      <w:r>
        <w:rPr>
          <w:snapToGrid w:val="0"/>
        </w:rPr>
        <w:tab/>
        <w:t>the expected maximum loading of such generation equipment, as assessed by the</w:t>
      </w:r>
      <w:r>
        <w:t xml:space="preserve"> corporation</w:t>
      </w:r>
      <w:r>
        <w:rPr>
          <w:snapToGrid w:val="0"/>
        </w:rPr>
        <w:t>.</w:t>
      </w:r>
    </w:p>
    <w:p>
      <w:pPr>
        <w:pStyle w:val="nzSubsection"/>
        <w:rPr>
          <w:snapToGrid w:val="0"/>
        </w:rPr>
      </w:pPr>
      <w:r>
        <w:tab/>
        <w:t>(10)</w:t>
      </w:r>
      <w:r>
        <w:tab/>
      </w:r>
      <w:r>
        <w:rPr>
          <w:snapToGrid w:val="0"/>
        </w:rPr>
        <w:t xml:space="preserve">The provision of a standby service is subject to the following conditions — </w:t>
      </w:r>
    </w:p>
    <w:p>
      <w:pPr>
        <w:pStyle w:val="nzIndenta"/>
        <w:rPr>
          <w:snapToGrid w:val="0"/>
        </w:rPr>
      </w:pPr>
      <w:r>
        <w:rPr>
          <w:snapToGrid w:val="0"/>
        </w:rPr>
        <w:tab/>
        <w:t>(a)</w:t>
      </w:r>
      <w:r>
        <w:rPr>
          <w:snapToGrid w:val="0"/>
        </w:rPr>
        <w:tab/>
      </w:r>
      <w:r>
        <w:t>t</w:t>
      </w:r>
      <w:r>
        <w:rPr>
          <w:snapToGrid w:val="0"/>
        </w:rPr>
        <w:t>he consumer must pay for the cost of all additional mains and equipment necessary to provide the standby service;</w:t>
      </w:r>
    </w:p>
    <w:p>
      <w:pPr>
        <w:pStyle w:val="nzIndenta"/>
        <w:rPr>
          <w:snapToGrid w:val="0"/>
        </w:rPr>
      </w:pPr>
      <w:r>
        <w:rPr>
          <w:snapToGrid w:val="0"/>
        </w:rPr>
        <w:tab/>
        <w:t>(b)</w:t>
      </w:r>
      <w:r>
        <w:rPr>
          <w:snapToGrid w:val="0"/>
        </w:rPr>
        <w:tab/>
        <w:t>the standby service agreement must be for a minimum period of 12 months;</w:t>
      </w:r>
    </w:p>
    <w:p>
      <w:pPr>
        <w:pStyle w:val="nzIndenta"/>
        <w:rPr>
          <w:snapToGrid w:val="0"/>
        </w:rPr>
      </w:pPr>
      <w:r>
        <w:rPr>
          <w:snapToGrid w:val="0"/>
        </w:rPr>
        <w:tab/>
        <w:t>(c)</w:t>
      </w:r>
      <w:r>
        <w:rPr>
          <w:snapToGrid w:val="0"/>
        </w:rPr>
        <w:tab/>
        <w:t>the consumer must give 6 months notice in writing to the c</w:t>
      </w:r>
      <w:r>
        <w:t>orporation</w:t>
      </w:r>
      <w:r>
        <w:rPr>
          <w:snapToGrid w:val="0"/>
        </w:rPr>
        <w:t xml:space="preserve"> of intention to terminate the standby service agreement.</w:t>
      </w:r>
    </w:p>
    <w:p>
      <w:pPr>
        <w:pStyle w:val="nzHeading5"/>
      </w:pPr>
      <w:r>
        <w:t>9.</w:t>
      </w:r>
      <w:r>
        <w:rPr>
          <w:b w:val="0"/>
        </w:rPr>
        <w:tab/>
      </w:r>
      <w:r>
        <w:t>Tariff A1 (residential tariff)</w:t>
      </w:r>
    </w:p>
    <w:p>
      <w:pPr>
        <w:pStyle w:val="nzSubsection"/>
        <w:rPr>
          <w:snapToGrid w:val="0"/>
        </w:rPr>
      </w:pPr>
      <w:r>
        <w:tab/>
        <w:t>(1)</w:t>
      </w:r>
      <w:r>
        <w:tab/>
      </w:r>
      <w:r>
        <w:rPr>
          <w:snapToGrid w:val="0"/>
        </w:rPr>
        <w:t>Tariff A1 is available for residential use only.</w:t>
      </w:r>
    </w:p>
    <w:p>
      <w:pPr>
        <w:pStyle w:val="nzSubsection"/>
      </w:pPr>
      <w:r>
        <w:tab/>
        <w:t>(2)</w:t>
      </w:r>
      <w:r>
        <w:tab/>
        <w:t xml:space="preserve">Tariff A1 comprises — </w:t>
      </w:r>
    </w:p>
    <w:p>
      <w:pPr>
        <w:pStyle w:val="nzIndenta"/>
        <w:rPr>
          <w:snapToGrid w:val="0"/>
        </w:rPr>
      </w:pPr>
      <w:r>
        <w:rPr>
          <w:snapToGrid w:val="0"/>
        </w:rPr>
        <w:tab/>
        <w:t>(a)</w:t>
      </w:r>
      <w:r>
        <w:rPr>
          <w:snapToGrid w:val="0"/>
        </w:rPr>
        <w:tab/>
      </w:r>
      <w:r>
        <w:t>a</w:t>
      </w:r>
      <w:r>
        <w:rPr>
          <w:snapToGrid w:val="0"/>
        </w:rPr>
        <w:t xml:space="preserve"> fixed charge at the rate of 32.329 cents per day or, for multiple dwellings supplied through one metered supply point, a fixed charge at the rate of — </w:t>
      </w:r>
    </w:p>
    <w:p>
      <w:pPr>
        <w:pStyle w:val="nzIndenti"/>
        <w:rPr>
          <w:snapToGrid w:val="0"/>
        </w:rPr>
      </w:pPr>
      <w:r>
        <w:rPr>
          <w:snapToGrid w:val="0"/>
        </w:rPr>
        <w:tab/>
        <w:t>(i)</w:t>
      </w:r>
      <w:r>
        <w:rPr>
          <w:snapToGrid w:val="0"/>
        </w:rPr>
        <w:tab/>
        <w:t>32.329 cents per day for the first dwelling; and</w:t>
      </w:r>
    </w:p>
    <w:p>
      <w:pPr>
        <w:pStyle w:val="nzIndenti"/>
        <w:rPr>
          <w:snapToGrid w:val="0"/>
        </w:rPr>
      </w:pPr>
      <w:r>
        <w:rPr>
          <w:snapToGrid w:val="0"/>
        </w:rPr>
        <w:tab/>
        <w:t>(ii)</w:t>
      </w:r>
      <w:r>
        <w:rPr>
          <w:snapToGrid w:val="0"/>
        </w:rPr>
        <w:tab/>
        <w:t>25.102 cents per day for each additional dwelling;</w:t>
      </w:r>
    </w:p>
    <w:p>
      <w:pPr>
        <w:pStyle w:val="nzIndenta"/>
      </w:pPr>
      <w:r>
        <w:tab/>
      </w:r>
      <w:r>
        <w:tab/>
        <w:t>and</w:t>
      </w:r>
    </w:p>
    <w:p>
      <w:pPr>
        <w:pStyle w:val="nzIndenta"/>
      </w:pPr>
      <w:r>
        <w:tab/>
        <w:t>(b)</w:t>
      </w:r>
      <w:r>
        <w:tab/>
        <w:t>a charge for metered consumption at the rate of 17.611 cents per unit.</w:t>
      </w:r>
    </w:p>
    <w:p>
      <w:pPr>
        <w:pStyle w:val="nzHeading5"/>
      </w:pPr>
      <w:r>
        <w:t>10.</w:t>
      </w:r>
      <w:r>
        <w:rPr>
          <w:b w:val="0"/>
        </w:rPr>
        <w:tab/>
      </w:r>
      <w:r>
        <w:t>Tariff B1 (residential water heating tariff)</w:t>
      </w:r>
    </w:p>
    <w:p>
      <w:pPr>
        <w:pStyle w:val="nzSubsection"/>
        <w:rPr>
          <w:snapToGrid w:val="0"/>
        </w:rPr>
      </w:pPr>
      <w:r>
        <w:tab/>
        <w:t>(1)</w:t>
      </w:r>
      <w:r>
        <w:tab/>
        <w:t>Tariff B1</w:t>
      </w:r>
      <w:r>
        <w:rPr>
          <w:snapToGrid w:val="0"/>
        </w:rPr>
        <w:t xml:space="preserve"> is available for residential water heating during a 6 hour period between the hours of 11.00 p.m. and 6.00 a.m. for installations approved by the</w:t>
      </w:r>
      <w:r>
        <w:t xml:space="preserve"> corporation</w:t>
      </w:r>
      <w:r>
        <w:rPr>
          <w:snapToGrid w:val="0"/>
        </w:rPr>
        <w:t>. Other single phase hardwired appliances may be connected in conjunction with the water heater.</w:t>
      </w:r>
    </w:p>
    <w:p>
      <w:pPr>
        <w:pStyle w:val="nzSubsection"/>
      </w:pPr>
      <w:r>
        <w:tab/>
        <w:t>(2)</w:t>
      </w:r>
      <w:r>
        <w:tab/>
        <w:t xml:space="preserve">Tariff B1 comprises — </w:t>
      </w:r>
    </w:p>
    <w:p>
      <w:pPr>
        <w:pStyle w:val="nzIndenta"/>
        <w:rPr>
          <w:snapToGrid w:val="0"/>
        </w:rPr>
      </w:pPr>
      <w:r>
        <w:tab/>
        <w:t>(a)</w:t>
      </w:r>
      <w:r>
        <w:tab/>
        <w:t>a</w:t>
      </w:r>
      <w:r>
        <w:rPr>
          <w:snapToGrid w:val="0"/>
        </w:rPr>
        <w:t xml:space="preserve"> fixed charge at the rate of 18.458 cents per day or, for multiple dwellings supplied through one metered supply point, a fixed charge at the rate of 18.458 cents per day for each dwelling; and</w:t>
      </w:r>
    </w:p>
    <w:p>
      <w:pPr>
        <w:pStyle w:val="nzIndenta"/>
        <w:rPr>
          <w:snapToGrid w:val="0"/>
        </w:rPr>
      </w:pPr>
      <w:r>
        <w:rPr>
          <w:snapToGrid w:val="0"/>
        </w:rPr>
        <w:tab/>
        <w:t>(b)</w:t>
      </w:r>
      <w:r>
        <w:rPr>
          <w:snapToGrid w:val="0"/>
        </w:rPr>
        <w:tab/>
      </w:r>
      <w:r>
        <w:t>a charge for</w:t>
      </w:r>
      <w:r>
        <w:rPr>
          <w:snapToGrid w:val="0"/>
        </w:rPr>
        <w:t xml:space="preserve"> metered consumption at the rate of 10.197 cents per unit.</w:t>
      </w:r>
    </w:p>
    <w:p>
      <w:pPr>
        <w:pStyle w:val="nzHeading5"/>
      </w:pPr>
      <w:r>
        <w:t>11.</w:t>
      </w:r>
      <w:r>
        <w:rPr>
          <w:b w:val="0"/>
        </w:rPr>
        <w:tab/>
      </w:r>
      <w:r>
        <w:t>Tariff C1 (special community service tariff)</w:t>
      </w:r>
    </w:p>
    <w:p>
      <w:pPr>
        <w:pStyle w:val="nzSubsection"/>
        <w:rPr>
          <w:snapToGrid w:val="0"/>
        </w:rPr>
      </w:pPr>
      <w:r>
        <w:tab/>
        <w:t>(1)</w:t>
      </w:r>
      <w:r>
        <w:tab/>
        <w:t xml:space="preserve">Tariff </w:t>
      </w:r>
      <w:r>
        <w:rPr>
          <w:snapToGrid w:val="0"/>
        </w:rPr>
        <w:t>C1 is available for small voluntary and charitable organisations, subject to the conditions listed in subclause (3).</w:t>
      </w:r>
    </w:p>
    <w:p>
      <w:pPr>
        <w:pStyle w:val="nzSubsection"/>
        <w:rPr>
          <w:snapToGrid w:val="0"/>
        </w:rPr>
      </w:pPr>
      <w:r>
        <w:tab/>
        <w:t>(2)</w:t>
      </w:r>
      <w:r>
        <w:tab/>
      </w:r>
      <w:r>
        <w:rPr>
          <w:snapToGrid w:val="0"/>
        </w:rPr>
        <w:t xml:space="preserve">Tariff C1 comprises — </w:t>
      </w:r>
    </w:p>
    <w:p>
      <w:pPr>
        <w:pStyle w:val="nzIndenta"/>
        <w:rPr>
          <w:snapToGrid w:val="0"/>
        </w:rPr>
      </w:pPr>
      <w:r>
        <w:rPr>
          <w:snapToGrid w:val="0"/>
        </w:rPr>
        <w:tab/>
        <w:t>(a)</w:t>
      </w:r>
      <w:r>
        <w:rPr>
          <w:snapToGrid w:val="0"/>
        </w:rPr>
        <w:tab/>
      </w:r>
      <w:r>
        <w:t xml:space="preserve">a </w:t>
      </w:r>
      <w:r>
        <w:rPr>
          <w:snapToGrid w:val="0"/>
        </w:rPr>
        <w:t>fixed charge at the rate of 29.524 cents per day; and</w:t>
      </w:r>
    </w:p>
    <w:p>
      <w:pPr>
        <w:pStyle w:val="nzIndenta"/>
        <w:rPr>
          <w:snapToGrid w:val="0"/>
        </w:rPr>
      </w:pPr>
      <w:r>
        <w:rPr>
          <w:snapToGrid w:val="0"/>
        </w:rPr>
        <w:tab/>
        <w:t>(b)</w:t>
      </w:r>
      <w:r>
        <w:rPr>
          <w:snapToGrid w:val="0"/>
        </w:rPr>
        <w:tab/>
      </w:r>
      <w:r>
        <w:t>a charge for</w:t>
      </w:r>
      <w:r>
        <w:rPr>
          <w:snapToGrid w:val="0"/>
        </w:rPr>
        <w:t xml:space="preserve"> metered consumption at the rate of — </w:t>
      </w:r>
    </w:p>
    <w:p>
      <w:pPr>
        <w:pStyle w:val="nzIndenti"/>
        <w:rPr>
          <w:snapToGrid w:val="0"/>
        </w:rPr>
      </w:pPr>
      <w:r>
        <w:rPr>
          <w:snapToGrid w:val="0"/>
        </w:rPr>
        <w:tab/>
        <w:t>(i)</w:t>
      </w:r>
      <w:r>
        <w:rPr>
          <w:snapToGrid w:val="0"/>
        </w:rPr>
        <w:tab/>
        <w:t>16.093 cents per unit for the first 20 units per day; and</w:t>
      </w:r>
    </w:p>
    <w:p>
      <w:pPr>
        <w:pStyle w:val="nzIndenti"/>
        <w:rPr>
          <w:snapToGrid w:val="0"/>
        </w:rPr>
      </w:pPr>
      <w:r>
        <w:rPr>
          <w:snapToGrid w:val="0"/>
        </w:rPr>
        <w:tab/>
        <w:t>(ii)</w:t>
      </w:r>
      <w:r>
        <w:rPr>
          <w:snapToGrid w:val="0"/>
        </w:rPr>
        <w:tab/>
        <w:t>20.163 cents for the next 1 630 units per day; and</w:t>
      </w:r>
    </w:p>
    <w:p>
      <w:pPr>
        <w:pStyle w:val="nzIndenti"/>
        <w:rPr>
          <w:snapToGrid w:val="0"/>
        </w:rPr>
      </w:pPr>
      <w:r>
        <w:rPr>
          <w:snapToGrid w:val="0"/>
        </w:rPr>
        <w:tab/>
        <w:t>(iii)</w:t>
      </w:r>
      <w:r>
        <w:rPr>
          <w:snapToGrid w:val="0"/>
        </w:rPr>
        <w:tab/>
        <w:t>18.194 cents per unit per day for all units exceeding 1 650 units.</w:t>
      </w:r>
    </w:p>
    <w:p>
      <w:pPr>
        <w:pStyle w:val="nzSubsection"/>
        <w:rPr>
          <w:snapToGrid w:val="0"/>
        </w:rPr>
      </w:pPr>
      <w:r>
        <w:rPr>
          <w:snapToGrid w:val="0"/>
        </w:rPr>
        <w:tab/>
        <w:t>(3)</w:t>
      </w:r>
      <w:r>
        <w:rPr>
          <w:snapToGrid w:val="0"/>
        </w:rPr>
        <w:tab/>
        <w:t xml:space="preserve">Tariff C1 is available subject to the following conditions — </w:t>
      </w:r>
    </w:p>
    <w:p>
      <w:pPr>
        <w:pStyle w:val="nzIndenta"/>
        <w:rPr>
          <w:snapToGrid w:val="0"/>
        </w:rPr>
      </w:pPr>
      <w:r>
        <w:rPr>
          <w:snapToGrid w:val="0"/>
        </w:rPr>
        <w:tab/>
        <w:t>(a)</w:t>
      </w:r>
      <w:r>
        <w:rPr>
          <w:snapToGrid w:val="0"/>
        </w:rPr>
        <w:tab/>
      </w:r>
      <w:r>
        <w:t>the</w:t>
      </w:r>
      <w:r>
        <w:rPr>
          <w:snapToGrid w:val="0"/>
        </w:rPr>
        <w:t xml:space="preserve"> consumer must be a direct customer of the</w:t>
      </w:r>
      <w:r>
        <w:t xml:space="preserve"> corporation</w:t>
      </w:r>
      <w:r>
        <w:rPr>
          <w:snapToGrid w:val="0"/>
        </w:rPr>
        <w:t>;</w:t>
      </w:r>
    </w:p>
    <w:p>
      <w:pPr>
        <w:pStyle w:val="nzIndenta"/>
        <w:rPr>
          <w:snapToGrid w:val="0"/>
        </w:rPr>
      </w:pPr>
      <w:r>
        <w:rPr>
          <w:snapToGrid w:val="0"/>
        </w:rPr>
        <w:tab/>
        <w:t>(b)</w:t>
      </w:r>
      <w:r>
        <w:rPr>
          <w:snapToGrid w:val="0"/>
        </w:rPr>
        <w:tab/>
        <w:t>the consumer must be a voluntary, non</w:t>
      </w:r>
      <w:r>
        <w:rPr>
          <w:snapToGrid w:val="0"/>
        </w:rPr>
        <w:noBreakHyphen/>
        <w:t>profit making organisation;</w:t>
      </w:r>
    </w:p>
    <w:p>
      <w:pPr>
        <w:pStyle w:val="nzIndenta"/>
      </w:pPr>
      <w:r>
        <w:rPr>
          <w:snapToGrid w:val="0"/>
        </w:rPr>
        <w:tab/>
        <w:t>(c)</w:t>
      </w:r>
      <w:r>
        <w:rPr>
          <w:snapToGrid w:val="0"/>
        </w:rPr>
        <w:tab/>
        <w:t xml:space="preserve">the consumer must be endorsed as exempt from income tax under </w:t>
      </w:r>
      <w:r>
        <w:t xml:space="preserve">the </w:t>
      </w:r>
      <w:r>
        <w:rPr>
          <w:i/>
        </w:rPr>
        <w:t>Income Tax Assessment Act 1997</w:t>
      </w:r>
      <w:r>
        <w:t xml:space="preserve"> (Commonwealth) Subdivision 50</w:t>
      </w:r>
      <w:r>
        <w:noBreakHyphen/>
        <w:t>B;</w:t>
      </w:r>
    </w:p>
    <w:p>
      <w:pPr>
        <w:pStyle w:val="nzIndenta"/>
        <w:rPr>
          <w:snapToGrid w:val="0"/>
        </w:rPr>
      </w:pPr>
      <w:r>
        <w:rPr>
          <w:snapToGrid w:val="0"/>
        </w:rPr>
        <w:tab/>
        <w:t>(d)</w:t>
      </w:r>
      <w:r>
        <w:rPr>
          <w:snapToGrid w:val="0"/>
        </w:rPr>
        <w:tab/>
        <w:t>the consumer must provide a public service, which is available to any member of the public without discrimination;</w:t>
      </w:r>
    </w:p>
    <w:p>
      <w:pPr>
        <w:pStyle w:val="nzIndenta"/>
        <w:rPr>
          <w:snapToGrid w:val="0"/>
        </w:rPr>
      </w:pPr>
      <w:r>
        <w:rPr>
          <w:snapToGrid w:val="0"/>
        </w:rPr>
        <w:tab/>
        <w:t>(e)</w:t>
      </w:r>
      <w:r>
        <w:rPr>
          <w:snapToGrid w:val="0"/>
        </w:rPr>
        <w:tab/>
        <w:t>the consumer must not be a Commonwealth, State or local government department, instrumentality or agency;</w:t>
      </w:r>
    </w:p>
    <w:p>
      <w:pPr>
        <w:pStyle w:val="nzIndenta"/>
        <w:rPr>
          <w:snapToGrid w:val="0"/>
        </w:rPr>
      </w:pPr>
      <w:r>
        <w:rPr>
          <w:snapToGrid w:val="0"/>
        </w:rPr>
        <w:tab/>
        <w:t>(f)</w:t>
      </w:r>
      <w:r>
        <w:rPr>
          <w:snapToGrid w:val="0"/>
        </w:rPr>
        <w:tab/>
        <w:t>the consumer must not receive the major part of its funding from any organisation mentioned in paragraph (e).</w:t>
      </w:r>
    </w:p>
    <w:p>
      <w:pPr>
        <w:pStyle w:val="nzSubsection"/>
        <w:rPr>
          <w:snapToGrid w:val="0"/>
        </w:rPr>
      </w:pPr>
      <w:r>
        <w:rPr>
          <w:snapToGrid w:val="0"/>
        </w:rPr>
        <w:tab/>
        <w:t>(4)</w:t>
      </w:r>
      <w:r>
        <w:rPr>
          <w:snapToGrid w:val="0"/>
        </w:rPr>
        <w:tab/>
        <w:t>A consumer seeking supply under Tariff C1 must make an application to the c</w:t>
      </w:r>
      <w:r>
        <w:t>orporation</w:t>
      </w:r>
      <w:r>
        <w:rPr>
          <w:snapToGrid w:val="0"/>
        </w:rPr>
        <w:t xml:space="preserve"> in writing accompanied by evidence which clearly demonstrates that the consumer meets all the conditions listed in subclause (3).</w:t>
      </w:r>
    </w:p>
    <w:p>
      <w:pPr>
        <w:pStyle w:val="nzHeading5"/>
      </w:pPr>
      <w:r>
        <w:t>12.</w:t>
      </w:r>
      <w:r>
        <w:rPr>
          <w:b w:val="0"/>
        </w:rPr>
        <w:tab/>
      </w:r>
      <w:r>
        <w:t>Tariff D1 (special tariff for certain premises)</w:t>
      </w:r>
    </w:p>
    <w:p>
      <w:pPr>
        <w:pStyle w:val="nzSubsection"/>
        <w:rPr>
          <w:snapToGrid w:val="0"/>
        </w:rPr>
      </w:pPr>
      <w:r>
        <w:tab/>
        <w:t>(1)</w:t>
      </w:r>
      <w:r>
        <w:tab/>
        <w:t>Tariff D1</w:t>
      </w:r>
      <w:r>
        <w:rPr>
          <w:snapToGrid w:val="0"/>
        </w:rPr>
        <w:t xml:space="preserve"> is available for premises wholly used by a charitable or benevolent organisation for providing residential accommodation other than for commercial gain, being premises for which Tariff A1 is not available.</w:t>
      </w:r>
    </w:p>
    <w:p>
      <w:pPr>
        <w:pStyle w:val="nzSubsection"/>
      </w:pPr>
      <w:r>
        <w:tab/>
        <w:t>(2)</w:t>
      </w:r>
      <w:r>
        <w:tab/>
        <w:t xml:space="preserve">Tariff D1 comprises — </w:t>
      </w:r>
    </w:p>
    <w:p>
      <w:pPr>
        <w:pStyle w:val="nzIndenta"/>
        <w:rPr>
          <w:snapToGrid w:val="0"/>
        </w:rPr>
      </w:pPr>
      <w:r>
        <w:rPr>
          <w:snapToGrid w:val="0"/>
        </w:rPr>
        <w:tab/>
        <w:t>(a)</w:t>
      </w:r>
      <w:r>
        <w:rPr>
          <w:snapToGrid w:val="0"/>
        </w:rPr>
        <w:tab/>
      </w:r>
      <w:r>
        <w:t>a</w:t>
      </w:r>
      <w:r>
        <w:rPr>
          <w:snapToGrid w:val="0"/>
        </w:rPr>
        <w:t xml:space="preserve"> fixed charge at the rate of 29.524 cents per day; and</w:t>
      </w:r>
    </w:p>
    <w:p>
      <w:pPr>
        <w:pStyle w:val="nzIndenta"/>
        <w:rPr>
          <w:snapToGrid w:val="0"/>
        </w:rPr>
      </w:pPr>
      <w:r>
        <w:tab/>
        <w:t>(b)</w:t>
      </w:r>
      <w:r>
        <w:tab/>
        <w:t>if</w:t>
      </w:r>
      <w:r>
        <w:rPr>
          <w:snapToGrid w:val="0"/>
        </w:rPr>
        <w:t xml:space="preserve"> under subclause (3) there is deemed to be more than one equivalent domestic residence in the premises, a charge of 22.924 cents per day for each equivalent domestic residence except the first that is deemed to be in the premises; and</w:t>
      </w:r>
    </w:p>
    <w:p>
      <w:pPr>
        <w:pStyle w:val="nzIndenta"/>
        <w:rPr>
          <w:snapToGrid w:val="0"/>
        </w:rPr>
      </w:pPr>
      <w:r>
        <w:tab/>
        <w:t>(c)</w:t>
      </w:r>
      <w:r>
        <w:tab/>
        <w:t>a charge for</w:t>
      </w:r>
      <w:r>
        <w:rPr>
          <w:snapToGrid w:val="0"/>
        </w:rPr>
        <w:t xml:space="preserve"> metered consumption at the rate of 16.093 cents per unit.</w:t>
      </w:r>
    </w:p>
    <w:p>
      <w:pPr>
        <w:pStyle w:val="nzSubsection"/>
        <w:rPr>
          <w:snapToGrid w:val="0"/>
        </w:rPr>
      </w:pPr>
      <w:r>
        <w:rPr>
          <w:snapToGrid w:val="0"/>
        </w:rPr>
        <w:tab/>
        <w:t>(3)</w:t>
      </w:r>
      <w:r>
        <w:rPr>
          <w:snapToGrid w:val="0"/>
        </w:rPr>
        <w:tab/>
        <w:t>The number of equivalent domestic residences deemed to be in particular premises is ascertained by dividing the facility’s total bed capacity by 5 and, where the quotient is not a whole number, by increasing it to the next highest whole number.</w:t>
      </w:r>
    </w:p>
    <w:p>
      <w:pPr>
        <w:pStyle w:val="nzHeading5"/>
      </w:pPr>
      <w:r>
        <w:t>13.</w:t>
      </w:r>
      <w:r>
        <w:rPr>
          <w:b w:val="0"/>
        </w:rPr>
        <w:tab/>
      </w:r>
      <w:r>
        <w:t>Tariff K1 (general supply with residential tariff)</w:t>
      </w:r>
    </w:p>
    <w:p>
      <w:pPr>
        <w:pStyle w:val="nzSubsection"/>
        <w:rPr>
          <w:snapToGrid w:val="0"/>
        </w:rPr>
      </w:pPr>
      <w:r>
        <w:tab/>
        <w:t>(1)</w:t>
      </w:r>
      <w:r>
        <w:tab/>
        <w:t>Tariff K1</w:t>
      </w:r>
      <w:r>
        <w:rPr>
          <w:snapToGrid w:val="0"/>
        </w:rPr>
        <w:t xml:space="preserve"> is available for premises where the circuit wiring is not separate and the electricity is used partly for general purposes and partly for residential purposes.</w:t>
      </w:r>
    </w:p>
    <w:p>
      <w:pPr>
        <w:pStyle w:val="nzSubsection"/>
      </w:pPr>
      <w:r>
        <w:tab/>
        <w:t>(2)</w:t>
      </w:r>
      <w:r>
        <w:tab/>
        <w:t xml:space="preserve">Tariff K1 comprises — </w:t>
      </w:r>
    </w:p>
    <w:p>
      <w:pPr>
        <w:pStyle w:val="nzIndenta"/>
        <w:rPr>
          <w:snapToGrid w:val="0"/>
        </w:rPr>
      </w:pPr>
      <w:r>
        <w:rPr>
          <w:snapToGrid w:val="0"/>
        </w:rPr>
        <w:tab/>
        <w:t>(a)</w:t>
      </w:r>
      <w:r>
        <w:rPr>
          <w:snapToGrid w:val="0"/>
        </w:rPr>
        <w:tab/>
      </w:r>
      <w:r>
        <w:t>a</w:t>
      </w:r>
      <w:r>
        <w:rPr>
          <w:snapToGrid w:val="0"/>
        </w:rPr>
        <w:t xml:space="preserve"> fixed charge at the rate of 32.329 cents per day; and</w:t>
      </w:r>
    </w:p>
    <w:p>
      <w:pPr>
        <w:pStyle w:val="nzIndenta"/>
        <w:rPr>
          <w:snapToGrid w:val="0"/>
        </w:rPr>
      </w:pPr>
      <w:r>
        <w:rPr>
          <w:snapToGrid w:val="0"/>
        </w:rPr>
        <w:tab/>
        <w:t>(b)</w:t>
      </w:r>
      <w:r>
        <w:rPr>
          <w:snapToGrid w:val="0"/>
        </w:rPr>
        <w:tab/>
      </w:r>
      <w:r>
        <w:t>a charge for</w:t>
      </w:r>
      <w:r>
        <w:rPr>
          <w:snapToGrid w:val="0"/>
        </w:rPr>
        <w:t xml:space="preserve"> metered consumption at the rate of — </w:t>
      </w:r>
    </w:p>
    <w:p>
      <w:pPr>
        <w:pStyle w:val="nzIndenti"/>
        <w:rPr>
          <w:snapToGrid w:val="0"/>
        </w:rPr>
      </w:pPr>
      <w:r>
        <w:rPr>
          <w:snapToGrid w:val="0"/>
        </w:rPr>
        <w:tab/>
        <w:t>(i)</w:t>
      </w:r>
      <w:r>
        <w:rPr>
          <w:snapToGrid w:val="0"/>
        </w:rPr>
        <w:tab/>
        <w:t>17.611 cents per unit for the first 20 units per day; and</w:t>
      </w:r>
    </w:p>
    <w:p>
      <w:pPr>
        <w:pStyle w:val="nzIndenti"/>
        <w:rPr>
          <w:snapToGrid w:val="0"/>
        </w:rPr>
      </w:pPr>
      <w:r>
        <w:rPr>
          <w:snapToGrid w:val="0"/>
        </w:rPr>
        <w:tab/>
        <w:t>(ii)</w:t>
      </w:r>
      <w:r>
        <w:rPr>
          <w:snapToGrid w:val="0"/>
        </w:rPr>
        <w:tab/>
        <w:t>22.077 cents per unit for the next 1 630 units per day; and</w:t>
      </w:r>
    </w:p>
    <w:p>
      <w:pPr>
        <w:pStyle w:val="nzIndenti"/>
        <w:rPr>
          <w:snapToGrid w:val="0"/>
        </w:rPr>
      </w:pPr>
      <w:r>
        <w:rPr>
          <w:snapToGrid w:val="0"/>
        </w:rPr>
        <w:tab/>
        <w:t>(iii)</w:t>
      </w:r>
      <w:r>
        <w:rPr>
          <w:snapToGrid w:val="0"/>
        </w:rPr>
        <w:tab/>
        <w:t>19.932 cents per unit per day for all units exceeding 1 650 units.</w:t>
      </w:r>
    </w:p>
    <w:p>
      <w:pPr>
        <w:pStyle w:val="nzHeading5"/>
      </w:pPr>
      <w:r>
        <w:t>14.</w:t>
      </w:r>
      <w:r>
        <w:rPr>
          <w:b w:val="0"/>
        </w:rPr>
        <w:tab/>
      </w:r>
      <w:r>
        <w:t>Tariff W1 (traffic light installations)</w:t>
      </w:r>
    </w:p>
    <w:p>
      <w:pPr>
        <w:pStyle w:val="nzSubsection"/>
      </w:pPr>
      <w:r>
        <w:tab/>
      </w:r>
      <w:r>
        <w:tab/>
        <w:t>Tariff W1 comprises a charge of $3.8833 per day per kW of installed wattage.</w:t>
      </w:r>
    </w:p>
    <w:p>
      <w:pPr>
        <w:pStyle w:val="BlankClose"/>
      </w:pPr>
    </w:p>
    <w:p>
      <w:pPr>
        <w:pStyle w:val="nHeading5"/>
      </w:pPr>
      <w:r>
        <w:rPr>
          <w:rStyle w:val="CharSectno"/>
        </w:rPr>
        <w:t>11</w:t>
      </w:r>
      <w:r>
        <w:t>.</w:t>
      </w:r>
      <w:r>
        <w:tab/>
        <w:t>Schedule 2 replaced</w:t>
      </w:r>
    </w:p>
    <w:p>
      <w:pPr>
        <w:pStyle w:val="nSubsection"/>
        <w:tabs>
          <w:tab w:val="left" w:pos="896"/>
        </w:tabs>
      </w:pPr>
      <w:r>
        <w:tab/>
      </w:r>
      <w:r>
        <w:tab/>
        <w:t>Delete Schedule 2 and insert:</w:t>
      </w:r>
    </w:p>
    <w:p>
      <w:pPr>
        <w:pStyle w:val="BlankOpen"/>
      </w:pPr>
    </w:p>
    <w:p>
      <w:pPr>
        <w:pStyle w:val="nzHeading2"/>
      </w:pPr>
      <w:r>
        <w:t>Schedule 2 — Street lighting</w:t>
      </w:r>
    </w:p>
    <w:p>
      <w:pPr>
        <w:pStyle w:val="nzMiscellaneousBody"/>
        <w:jc w:val="right"/>
      </w:pPr>
      <w:r>
        <w:t>[bl. 4(2)]</w:t>
      </w:r>
    </w:p>
    <w:tbl>
      <w:tblPr>
        <w:tblW w:w="0" w:type="auto"/>
        <w:tblInd w:w="212" w:type="dxa"/>
        <w:tblLayout w:type="fixed"/>
        <w:tblCellMar>
          <w:left w:w="70" w:type="dxa"/>
          <w:right w:w="70" w:type="dxa"/>
        </w:tblCellMar>
        <w:tblLook w:val="0000" w:firstRow="0" w:lastRow="0" w:firstColumn="0" w:lastColumn="0" w:noHBand="0" w:noVBand="0"/>
      </w:tblPr>
      <w:tblGrid>
        <w:gridCol w:w="567"/>
        <w:gridCol w:w="851"/>
        <w:gridCol w:w="1701"/>
        <w:gridCol w:w="1275"/>
        <w:gridCol w:w="1276"/>
        <w:gridCol w:w="425"/>
        <w:gridCol w:w="851"/>
      </w:tblGrid>
      <w:tr>
        <w:trPr>
          <w:tblHeader/>
        </w:trPr>
        <w:tc>
          <w:tcPr>
            <w:tcW w:w="567" w:type="dxa"/>
            <w:tcBorders>
              <w:top w:val="single" w:sz="4" w:space="0" w:color="auto"/>
              <w:bottom w:val="single" w:sz="4" w:space="0" w:color="auto"/>
            </w:tcBorders>
          </w:tcPr>
          <w:p>
            <w:pPr>
              <w:pStyle w:val="yTableNAm"/>
              <w:rPr>
                <w:b/>
                <w:bCs/>
                <w:sz w:val="18"/>
              </w:rPr>
            </w:pPr>
            <w:r>
              <w:rPr>
                <w:b/>
                <w:bCs/>
                <w:sz w:val="18"/>
              </w:rPr>
              <w:t>Item</w:t>
            </w:r>
          </w:p>
        </w:tc>
        <w:tc>
          <w:tcPr>
            <w:tcW w:w="851" w:type="dxa"/>
            <w:tcBorders>
              <w:top w:val="single" w:sz="4" w:space="0" w:color="auto"/>
              <w:bottom w:val="single" w:sz="4" w:space="0" w:color="auto"/>
            </w:tcBorders>
          </w:tcPr>
          <w:p>
            <w:pPr>
              <w:pStyle w:val="yTableNAm"/>
              <w:rPr>
                <w:b/>
                <w:bCs/>
                <w:sz w:val="18"/>
              </w:rPr>
            </w:pPr>
            <w:r>
              <w:rPr>
                <w:b/>
                <w:bCs/>
                <w:sz w:val="18"/>
              </w:rPr>
              <w:t>Wattage</w:t>
            </w:r>
          </w:p>
        </w:tc>
        <w:tc>
          <w:tcPr>
            <w:tcW w:w="1701" w:type="dxa"/>
            <w:tcBorders>
              <w:top w:val="single" w:sz="4" w:space="0" w:color="auto"/>
              <w:bottom w:val="single" w:sz="4" w:space="0" w:color="auto"/>
            </w:tcBorders>
          </w:tcPr>
          <w:p>
            <w:pPr>
              <w:pStyle w:val="yTableNAm"/>
              <w:rPr>
                <w:b/>
                <w:bCs/>
                <w:sz w:val="18"/>
              </w:rPr>
            </w:pPr>
            <w:r>
              <w:rPr>
                <w:b/>
                <w:bCs/>
                <w:sz w:val="18"/>
              </w:rPr>
              <w:t>Type</w:t>
            </w:r>
          </w:p>
        </w:tc>
        <w:tc>
          <w:tcPr>
            <w:tcW w:w="1275" w:type="dxa"/>
            <w:tcBorders>
              <w:top w:val="single" w:sz="4" w:space="0" w:color="auto"/>
              <w:bottom w:val="single" w:sz="4" w:space="0" w:color="auto"/>
            </w:tcBorders>
          </w:tcPr>
          <w:p>
            <w:pPr>
              <w:pStyle w:val="yTableNAm"/>
              <w:rPr>
                <w:b/>
                <w:bCs/>
                <w:spacing w:val="-4"/>
                <w:sz w:val="18"/>
              </w:rPr>
            </w:pPr>
            <w:r>
              <w:rPr>
                <w:b/>
                <w:bCs/>
                <w:spacing w:val="-4"/>
                <w:sz w:val="18"/>
              </w:rPr>
              <w:t>Midnight Switch</w:t>
            </w:r>
            <w:r>
              <w:rPr>
                <w:b/>
                <w:bCs/>
                <w:spacing w:val="-4"/>
                <w:sz w:val="18"/>
              </w:rPr>
              <w:noBreakHyphen/>
              <w:t>off (Obsolescent) Cents per day</w:t>
            </w:r>
          </w:p>
        </w:tc>
        <w:tc>
          <w:tcPr>
            <w:tcW w:w="1276" w:type="dxa"/>
            <w:tcBorders>
              <w:top w:val="single" w:sz="4" w:space="0" w:color="auto"/>
              <w:bottom w:val="single" w:sz="4" w:space="0" w:color="auto"/>
            </w:tcBorders>
          </w:tcPr>
          <w:p>
            <w:pPr>
              <w:pStyle w:val="yTableNAm"/>
              <w:rPr>
                <w:b/>
                <w:bCs/>
                <w:spacing w:val="-8"/>
                <w:sz w:val="18"/>
              </w:rPr>
            </w:pPr>
            <w:r>
              <w:rPr>
                <w:b/>
                <w:bCs/>
                <w:spacing w:val="-8"/>
                <w:sz w:val="18"/>
              </w:rPr>
              <w:t>1.15 a.m. Switch</w:t>
            </w:r>
            <w:r>
              <w:rPr>
                <w:b/>
                <w:bCs/>
                <w:spacing w:val="-8"/>
                <w:sz w:val="18"/>
              </w:rPr>
              <w:noBreakHyphen/>
              <w:t>off Cents per day</w:t>
            </w:r>
          </w:p>
        </w:tc>
        <w:tc>
          <w:tcPr>
            <w:tcW w:w="1276" w:type="dxa"/>
            <w:gridSpan w:val="2"/>
            <w:tcBorders>
              <w:top w:val="single" w:sz="4" w:space="0" w:color="auto"/>
              <w:bottom w:val="single" w:sz="4" w:space="0" w:color="auto"/>
            </w:tcBorders>
          </w:tcPr>
          <w:p>
            <w:pPr>
              <w:pStyle w:val="yTableNAm"/>
              <w:rPr>
                <w:b/>
                <w:bCs/>
                <w:spacing w:val="-8"/>
                <w:sz w:val="18"/>
              </w:rPr>
            </w:pPr>
            <w:r>
              <w:rPr>
                <w:b/>
                <w:bCs/>
                <w:spacing w:val="-8"/>
                <w:sz w:val="18"/>
              </w:rPr>
              <w:t>Dawn Switch</w:t>
            </w:r>
            <w:r>
              <w:rPr>
                <w:b/>
                <w:bCs/>
                <w:spacing w:val="-8"/>
                <w:sz w:val="18"/>
              </w:rPr>
              <w:noBreakHyphen/>
              <w:t>off Cents per day</w:t>
            </w:r>
          </w:p>
        </w:tc>
      </w:tr>
      <w:tr>
        <w:trPr>
          <w:gridAfter w:val="1"/>
          <w:wAfter w:w="851" w:type="dxa"/>
          <w:cantSplit/>
        </w:trPr>
        <w:tc>
          <w:tcPr>
            <w:tcW w:w="6095" w:type="dxa"/>
            <w:gridSpan w:val="6"/>
          </w:tcPr>
          <w:p>
            <w:pPr>
              <w:pStyle w:val="nTable"/>
            </w:pPr>
            <w:r>
              <w:t>Street lighting on current offer and for existing services</w:t>
            </w:r>
          </w:p>
        </w:tc>
      </w:tr>
      <w:tr>
        <w:tc>
          <w:tcPr>
            <w:tcW w:w="567" w:type="dxa"/>
          </w:tcPr>
          <w:p>
            <w:pPr>
              <w:pStyle w:val="nTable"/>
            </w:pPr>
            <w:r>
              <w:t>Z.01</w:t>
            </w:r>
          </w:p>
        </w:tc>
        <w:tc>
          <w:tcPr>
            <w:tcW w:w="851" w:type="dxa"/>
          </w:tcPr>
          <w:p>
            <w:pPr>
              <w:pStyle w:val="nTable"/>
            </w:pPr>
            <w:r>
              <w:t>50</w:t>
            </w:r>
          </w:p>
        </w:tc>
        <w:tc>
          <w:tcPr>
            <w:tcW w:w="1701" w:type="dxa"/>
          </w:tcPr>
          <w:p>
            <w:pPr>
              <w:pStyle w:val="nTable"/>
            </w:pPr>
            <w:r>
              <w:t>Mercury Vapour</w:t>
            </w:r>
          </w:p>
        </w:tc>
        <w:tc>
          <w:tcPr>
            <w:tcW w:w="1275" w:type="dxa"/>
          </w:tcPr>
          <w:p>
            <w:pPr>
              <w:pStyle w:val="nTable"/>
            </w:pPr>
            <w:r>
              <w:t>22.605</w:t>
            </w:r>
          </w:p>
        </w:tc>
        <w:tc>
          <w:tcPr>
            <w:tcW w:w="1276" w:type="dxa"/>
          </w:tcPr>
          <w:p>
            <w:pPr>
              <w:pStyle w:val="nTable"/>
            </w:pPr>
            <w:r>
              <w:t>23.089</w:t>
            </w:r>
          </w:p>
        </w:tc>
        <w:tc>
          <w:tcPr>
            <w:tcW w:w="1276" w:type="dxa"/>
            <w:gridSpan w:val="2"/>
          </w:tcPr>
          <w:p>
            <w:pPr>
              <w:pStyle w:val="nTable"/>
            </w:pPr>
            <w:r>
              <w:t>24.838</w:t>
            </w:r>
          </w:p>
        </w:tc>
      </w:tr>
      <w:tr>
        <w:tc>
          <w:tcPr>
            <w:tcW w:w="567" w:type="dxa"/>
          </w:tcPr>
          <w:p>
            <w:pPr>
              <w:pStyle w:val="nTable"/>
            </w:pPr>
            <w:r>
              <w:t>Z.02</w:t>
            </w:r>
          </w:p>
        </w:tc>
        <w:tc>
          <w:tcPr>
            <w:tcW w:w="851" w:type="dxa"/>
          </w:tcPr>
          <w:p>
            <w:pPr>
              <w:pStyle w:val="nTable"/>
            </w:pPr>
            <w:r>
              <w:t>80</w:t>
            </w:r>
          </w:p>
        </w:tc>
        <w:tc>
          <w:tcPr>
            <w:tcW w:w="1701" w:type="dxa"/>
          </w:tcPr>
          <w:p>
            <w:pPr>
              <w:pStyle w:val="nTable"/>
            </w:pPr>
            <w:r>
              <w:t>Mercury Vapour</w:t>
            </w:r>
          </w:p>
        </w:tc>
        <w:tc>
          <w:tcPr>
            <w:tcW w:w="1275" w:type="dxa"/>
          </w:tcPr>
          <w:p>
            <w:pPr>
              <w:pStyle w:val="nTable"/>
            </w:pPr>
            <w:r>
              <w:t>26.620</w:t>
            </w:r>
          </w:p>
        </w:tc>
        <w:tc>
          <w:tcPr>
            <w:tcW w:w="1276" w:type="dxa"/>
          </w:tcPr>
          <w:p>
            <w:pPr>
              <w:pStyle w:val="nTable"/>
            </w:pPr>
            <w:r>
              <w:t>27.214</w:t>
            </w:r>
          </w:p>
        </w:tc>
        <w:tc>
          <w:tcPr>
            <w:tcW w:w="1276" w:type="dxa"/>
            <w:gridSpan w:val="2"/>
          </w:tcPr>
          <w:p>
            <w:pPr>
              <w:pStyle w:val="nTable"/>
            </w:pPr>
            <w:r>
              <w:t>29.942</w:t>
            </w:r>
          </w:p>
        </w:tc>
      </w:tr>
      <w:tr>
        <w:tc>
          <w:tcPr>
            <w:tcW w:w="567" w:type="dxa"/>
          </w:tcPr>
          <w:p>
            <w:pPr>
              <w:pStyle w:val="nTable"/>
            </w:pPr>
            <w:r>
              <w:t>Z.03</w:t>
            </w:r>
          </w:p>
        </w:tc>
        <w:tc>
          <w:tcPr>
            <w:tcW w:w="851" w:type="dxa"/>
          </w:tcPr>
          <w:p>
            <w:pPr>
              <w:pStyle w:val="nTable"/>
            </w:pPr>
            <w:r>
              <w:t>125</w:t>
            </w:r>
          </w:p>
        </w:tc>
        <w:tc>
          <w:tcPr>
            <w:tcW w:w="1701" w:type="dxa"/>
          </w:tcPr>
          <w:p>
            <w:pPr>
              <w:pStyle w:val="nTable"/>
            </w:pPr>
            <w:r>
              <w:t>Mercury Vapour</w:t>
            </w:r>
          </w:p>
        </w:tc>
        <w:tc>
          <w:tcPr>
            <w:tcW w:w="1275" w:type="dxa"/>
          </w:tcPr>
          <w:p>
            <w:pPr>
              <w:pStyle w:val="nTable"/>
            </w:pPr>
            <w:r>
              <w:t>32.923</w:t>
            </w:r>
          </w:p>
        </w:tc>
        <w:tc>
          <w:tcPr>
            <w:tcW w:w="1276" w:type="dxa"/>
          </w:tcPr>
          <w:p>
            <w:pPr>
              <w:pStyle w:val="nTable"/>
            </w:pPr>
            <w:r>
              <w:t>33.990</w:t>
            </w:r>
          </w:p>
        </w:tc>
        <w:tc>
          <w:tcPr>
            <w:tcW w:w="1276" w:type="dxa"/>
            <w:gridSpan w:val="2"/>
          </w:tcPr>
          <w:p>
            <w:pPr>
              <w:pStyle w:val="nTable"/>
            </w:pPr>
            <w:r>
              <w:t>37.840</w:t>
            </w:r>
          </w:p>
        </w:tc>
      </w:tr>
      <w:tr>
        <w:tc>
          <w:tcPr>
            <w:tcW w:w="567" w:type="dxa"/>
          </w:tcPr>
          <w:p>
            <w:pPr>
              <w:pStyle w:val="nTable"/>
            </w:pPr>
            <w:r>
              <w:t>Z.04</w:t>
            </w:r>
          </w:p>
        </w:tc>
        <w:tc>
          <w:tcPr>
            <w:tcW w:w="851" w:type="dxa"/>
          </w:tcPr>
          <w:p>
            <w:pPr>
              <w:pStyle w:val="nTable"/>
            </w:pPr>
            <w:r>
              <w:t>140</w:t>
            </w:r>
          </w:p>
        </w:tc>
        <w:tc>
          <w:tcPr>
            <w:tcW w:w="1701" w:type="dxa"/>
          </w:tcPr>
          <w:p>
            <w:pPr>
              <w:pStyle w:val="nTable"/>
            </w:pPr>
            <w:r>
              <w:t xml:space="preserve">Low Pressure Sodium </w:t>
            </w:r>
          </w:p>
        </w:tc>
        <w:tc>
          <w:tcPr>
            <w:tcW w:w="1275" w:type="dxa"/>
          </w:tcPr>
          <w:p>
            <w:pPr>
              <w:pStyle w:val="nTable"/>
            </w:pPr>
            <w:r>
              <w:br/>
              <w:t>33.693</w:t>
            </w:r>
          </w:p>
        </w:tc>
        <w:tc>
          <w:tcPr>
            <w:tcW w:w="1276" w:type="dxa"/>
          </w:tcPr>
          <w:p>
            <w:pPr>
              <w:pStyle w:val="nTable"/>
            </w:pPr>
            <w:r>
              <w:br/>
              <w:t>34.793</w:t>
            </w:r>
          </w:p>
        </w:tc>
        <w:tc>
          <w:tcPr>
            <w:tcW w:w="1276" w:type="dxa"/>
            <w:gridSpan w:val="2"/>
          </w:tcPr>
          <w:p>
            <w:pPr>
              <w:pStyle w:val="nTable"/>
            </w:pPr>
            <w:r>
              <w:br/>
              <w:t>39.215</w:t>
            </w:r>
          </w:p>
        </w:tc>
      </w:tr>
      <w:tr>
        <w:tc>
          <w:tcPr>
            <w:tcW w:w="567" w:type="dxa"/>
          </w:tcPr>
          <w:p>
            <w:pPr>
              <w:pStyle w:val="nTable"/>
            </w:pPr>
            <w:r>
              <w:t>Z.07</w:t>
            </w:r>
          </w:p>
        </w:tc>
        <w:tc>
          <w:tcPr>
            <w:tcW w:w="851" w:type="dxa"/>
          </w:tcPr>
          <w:p>
            <w:pPr>
              <w:pStyle w:val="nTable"/>
            </w:pPr>
            <w:r>
              <w:t>250</w:t>
            </w:r>
          </w:p>
        </w:tc>
        <w:tc>
          <w:tcPr>
            <w:tcW w:w="1701" w:type="dxa"/>
          </w:tcPr>
          <w:p>
            <w:pPr>
              <w:pStyle w:val="nTable"/>
            </w:pPr>
            <w:r>
              <w:t>Mercury Vapour</w:t>
            </w:r>
          </w:p>
        </w:tc>
        <w:tc>
          <w:tcPr>
            <w:tcW w:w="1275" w:type="dxa"/>
          </w:tcPr>
          <w:p>
            <w:pPr>
              <w:pStyle w:val="nTable"/>
            </w:pPr>
            <w:r>
              <w:t>40.854</w:t>
            </w:r>
          </w:p>
        </w:tc>
        <w:tc>
          <w:tcPr>
            <w:tcW w:w="1276" w:type="dxa"/>
          </w:tcPr>
          <w:p>
            <w:pPr>
              <w:pStyle w:val="nTable"/>
            </w:pPr>
            <w:r>
              <w:t>42.933</w:t>
            </w:r>
          </w:p>
        </w:tc>
        <w:tc>
          <w:tcPr>
            <w:tcW w:w="1276" w:type="dxa"/>
            <w:gridSpan w:val="2"/>
          </w:tcPr>
          <w:p>
            <w:pPr>
              <w:pStyle w:val="nTable"/>
            </w:pPr>
            <w:r>
              <w:t>50.688</w:t>
            </w:r>
          </w:p>
        </w:tc>
      </w:tr>
      <w:tr>
        <w:tc>
          <w:tcPr>
            <w:tcW w:w="567" w:type="dxa"/>
          </w:tcPr>
          <w:p>
            <w:pPr>
              <w:pStyle w:val="nTable"/>
            </w:pPr>
            <w:r>
              <w:t>Z.10</w:t>
            </w:r>
          </w:p>
        </w:tc>
        <w:tc>
          <w:tcPr>
            <w:tcW w:w="851" w:type="dxa"/>
          </w:tcPr>
          <w:p>
            <w:pPr>
              <w:pStyle w:val="nTable"/>
            </w:pPr>
            <w:r>
              <w:t>400</w:t>
            </w:r>
          </w:p>
        </w:tc>
        <w:tc>
          <w:tcPr>
            <w:tcW w:w="1701" w:type="dxa"/>
          </w:tcPr>
          <w:p>
            <w:pPr>
              <w:pStyle w:val="nTable"/>
            </w:pPr>
            <w:r>
              <w:t>Mercury Vapour</w:t>
            </w:r>
          </w:p>
        </w:tc>
        <w:tc>
          <w:tcPr>
            <w:tcW w:w="1275" w:type="dxa"/>
          </w:tcPr>
          <w:p>
            <w:pPr>
              <w:pStyle w:val="nTable"/>
            </w:pPr>
            <w:r>
              <w:t>60.522</w:t>
            </w:r>
          </w:p>
        </w:tc>
        <w:tc>
          <w:tcPr>
            <w:tcW w:w="1276" w:type="dxa"/>
          </w:tcPr>
          <w:p>
            <w:pPr>
              <w:pStyle w:val="nTable"/>
            </w:pPr>
            <w:r>
              <w:t>63.690</w:t>
            </w:r>
          </w:p>
        </w:tc>
        <w:tc>
          <w:tcPr>
            <w:tcW w:w="1276" w:type="dxa"/>
            <w:gridSpan w:val="2"/>
          </w:tcPr>
          <w:p>
            <w:pPr>
              <w:pStyle w:val="nTable"/>
            </w:pPr>
            <w:r>
              <w:t>75.790</w:t>
            </w:r>
          </w:p>
        </w:tc>
      </w:tr>
      <w:tr>
        <w:tc>
          <w:tcPr>
            <w:tcW w:w="567" w:type="dxa"/>
          </w:tcPr>
          <w:p>
            <w:pPr>
              <w:pStyle w:val="nTable"/>
            </w:pPr>
            <w:r>
              <w:t>Z.13</w:t>
            </w:r>
          </w:p>
        </w:tc>
        <w:tc>
          <w:tcPr>
            <w:tcW w:w="851" w:type="dxa"/>
          </w:tcPr>
          <w:p>
            <w:pPr>
              <w:pStyle w:val="nTable"/>
            </w:pPr>
            <w:r>
              <w:t>150</w:t>
            </w:r>
          </w:p>
        </w:tc>
        <w:tc>
          <w:tcPr>
            <w:tcW w:w="1701" w:type="dxa"/>
          </w:tcPr>
          <w:p>
            <w:pPr>
              <w:pStyle w:val="nTable"/>
            </w:pPr>
            <w:r>
              <w:t>High Pressure Sodium</w:t>
            </w:r>
          </w:p>
        </w:tc>
        <w:tc>
          <w:tcPr>
            <w:tcW w:w="1275" w:type="dxa"/>
          </w:tcPr>
          <w:p>
            <w:pPr>
              <w:pStyle w:val="nTable"/>
            </w:pPr>
            <w:r>
              <w:br/>
              <w:t>31.185</w:t>
            </w:r>
          </w:p>
        </w:tc>
        <w:tc>
          <w:tcPr>
            <w:tcW w:w="1276" w:type="dxa"/>
          </w:tcPr>
          <w:p>
            <w:pPr>
              <w:pStyle w:val="nTable"/>
            </w:pPr>
            <w:r>
              <w:br/>
              <w:t>32.329</w:t>
            </w:r>
          </w:p>
        </w:tc>
        <w:tc>
          <w:tcPr>
            <w:tcW w:w="1276" w:type="dxa"/>
            <w:gridSpan w:val="2"/>
          </w:tcPr>
          <w:p>
            <w:pPr>
              <w:pStyle w:val="nTable"/>
            </w:pPr>
            <w:r>
              <w:br/>
              <w:t>38.731</w:t>
            </w:r>
          </w:p>
        </w:tc>
      </w:tr>
      <w:tr>
        <w:tc>
          <w:tcPr>
            <w:tcW w:w="567" w:type="dxa"/>
          </w:tcPr>
          <w:p>
            <w:pPr>
              <w:pStyle w:val="nTable"/>
            </w:pPr>
            <w:r>
              <w:t>Z.15</w:t>
            </w:r>
          </w:p>
        </w:tc>
        <w:tc>
          <w:tcPr>
            <w:tcW w:w="851" w:type="dxa"/>
          </w:tcPr>
          <w:p>
            <w:pPr>
              <w:pStyle w:val="nTable"/>
            </w:pPr>
            <w:r>
              <w:t>250</w:t>
            </w:r>
          </w:p>
        </w:tc>
        <w:tc>
          <w:tcPr>
            <w:tcW w:w="1701" w:type="dxa"/>
          </w:tcPr>
          <w:p>
            <w:pPr>
              <w:pStyle w:val="nTable"/>
            </w:pPr>
            <w:r>
              <w:t>High Pressure Sodium</w:t>
            </w:r>
          </w:p>
        </w:tc>
        <w:tc>
          <w:tcPr>
            <w:tcW w:w="1275" w:type="dxa"/>
          </w:tcPr>
          <w:p>
            <w:pPr>
              <w:pStyle w:val="nTable"/>
            </w:pPr>
            <w:r>
              <w:br/>
              <w:t>46.233</w:t>
            </w:r>
          </w:p>
        </w:tc>
        <w:tc>
          <w:tcPr>
            <w:tcW w:w="1276" w:type="dxa"/>
          </w:tcPr>
          <w:p>
            <w:pPr>
              <w:pStyle w:val="nTable"/>
            </w:pPr>
            <w:r>
              <w:br/>
              <w:t>48.697</w:t>
            </w:r>
          </w:p>
        </w:tc>
        <w:tc>
          <w:tcPr>
            <w:tcW w:w="1276" w:type="dxa"/>
            <w:gridSpan w:val="2"/>
          </w:tcPr>
          <w:p>
            <w:pPr>
              <w:pStyle w:val="nTable"/>
            </w:pPr>
            <w:r>
              <w:br/>
              <w:t>58.201</w:t>
            </w:r>
          </w:p>
        </w:tc>
      </w:tr>
      <w:tr>
        <w:tc>
          <w:tcPr>
            <w:tcW w:w="567" w:type="dxa"/>
          </w:tcPr>
          <w:p>
            <w:pPr>
              <w:pStyle w:val="nTable"/>
            </w:pPr>
            <w:r>
              <w:t>Z.18</w:t>
            </w:r>
          </w:p>
        </w:tc>
        <w:tc>
          <w:tcPr>
            <w:tcW w:w="851" w:type="dxa"/>
          </w:tcPr>
          <w:p>
            <w:pPr>
              <w:pStyle w:val="nTable"/>
            </w:pPr>
            <w:r>
              <w:t>per kW</w:t>
            </w:r>
          </w:p>
        </w:tc>
        <w:tc>
          <w:tcPr>
            <w:tcW w:w="1701" w:type="dxa"/>
          </w:tcPr>
          <w:p>
            <w:pPr>
              <w:pStyle w:val="nTable"/>
            </w:pPr>
            <w:r>
              <w:t>Auxiliary Lighting in Public Places</w:t>
            </w:r>
          </w:p>
        </w:tc>
        <w:tc>
          <w:tcPr>
            <w:tcW w:w="1275" w:type="dxa"/>
          </w:tcPr>
          <w:p>
            <w:pPr>
              <w:pStyle w:val="nTable"/>
            </w:pPr>
            <w:r>
              <w:br/>
              <w:t>132.451</w:t>
            </w:r>
          </w:p>
        </w:tc>
        <w:tc>
          <w:tcPr>
            <w:tcW w:w="1276" w:type="dxa"/>
          </w:tcPr>
          <w:p>
            <w:pPr>
              <w:pStyle w:val="nTable"/>
            </w:pPr>
            <w:r>
              <w:br/>
              <w:t>139.810</w:t>
            </w:r>
          </w:p>
        </w:tc>
        <w:tc>
          <w:tcPr>
            <w:tcW w:w="1276" w:type="dxa"/>
            <w:gridSpan w:val="2"/>
          </w:tcPr>
          <w:p>
            <w:pPr>
              <w:pStyle w:val="nTable"/>
            </w:pPr>
            <w:r>
              <w:br/>
              <w:t>168.773</w:t>
            </w:r>
          </w:p>
        </w:tc>
      </w:tr>
      <w:tr>
        <w:trPr>
          <w:cantSplit/>
        </w:trPr>
        <w:tc>
          <w:tcPr>
            <w:tcW w:w="6946" w:type="dxa"/>
            <w:gridSpan w:val="7"/>
          </w:tcPr>
          <w:p>
            <w:pPr>
              <w:pStyle w:val="nTable"/>
            </w:pPr>
            <w:r>
              <w:t>Street lighting for existing services only</w:t>
            </w:r>
          </w:p>
        </w:tc>
      </w:tr>
      <w:tr>
        <w:tc>
          <w:tcPr>
            <w:tcW w:w="567" w:type="dxa"/>
          </w:tcPr>
          <w:p>
            <w:pPr>
              <w:pStyle w:val="nTable"/>
            </w:pPr>
            <w:r>
              <w:t>Z.05</w:t>
            </w:r>
          </w:p>
        </w:tc>
        <w:tc>
          <w:tcPr>
            <w:tcW w:w="851" w:type="dxa"/>
          </w:tcPr>
          <w:p>
            <w:pPr>
              <w:pStyle w:val="nTable"/>
            </w:pPr>
            <w:r>
              <w:t>250</w:t>
            </w:r>
          </w:p>
        </w:tc>
        <w:tc>
          <w:tcPr>
            <w:tcW w:w="1701" w:type="dxa"/>
          </w:tcPr>
          <w:p>
            <w:pPr>
              <w:pStyle w:val="nTable"/>
            </w:pPr>
            <w:r>
              <w:t>Mercury Vapour</w:t>
            </w:r>
          </w:p>
        </w:tc>
        <w:tc>
          <w:tcPr>
            <w:tcW w:w="1275" w:type="dxa"/>
          </w:tcPr>
          <w:p>
            <w:pPr>
              <w:pStyle w:val="nTable"/>
            </w:pPr>
            <w:r>
              <w:t>52.943</w:t>
            </w:r>
          </w:p>
        </w:tc>
        <w:tc>
          <w:tcPr>
            <w:tcW w:w="1276" w:type="dxa"/>
          </w:tcPr>
          <w:p>
            <w:pPr>
              <w:pStyle w:val="nTable"/>
            </w:pPr>
            <w:r>
              <w:t>55.011</w:t>
            </w:r>
          </w:p>
        </w:tc>
        <w:tc>
          <w:tcPr>
            <w:tcW w:w="1276" w:type="dxa"/>
            <w:gridSpan w:val="2"/>
          </w:tcPr>
          <w:p>
            <w:pPr>
              <w:pStyle w:val="nTable"/>
            </w:pPr>
            <w:r>
              <w:t>62.777</w:t>
            </w:r>
          </w:p>
        </w:tc>
      </w:tr>
      <w:tr>
        <w:tc>
          <w:tcPr>
            <w:tcW w:w="567" w:type="dxa"/>
          </w:tcPr>
          <w:p>
            <w:pPr>
              <w:pStyle w:val="nTable"/>
            </w:pPr>
            <w:r>
              <w:t>Z.06</w:t>
            </w:r>
          </w:p>
        </w:tc>
        <w:tc>
          <w:tcPr>
            <w:tcW w:w="851" w:type="dxa"/>
          </w:tcPr>
          <w:p>
            <w:pPr>
              <w:pStyle w:val="nTable"/>
            </w:pPr>
            <w:r>
              <w:t>400</w:t>
            </w:r>
          </w:p>
        </w:tc>
        <w:tc>
          <w:tcPr>
            <w:tcW w:w="1701" w:type="dxa"/>
          </w:tcPr>
          <w:p>
            <w:pPr>
              <w:pStyle w:val="nTable"/>
            </w:pPr>
            <w:r>
              <w:t>Mercury Vapour</w:t>
            </w:r>
          </w:p>
        </w:tc>
        <w:tc>
          <w:tcPr>
            <w:tcW w:w="1275" w:type="dxa"/>
          </w:tcPr>
          <w:p>
            <w:pPr>
              <w:pStyle w:val="nTable"/>
            </w:pPr>
            <w:r>
              <w:t>72.622</w:t>
            </w:r>
          </w:p>
        </w:tc>
        <w:tc>
          <w:tcPr>
            <w:tcW w:w="1276" w:type="dxa"/>
          </w:tcPr>
          <w:p>
            <w:pPr>
              <w:pStyle w:val="nTable"/>
            </w:pPr>
            <w:r>
              <w:t>75.790</w:t>
            </w:r>
          </w:p>
        </w:tc>
        <w:tc>
          <w:tcPr>
            <w:tcW w:w="1276" w:type="dxa"/>
            <w:gridSpan w:val="2"/>
          </w:tcPr>
          <w:p>
            <w:pPr>
              <w:pStyle w:val="nTable"/>
            </w:pPr>
            <w:r>
              <w:t>87.835</w:t>
            </w:r>
          </w:p>
        </w:tc>
      </w:tr>
      <w:tr>
        <w:tc>
          <w:tcPr>
            <w:tcW w:w="567" w:type="dxa"/>
          </w:tcPr>
          <w:p>
            <w:pPr>
              <w:pStyle w:val="nTable"/>
            </w:pPr>
            <w:r>
              <w:t>Z.08</w:t>
            </w:r>
          </w:p>
        </w:tc>
        <w:tc>
          <w:tcPr>
            <w:tcW w:w="851" w:type="dxa"/>
          </w:tcPr>
          <w:p>
            <w:pPr>
              <w:pStyle w:val="nTable"/>
            </w:pPr>
            <w:r>
              <w:t>250</w:t>
            </w:r>
          </w:p>
        </w:tc>
        <w:tc>
          <w:tcPr>
            <w:tcW w:w="1701" w:type="dxa"/>
          </w:tcPr>
          <w:p>
            <w:pPr>
              <w:pStyle w:val="nTable"/>
            </w:pPr>
            <w:r>
              <w:t>Mercury Vapour 50% E.C. cost</w:t>
            </w:r>
          </w:p>
        </w:tc>
        <w:tc>
          <w:tcPr>
            <w:tcW w:w="1275" w:type="dxa"/>
          </w:tcPr>
          <w:p>
            <w:pPr>
              <w:pStyle w:val="nTable"/>
            </w:pPr>
            <w:r>
              <w:t>46.893</w:t>
            </w:r>
          </w:p>
        </w:tc>
        <w:tc>
          <w:tcPr>
            <w:tcW w:w="1276" w:type="dxa"/>
          </w:tcPr>
          <w:p>
            <w:pPr>
              <w:pStyle w:val="nTable"/>
            </w:pPr>
            <w:r>
              <w:t>48.939</w:t>
            </w:r>
          </w:p>
        </w:tc>
        <w:tc>
          <w:tcPr>
            <w:tcW w:w="1276" w:type="dxa"/>
            <w:gridSpan w:val="2"/>
          </w:tcPr>
          <w:p>
            <w:pPr>
              <w:pStyle w:val="nTable"/>
            </w:pPr>
            <w:r>
              <w:t>56.727</w:t>
            </w:r>
          </w:p>
        </w:tc>
      </w:tr>
      <w:tr>
        <w:tc>
          <w:tcPr>
            <w:tcW w:w="567" w:type="dxa"/>
          </w:tcPr>
          <w:p>
            <w:pPr>
              <w:pStyle w:val="nTable"/>
            </w:pPr>
            <w:r>
              <w:t>Z.09</w:t>
            </w:r>
          </w:p>
        </w:tc>
        <w:tc>
          <w:tcPr>
            <w:tcW w:w="851" w:type="dxa"/>
          </w:tcPr>
          <w:p>
            <w:pPr>
              <w:pStyle w:val="nTable"/>
            </w:pPr>
            <w:r>
              <w:t>250</w:t>
            </w:r>
          </w:p>
        </w:tc>
        <w:tc>
          <w:tcPr>
            <w:tcW w:w="1701" w:type="dxa"/>
          </w:tcPr>
          <w:p>
            <w:pPr>
              <w:pStyle w:val="nTable"/>
            </w:pPr>
            <w:r>
              <w:t>Mercury Vapour 100% E.C. cost</w:t>
            </w:r>
          </w:p>
        </w:tc>
        <w:tc>
          <w:tcPr>
            <w:tcW w:w="1275" w:type="dxa"/>
          </w:tcPr>
          <w:p>
            <w:pPr>
              <w:pStyle w:val="nTable"/>
            </w:pPr>
            <w:r>
              <w:br/>
              <w:t>52.943</w:t>
            </w:r>
          </w:p>
        </w:tc>
        <w:tc>
          <w:tcPr>
            <w:tcW w:w="1276" w:type="dxa"/>
          </w:tcPr>
          <w:p>
            <w:pPr>
              <w:pStyle w:val="nTable"/>
            </w:pPr>
            <w:r>
              <w:br/>
              <w:t>55.011</w:t>
            </w:r>
          </w:p>
        </w:tc>
        <w:tc>
          <w:tcPr>
            <w:tcW w:w="1276" w:type="dxa"/>
            <w:gridSpan w:val="2"/>
          </w:tcPr>
          <w:p>
            <w:pPr>
              <w:pStyle w:val="nTable"/>
            </w:pPr>
            <w:r>
              <w:br/>
              <w:t>62.777</w:t>
            </w:r>
          </w:p>
        </w:tc>
      </w:tr>
      <w:tr>
        <w:tc>
          <w:tcPr>
            <w:tcW w:w="567" w:type="dxa"/>
          </w:tcPr>
          <w:p>
            <w:pPr>
              <w:pStyle w:val="nTable"/>
            </w:pPr>
            <w:r>
              <w:t>Z.11</w:t>
            </w:r>
          </w:p>
        </w:tc>
        <w:tc>
          <w:tcPr>
            <w:tcW w:w="851" w:type="dxa"/>
          </w:tcPr>
          <w:p>
            <w:pPr>
              <w:pStyle w:val="nTable"/>
            </w:pPr>
            <w:r>
              <w:t>400</w:t>
            </w:r>
          </w:p>
        </w:tc>
        <w:tc>
          <w:tcPr>
            <w:tcW w:w="1701" w:type="dxa"/>
          </w:tcPr>
          <w:p>
            <w:pPr>
              <w:pStyle w:val="nTable"/>
            </w:pPr>
            <w:r>
              <w:t>Mercury Vapour 50% E.C. cost</w:t>
            </w:r>
          </w:p>
        </w:tc>
        <w:tc>
          <w:tcPr>
            <w:tcW w:w="1275" w:type="dxa"/>
          </w:tcPr>
          <w:p>
            <w:pPr>
              <w:pStyle w:val="nTable"/>
            </w:pPr>
            <w:r>
              <w:br/>
              <w:t>66.572</w:t>
            </w:r>
          </w:p>
        </w:tc>
        <w:tc>
          <w:tcPr>
            <w:tcW w:w="1276" w:type="dxa"/>
          </w:tcPr>
          <w:p>
            <w:pPr>
              <w:pStyle w:val="nTable"/>
            </w:pPr>
            <w:r>
              <w:br/>
              <w:t>69.751</w:t>
            </w:r>
          </w:p>
        </w:tc>
        <w:tc>
          <w:tcPr>
            <w:tcW w:w="1276" w:type="dxa"/>
            <w:gridSpan w:val="2"/>
          </w:tcPr>
          <w:p>
            <w:pPr>
              <w:pStyle w:val="nTable"/>
            </w:pPr>
            <w:r>
              <w:br/>
              <w:t>81.807</w:t>
            </w:r>
          </w:p>
        </w:tc>
      </w:tr>
      <w:tr>
        <w:tc>
          <w:tcPr>
            <w:tcW w:w="567" w:type="dxa"/>
          </w:tcPr>
          <w:p>
            <w:pPr>
              <w:pStyle w:val="nTable"/>
            </w:pPr>
            <w:r>
              <w:t>Z.12</w:t>
            </w:r>
          </w:p>
        </w:tc>
        <w:tc>
          <w:tcPr>
            <w:tcW w:w="851" w:type="dxa"/>
          </w:tcPr>
          <w:p>
            <w:pPr>
              <w:pStyle w:val="nTable"/>
            </w:pPr>
            <w:r>
              <w:t>400</w:t>
            </w:r>
          </w:p>
        </w:tc>
        <w:tc>
          <w:tcPr>
            <w:tcW w:w="1701" w:type="dxa"/>
          </w:tcPr>
          <w:p>
            <w:pPr>
              <w:pStyle w:val="nTable"/>
            </w:pPr>
            <w:r>
              <w:t>Mercury Vapour 100% E.C. cost</w:t>
            </w:r>
          </w:p>
        </w:tc>
        <w:tc>
          <w:tcPr>
            <w:tcW w:w="1275" w:type="dxa"/>
          </w:tcPr>
          <w:p>
            <w:pPr>
              <w:pStyle w:val="nTable"/>
            </w:pPr>
            <w:r>
              <w:br/>
              <w:t>72.622</w:t>
            </w:r>
          </w:p>
        </w:tc>
        <w:tc>
          <w:tcPr>
            <w:tcW w:w="1276" w:type="dxa"/>
          </w:tcPr>
          <w:p>
            <w:pPr>
              <w:pStyle w:val="nTable"/>
            </w:pPr>
            <w:r>
              <w:br/>
              <w:t>75.790</w:t>
            </w:r>
          </w:p>
        </w:tc>
        <w:tc>
          <w:tcPr>
            <w:tcW w:w="1276" w:type="dxa"/>
            <w:gridSpan w:val="2"/>
          </w:tcPr>
          <w:p>
            <w:pPr>
              <w:pStyle w:val="nTable"/>
            </w:pPr>
            <w:r>
              <w:br/>
              <w:t>87.835</w:t>
            </w:r>
          </w:p>
        </w:tc>
      </w:tr>
      <w:tr>
        <w:tc>
          <w:tcPr>
            <w:tcW w:w="567" w:type="dxa"/>
          </w:tcPr>
          <w:p>
            <w:pPr>
              <w:pStyle w:val="nTable"/>
            </w:pPr>
            <w:r>
              <w:t>Z.14</w:t>
            </w:r>
          </w:p>
        </w:tc>
        <w:tc>
          <w:tcPr>
            <w:tcW w:w="851" w:type="dxa"/>
          </w:tcPr>
          <w:p>
            <w:pPr>
              <w:pStyle w:val="nTable"/>
            </w:pPr>
            <w:r>
              <w:t>150</w:t>
            </w:r>
          </w:p>
        </w:tc>
        <w:tc>
          <w:tcPr>
            <w:tcW w:w="1701" w:type="dxa"/>
          </w:tcPr>
          <w:p>
            <w:pPr>
              <w:pStyle w:val="nTable"/>
            </w:pPr>
            <w:r>
              <w:t>H.P. Sodium</w:t>
            </w:r>
          </w:p>
        </w:tc>
        <w:tc>
          <w:tcPr>
            <w:tcW w:w="1275" w:type="dxa"/>
          </w:tcPr>
          <w:p>
            <w:pPr>
              <w:pStyle w:val="nTable"/>
            </w:pPr>
            <w:r>
              <w:t>48.114</w:t>
            </w:r>
          </w:p>
        </w:tc>
        <w:tc>
          <w:tcPr>
            <w:tcW w:w="1276" w:type="dxa"/>
          </w:tcPr>
          <w:p>
            <w:pPr>
              <w:pStyle w:val="nTable"/>
            </w:pPr>
            <w:r>
              <w:t>49.236</w:t>
            </w:r>
          </w:p>
        </w:tc>
        <w:tc>
          <w:tcPr>
            <w:tcW w:w="1276" w:type="dxa"/>
            <w:gridSpan w:val="2"/>
          </w:tcPr>
          <w:p>
            <w:pPr>
              <w:pStyle w:val="nTable"/>
            </w:pPr>
            <w:r>
              <w:t>55.616</w:t>
            </w:r>
          </w:p>
        </w:tc>
      </w:tr>
      <w:tr>
        <w:tc>
          <w:tcPr>
            <w:tcW w:w="567" w:type="dxa"/>
          </w:tcPr>
          <w:p>
            <w:pPr>
              <w:pStyle w:val="nTable"/>
            </w:pPr>
            <w:r>
              <w:t>Z.16</w:t>
            </w:r>
          </w:p>
        </w:tc>
        <w:tc>
          <w:tcPr>
            <w:tcW w:w="851" w:type="dxa"/>
          </w:tcPr>
          <w:p>
            <w:pPr>
              <w:pStyle w:val="nTable"/>
            </w:pPr>
            <w:r>
              <w:t>250</w:t>
            </w:r>
          </w:p>
        </w:tc>
        <w:tc>
          <w:tcPr>
            <w:tcW w:w="1701" w:type="dxa"/>
          </w:tcPr>
          <w:p>
            <w:pPr>
              <w:pStyle w:val="nTable"/>
            </w:pPr>
            <w:r>
              <w:t>H.P. Sodium 50% E.C. cost</w:t>
            </w:r>
          </w:p>
        </w:tc>
        <w:tc>
          <w:tcPr>
            <w:tcW w:w="1275" w:type="dxa"/>
          </w:tcPr>
          <w:p>
            <w:pPr>
              <w:pStyle w:val="nTable"/>
            </w:pPr>
            <w:r>
              <w:br/>
              <w:t>55.286</w:t>
            </w:r>
          </w:p>
        </w:tc>
        <w:tc>
          <w:tcPr>
            <w:tcW w:w="1276" w:type="dxa"/>
          </w:tcPr>
          <w:p>
            <w:pPr>
              <w:pStyle w:val="nTable"/>
            </w:pPr>
            <w:r>
              <w:br/>
              <w:t>57.772</w:t>
            </w:r>
          </w:p>
        </w:tc>
        <w:tc>
          <w:tcPr>
            <w:tcW w:w="1276" w:type="dxa"/>
            <w:gridSpan w:val="2"/>
          </w:tcPr>
          <w:p>
            <w:pPr>
              <w:pStyle w:val="nTable"/>
            </w:pPr>
            <w:r>
              <w:br/>
              <w:t>67.254</w:t>
            </w:r>
          </w:p>
        </w:tc>
      </w:tr>
      <w:tr>
        <w:tc>
          <w:tcPr>
            <w:tcW w:w="567" w:type="dxa"/>
          </w:tcPr>
          <w:p>
            <w:pPr>
              <w:pStyle w:val="nTable"/>
            </w:pPr>
            <w:r>
              <w:t>Z.17</w:t>
            </w:r>
          </w:p>
        </w:tc>
        <w:tc>
          <w:tcPr>
            <w:tcW w:w="851" w:type="dxa"/>
          </w:tcPr>
          <w:p>
            <w:pPr>
              <w:pStyle w:val="nTable"/>
            </w:pPr>
            <w:r>
              <w:t>250</w:t>
            </w:r>
          </w:p>
        </w:tc>
        <w:tc>
          <w:tcPr>
            <w:tcW w:w="1701" w:type="dxa"/>
          </w:tcPr>
          <w:p>
            <w:pPr>
              <w:pStyle w:val="nTable"/>
            </w:pPr>
            <w:r>
              <w:t>H.P. Sodium 100% E.C. cost</w:t>
            </w:r>
          </w:p>
        </w:tc>
        <w:tc>
          <w:tcPr>
            <w:tcW w:w="1275" w:type="dxa"/>
          </w:tcPr>
          <w:p>
            <w:pPr>
              <w:pStyle w:val="nTable"/>
            </w:pPr>
            <w:r>
              <w:br/>
              <w:t>64.317</w:t>
            </w:r>
          </w:p>
        </w:tc>
        <w:tc>
          <w:tcPr>
            <w:tcW w:w="1276" w:type="dxa"/>
          </w:tcPr>
          <w:p>
            <w:pPr>
              <w:pStyle w:val="nTable"/>
            </w:pPr>
            <w:r>
              <w:br/>
              <w:t>66.836</w:t>
            </w:r>
          </w:p>
        </w:tc>
        <w:tc>
          <w:tcPr>
            <w:tcW w:w="1276" w:type="dxa"/>
            <w:gridSpan w:val="2"/>
          </w:tcPr>
          <w:p>
            <w:pPr>
              <w:pStyle w:val="nTable"/>
            </w:pPr>
            <w:r>
              <w:br/>
              <w:t>76.329</w:t>
            </w:r>
          </w:p>
        </w:tc>
      </w:tr>
      <w:tr>
        <w:tc>
          <w:tcPr>
            <w:tcW w:w="567" w:type="dxa"/>
          </w:tcPr>
          <w:p>
            <w:pPr>
              <w:pStyle w:val="nTable"/>
            </w:pPr>
            <w:r>
              <w:t>Z.51</w:t>
            </w:r>
          </w:p>
        </w:tc>
        <w:tc>
          <w:tcPr>
            <w:tcW w:w="851" w:type="dxa"/>
          </w:tcPr>
          <w:p>
            <w:pPr>
              <w:pStyle w:val="nTable"/>
            </w:pPr>
            <w:r>
              <w:t>60</w:t>
            </w:r>
          </w:p>
        </w:tc>
        <w:tc>
          <w:tcPr>
            <w:tcW w:w="1701" w:type="dxa"/>
          </w:tcPr>
          <w:p>
            <w:pPr>
              <w:pStyle w:val="nTable"/>
            </w:pPr>
            <w:r>
              <w:t>Incandescent</w:t>
            </w:r>
          </w:p>
        </w:tc>
        <w:tc>
          <w:tcPr>
            <w:tcW w:w="1275" w:type="dxa"/>
          </w:tcPr>
          <w:p>
            <w:pPr>
              <w:pStyle w:val="nTable"/>
            </w:pPr>
            <w:r>
              <w:t>22.605</w:t>
            </w:r>
          </w:p>
        </w:tc>
        <w:tc>
          <w:tcPr>
            <w:tcW w:w="1276" w:type="dxa"/>
          </w:tcPr>
          <w:p>
            <w:pPr>
              <w:pStyle w:val="nTable"/>
            </w:pPr>
            <w:r>
              <w:t>23.089</w:t>
            </w:r>
          </w:p>
        </w:tc>
        <w:tc>
          <w:tcPr>
            <w:tcW w:w="1276" w:type="dxa"/>
            <w:gridSpan w:val="2"/>
          </w:tcPr>
          <w:p>
            <w:pPr>
              <w:pStyle w:val="nTable"/>
            </w:pPr>
            <w:r>
              <w:t>24.838</w:t>
            </w:r>
          </w:p>
        </w:tc>
      </w:tr>
      <w:tr>
        <w:tc>
          <w:tcPr>
            <w:tcW w:w="567" w:type="dxa"/>
          </w:tcPr>
          <w:p>
            <w:pPr>
              <w:pStyle w:val="nTable"/>
            </w:pPr>
            <w:r>
              <w:t>Z.52</w:t>
            </w:r>
          </w:p>
        </w:tc>
        <w:tc>
          <w:tcPr>
            <w:tcW w:w="851" w:type="dxa"/>
          </w:tcPr>
          <w:p>
            <w:pPr>
              <w:pStyle w:val="nTable"/>
            </w:pPr>
            <w:r>
              <w:t>100</w:t>
            </w:r>
          </w:p>
        </w:tc>
        <w:tc>
          <w:tcPr>
            <w:tcW w:w="1701" w:type="dxa"/>
          </w:tcPr>
          <w:p>
            <w:pPr>
              <w:pStyle w:val="nTable"/>
            </w:pPr>
            <w:r>
              <w:t>Incandescent</w:t>
            </w:r>
          </w:p>
        </w:tc>
        <w:tc>
          <w:tcPr>
            <w:tcW w:w="1275" w:type="dxa"/>
          </w:tcPr>
          <w:p>
            <w:pPr>
              <w:pStyle w:val="nTable"/>
            </w:pPr>
            <w:r>
              <w:t>22.605</w:t>
            </w:r>
          </w:p>
        </w:tc>
        <w:tc>
          <w:tcPr>
            <w:tcW w:w="1276" w:type="dxa"/>
          </w:tcPr>
          <w:p>
            <w:pPr>
              <w:pStyle w:val="nTable"/>
            </w:pPr>
            <w:r>
              <w:t>23.089</w:t>
            </w:r>
          </w:p>
        </w:tc>
        <w:tc>
          <w:tcPr>
            <w:tcW w:w="1276" w:type="dxa"/>
            <w:gridSpan w:val="2"/>
          </w:tcPr>
          <w:p>
            <w:pPr>
              <w:pStyle w:val="nTable"/>
            </w:pPr>
            <w:r>
              <w:t>24.838</w:t>
            </w:r>
          </w:p>
        </w:tc>
      </w:tr>
      <w:tr>
        <w:tc>
          <w:tcPr>
            <w:tcW w:w="567" w:type="dxa"/>
          </w:tcPr>
          <w:p>
            <w:pPr>
              <w:pStyle w:val="nTable"/>
            </w:pPr>
            <w:r>
              <w:t>Z.53</w:t>
            </w:r>
          </w:p>
        </w:tc>
        <w:tc>
          <w:tcPr>
            <w:tcW w:w="851" w:type="dxa"/>
          </w:tcPr>
          <w:p>
            <w:pPr>
              <w:pStyle w:val="nTable"/>
            </w:pPr>
            <w:r>
              <w:t>200</w:t>
            </w:r>
          </w:p>
        </w:tc>
        <w:tc>
          <w:tcPr>
            <w:tcW w:w="1701" w:type="dxa"/>
          </w:tcPr>
          <w:p>
            <w:pPr>
              <w:pStyle w:val="nTable"/>
            </w:pPr>
            <w:r>
              <w:t>Incandescent</w:t>
            </w:r>
          </w:p>
        </w:tc>
        <w:tc>
          <w:tcPr>
            <w:tcW w:w="1275" w:type="dxa"/>
          </w:tcPr>
          <w:p>
            <w:pPr>
              <w:pStyle w:val="nTable"/>
            </w:pPr>
            <w:r>
              <w:t>26.620</w:t>
            </w:r>
          </w:p>
        </w:tc>
        <w:tc>
          <w:tcPr>
            <w:tcW w:w="1276" w:type="dxa"/>
          </w:tcPr>
          <w:p>
            <w:pPr>
              <w:pStyle w:val="nTable"/>
            </w:pPr>
            <w:r>
              <w:t>27.214</w:t>
            </w:r>
          </w:p>
        </w:tc>
        <w:tc>
          <w:tcPr>
            <w:tcW w:w="1276" w:type="dxa"/>
            <w:gridSpan w:val="2"/>
          </w:tcPr>
          <w:p>
            <w:pPr>
              <w:pStyle w:val="nTable"/>
            </w:pPr>
            <w:r>
              <w:t>29.942</w:t>
            </w:r>
          </w:p>
        </w:tc>
      </w:tr>
      <w:tr>
        <w:tc>
          <w:tcPr>
            <w:tcW w:w="567" w:type="dxa"/>
          </w:tcPr>
          <w:p>
            <w:pPr>
              <w:pStyle w:val="nTable"/>
            </w:pPr>
            <w:r>
              <w:t>Z.54</w:t>
            </w:r>
          </w:p>
        </w:tc>
        <w:tc>
          <w:tcPr>
            <w:tcW w:w="851" w:type="dxa"/>
          </w:tcPr>
          <w:p>
            <w:pPr>
              <w:pStyle w:val="nTable"/>
            </w:pPr>
            <w:r>
              <w:t>300</w:t>
            </w:r>
          </w:p>
        </w:tc>
        <w:tc>
          <w:tcPr>
            <w:tcW w:w="1701" w:type="dxa"/>
          </w:tcPr>
          <w:p>
            <w:pPr>
              <w:pStyle w:val="nTable"/>
            </w:pPr>
            <w:r>
              <w:t>Incandescent</w:t>
            </w:r>
          </w:p>
        </w:tc>
        <w:tc>
          <w:tcPr>
            <w:tcW w:w="1275" w:type="dxa"/>
          </w:tcPr>
          <w:p>
            <w:pPr>
              <w:pStyle w:val="nTable"/>
            </w:pPr>
            <w:r>
              <w:t>32.923</w:t>
            </w:r>
          </w:p>
        </w:tc>
        <w:tc>
          <w:tcPr>
            <w:tcW w:w="1276" w:type="dxa"/>
          </w:tcPr>
          <w:p>
            <w:pPr>
              <w:pStyle w:val="nTable"/>
            </w:pPr>
            <w:r>
              <w:t>33.990</w:t>
            </w:r>
          </w:p>
        </w:tc>
        <w:tc>
          <w:tcPr>
            <w:tcW w:w="1276" w:type="dxa"/>
            <w:gridSpan w:val="2"/>
          </w:tcPr>
          <w:p>
            <w:pPr>
              <w:pStyle w:val="nTable"/>
            </w:pPr>
            <w:r>
              <w:t>37.840</w:t>
            </w:r>
          </w:p>
        </w:tc>
      </w:tr>
      <w:tr>
        <w:tc>
          <w:tcPr>
            <w:tcW w:w="567" w:type="dxa"/>
          </w:tcPr>
          <w:p>
            <w:pPr>
              <w:pStyle w:val="nTable"/>
            </w:pPr>
            <w:r>
              <w:t>Z.55</w:t>
            </w:r>
          </w:p>
        </w:tc>
        <w:tc>
          <w:tcPr>
            <w:tcW w:w="851" w:type="dxa"/>
          </w:tcPr>
          <w:p>
            <w:pPr>
              <w:pStyle w:val="nTable"/>
            </w:pPr>
            <w:r>
              <w:t>500</w:t>
            </w:r>
          </w:p>
        </w:tc>
        <w:tc>
          <w:tcPr>
            <w:tcW w:w="1701" w:type="dxa"/>
          </w:tcPr>
          <w:p>
            <w:pPr>
              <w:pStyle w:val="nTable"/>
            </w:pPr>
            <w:r>
              <w:t>Incandescent</w:t>
            </w:r>
          </w:p>
        </w:tc>
        <w:tc>
          <w:tcPr>
            <w:tcW w:w="1275" w:type="dxa"/>
          </w:tcPr>
          <w:p>
            <w:pPr>
              <w:pStyle w:val="nTable"/>
            </w:pPr>
            <w:r>
              <w:t>52.943</w:t>
            </w:r>
          </w:p>
        </w:tc>
        <w:tc>
          <w:tcPr>
            <w:tcW w:w="1276" w:type="dxa"/>
          </w:tcPr>
          <w:p>
            <w:pPr>
              <w:pStyle w:val="nTable"/>
            </w:pPr>
            <w:r>
              <w:t>55.011</w:t>
            </w:r>
          </w:p>
        </w:tc>
        <w:tc>
          <w:tcPr>
            <w:tcW w:w="1276" w:type="dxa"/>
            <w:gridSpan w:val="2"/>
          </w:tcPr>
          <w:p>
            <w:pPr>
              <w:pStyle w:val="nTable"/>
            </w:pPr>
            <w:r>
              <w:t>62.777</w:t>
            </w:r>
          </w:p>
        </w:tc>
      </w:tr>
      <w:tr>
        <w:tc>
          <w:tcPr>
            <w:tcW w:w="567" w:type="dxa"/>
          </w:tcPr>
          <w:p>
            <w:pPr>
              <w:pStyle w:val="nTable"/>
            </w:pPr>
            <w:r>
              <w:t>Z.56</w:t>
            </w:r>
          </w:p>
        </w:tc>
        <w:tc>
          <w:tcPr>
            <w:tcW w:w="851" w:type="dxa"/>
          </w:tcPr>
          <w:p>
            <w:pPr>
              <w:pStyle w:val="nTable"/>
            </w:pPr>
            <w:r>
              <w:t>40</w:t>
            </w:r>
          </w:p>
        </w:tc>
        <w:tc>
          <w:tcPr>
            <w:tcW w:w="1701" w:type="dxa"/>
          </w:tcPr>
          <w:p>
            <w:pPr>
              <w:pStyle w:val="nTable"/>
            </w:pPr>
            <w:r>
              <w:t>Fluorescent</w:t>
            </w:r>
          </w:p>
        </w:tc>
        <w:tc>
          <w:tcPr>
            <w:tcW w:w="1275" w:type="dxa"/>
          </w:tcPr>
          <w:p>
            <w:pPr>
              <w:pStyle w:val="nTable"/>
            </w:pPr>
            <w:r>
              <w:t>22.605</w:t>
            </w:r>
          </w:p>
        </w:tc>
        <w:tc>
          <w:tcPr>
            <w:tcW w:w="1276" w:type="dxa"/>
          </w:tcPr>
          <w:p>
            <w:pPr>
              <w:pStyle w:val="nTable"/>
            </w:pPr>
            <w:r>
              <w:t>23.089</w:t>
            </w:r>
          </w:p>
        </w:tc>
        <w:tc>
          <w:tcPr>
            <w:tcW w:w="1276" w:type="dxa"/>
            <w:gridSpan w:val="2"/>
          </w:tcPr>
          <w:p>
            <w:pPr>
              <w:pStyle w:val="nTable"/>
            </w:pPr>
            <w:r>
              <w:t>24.838</w:t>
            </w:r>
          </w:p>
        </w:tc>
      </w:tr>
      <w:tr>
        <w:tc>
          <w:tcPr>
            <w:tcW w:w="567" w:type="dxa"/>
          </w:tcPr>
          <w:p>
            <w:pPr>
              <w:pStyle w:val="nTable"/>
            </w:pPr>
            <w:r>
              <w:t>Z.57</w:t>
            </w:r>
          </w:p>
        </w:tc>
        <w:tc>
          <w:tcPr>
            <w:tcW w:w="851" w:type="dxa"/>
          </w:tcPr>
          <w:p>
            <w:pPr>
              <w:pStyle w:val="nTable"/>
            </w:pPr>
            <w:r>
              <w:t>80</w:t>
            </w:r>
          </w:p>
        </w:tc>
        <w:tc>
          <w:tcPr>
            <w:tcW w:w="1701" w:type="dxa"/>
          </w:tcPr>
          <w:p>
            <w:pPr>
              <w:pStyle w:val="nTable"/>
            </w:pPr>
            <w:r>
              <w:t>Fluorescent</w:t>
            </w:r>
          </w:p>
        </w:tc>
        <w:tc>
          <w:tcPr>
            <w:tcW w:w="1275" w:type="dxa"/>
          </w:tcPr>
          <w:p>
            <w:pPr>
              <w:pStyle w:val="nTable"/>
            </w:pPr>
            <w:r>
              <w:t>26.620</w:t>
            </w:r>
          </w:p>
        </w:tc>
        <w:tc>
          <w:tcPr>
            <w:tcW w:w="1276" w:type="dxa"/>
          </w:tcPr>
          <w:p>
            <w:pPr>
              <w:pStyle w:val="nTable"/>
            </w:pPr>
            <w:r>
              <w:t>27.214</w:t>
            </w:r>
          </w:p>
        </w:tc>
        <w:tc>
          <w:tcPr>
            <w:tcW w:w="1276" w:type="dxa"/>
            <w:gridSpan w:val="2"/>
          </w:tcPr>
          <w:p>
            <w:pPr>
              <w:pStyle w:val="nTable"/>
            </w:pPr>
            <w:r>
              <w:t>29.942</w:t>
            </w:r>
          </w:p>
        </w:tc>
      </w:tr>
      <w:tr>
        <w:tc>
          <w:tcPr>
            <w:tcW w:w="567" w:type="dxa"/>
            <w:tcBorders>
              <w:bottom w:val="single" w:sz="4" w:space="0" w:color="auto"/>
            </w:tcBorders>
          </w:tcPr>
          <w:p>
            <w:pPr>
              <w:pStyle w:val="nTable"/>
            </w:pPr>
            <w:r>
              <w:t>Z.58</w:t>
            </w:r>
          </w:p>
        </w:tc>
        <w:tc>
          <w:tcPr>
            <w:tcW w:w="851" w:type="dxa"/>
            <w:tcBorders>
              <w:bottom w:val="single" w:sz="4" w:space="0" w:color="auto"/>
            </w:tcBorders>
          </w:tcPr>
          <w:p>
            <w:pPr>
              <w:pStyle w:val="nTable"/>
            </w:pPr>
            <w:r>
              <w:t>160</w:t>
            </w:r>
          </w:p>
        </w:tc>
        <w:tc>
          <w:tcPr>
            <w:tcW w:w="1701" w:type="dxa"/>
            <w:tcBorders>
              <w:bottom w:val="single" w:sz="4" w:space="0" w:color="auto"/>
            </w:tcBorders>
          </w:tcPr>
          <w:p>
            <w:pPr>
              <w:pStyle w:val="nTable"/>
            </w:pPr>
            <w:r>
              <w:t>Fluorescent</w:t>
            </w:r>
          </w:p>
        </w:tc>
        <w:tc>
          <w:tcPr>
            <w:tcW w:w="1275" w:type="dxa"/>
            <w:tcBorders>
              <w:bottom w:val="single" w:sz="4" w:space="0" w:color="auto"/>
            </w:tcBorders>
          </w:tcPr>
          <w:p>
            <w:pPr>
              <w:pStyle w:val="nTable"/>
            </w:pPr>
            <w:r>
              <w:t>37.235</w:t>
            </w:r>
          </w:p>
        </w:tc>
        <w:tc>
          <w:tcPr>
            <w:tcW w:w="1276" w:type="dxa"/>
            <w:tcBorders>
              <w:bottom w:val="single" w:sz="4" w:space="0" w:color="auto"/>
            </w:tcBorders>
          </w:tcPr>
          <w:p>
            <w:pPr>
              <w:pStyle w:val="nTable"/>
            </w:pPr>
            <w:r>
              <w:t>37.752</w:t>
            </w:r>
          </w:p>
        </w:tc>
        <w:tc>
          <w:tcPr>
            <w:tcW w:w="1276" w:type="dxa"/>
            <w:gridSpan w:val="2"/>
            <w:tcBorders>
              <w:bottom w:val="single" w:sz="4" w:space="0" w:color="auto"/>
            </w:tcBorders>
          </w:tcPr>
          <w:p>
            <w:pPr>
              <w:pStyle w:val="nTable"/>
            </w:pPr>
            <w:r>
              <w:t>43.802</w:t>
            </w:r>
          </w:p>
        </w:tc>
      </w:tr>
    </w:tbl>
    <w:p>
      <w:pPr>
        <w:pStyle w:val="BlankClose"/>
      </w:pPr>
    </w:p>
    <w:p>
      <w:pPr>
        <w:pStyle w:val="nHeading5"/>
      </w:pPr>
      <w:r>
        <w:rPr>
          <w:rStyle w:val="CharSectno"/>
        </w:rPr>
        <w:t>12</w:t>
      </w:r>
      <w:r>
        <w:t>.</w:t>
      </w:r>
      <w:r>
        <w:tab/>
        <w:t>Schedule 4 amended</w:t>
      </w:r>
    </w:p>
    <w:p>
      <w:pPr>
        <w:pStyle w:val="nSubsection"/>
        <w:tabs>
          <w:tab w:val="left" w:pos="882"/>
        </w:tabs>
      </w:pPr>
      <w:r>
        <w:tab/>
      </w:r>
      <w:r>
        <w:tab/>
        <w:t>Amend the provisions listed in the Table as set out in the Table.</w:t>
      </w:r>
    </w:p>
    <w:p>
      <w:pPr>
        <w:pStyle w:val="nzMiscellaneousHeading"/>
        <w:rPr>
          <w:b/>
          <w:bCs/>
        </w:rPr>
      </w:pPr>
      <w:r>
        <w:rPr>
          <w:b/>
          <w:bCs/>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trPr>
        <w:tc>
          <w:tcPr>
            <w:tcW w:w="2268" w:type="dxa"/>
          </w:tcPr>
          <w:p>
            <w:pPr>
              <w:pStyle w:val="nTable"/>
              <w:rPr>
                <w:b/>
                <w:bCs/>
              </w:rPr>
            </w:pPr>
            <w:r>
              <w:rPr>
                <w:b/>
                <w:bCs/>
              </w:rPr>
              <w:t>Provision</w:t>
            </w:r>
          </w:p>
        </w:tc>
        <w:tc>
          <w:tcPr>
            <w:tcW w:w="2268" w:type="dxa"/>
          </w:tcPr>
          <w:p>
            <w:pPr>
              <w:pStyle w:val="nTable"/>
              <w:rPr>
                <w:b/>
                <w:bCs/>
              </w:rPr>
            </w:pPr>
            <w:r>
              <w:rPr>
                <w:b/>
                <w:bCs/>
              </w:rPr>
              <w:t>Delete</w:t>
            </w:r>
          </w:p>
        </w:tc>
        <w:tc>
          <w:tcPr>
            <w:tcW w:w="2268" w:type="dxa"/>
          </w:tcPr>
          <w:p>
            <w:pPr>
              <w:pStyle w:val="nTable"/>
              <w:rPr>
                <w:b/>
                <w:bCs/>
              </w:rPr>
            </w:pPr>
            <w:r>
              <w:rPr>
                <w:b/>
                <w:bCs/>
              </w:rPr>
              <w:t>Insert</w:t>
            </w:r>
          </w:p>
        </w:tc>
      </w:tr>
      <w:tr>
        <w:trPr>
          <w:cantSplit/>
          <w:jc w:val="center"/>
        </w:trPr>
        <w:tc>
          <w:tcPr>
            <w:tcW w:w="2268" w:type="dxa"/>
          </w:tcPr>
          <w:p>
            <w:pPr>
              <w:pStyle w:val="nTable"/>
            </w:pPr>
            <w:r>
              <w:t>Sch. 4 it. 1</w:t>
            </w:r>
          </w:p>
        </w:tc>
        <w:tc>
          <w:tcPr>
            <w:tcW w:w="2268" w:type="dxa"/>
          </w:tcPr>
          <w:p>
            <w:pPr>
              <w:pStyle w:val="nTable"/>
            </w:pPr>
            <w:r>
              <w:t>$29.80</w:t>
            </w:r>
          </w:p>
        </w:tc>
        <w:tc>
          <w:tcPr>
            <w:tcW w:w="2268" w:type="dxa"/>
          </w:tcPr>
          <w:p>
            <w:pPr>
              <w:pStyle w:val="nTable"/>
            </w:pPr>
            <w:r>
              <w:t>$32.10</w:t>
            </w:r>
          </w:p>
        </w:tc>
      </w:tr>
      <w:tr>
        <w:trPr>
          <w:cantSplit/>
          <w:jc w:val="center"/>
        </w:trPr>
        <w:tc>
          <w:tcPr>
            <w:tcW w:w="2268" w:type="dxa"/>
          </w:tcPr>
          <w:p>
            <w:pPr>
              <w:pStyle w:val="nTable"/>
            </w:pPr>
            <w:r>
              <w:t>Sch. 4 it. 3</w:t>
            </w:r>
          </w:p>
        </w:tc>
        <w:tc>
          <w:tcPr>
            <w:tcW w:w="2268" w:type="dxa"/>
          </w:tcPr>
          <w:p>
            <w:pPr>
              <w:pStyle w:val="nTable"/>
            </w:pPr>
            <w:r>
              <w:t>$27.50</w:t>
            </w:r>
          </w:p>
        </w:tc>
        <w:tc>
          <w:tcPr>
            <w:tcW w:w="2268" w:type="dxa"/>
          </w:tcPr>
          <w:p>
            <w:pPr>
              <w:pStyle w:val="nTable"/>
            </w:pPr>
            <w:r>
              <w:t>$29.60</w:t>
            </w:r>
          </w:p>
        </w:tc>
      </w:tr>
      <w:tr>
        <w:trPr>
          <w:cantSplit/>
          <w:jc w:val="center"/>
        </w:trPr>
        <w:tc>
          <w:tcPr>
            <w:tcW w:w="2268" w:type="dxa"/>
          </w:tcPr>
          <w:p>
            <w:pPr>
              <w:pStyle w:val="nTable"/>
            </w:pPr>
            <w:r>
              <w:t>Sch. 4 it. 4</w:t>
            </w:r>
          </w:p>
        </w:tc>
        <w:tc>
          <w:tcPr>
            <w:tcW w:w="2268" w:type="dxa"/>
          </w:tcPr>
          <w:p>
            <w:pPr>
              <w:pStyle w:val="nTable"/>
            </w:pPr>
            <w:r>
              <w:t>35.227 cents</w:t>
            </w:r>
          </w:p>
        </w:tc>
        <w:tc>
          <w:tcPr>
            <w:tcW w:w="2268" w:type="dxa"/>
          </w:tcPr>
          <w:p>
            <w:pPr>
              <w:pStyle w:val="nTable"/>
            </w:pPr>
            <w:r>
              <w:t>40.568 cents</w:t>
            </w:r>
          </w:p>
        </w:tc>
      </w:tr>
      <w:tr>
        <w:trPr>
          <w:cantSplit/>
          <w:jc w:val="center"/>
        </w:trPr>
        <w:tc>
          <w:tcPr>
            <w:tcW w:w="2268" w:type="dxa"/>
          </w:tcPr>
          <w:p>
            <w:pPr>
              <w:pStyle w:val="nTable"/>
            </w:pPr>
            <w:r>
              <w:t>Sch. 4 it. 9</w:t>
            </w:r>
          </w:p>
        </w:tc>
        <w:tc>
          <w:tcPr>
            <w:tcW w:w="2268" w:type="dxa"/>
          </w:tcPr>
          <w:p>
            <w:pPr>
              <w:pStyle w:val="nTable"/>
            </w:pPr>
            <w:r>
              <w:t>45.089 cents</w:t>
            </w:r>
          </w:p>
        </w:tc>
        <w:tc>
          <w:tcPr>
            <w:tcW w:w="2268" w:type="dxa"/>
          </w:tcPr>
          <w:p>
            <w:pPr>
              <w:pStyle w:val="nTable"/>
            </w:pPr>
            <w:r>
              <w:t>51.843 cents</w:t>
            </w:r>
          </w:p>
        </w:tc>
      </w:tr>
      <w:tr>
        <w:trPr>
          <w:cantSplit/>
          <w:jc w:val="center"/>
        </w:trPr>
        <w:tc>
          <w:tcPr>
            <w:tcW w:w="2268" w:type="dxa"/>
          </w:tcPr>
          <w:p>
            <w:pPr>
              <w:pStyle w:val="nTable"/>
            </w:pPr>
            <w:r>
              <w:t>Sch. 4 it. 10</w:t>
            </w:r>
          </w:p>
        </w:tc>
        <w:tc>
          <w:tcPr>
            <w:tcW w:w="2268" w:type="dxa"/>
          </w:tcPr>
          <w:p>
            <w:pPr>
              <w:pStyle w:val="nTable"/>
            </w:pPr>
            <w:r>
              <w:t>$4.10</w:t>
            </w:r>
          </w:p>
        </w:tc>
        <w:tc>
          <w:tcPr>
            <w:tcW w:w="2268" w:type="dxa"/>
          </w:tcPr>
          <w:p>
            <w:pPr>
              <w:pStyle w:val="nTable"/>
            </w:pPr>
            <w:r>
              <w:t>$4.40</w:t>
            </w:r>
          </w:p>
        </w:tc>
      </w:tr>
    </w:tbl>
    <w:p>
      <w:pPr>
        <w:pStyle w:val="BlankClose"/>
      </w:pPr>
    </w:p>
    <w:p/>
    <w:p>
      <w:pPr>
        <w:sectPr>
          <w:headerReference w:type="even" r:id="rId31"/>
          <w:headerReference w:type="default" r:id="rId32"/>
          <w:headerReference w:type="first" r:id="rId33"/>
          <w:endnotePr>
            <w:numFmt w:val="decimal"/>
          </w:endnotePr>
          <w:pgSz w:w="11906" w:h="16838" w:code="9"/>
          <w:pgMar w:top="2376" w:right="2404" w:bottom="3544" w:left="2404" w:header="720" w:footer="3380" w:gutter="0"/>
          <w:cols w:space="720"/>
          <w:noEndnote/>
          <w:docGrid w:linePitch="326"/>
        </w:sectPr>
      </w:pPr>
    </w:p>
    <w:p/>
    <w:sectPr>
      <w:headerReference w:type="even" r:id="rId34"/>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Energy Operators (Electricity Retail Corporation) (Charges) By-laws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Energy Operators (Electricity Retail Corporation) (Charges) By-laws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Operators (Electricity Retail Corporation) (Charges) By-laws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Energy Operators (Electricity Retail Corporation) (Charges) By-laws 2006</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pPr>
          <w:r>
            <w:rPr>
              <w:b/>
            </w:rPr>
            <w:t xml:space="preserve">bl.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1</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fldSimple w:instr=" STYLEREF &quot;Name of Act/Reg&quot; \* CHARFORMAT ">
            <w:r>
              <w:rPr>
                <w:noProof/>
              </w:rPr>
              <w:t>Energy Operators (Electricity Retail Corporation) (Charges) By-laws 2006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NumberRight"/>
            <w:rPr>
              <w:b w:val="0"/>
            </w:rPr>
          </w:pPr>
          <w:r>
            <w:t xml:space="preserve">bl. </w:t>
          </w:r>
          <w:r>
            <w:rPr>
              <w:bCs/>
            </w:rPr>
            <w:fldChar w:fldCharType="begin"/>
          </w:r>
          <w:r>
            <w:rPr>
              <w:bCs/>
            </w:rPr>
            <w:instrText xml:space="preserve"> IF </w:instrText>
          </w:r>
          <w:r>
            <w:rPr>
              <w:bCs/>
            </w:rPr>
            <w:fldChar w:fldCharType="begin"/>
          </w:r>
          <w:r>
            <w:rPr>
              <w:bCs/>
            </w:rPr>
            <w:instrText xml:space="preserve"> STYLEREF CharSectNo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CharSectNo </w:instrText>
          </w:r>
          <w:r>
            <w:rPr>
              <w:bCs/>
            </w:rPr>
            <w:fldChar w:fldCharType="separate"/>
          </w:r>
          <w:r>
            <w:rPr>
              <w:bCs/>
              <w:noProof/>
            </w:rPr>
            <w:instrText>1</w:instrText>
          </w:r>
          <w:r>
            <w:rPr>
              <w:bCs/>
            </w:rPr>
            <w:fldChar w:fldCharType="end"/>
          </w:r>
          <w:r>
            <w:rPr>
              <w:bCs/>
            </w:rPr>
            <w:instrText>" "</w:instrText>
          </w:r>
          <w:r>
            <w:rPr>
              <w:bCs/>
            </w:rPr>
            <w:fldChar w:fldCharType="begin"/>
          </w:r>
          <w:r>
            <w:rPr>
              <w:bCs/>
            </w:rPr>
            <w:instrText xml:space="preserve"> STYLEREF CharSectNo \n </w:instrText>
          </w:r>
          <w:r>
            <w:rPr>
              <w:bCs/>
            </w:rPr>
            <w:fldChar w:fldCharType="separate"/>
          </w:r>
          <w:r>
            <w:rPr>
              <w:bCs/>
              <w:noProof/>
            </w:rPr>
            <w:instrText>1</w:instrText>
          </w:r>
          <w:r>
            <w:rPr>
              <w:bCs/>
            </w:rPr>
            <w:fldChar w:fldCharType="end"/>
          </w:r>
          <w:r>
            <w:rPr>
              <w:bCs/>
            </w:rPr>
            <w:instrText>"</w:instrText>
          </w:r>
          <w:r>
            <w:rPr>
              <w:bCs/>
            </w:rPr>
            <w:fldChar w:fldCharType="separate"/>
          </w:r>
          <w:r>
            <w:rPr>
              <w:bCs/>
              <w:noProof/>
            </w:rPr>
            <w:t>1</w:t>
          </w:r>
          <w:r>
            <w:rPr>
              <w:bCs/>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Energy Operators (Electricity Retail Corporation) (Charges) By-laws 2006</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Energy Operators (Electricity Retail Corporation) (Charges) By-laws 2006</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9</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Energy Operators (Electricity Retail Corporation) (Charges) By-laws 2006</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Supply charges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Operators (Electricity Retail Corporation) (Charges) By-laws 2006</w:t>
            </w:r>
          </w:fldSimple>
        </w:p>
      </w:tc>
    </w:tr>
    <w:tr>
      <w:tc>
        <w:tcPr>
          <w:tcW w:w="5715" w:type="dxa"/>
          <w:vAlign w:val="bottom"/>
        </w:tcPr>
        <w:p>
          <w:pPr>
            <w:pStyle w:val="HeaderTextRight"/>
          </w:pPr>
          <w:fldSimple w:instr=" styleref CharSchText ">
            <w:r>
              <w:rPr>
                <w:noProof/>
              </w:rPr>
              <w:t>Supply charges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Energy Operators (Electricity Retail Corporation) (Charges) By-laws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Operators (Electricity Retail Corporation) (Charges) By-laws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B061FE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C946DF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DF4648A"/>
    <w:lvl w:ilvl="0">
      <w:start w:val="1"/>
      <w:numFmt w:val="decimal"/>
      <w:pStyle w:val="ListNumber3"/>
      <w:lvlText w:val="%1."/>
      <w:lvlJc w:val="left"/>
      <w:pPr>
        <w:tabs>
          <w:tab w:val="num" w:pos="926"/>
        </w:tabs>
        <w:ind w:left="926" w:hanging="360"/>
      </w:pPr>
    </w:lvl>
  </w:abstractNum>
  <w:abstractNum w:abstractNumId="3">
    <w:nsid w:val="FFFFFF7F"/>
    <w:multiLevelType w:val="singleLevel"/>
    <w:tmpl w:val="6B5C0F88"/>
    <w:lvl w:ilvl="0">
      <w:start w:val="1"/>
      <w:numFmt w:val="decimal"/>
      <w:pStyle w:val="ListNumber2"/>
      <w:lvlText w:val="%1."/>
      <w:lvlJc w:val="left"/>
      <w:pPr>
        <w:tabs>
          <w:tab w:val="num" w:pos="643"/>
        </w:tabs>
        <w:ind w:left="643" w:hanging="360"/>
      </w:pPr>
    </w:lvl>
  </w:abstractNum>
  <w:abstractNum w:abstractNumId="4">
    <w:nsid w:val="FFFFFF80"/>
    <w:multiLevelType w:val="singleLevel"/>
    <w:tmpl w:val="9532097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D4A566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082CE2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993AC42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29A6670"/>
    <w:lvl w:ilvl="0">
      <w:start w:val="1"/>
      <w:numFmt w:val="decimal"/>
      <w:pStyle w:val="ListNumber"/>
      <w:lvlText w:val="%1."/>
      <w:lvlJc w:val="left"/>
      <w:pPr>
        <w:tabs>
          <w:tab w:val="num" w:pos="360"/>
        </w:tabs>
        <w:ind w:left="360" w:hanging="360"/>
      </w:pPr>
    </w:lvl>
  </w:abstractNum>
  <w:abstractNum w:abstractNumId="9">
    <w:nsid w:val="FFFFFF89"/>
    <w:multiLevelType w:val="singleLevel"/>
    <w:tmpl w:val="9306ED4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3BE4E6C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wmf"/><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33</Pages>
  <Words>7252</Words>
  <Characters>34885</Characters>
  <Application>Microsoft Office Word</Application>
  <DocSecurity>0</DocSecurity>
  <Lines>1395</Lines>
  <Paragraphs>1053</Paragraphs>
  <ScaleCrop>false</ScaleCrop>
  <HeadingPairs>
    <vt:vector size="4" baseType="variant">
      <vt:variant>
        <vt:lpstr>Title</vt:lpstr>
      </vt:variant>
      <vt:variant>
        <vt:i4>1</vt:i4>
      </vt:variant>
      <vt:variant>
        <vt:lpstr>Headings</vt:lpstr>
      </vt:variant>
      <vt:variant>
        <vt:i4>6</vt:i4>
      </vt:variant>
    </vt:vector>
  </HeadingPairs>
  <TitlesOfParts>
    <vt:vector size="7" baseType="lpstr">
      <vt:lpstr>Drafting Template (Regs)</vt:lpstr>
      <vt:lpstr>    Schedule 1 — Supply charges</vt:lpstr>
      <vt:lpstr>    Schedule 2 — Street lighting</vt:lpstr>
      <vt:lpstr>    Schedule 3 — Meter rental</vt:lpstr>
      <vt:lpstr>    Schedule 4 — Fees</vt:lpstr>
      <vt:lpstr>    Notes</vt:lpstr>
      <vt:lpstr>    Part 3 — Amendments commencing on 1 July 2009</vt:lpstr>
    </vt:vector>
  </TitlesOfParts>
  <Manager/>
  <Company/>
  <LinksUpToDate>false</LinksUpToDate>
  <CharactersWithSpaces>41084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Operators (Electricity Retail Corporation) (Charges) By-laws 2006 - 00-d0-01</dc:title>
  <dc:subject/>
  <dc:creator/>
  <cp:keywords/>
  <dc:description/>
  <cp:lastModifiedBy>svcMRProcess</cp:lastModifiedBy>
  <cp:revision>4</cp:revision>
  <cp:lastPrinted>2006-02-17T09:31:00Z</cp:lastPrinted>
  <dcterms:created xsi:type="dcterms:W3CDTF">2020-02-24T14:12:00Z</dcterms:created>
  <dcterms:modified xsi:type="dcterms:W3CDTF">2020-02-24T14:12:00Z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Mar 2006 p 1225-46</vt:lpwstr>
  </property>
  <property fmtid="{D5CDD505-2E9C-101B-9397-08002B2CF9AE}" pid="3" name="CommencementDate">
    <vt:lpwstr>20090401</vt:lpwstr>
  </property>
  <property fmtid="{D5CDD505-2E9C-101B-9397-08002B2CF9AE}" pid="4" name="DocumentType">
    <vt:lpwstr>Reg</vt:lpwstr>
  </property>
  <property fmtid="{D5CDD505-2E9C-101B-9397-08002B2CF9AE}" pid="5" name="OwlsUID">
    <vt:i4>38407</vt:i4>
  </property>
  <property fmtid="{D5CDD505-2E9C-101B-9397-08002B2CF9AE}" pid="6" name="AsAtDate">
    <vt:lpwstr>01 Apr 2009</vt:lpwstr>
  </property>
  <property fmtid="{D5CDD505-2E9C-101B-9397-08002B2CF9AE}" pid="7" name="Suffix">
    <vt:lpwstr>00-d0-01</vt:lpwstr>
  </property>
</Properties>
</file>