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_Toc226274330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_Toc226274331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_Toc226274332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_Toc226274333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_Toc226274334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_Toc226274335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_Toc226274336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_Toc226274337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_Toc226274338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_Toc226274339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_Toc226274340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_Toc226274341 \h </w:instrText>
      </w:r>
      <w:r>
        <w:fldChar w:fldCharType="separate"/>
      </w:r>
      <w:r>
        <w:t>5</w:t>
      </w:r>
      <w:r>
        <w:fldChar w:fldCharType="end"/>
      </w:r>
    </w:p>
    <w:p>
      <w:pPr>
        <w:pStyle w:val="TOC2"/>
        <w:tabs>
          <w:tab w:val="right" w:leader="dot" w:pos="7086"/>
        </w:tabs>
        <w:rPr>
          <w:b w:val="0"/>
          <w:sz w:val="24"/>
          <w:szCs w:val="24"/>
        </w:rPr>
      </w:pPr>
      <w:r>
        <w:rPr>
          <w:szCs w:val="28"/>
        </w:rPr>
        <w:t>Schedule 1 — Supply charges</w:t>
      </w:r>
    </w:p>
    <w:p>
      <w:pPr>
        <w:pStyle w:val="TOC8"/>
        <w:rPr>
          <w:sz w:val="24"/>
          <w:szCs w:val="24"/>
        </w:rPr>
      </w:pPr>
      <w:r>
        <w:rPr>
          <w:szCs w:val="22"/>
        </w:rPr>
        <w:t>1.</w:t>
      </w:r>
      <w:r>
        <w:rPr>
          <w:szCs w:val="22"/>
        </w:rPr>
        <w:tab/>
        <w:t>Terms used</w:t>
      </w:r>
      <w:r>
        <w:tab/>
      </w:r>
      <w:r>
        <w:fldChar w:fldCharType="begin"/>
      </w:r>
      <w:r>
        <w:instrText xml:space="preserve"> PAGEREF _Toc226274343 \h </w:instrText>
      </w:r>
      <w:r>
        <w:fldChar w:fldCharType="separate"/>
      </w:r>
      <w:r>
        <w:t>7</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_Toc226274344 \h </w:instrText>
      </w:r>
      <w:r>
        <w:fldChar w:fldCharType="separate"/>
      </w:r>
      <w:r>
        <w:t>7</w:t>
      </w:r>
      <w:r>
        <w:fldChar w:fldCharType="end"/>
      </w:r>
    </w:p>
    <w:p>
      <w:pPr>
        <w:pStyle w:val="TOC8"/>
        <w:rPr>
          <w:sz w:val="24"/>
          <w:szCs w:val="24"/>
        </w:rPr>
      </w:pPr>
      <w:r>
        <w:rPr>
          <w:szCs w:val="22"/>
        </w:rPr>
        <w:t>3.</w:t>
      </w:r>
      <w:r>
        <w:rPr>
          <w:szCs w:val="22"/>
        </w:rPr>
        <w:tab/>
        <w:t>Tariff L4 (general supply — low/medium voltage tariff)</w:t>
      </w:r>
      <w:r>
        <w:tab/>
      </w:r>
      <w:r>
        <w:fldChar w:fldCharType="begin"/>
      </w:r>
      <w:r>
        <w:instrText xml:space="preserve"> PAGEREF _Toc226274345 \h </w:instrText>
      </w:r>
      <w:r>
        <w:fldChar w:fldCharType="separate"/>
      </w:r>
      <w:r>
        <w:t>8</w:t>
      </w:r>
      <w:r>
        <w:fldChar w:fldCharType="end"/>
      </w:r>
    </w:p>
    <w:p>
      <w:pPr>
        <w:pStyle w:val="TOC8"/>
        <w:rPr>
          <w:sz w:val="24"/>
          <w:szCs w:val="24"/>
        </w:rPr>
      </w:pPr>
      <w:r>
        <w:rPr>
          <w:szCs w:val="22"/>
        </w:rPr>
        <w:t>4.</w:t>
      </w:r>
      <w:r>
        <w:rPr>
          <w:szCs w:val="22"/>
        </w:rPr>
        <w:tab/>
        <w:t>Tariff</w:t>
      </w:r>
      <w:r>
        <w:rPr>
          <w:snapToGrid w:val="0"/>
          <w:szCs w:val="22"/>
        </w:rPr>
        <w:t xml:space="preserve"> M2 (general supply — high voltage tariff)</w:t>
      </w:r>
      <w:r>
        <w:tab/>
      </w:r>
      <w:r>
        <w:fldChar w:fldCharType="begin"/>
      </w:r>
      <w:r>
        <w:instrText xml:space="preserve"> PAGEREF _Toc226274346 \h </w:instrText>
      </w:r>
      <w:r>
        <w:fldChar w:fldCharType="separate"/>
      </w:r>
      <w:r>
        <w:t>8</w:t>
      </w:r>
      <w:r>
        <w:fldChar w:fldCharType="end"/>
      </w:r>
    </w:p>
    <w:p>
      <w:pPr>
        <w:pStyle w:val="TOC8"/>
        <w:rPr>
          <w:sz w:val="24"/>
          <w:szCs w:val="24"/>
        </w:rPr>
      </w:pPr>
      <w:r>
        <w:rPr>
          <w:szCs w:val="22"/>
        </w:rPr>
        <w:t>5.</w:t>
      </w:r>
      <w:r>
        <w:rPr>
          <w:szCs w:val="22"/>
        </w:rPr>
        <w:tab/>
        <w:t>Tariff N2 (regional non</w:t>
      </w:r>
      <w:r>
        <w:rPr>
          <w:szCs w:val="22"/>
        </w:rPr>
        <w:noBreakHyphen/>
        <w:t>integrated systems — cost of supply tariff)</w:t>
      </w:r>
      <w:r>
        <w:tab/>
      </w:r>
      <w:r>
        <w:fldChar w:fldCharType="begin"/>
      </w:r>
      <w:r>
        <w:instrText xml:space="preserve"> PAGEREF _Toc226274347 \h </w:instrText>
      </w:r>
      <w:r>
        <w:fldChar w:fldCharType="separate"/>
      </w:r>
      <w:r>
        <w:t>8</w:t>
      </w:r>
      <w:r>
        <w:fldChar w:fldCharType="end"/>
      </w:r>
    </w:p>
    <w:p>
      <w:pPr>
        <w:pStyle w:val="TOC8"/>
        <w:rPr>
          <w:sz w:val="24"/>
          <w:szCs w:val="24"/>
        </w:rPr>
      </w:pPr>
      <w:r>
        <w:rPr>
          <w:szCs w:val="22"/>
        </w:rPr>
        <w:t>6.</w:t>
      </w:r>
      <w:r>
        <w:rPr>
          <w:szCs w:val="22"/>
        </w:rPr>
        <w:tab/>
        <w:t>Tariff</w:t>
      </w:r>
      <w:r>
        <w:rPr>
          <w:snapToGrid w:val="0"/>
          <w:szCs w:val="22"/>
        </w:rPr>
        <w:t xml:space="preserve"> P2 (North West interconnected system — cost of supply tariff)</w:t>
      </w:r>
      <w:r>
        <w:tab/>
      </w:r>
      <w:r>
        <w:fldChar w:fldCharType="begin"/>
      </w:r>
      <w:r>
        <w:instrText xml:space="preserve"> PAGEREF _Toc226274348 \h </w:instrText>
      </w:r>
      <w:r>
        <w:fldChar w:fldCharType="separate"/>
      </w:r>
      <w:r>
        <w:t>9</w:t>
      </w:r>
      <w:r>
        <w:fldChar w:fldCharType="end"/>
      </w:r>
    </w:p>
    <w:p>
      <w:pPr>
        <w:pStyle w:val="TOC8"/>
        <w:rPr>
          <w:sz w:val="24"/>
          <w:szCs w:val="24"/>
        </w:rPr>
      </w:pPr>
      <w:r>
        <w:rPr>
          <w:szCs w:val="22"/>
        </w:rPr>
        <w:t>7.</w:t>
      </w:r>
      <w:r>
        <w:rPr>
          <w:szCs w:val="22"/>
        </w:rPr>
        <w:tab/>
        <w:t>Tariff A2 (residential tariff)</w:t>
      </w:r>
      <w:r>
        <w:tab/>
      </w:r>
      <w:r>
        <w:fldChar w:fldCharType="begin"/>
      </w:r>
      <w:r>
        <w:instrText xml:space="preserve"> PAGEREF _Toc226274349 \h </w:instrText>
      </w:r>
      <w:r>
        <w:fldChar w:fldCharType="separate"/>
      </w:r>
      <w:r>
        <w:t>9</w:t>
      </w:r>
      <w:r>
        <w:fldChar w:fldCharType="end"/>
      </w:r>
    </w:p>
    <w:p>
      <w:pPr>
        <w:pStyle w:val="TOC8"/>
        <w:rPr>
          <w:sz w:val="24"/>
          <w:szCs w:val="24"/>
        </w:rPr>
      </w:pPr>
      <w:r>
        <w:rPr>
          <w:szCs w:val="22"/>
        </w:rPr>
        <w:t>8.</w:t>
      </w:r>
      <w:r>
        <w:rPr>
          <w:szCs w:val="22"/>
        </w:rPr>
        <w:tab/>
        <w:t>Tariff C2 (special community service tariff)</w:t>
      </w:r>
      <w:r>
        <w:tab/>
      </w:r>
      <w:r>
        <w:fldChar w:fldCharType="begin"/>
      </w:r>
      <w:r>
        <w:instrText xml:space="preserve"> PAGEREF _Toc226274350 \h </w:instrText>
      </w:r>
      <w:r>
        <w:fldChar w:fldCharType="separate"/>
      </w:r>
      <w:r>
        <w:t>10</w:t>
      </w:r>
      <w:r>
        <w:fldChar w:fldCharType="end"/>
      </w:r>
    </w:p>
    <w:p>
      <w:pPr>
        <w:pStyle w:val="TOC8"/>
        <w:rPr>
          <w:sz w:val="24"/>
          <w:szCs w:val="24"/>
        </w:rPr>
      </w:pPr>
      <w:r>
        <w:rPr>
          <w:szCs w:val="22"/>
        </w:rPr>
        <w:t>9.</w:t>
      </w:r>
      <w:r>
        <w:rPr>
          <w:szCs w:val="22"/>
        </w:rPr>
        <w:tab/>
        <w:t>Tariff D2 (special tariff for certain premises)</w:t>
      </w:r>
      <w:r>
        <w:tab/>
      </w:r>
      <w:r>
        <w:fldChar w:fldCharType="begin"/>
      </w:r>
      <w:r>
        <w:instrText xml:space="preserve"> PAGEREF _Toc226274351 \h </w:instrText>
      </w:r>
      <w:r>
        <w:fldChar w:fldCharType="separate"/>
      </w:r>
      <w:r>
        <w:t>11</w:t>
      </w:r>
      <w:r>
        <w:fldChar w:fldCharType="end"/>
      </w:r>
    </w:p>
    <w:p>
      <w:pPr>
        <w:pStyle w:val="TOC8"/>
        <w:rPr>
          <w:sz w:val="24"/>
          <w:szCs w:val="24"/>
        </w:rPr>
      </w:pPr>
      <w:r>
        <w:rPr>
          <w:szCs w:val="22"/>
        </w:rPr>
        <w:t>10.</w:t>
      </w:r>
      <w:r>
        <w:rPr>
          <w:szCs w:val="22"/>
        </w:rPr>
        <w:tab/>
        <w:t>Tariff K2 (general supply with residential tariff)</w:t>
      </w:r>
      <w:r>
        <w:tab/>
      </w:r>
      <w:r>
        <w:fldChar w:fldCharType="begin"/>
      </w:r>
      <w:r>
        <w:instrText xml:space="preserve"> PAGEREF _Toc226274352 \h </w:instrText>
      </w:r>
      <w:r>
        <w:fldChar w:fldCharType="separate"/>
      </w:r>
      <w:r>
        <w:t>11</w:t>
      </w:r>
      <w:r>
        <w:fldChar w:fldCharType="end"/>
      </w:r>
    </w:p>
    <w:p>
      <w:pPr>
        <w:pStyle w:val="TOC8"/>
        <w:rPr>
          <w:sz w:val="24"/>
          <w:szCs w:val="24"/>
        </w:rPr>
      </w:pPr>
      <w:r>
        <w:rPr>
          <w:szCs w:val="22"/>
        </w:rPr>
        <w:t>11.</w:t>
      </w:r>
      <w:r>
        <w:rPr>
          <w:szCs w:val="22"/>
        </w:rPr>
        <w:tab/>
        <w:t>Tariff W2 (traffic light installations)</w:t>
      </w:r>
      <w:r>
        <w:tab/>
      </w:r>
      <w:r>
        <w:fldChar w:fldCharType="begin"/>
      </w:r>
      <w:r>
        <w:instrText xml:space="preserve"> PAGEREF _Toc226274353 \h </w:instrText>
      </w:r>
      <w:r>
        <w:fldChar w:fldCharType="separate"/>
      </w:r>
      <w:r>
        <w:t>12</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_Toc226274358 \h </w:instrText>
      </w:r>
      <w:r>
        <w:fldChar w:fldCharType="separate"/>
      </w:r>
      <w:r>
        <w:t>17</w:t>
      </w:r>
      <w:r>
        <w:fldChar w:fldCharType="end"/>
      </w:r>
    </w:p>
    <w:p>
      <w:pPr>
        <w:pStyle w:val="TOC8"/>
        <w:rPr>
          <w:sz w:val="24"/>
        </w:rPr>
      </w:pPr>
      <w:r>
        <w:tab/>
        <w:t>Provisions that have not come into operation</w:t>
      </w:r>
      <w:r>
        <w:tab/>
      </w:r>
      <w:r>
        <w:fldChar w:fldCharType="begin"/>
      </w:r>
      <w:r>
        <w:instrText xml:space="preserve"> PAGEREF _Toc226274359 \h </w:instrText>
      </w:r>
      <w:r>
        <w:fldChar w:fldCharType="separate"/>
      </w:r>
      <w:r>
        <w:t>17</w:t>
      </w:r>
      <w:r>
        <w:fldChar w:fldCharType="end"/>
      </w:r>
    </w:p>
    <w:p>
      <w:pPr>
        <w:pStyle w:val="TOC2"/>
        <w:tabs>
          <w:tab w:val="right" w:leader="dot" w:pos="7086"/>
        </w:tabs>
        <w:rPr>
          <w:b w:val="0"/>
          <w:sz w:val="24"/>
          <w:szCs w:val="24"/>
        </w:rPr>
      </w:pPr>
      <w:r>
        <w:rPr>
          <w:szCs w:val="26"/>
        </w:rPr>
        <w:t>Part 3 — Amendments commencing on 1 July 2009</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22627433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0" w:name="_Toc123621894"/>
      <w:bookmarkStart w:id="11" w:name="_Toc128284267"/>
      <w:bookmarkStart w:id="12" w:name="_Toc226274331"/>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226274332"/>
      <w:r>
        <w:rPr>
          <w:rStyle w:val="CharSectno"/>
        </w:rPr>
        <w:t>3</w:t>
      </w:r>
      <w:r>
        <w:t>.</w:t>
      </w:r>
      <w:r>
        <w:tab/>
      </w:r>
      <w:bookmarkEnd w:id="13"/>
      <w:bookmarkEnd w:id="14"/>
      <w:bookmarkEnd w:id="15"/>
      <w:bookmarkEnd w:id="16"/>
      <w:bookmarkEnd w:id="17"/>
      <w:bookmarkEnd w:id="18"/>
      <w:bookmarkEnd w:id="19"/>
      <w:r>
        <w:rPr>
          <w:snapToGrid w:val="0"/>
        </w:rPr>
        <w:t>Terms used in these by</w:t>
      </w:r>
      <w:r>
        <w:rPr>
          <w:snapToGrid w:val="0"/>
        </w:rPr>
        <w:noBreakHyphen/>
        <w:t>laws</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1000.]</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226274333"/>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226274334"/>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226274335"/>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226274336"/>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226274337"/>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1000.]</w:t>
      </w:r>
    </w:p>
    <w:p>
      <w:pPr>
        <w:pStyle w:val="Heading5"/>
      </w:pPr>
      <w:bookmarkStart w:id="45" w:name="_Toc123621901"/>
      <w:bookmarkStart w:id="46" w:name="_Toc128284274"/>
      <w:bookmarkStart w:id="47" w:name="_Toc226274338"/>
      <w:r>
        <w:rPr>
          <w:rStyle w:val="CharSectno"/>
        </w:rPr>
        <w:t>9</w:t>
      </w:r>
      <w:r>
        <w:t>.</w:t>
      </w:r>
      <w:r>
        <w:tab/>
        <w:t>Rebates and reduced fees</w:t>
      </w:r>
      <w:bookmarkEnd w:id="45"/>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226274339"/>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226274340"/>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226274341"/>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1000</w:t>
      </w:r>
      <w:r>
        <w:noBreakHyphen/>
        <w:t>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26274342"/>
      <w:bookmarkStart w:id="110" w:name="_Toc123621759"/>
      <w:bookmarkStart w:id="111" w:name="_Toc123621906"/>
      <w:bookmarkStart w:id="112" w:name="_Toc123624866"/>
      <w:bookmarkStart w:id="113" w:name="_Toc123624933"/>
      <w:bookmarkStart w:id="114" w:name="_Toc123630128"/>
      <w:bookmarkStart w:id="115" w:name="_Toc123630146"/>
      <w:bookmarkStart w:id="116" w:name="_Toc123630164"/>
      <w:bookmarkStart w:id="117" w:name="_Toc124052050"/>
      <w:bookmarkStart w:id="118" w:name="_Toc124057995"/>
      <w:bookmarkStart w:id="119" w:name="_Toc124058056"/>
      <w:bookmarkStart w:id="120" w:name="_Toc124133810"/>
      <w:bookmarkStart w:id="121" w:name="_Toc124148133"/>
      <w:bookmarkStart w:id="122" w:name="_Toc124157865"/>
      <w:bookmarkStart w:id="123" w:name="_Toc124216742"/>
      <w:bookmarkStart w:id="124" w:name="_Toc124217250"/>
      <w:bookmarkStart w:id="125" w:name="_Toc124218589"/>
      <w:bookmarkStart w:id="126" w:name="_Toc124222749"/>
      <w:bookmarkStart w:id="127" w:name="_Toc124224477"/>
      <w:bookmarkStart w:id="128" w:name="_Toc124224510"/>
      <w:bookmarkStart w:id="129" w:name="_Toc124224878"/>
      <w:bookmarkStart w:id="130" w:name="_Toc124224978"/>
      <w:bookmarkStart w:id="131" w:name="_Toc124225768"/>
      <w:bookmarkStart w:id="132" w:name="_Toc124226029"/>
      <w:bookmarkStart w:id="133" w:name="_Toc124235191"/>
      <w:bookmarkStart w:id="134" w:name="_Toc124235992"/>
      <w:bookmarkStart w:id="135" w:name="_Toc125272418"/>
      <w:bookmarkStart w:id="136" w:name="_Toc125279428"/>
      <w:bookmarkStart w:id="137" w:name="_Toc127005829"/>
      <w:bookmarkStart w:id="138" w:name="_Toc127006376"/>
      <w:bookmarkStart w:id="139" w:name="_Toc127077910"/>
      <w:bookmarkStart w:id="140" w:name="_Toc127078615"/>
      <w:bookmarkStart w:id="141" w:name="_Toc127079202"/>
      <w:bookmarkStart w:id="142" w:name="_Toc127079724"/>
      <w:bookmarkStart w:id="143" w:name="_Toc127083149"/>
      <w:bookmarkStart w:id="144" w:name="_Toc127084571"/>
      <w:bookmarkStart w:id="145" w:name="_Toc127084605"/>
      <w:bookmarkStart w:id="146" w:name="_Toc127084752"/>
      <w:bookmarkStart w:id="147" w:name="_Toc127085271"/>
      <w:bookmarkStart w:id="148" w:name="_Toc127085680"/>
      <w:bookmarkStart w:id="149" w:name="_Toc127085722"/>
      <w:bookmarkStart w:id="150" w:name="_Toc127085794"/>
      <w:bookmarkStart w:id="151" w:name="_Toc127086362"/>
      <w:bookmarkStart w:id="152" w:name="_Toc127672634"/>
      <w:bookmarkStart w:id="153" w:name="_Toc127695303"/>
      <w:bookmarkStart w:id="154" w:name="_Toc127695746"/>
      <w:bookmarkStart w:id="155" w:name="_Toc127699630"/>
      <w:bookmarkStart w:id="156" w:name="_Toc127947040"/>
      <w:bookmarkStart w:id="157" w:name="_Toc127947929"/>
      <w:bookmarkStart w:id="158" w:name="_Toc127947955"/>
      <w:bookmarkStart w:id="159" w:name="_Toc127959125"/>
      <w:bookmarkStart w:id="160" w:name="_Toc127959534"/>
      <w:bookmarkStart w:id="161" w:name="_Toc128191086"/>
      <w:bookmarkStart w:id="162" w:name="_Toc128196509"/>
      <w:bookmarkStart w:id="163" w:name="_Toc128283915"/>
      <w:bookmarkStart w:id="164" w:name="_Toc128284074"/>
      <w:bookmarkStart w:id="165" w:name="_Toc128284100"/>
      <w:bookmarkStart w:id="166" w:name="_Toc128284289"/>
      <w:bookmarkStart w:id="167"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t> — </w:t>
      </w:r>
      <w:r>
        <w:rPr>
          <w:rStyle w:val="CharSchText"/>
        </w:rPr>
        <w:t>Supply charges</w:t>
      </w:r>
      <w:bookmarkEnd w:id="109"/>
    </w:p>
    <w:p>
      <w:pPr>
        <w:pStyle w:val="yShoulderClause"/>
      </w:pPr>
      <w:r>
        <w:t>[bl. 3, 4(1) and 10(1)]</w:t>
      </w:r>
    </w:p>
    <w:p>
      <w:pPr>
        <w:pStyle w:val="yFootnoteheading"/>
      </w:pPr>
      <w:r>
        <w:tab/>
        <w:t>[Heading inserted in Gazette 30 Mar 2009 p. 1001.]</w:t>
      </w:r>
    </w:p>
    <w:p>
      <w:pPr>
        <w:pStyle w:val="yHeading5"/>
      </w:pPr>
      <w:bookmarkStart w:id="168" w:name="_Toc226274343"/>
      <w:r>
        <w:rPr>
          <w:rStyle w:val="CharSClsNo"/>
        </w:rPr>
        <w:t>1</w:t>
      </w:r>
      <w:r>
        <w:t>.</w:t>
      </w:r>
      <w:r>
        <w:rPr>
          <w:b w:val="0"/>
        </w:rPr>
        <w:tab/>
      </w:r>
      <w:r>
        <w:t>Terms used</w:t>
      </w:r>
      <w:bookmarkEnd w:id="168"/>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in the </w:t>
      </w:r>
      <w:r>
        <w:rPr>
          <w:i/>
        </w:rPr>
        <w:t>Electricity Industry Act 2004</w:t>
      </w:r>
      <w:r>
        <w:t xml:space="preserve"> section 3.</w:t>
      </w:r>
    </w:p>
    <w:p>
      <w:pPr>
        <w:pStyle w:val="yFootnotesection"/>
      </w:pPr>
      <w:r>
        <w:tab/>
        <w:t>[Clause 1 inserted in Gazette 30 Mar 2009 p. 1001.]</w:t>
      </w:r>
    </w:p>
    <w:p>
      <w:pPr>
        <w:pStyle w:val="yHeading5"/>
      </w:pPr>
      <w:bookmarkStart w:id="169" w:name="_Toc226274344"/>
      <w:r>
        <w:rPr>
          <w:rStyle w:val="CharSClsNo"/>
        </w:rPr>
        <w:t>2</w:t>
      </w:r>
      <w:r>
        <w:t>.</w:t>
      </w:r>
      <w:r>
        <w:tab/>
        <w:t>Tariff L2 (general supply — low/medium voltage tariff)</w:t>
      </w:r>
      <w:bookmarkEnd w:id="16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27.896 cents per day; and</w:t>
      </w:r>
    </w:p>
    <w:p>
      <w:pPr>
        <w:pStyle w:val="yIndenta"/>
      </w:pPr>
      <w:r>
        <w:tab/>
        <w:t>(b)</w:t>
      </w:r>
      <w:r>
        <w:tab/>
        <w:t xml:space="preserve">a charge for metered consumption at the rate of — </w:t>
      </w:r>
    </w:p>
    <w:p>
      <w:pPr>
        <w:pStyle w:val="yIndenti0"/>
      </w:pPr>
      <w:r>
        <w:tab/>
        <w:t>(i)</w:t>
      </w:r>
      <w:r>
        <w:tab/>
        <w:t>18.337 cents per unit for the first 1 650 units per day; and</w:t>
      </w:r>
    </w:p>
    <w:p>
      <w:pPr>
        <w:pStyle w:val="yIndenti0"/>
      </w:pPr>
      <w:r>
        <w:tab/>
        <w:t>(ii)</w:t>
      </w:r>
      <w:r>
        <w:tab/>
        <w:t>16.544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30 Mar 2009 p. 1001</w:t>
      </w:r>
      <w:r>
        <w:noBreakHyphen/>
        <w:t>2.]</w:t>
      </w:r>
    </w:p>
    <w:p>
      <w:pPr>
        <w:pStyle w:val="yHeading5"/>
      </w:pPr>
      <w:bookmarkStart w:id="170" w:name="_Toc226274345"/>
      <w:r>
        <w:rPr>
          <w:rStyle w:val="CharSClsNo"/>
        </w:rPr>
        <w:t>3</w:t>
      </w:r>
      <w:r>
        <w:t>.</w:t>
      </w:r>
      <w:r>
        <w:tab/>
        <w:t>Tariff L4 (general supply — low/medium voltage tariff)</w:t>
      </w:r>
      <w:bookmarkEnd w:id="170"/>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29.227 cents per day; and</w:t>
      </w:r>
    </w:p>
    <w:p>
      <w:pPr>
        <w:pStyle w:val="yIndenta"/>
      </w:pPr>
      <w:r>
        <w:tab/>
        <w:t>(b)</w:t>
      </w:r>
      <w:r>
        <w:tab/>
        <w:t xml:space="preserve">a charge for metered consumption at the rate of — </w:t>
      </w:r>
    </w:p>
    <w:p>
      <w:pPr>
        <w:pStyle w:val="yIndenti0"/>
      </w:pPr>
      <w:r>
        <w:tab/>
        <w:t>(i)</w:t>
      </w:r>
      <w:r>
        <w:tab/>
        <w:t>19.206 cents per unit for the first 1 650 units per day; and</w:t>
      </w:r>
    </w:p>
    <w:p>
      <w:pPr>
        <w:pStyle w:val="yIndenti0"/>
      </w:pPr>
      <w:r>
        <w:tab/>
        <w:t>(ii)</w:t>
      </w:r>
      <w:r>
        <w:tab/>
        <w:t>17.336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30 Mar 2009 p. 1002.]</w:t>
      </w:r>
    </w:p>
    <w:p>
      <w:pPr>
        <w:pStyle w:val="yHeading5"/>
        <w:rPr>
          <w:snapToGrid w:val="0"/>
        </w:rPr>
      </w:pPr>
      <w:bookmarkStart w:id="171" w:name="_Toc226274346"/>
      <w:r>
        <w:rPr>
          <w:rStyle w:val="CharSClsNo"/>
        </w:rPr>
        <w:t>4</w:t>
      </w:r>
      <w:r>
        <w:t>.</w:t>
      </w:r>
      <w:r>
        <w:rPr>
          <w:b w:val="0"/>
        </w:rPr>
        <w:tab/>
      </w:r>
      <w:r>
        <w:t>Tariff</w:t>
      </w:r>
      <w:r>
        <w:rPr>
          <w:snapToGrid w:val="0"/>
        </w:rPr>
        <w:t xml:space="preserve"> M2 (general supply — high voltage tariff)</w:t>
      </w:r>
      <w:bookmarkEnd w:id="171"/>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29.227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18.557 cents per unit for the first 1 650 units per day; and</w:t>
      </w:r>
    </w:p>
    <w:p>
      <w:pPr>
        <w:pStyle w:val="yIndenti0"/>
        <w:rPr>
          <w:snapToGrid w:val="0"/>
        </w:rPr>
      </w:pPr>
      <w:r>
        <w:rPr>
          <w:snapToGrid w:val="0"/>
        </w:rPr>
        <w:tab/>
        <w:t>(ii)</w:t>
      </w:r>
      <w:r>
        <w:rPr>
          <w:snapToGrid w:val="0"/>
        </w:rPr>
        <w:tab/>
        <w:t>16.665 cents per unit per day for all units exceeding 1 650 units.</w:t>
      </w:r>
    </w:p>
    <w:p>
      <w:pPr>
        <w:pStyle w:val="yFootnotesection"/>
      </w:pPr>
      <w:r>
        <w:tab/>
        <w:t>[Clause 4 inserted in Gazette 30 Mar 2009 p. 1002.]</w:t>
      </w:r>
    </w:p>
    <w:p>
      <w:pPr>
        <w:pStyle w:val="yHeading5"/>
      </w:pPr>
      <w:bookmarkStart w:id="172" w:name="_Toc226274347"/>
      <w:r>
        <w:rPr>
          <w:rStyle w:val="CharSClsNo"/>
        </w:rPr>
        <w:t>5.</w:t>
      </w:r>
      <w:r>
        <w:rPr>
          <w:rStyle w:val="CharSClsNo"/>
          <w:b w:val="0"/>
        </w:rPr>
        <w:tab/>
      </w:r>
      <w:r>
        <w:t>Tariff N2 (regional non</w:t>
      </w:r>
      <w:r>
        <w:noBreakHyphen/>
        <w:t>integrated systems — cost of supply tariff)</w:t>
      </w:r>
      <w:bookmarkEnd w:id="172"/>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zyMiscellaneousBody"/>
        <w:ind w:left="1610"/>
        <w:jc w:val="center"/>
      </w:pPr>
      <w:r>
        <w:rPr>
          <w:noProof/>
          <w:lang w:eastAsia="en-AU"/>
        </w:rPr>
        <w:drawing>
          <wp:inline distT="0" distB="0" distL="0" distR="0">
            <wp:extent cx="2095500" cy="3943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30 Mar 2009 p. 1003.]</w:t>
      </w:r>
    </w:p>
    <w:p>
      <w:pPr>
        <w:pStyle w:val="yHeading5"/>
        <w:rPr>
          <w:snapToGrid w:val="0"/>
        </w:rPr>
      </w:pPr>
      <w:bookmarkStart w:id="173" w:name="_Toc226274348"/>
      <w:r>
        <w:rPr>
          <w:rStyle w:val="CharSClsNo"/>
        </w:rPr>
        <w:t>6.</w:t>
      </w:r>
      <w:r>
        <w:rPr>
          <w:rStyle w:val="CharSClsNo"/>
          <w:b w:val="0"/>
        </w:rPr>
        <w:tab/>
      </w:r>
      <w:r>
        <w:t>Tariff</w:t>
      </w:r>
      <w:r>
        <w:rPr>
          <w:snapToGrid w:val="0"/>
        </w:rPr>
        <w:t xml:space="preserve"> P2 (North West interconnected system — cost of supply tariff)</w:t>
      </w:r>
      <w:bookmarkEnd w:id="173"/>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34.44 cents per day; and</w:t>
      </w:r>
    </w:p>
    <w:p>
      <w:pPr>
        <w:pStyle w:val="yIndenta"/>
        <w:rPr>
          <w:snapToGrid w:val="0"/>
        </w:rPr>
      </w:pPr>
      <w:r>
        <w:rPr>
          <w:snapToGrid w:val="0"/>
        </w:rPr>
        <w:tab/>
        <w:t>(b)</w:t>
      </w:r>
      <w:r>
        <w:rPr>
          <w:snapToGrid w:val="0"/>
        </w:rPr>
        <w:tab/>
        <w:t>a charge for metered consumption at the rate of 22.85 cents per unit.</w:t>
      </w:r>
    </w:p>
    <w:p>
      <w:pPr>
        <w:pStyle w:val="yFootnotesection"/>
      </w:pPr>
      <w:r>
        <w:tab/>
        <w:t>[Clause 6 inserted in Gazette 30 Mar 2009 p. 1003.]</w:t>
      </w:r>
    </w:p>
    <w:p>
      <w:pPr>
        <w:pStyle w:val="yHeading5"/>
      </w:pPr>
      <w:bookmarkStart w:id="174" w:name="_Toc226274349"/>
      <w:r>
        <w:rPr>
          <w:rStyle w:val="CharSClsNo"/>
        </w:rPr>
        <w:t>7</w:t>
      </w:r>
      <w:r>
        <w:t>.</w:t>
      </w:r>
      <w:r>
        <w:rPr>
          <w:b w:val="0"/>
        </w:rPr>
        <w:tab/>
      </w:r>
      <w:r>
        <w:t>Tariff A2 (residential tariff)</w:t>
      </w:r>
      <w:bookmarkEnd w:id="174"/>
    </w:p>
    <w:p>
      <w:pPr>
        <w:pStyle w:val="ySubsection"/>
        <w:rPr>
          <w:snapToGrid w:val="0"/>
        </w:rPr>
      </w:pPr>
      <w:r>
        <w:tab/>
        <w:t>(1)</w:t>
      </w:r>
      <w:r>
        <w:tab/>
      </w:r>
      <w:r>
        <w:rPr>
          <w:snapToGrid w:val="0"/>
        </w:rPr>
        <w:t>Tariff A2 is available for residential use only.</w:t>
      </w:r>
    </w:p>
    <w:p>
      <w:pPr>
        <w:pStyle w:val="ySubsection"/>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28.116 cents per day or, for multiple dwellings supplied through one metered supply point, a fixed charge at the rate of — </w:t>
      </w:r>
    </w:p>
    <w:p>
      <w:pPr>
        <w:pStyle w:val="yIndenti0"/>
        <w:rPr>
          <w:snapToGrid w:val="0"/>
        </w:rPr>
      </w:pPr>
      <w:r>
        <w:rPr>
          <w:snapToGrid w:val="0"/>
        </w:rPr>
        <w:tab/>
        <w:t>(i)</w:t>
      </w:r>
      <w:r>
        <w:rPr>
          <w:snapToGrid w:val="0"/>
        </w:rPr>
        <w:tab/>
        <w:t>28.116 cents per day for the first dwelling; and</w:t>
      </w:r>
    </w:p>
    <w:p>
      <w:pPr>
        <w:pStyle w:val="yIndenti0"/>
        <w:rPr>
          <w:snapToGrid w:val="0"/>
        </w:rPr>
      </w:pPr>
      <w:r>
        <w:rPr>
          <w:snapToGrid w:val="0"/>
        </w:rPr>
        <w:tab/>
        <w:t>(ii)</w:t>
      </w:r>
      <w:r>
        <w:rPr>
          <w:snapToGrid w:val="0"/>
        </w:rPr>
        <w:tab/>
        <w:t>21.835 cents per day for each additional dwelling;</w:t>
      </w:r>
    </w:p>
    <w:p>
      <w:pPr>
        <w:pStyle w:val="yIndenta"/>
      </w:pPr>
      <w:r>
        <w:tab/>
      </w:r>
      <w:r>
        <w:tab/>
        <w:t>and</w:t>
      </w:r>
    </w:p>
    <w:p>
      <w:pPr>
        <w:pStyle w:val="yIndenta"/>
      </w:pPr>
      <w:r>
        <w:tab/>
        <w:t>(b)</w:t>
      </w:r>
      <w:r>
        <w:tab/>
        <w:t>a charge for metered consumption at the rate of 15.323 cents per unit.</w:t>
      </w:r>
    </w:p>
    <w:p>
      <w:pPr>
        <w:pStyle w:val="yFootnotesection"/>
      </w:pPr>
      <w:r>
        <w:tab/>
        <w:t>[Clause 7 inserted in Gazette 30 Mar 2009 p. 1004.]</w:t>
      </w:r>
    </w:p>
    <w:p>
      <w:pPr>
        <w:pStyle w:val="yHeading5"/>
      </w:pPr>
      <w:bookmarkStart w:id="175" w:name="_Toc226274350"/>
      <w:r>
        <w:rPr>
          <w:rStyle w:val="CharSClsNo"/>
        </w:rPr>
        <w:t>8</w:t>
      </w:r>
      <w:r>
        <w:t>.</w:t>
      </w:r>
      <w:r>
        <w:rPr>
          <w:b w:val="0"/>
        </w:rPr>
        <w:tab/>
      </w:r>
      <w:r>
        <w:t>Tariff C2 (special community service tariff)</w:t>
      </w:r>
      <w:bookmarkEnd w:id="175"/>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26.84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14.63 cents per unit for the first 20 units per day; and</w:t>
      </w:r>
    </w:p>
    <w:p>
      <w:pPr>
        <w:pStyle w:val="yIndenti0"/>
        <w:rPr>
          <w:snapToGrid w:val="0"/>
        </w:rPr>
      </w:pPr>
      <w:r>
        <w:rPr>
          <w:snapToGrid w:val="0"/>
        </w:rPr>
        <w:tab/>
        <w:t>(ii)</w:t>
      </w:r>
      <w:r>
        <w:rPr>
          <w:snapToGrid w:val="0"/>
        </w:rPr>
        <w:tab/>
        <w:t>18.337 cents for the next 1 630 units per day; and</w:t>
      </w:r>
    </w:p>
    <w:p>
      <w:pPr>
        <w:pStyle w:val="yIndenti0"/>
        <w:rPr>
          <w:snapToGrid w:val="0"/>
        </w:rPr>
      </w:pPr>
      <w:r>
        <w:rPr>
          <w:snapToGrid w:val="0"/>
        </w:rPr>
        <w:tab/>
        <w:t>(iii)</w:t>
      </w:r>
      <w:r>
        <w:rPr>
          <w:snapToGrid w:val="0"/>
        </w:rPr>
        <w:tab/>
        <w:t>16.544 cents per unit per day for all units exceeding 1 650 units.</w:t>
      </w:r>
    </w:p>
    <w:p>
      <w:pPr>
        <w:pStyle w:val="ySubsection"/>
        <w:rPr>
          <w:snapToGrid w:val="0"/>
        </w:rPr>
      </w:pPr>
      <w:r>
        <w:rPr>
          <w:snapToGrid w:val="0"/>
        </w:rPr>
        <w:tab/>
        <w:t>(3)</w:t>
      </w:r>
      <w:r>
        <w:rPr>
          <w:snapToGrid w:val="0"/>
        </w:rPr>
        <w:tab/>
        <w:t xml:space="preserve">Tariff C2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rPr>
          <w:snapToGrid w:val="0"/>
        </w:rPr>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8 inserted in Gazette 30 Mar 2009 p. 1004</w:t>
      </w:r>
      <w:r>
        <w:noBreakHyphen/>
        <w:t>5.]</w:t>
      </w:r>
    </w:p>
    <w:p>
      <w:pPr>
        <w:pStyle w:val="yHeading5"/>
      </w:pPr>
      <w:bookmarkStart w:id="176" w:name="_Toc226274351"/>
      <w:r>
        <w:rPr>
          <w:rStyle w:val="CharSClsNo"/>
        </w:rPr>
        <w:t>9</w:t>
      </w:r>
      <w:r>
        <w:t>.</w:t>
      </w:r>
      <w:r>
        <w:rPr>
          <w:b w:val="0"/>
        </w:rPr>
        <w:tab/>
      </w:r>
      <w:r>
        <w:t>Tariff D2 (special tariff for certain premises)</w:t>
      </w:r>
      <w:bookmarkEnd w:id="176"/>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26.84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20.845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14.63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30 Mar 2009 p. 1005.]</w:t>
      </w:r>
    </w:p>
    <w:p>
      <w:pPr>
        <w:pStyle w:val="yHeading5"/>
      </w:pPr>
      <w:bookmarkStart w:id="177" w:name="_Toc226274352"/>
      <w:r>
        <w:rPr>
          <w:rStyle w:val="CharSClsNo"/>
        </w:rPr>
        <w:t>10</w:t>
      </w:r>
      <w:r>
        <w:t>.</w:t>
      </w:r>
      <w:r>
        <w:rPr>
          <w:b w:val="0"/>
        </w:rPr>
        <w:tab/>
      </w:r>
      <w:r>
        <w:t>Tariff K2 (general supply with residential tariff)</w:t>
      </w:r>
      <w:bookmarkEnd w:id="177"/>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28.116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15.323 cents per unit for the first 20 units per day; and</w:t>
      </w:r>
    </w:p>
    <w:p>
      <w:pPr>
        <w:pStyle w:val="yIndenti0"/>
        <w:rPr>
          <w:snapToGrid w:val="0"/>
        </w:rPr>
      </w:pPr>
      <w:r>
        <w:rPr>
          <w:snapToGrid w:val="0"/>
        </w:rPr>
        <w:tab/>
        <w:t>(ii)</w:t>
      </w:r>
      <w:r>
        <w:rPr>
          <w:snapToGrid w:val="0"/>
        </w:rPr>
        <w:tab/>
        <w:t>19.206 cents per unit for the next 1 630 units per day; and</w:t>
      </w:r>
    </w:p>
    <w:p>
      <w:pPr>
        <w:pStyle w:val="yIndenti0"/>
        <w:rPr>
          <w:snapToGrid w:val="0"/>
        </w:rPr>
      </w:pPr>
      <w:r>
        <w:rPr>
          <w:snapToGrid w:val="0"/>
        </w:rPr>
        <w:tab/>
        <w:t>(iii)</w:t>
      </w:r>
      <w:r>
        <w:rPr>
          <w:snapToGrid w:val="0"/>
        </w:rPr>
        <w:tab/>
        <w:t>17.336 cents per unit per day for all units exceeding 1 650 units.</w:t>
      </w:r>
    </w:p>
    <w:p>
      <w:pPr>
        <w:pStyle w:val="yFootnotesection"/>
      </w:pPr>
      <w:r>
        <w:tab/>
        <w:t>[Clause 10 inserted in Gazette 30 Mar 2009 p. 1006.]</w:t>
      </w:r>
    </w:p>
    <w:p>
      <w:pPr>
        <w:pStyle w:val="yHeading5"/>
      </w:pPr>
      <w:bookmarkStart w:id="178" w:name="_Toc226274353"/>
      <w:r>
        <w:rPr>
          <w:rStyle w:val="CharSClsNo"/>
        </w:rPr>
        <w:t>11</w:t>
      </w:r>
      <w:r>
        <w:t>.</w:t>
      </w:r>
      <w:r>
        <w:rPr>
          <w:b w:val="0"/>
        </w:rPr>
        <w:tab/>
      </w:r>
      <w:r>
        <w:t>Tariff W2 (traffic light installations)</w:t>
      </w:r>
      <w:bookmarkEnd w:id="178"/>
    </w:p>
    <w:p>
      <w:pPr>
        <w:pStyle w:val="ySubsection"/>
      </w:pPr>
      <w:r>
        <w:tab/>
      </w:r>
      <w:r>
        <w:tab/>
        <w:t>Tariff W2 comprises a charge of $2.4973 per day per kW of installed wattage.</w:t>
      </w:r>
    </w:p>
    <w:p>
      <w:pPr>
        <w:pStyle w:val="yFootnotesection"/>
      </w:pPr>
      <w:r>
        <w:tab/>
        <w:t>[Clause 11 inserted in Gazette 30 Mar 2009 p. 1006.]</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79" w:name="_Toc226274354"/>
      <w:bookmarkStart w:id="180" w:name="_Toc124157866"/>
      <w:bookmarkStart w:id="181" w:name="_Toc124216743"/>
      <w:bookmarkStart w:id="182" w:name="_Toc124217251"/>
      <w:bookmarkStart w:id="183" w:name="_Toc124218590"/>
      <w:bookmarkStart w:id="184" w:name="_Toc124222750"/>
      <w:bookmarkStart w:id="185" w:name="_Toc124224478"/>
      <w:bookmarkStart w:id="186" w:name="_Toc124224511"/>
      <w:bookmarkStart w:id="187" w:name="_Toc124224879"/>
      <w:bookmarkStart w:id="188" w:name="_Toc124224979"/>
      <w:bookmarkStart w:id="189" w:name="_Toc124225769"/>
      <w:bookmarkStart w:id="190" w:name="_Toc124226030"/>
      <w:bookmarkStart w:id="191" w:name="_Toc124235192"/>
      <w:bookmarkStart w:id="192" w:name="_Toc124235993"/>
      <w:bookmarkStart w:id="193" w:name="_Toc125272419"/>
      <w:bookmarkStart w:id="194" w:name="_Toc125279429"/>
      <w:bookmarkStart w:id="195" w:name="_Toc127005830"/>
      <w:bookmarkStart w:id="196" w:name="_Toc127006377"/>
      <w:bookmarkStart w:id="197" w:name="_Toc127077911"/>
      <w:bookmarkStart w:id="198" w:name="_Toc127078616"/>
      <w:bookmarkStart w:id="199" w:name="_Toc127079203"/>
      <w:bookmarkStart w:id="200" w:name="_Toc127079725"/>
      <w:bookmarkStart w:id="201" w:name="_Toc127083150"/>
      <w:bookmarkStart w:id="202" w:name="_Toc127084572"/>
      <w:bookmarkStart w:id="203" w:name="_Toc127084606"/>
      <w:bookmarkStart w:id="204" w:name="_Toc127084753"/>
      <w:bookmarkStart w:id="205" w:name="_Toc127085272"/>
      <w:bookmarkStart w:id="206" w:name="_Toc127085681"/>
      <w:bookmarkStart w:id="207" w:name="_Toc127085723"/>
      <w:bookmarkStart w:id="208" w:name="_Toc127085795"/>
      <w:bookmarkStart w:id="209" w:name="_Toc127086363"/>
      <w:bookmarkStart w:id="210" w:name="_Toc127672635"/>
      <w:bookmarkStart w:id="211" w:name="_Toc127695304"/>
      <w:bookmarkStart w:id="212" w:name="_Toc127695747"/>
      <w:bookmarkStart w:id="213" w:name="_Toc127699631"/>
      <w:bookmarkStart w:id="214" w:name="_Toc127947041"/>
      <w:bookmarkStart w:id="215" w:name="_Toc127947930"/>
      <w:bookmarkStart w:id="216" w:name="_Toc127947956"/>
      <w:bookmarkStart w:id="217" w:name="_Toc127959126"/>
      <w:bookmarkStart w:id="218" w:name="_Toc127959535"/>
      <w:bookmarkStart w:id="219" w:name="_Toc128191087"/>
      <w:bookmarkStart w:id="220" w:name="_Toc128196510"/>
      <w:bookmarkStart w:id="221" w:name="_Toc128283916"/>
      <w:bookmarkStart w:id="222" w:name="_Toc128284075"/>
      <w:bookmarkStart w:id="223" w:name="_Toc128284101"/>
      <w:bookmarkStart w:id="224" w:name="_Toc128284290"/>
      <w:bookmarkStart w:id="225" w:name="_Toc131496147"/>
      <w:bookmarkStart w:id="226" w:name="_Toc131497430"/>
      <w:bookmarkStart w:id="227" w:name="_Toc131501862"/>
      <w:bookmarkStart w:id="228" w:name="_Toc171050318"/>
      <w:bookmarkStart w:id="229" w:name="_Toc123621760"/>
      <w:bookmarkStart w:id="230" w:name="_Toc123621907"/>
      <w:bookmarkStart w:id="231" w:name="_Toc123624867"/>
      <w:bookmarkStart w:id="232" w:name="_Toc123624934"/>
      <w:bookmarkStart w:id="233" w:name="_Toc123630129"/>
      <w:bookmarkStart w:id="234" w:name="_Toc123630147"/>
      <w:bookmarkStart w:id="235" w:name="_Toc123630165"/>
      <w:bookmarkStart w:id="236" w:name="_Toc124052051"/>
      <w:bookmarkStart w:id="237" w:name="_Toc124057996"/>
      <w:bookmarkStart w:id="238" w:name="_Toc124058057"/>
      <w:bookmarkStart w:id="239" w:name="_Toc124133811"/>
      <w:bookmarkStart w:id="240" w:name="_Toc124148134"/>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SchNo"/>
        </w:rPr>
        <w:t>Schedule 2</w:t>
      </w:r>
      <w:r>
        <w:t> — </w:t>
      </w:r>
      <w:r>
        <w:rPr>
          <w:rStyle w:val="CharSchText"/>
        </w:rPr>
        <w:t>Street lighting</w:t>
      </w:r>
      <w:bookmarkEnd w:id="179"/>
    </w:p>
    <w:p>
      <w:pPr>
        <w:pStyle w:val="yShoulderClause"/>
      </w:pPr>
      <w:r>
        <w:t>[bl. 4(2)]</w:t>
      </w:r>
    </w:p>
    <w:p>
      <w:pPr>
        <w:pStyle w:val="yFootnoteheading"/>
        <w:spacing w:after="120"/>
      </w:pPr>
      <w:r>
        <w:tab/>
        <w:t>[Heading inserted in Gazette 30 Mar 2009 p. 1006.]</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134" w:type="dxa"/>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804" w:type="dxa"/>
            <w:gridSpan w:val="6"/>
          </w:tcPr>
          <w:p>
            <w:pPr>
              <w:pStyle w:val="yTableNAm"/>
              <w:rPr>
                <w:i/>
                <w:iCs/>
                <w:sz w:val="18"/>
              </w:rPr>
            </w:pPr>
            <w:r>
              <w:rPr>
                <w:i/>
                <w:iCs/>
                <w:sz w:val="18"/>
              </w:rPr>
              <w:t>Street lighting on current offer and for existing services</w:t>
            </w:r>
          </w:p>
        </w:tc>
      </w:tr>
      <w:tr>
        <w:trPr>
          <w:cantSplit/>
        </w:trP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r>
              <w:rPr>
                <w:sz w:val="18"/>
              </w:rPr>
              <w:t>28.633</w:t>
            </w:r>
          </w:p>
        </w:tc>
        <w:tc>
          <w:tcPr>
            <w:tcW w:w="1276" w:type="dxa"/>
          </w:tcPr>
          <w:p>
            <w:pPr>
              <w:pStyle w:val="yTableNAm"/>
              <w:rPr>
                <w:sz w:val="18"/>
              </w:rPr>
            </w:pPr>
            <w:r>
              <w:rPr>
                <w:sz w:val="18"/>
              </w:rPr>
              <w:t>29.557</w:t>
            </w:r>
          </w:p>
        </w:tc>
        <w:tc>
          <w:tcPr>
            <w:tcW w:w="1134" w:type="dxa"/>
          </w:tcPr>
          <w:p>
            <w:pPr>
              <w:pStyle w:val="yTableNAm"/>
              <w:rPr>
                <w:sz w:val="18"/>
              </w:rPr>
            </w:pPr>
            <w:r>
              <w:rPr>
                <w:sz w:val="18"/>
              </w:rPr>
              <w:t>32.912</w:t>
            </w:r>
          </w:p>
        </w:tc>
      </w:tr>
      <w:tr>
        <w:trPr>
          <w:cantSplit/>
        </w:trP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t>29.304</w:t>
            </w:r>
          </w:p>
        </w:tc>
        <w:tc>
          <w:tcPr>
            <w:tcW w:w="1276" w:type="dxa"/>
          </w:tcPr>
          <w:p>
            <w:pPr>
              <w:pStyle w:val="yTableNAm"/>
              <w:rPr>
                <w:sz w:val="18"/>
              </w:rPr>
            </w:pPr>
            <w:r>
              <w:rPr>
                <w:sz w:val="18"/>
              </w:rPr>
              <w:br/>
              <w:t>30.261</w:t>
            </w:r>
          </w:p>
        </w:tc>
        <w:tc>
          <w:tcPr>
            <w:tcW w:w="1134" w:type="dxa"/>
          </w:tcPr>
          <w:p>
            <w:pPr>
              <w:pStyle w:val="yTableNAm"/>
              <w:rPr>
                <w:sz w:val="18"/>
              </w:rPr>
            </w:pPr>
            <w:r>
              <w:rPr>
                <w:sz w:val="18"/>
              </w:rPr>
              <w:br/>
              <w:t>34.100</w:t>
            </w:r>
          </w:p>
        </w:tc>
      </w:tr>
      <w:tr>
        <w:trPr>
          <w:cantSplit/>
        </w:trP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35.530</w:t>
            </w:r>
          </w:p>
        </w:tc>
        <w:tc>
          <w:tcPr>
            <w:tcW w:w="1276" w:type="dxa"/>
          </w:tcPr>
          <w:p>
            <w:pPr>
              <w:pStyle w:val="yTableNAm"/>
              <w:rPr>
                <w:sz w:val="18"/>
              </w:rPr>
            </w:pPr>
            <w:r>
              <w:rPr>
                <w:sz w:val="18"/>
              </w:rPr>
              <w:t>37.334</w:t>
            </w:r>
          </w:p>
        </w:tc>
        <w:tc>
          <w:tcPr>
            <w:tcW w:w="1134" w:type="dxa"/>
          </w:tcPr>
          <w:p>
            <w:pPr>
              <w:pStyle w:val="yTableNAm"/>
              <w:rPr>
                <w:sz w:val="18"/>
              </w:rPr>
            </w:pPr>
            <w:r>
              <w:rPr>
                <w:sz w:val="18"/>
              </w:rPr>
              <w:t>44.077</w:t>
            </w:r>
          </w:p>
        </w:tc>
      </w:tr>
      <w:tr>
        <w:trPr>
          <w:cantSplit/>
        </w:trP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52.635</w:t>
            </w:r>
          </w:p>
        </w:tc>
        <w:tc>
          <w:tcPr>
            <w:tcW w:w="1276" w:type="dxa"/>
          </w:tcPr>
          <w:p>
            <w:pPr>
              <w:pStyle w:val="yTableNAm"/>
              <w:rPr>
                <w:sz w:val="18"/>
              </w:rPr>
            </w:pPr>
            <w:r>
              <w:rPr>
                <w:sz w:val="18"/>
              </w:rPr>
              <w:t>55.385</w:t>
            </w:r>
          </w:p>
        </w:tc>
        <w:tc>
          <w:tcPr>
            <w:tcW w:w="1134" w:type="dxa"/>
          </w:tcPr>
          <w:p>
            <w:pPr>
              <w:pStyle w:val="yTableNAm"/>
              <w:rPr>
                <w:sz w:val="18"/>
              </w:rPr>
            </w:pPr>
            <w:r>
              <w:rPr>
                <w:sz w:val="18"/>
              </w:rPr>
              <w:t>65.912</w:t>
            </w:r>
          </w:p>
        </w:tc>
      </w:tr>
      <w:tr>
        <w:trPr>
          <w:cantSplit/>
        </w:trP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27.126</w:t>
            </w:r>
          </w:p>
        </w:tc>
        <w:tc>
          <w:tcPr>
            <w:tcW w:w="1276" w:type="dxa"/>
          </w:tcPr>
          <w:p>
            <w:pPr>
              <w:pStyle w:val="yTableNAm"/>
              <w:rPr>
                <w:sz w:val="18"/>
              </w:rPr>
            </w:pPr>
            <w:r>
              <w:rPr>
                <w:sz w:val="18"/>
              </w:rPr>
              <w:br/>
              <w:t>28.116</w:t>
            </w:r>
          </w:p>
        </w:tc>
        <w:tc>
          <w:tcPr>
            <w:tcW w:w="1134" w:type="dxa"/>
          </w:tcPr>
          <w:p>
            <w:pPr>
              <w:pStyle w:val="yTableNAm"/>
              <w:rPr>
                <w:sz w:val="18"/>
              </w:rPr>
            </w:pPr>
            <w:r>
              <w:rPr>
                <w:sz w:val="18"/>
              </w:rPr>
              <w:br/>
              <w:t>33.682</w:t>
            </w:r>
          </w:p>
        </w:tc>
      </w:tr>
      <w:tr>
        <w:trPr>
          <w:cantSplit/>
        </w:trP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40.205</w:t>
            </w:r>
          </w:p>
        </w:tc>
        <w:tc>
          <w:tcPr>
            <w:tcW w:w="1276" w:type="dxa"/>
          </w:tcPr>
          <w:p>
            <w:pPr>
              <w:pStyle w:val="yTableNAm"/>
              <w:rPr>
                <w:sz w:val="18"/>
              </w:rPr>
            </w:pPr>
            <w:r>
              <w:rPr>
                <w:sz w:val="18"/>
              </w:rPr>
              <w:br/>
              <w:t>42.350</w:t>
            </w:r>
          </w:p>
        </w:tc>
        <w:tc>
          <w:tcPr>
            <w:tcW w:w="1134" w:type="dxa"/>
          </w:tcPr>
          <w:p>
            <w:pPr>
              <w:pStyle w:val="yTableNAm"/>
              <w:rPr>
                <w:sz w:val="18"/>
              </w:rPr>
            </w:pPr>
            <w:r>
              <w:rPr>
                <w:sz w:val="18"/>
              </w:rPr>
              <w:br/>
              <w:t>50.611</w:t>
            </w:r>
          </w:p>
        </w:tc>
      </w:tr>
      <w:tr>
        <w:trPr>
          <w:cantSplit/>
        </w:trP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t>115.181</w:t>
            </w:r>
          </w:p>
        </w:tc>
        <w:tc>
          <w:tcPr>
            <w:tcW w:w="1276" w:type="dxa"/>
          </w:tcPr>
          <w:p>
            <w:pPr>
              <w:pStyle w:val="yTableNAm"/>
              <w:rPr>
                <w:sz w:val="18"/>
              </w:rPr>
            </w:pPr>
            <w:r>
              <w:rPr>
                <w:sz w:val="18"/>
              </w:rPr>
              <w:br/>
              <w:t>121.583</w:t>
            </w:r>
          </w:p>
        </w:tc>
        <w:tc>
          <w:tcPr>
            <w:tcW w:w="1134" w:type="dxa"/>
          </w:tcPr>
          <w:p>
            <w:pPr>
              <w:pStyle w:val="yTableNAm"/>
              <w:rPr>
                <w:sz w:val="18"/>
              </w:rPr>
            </w:pPr>
            <w:r>
              <w:rPr>
                <w:sz w:val="18"/>
              </w:rPr>
              <w:br/>
              <w:t>146.762</w:t>
            </w:r>
          </w:p>
        </w:tc>
      </w:tr>
      <w:tr>
        <w:trPr>
          <w:cantSplit/>
        </w:trPr>
        <w:tc>
          <w:tcPr>
            <w:tcW w:w="6804" w:type="dxa"/>
            <w:gridSpan w:val="6"/>
          </w:tcPr>
          <w:p>
            <w:pPr>
              <w:pStyle w:val="yTableNAm"/>
              <w:rPr>
                <w:i/>
                <w:iCs/>
                <w:sz w:val="18"/>
              </w:rPr>
            </w:pPr>
            <w:r>
              <w:rPr>
                <w:i/>
                <w:iCs/>
                <w:sz w:val="18"/>
              </w:rPr>
              <w:t>Street lighting for existing services only</w:t>
            </w:r>
          </w:p>
        </w:tc>
      </w:tr>
      <w:tr>
        <w:trPr>
          <w:cantSplit/>
        </w:trP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46.046</w:t>
            </w:r>
          </w:p>
        </w:tc>
        <w:tc>
          <w:tcPr>
            <w:tcW w:w="1276" w:type="dxa"/>
          </w:tcPr>
          <w:p>
            <w:pPr>
              <w:pStyle w:val="yTableNAm"/>
              <w:rPr>
                <w:sz w:val="18"/>
              </w:rPr>
            </w:pPr>
            <w:r>
              <w:rPr>
                <w:sz w:val="18"/>
              </w:rPr>
              <w:t>47.839</w:t>
            </w:r>
          </w:p>
        </w:tc>
        <w:tc>
          <w:tcPr>
            <w:tcW w:w="1134" w:type="dxa"/>
          </w:tcPr>
          <w:p>
            <w:pPr>
              <w:pStyle w:val="yTableNAm"/>
              <w:rPr>
                <w:sz w:val="18"/>
              </w:rPr>
            </w:pPr>
            <w:r>
              <w:rPr>
                <w:sz w:val="18"/>
              </w:rPr>
              <w:t>54.593</w:t>
            </w:r>
          </w:p>
        </w:tc>
      </w:tr>
      <w:tr>
        <w:trPr>
          <w:cantSplit/>
        </w:trP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63.151</w:t>
            </w:r>
          </w:p>
        </w:tc>
        <w:tc>
          <w:tcPr>
            <w:tcW w:w="1276" w:type="dxa"/>
          </w:tcPr>
          <w:p>
            <w:pPr>
              <w:pStyle w:val="yTableNAm"/>
              <w:rPr>
                <w:sz w:val="18"/>
              </w:rPr>
            </w:pPr>
            <w:r>
              <w:rPr>
                <w:sz w:val="18"/>
              </w:rPr>
              <w:t>65.912</w:t>
            </w:r>
          </w:p>
        </w:tc>
        <w:tc>
          <w:tcPr>
            <w:tcW w:w="1134" w:type="dxa"/>
          </w:tcPr>
          <w:p>
            <w:pPr>
              <w:pStyle w:val="yTableNAm"/>
              <w:rPr>
                <w:sz w:val="18"/>
              </w:rPr>
            </w:pPr>
            <w:r>
              <w:rPr>
                <w:sz w:val="18"/>
              </w:rPr>
              <w:t>76.384</w:t>
            </w:r>
          </w:p>
        </w:tc>
      </w:tr>
      <w:tr>
        <w:trPr>
          <w:cantSplit/>
        </w:trP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40.777</w:t>
            </w:r>
          </w:p>
        </w:tc>
        <w:tc>
          <w:tcPr>
            <w:tcW w:w="1276" w:type="dxa"/>
          </w:tcPr>
          <w:p>
            <w:pPr>
              <w:pStyle w:val="yTableNAm"/>
              <w:rPr>
                <w:sz w:val="18"/>
              </w:rPr>
            </w:pPr>
            <w:r>
              <w:rPr>
                <w:sz w:val="18"/>
              </w:rPr>
              <w:br/>
              <w:t>42.559</w:t>
            </w:r>
          </w:p>
        </w:tc>
        <w:tc>
          <w:tcPr>
            <w:tcW w:w="1134" w:type="dxa"/>
          </w:tcPr>
          <w:p>
            <w:pPr>
              <w:pStyle w:val="yTableNAm"/>
              <w:rPr>
                <w:sz w:val="18"/>
              </w:rPr>
            </w:pPr>
            <w:r>
              <w:rPr>
                <w:sz w:val="18"/>
              </w:rPr>
              <w:br/>
              <w:t>49.335</w:t>
            </w:r>
          </w:p>
        </w:tc>
      </w:tr>
      <w:tr>
        <w:trPr>
          <w:cantSplit/>
        </w:trP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46.046</w:t>
            </w:r>
          </w:p>
        </w:tc>
        <w:tc>
          <w:tcPr>
            <w:tcW w:w="1276" w:type="dxa"/>
          </w:tcPr>
          <w:p>
            <w:pPr>
              <w:pStyle w:val="yTableNAm"/>
              <w:rPr>
                <w:sz w:val="18"/>
              </w:rPr>
            </w:pPr>
            <w:r>
              <w:rPr>
                <w:sz w:val="18"/>
              </w:rPr>
              <w:br/>
              <w:t>47.839</w:t>
            </w:r>
          </w:p>
        </w:tc>
        <w:tc>
          <w:tcPr>
            <w:tcW w:w="1134" w:type="dxa"/>
          </w:tcPr>
          <w:p>
            <w:pPr>
              <w:pStyle w:val="yTableNAm"/>
              <w:rPr>
                <w:sz w:val="18"/>
              </w:rPr>
            </w:pPr>
            <w:r>
              <w:rPr>
                <w:sz w:val="18"/>
              </w:rPr>
              <w:br/>
              <w:t>54.593</w:t>
            </w:r>
          </w:p>
        </w:tc>
      </w:tr>
      <w:tr>
        <w:trPr>
          <w:cantSplit/>
        </w:trP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57.893</w:t>
            </w:r>
          </w:p>
        </w:tc>
        <w:tc>
          <w:tcPr>
            <w:tcW w:w="1276" w:type="dxa"/>
          </w:tcPr>
          <w:p>
            <w:pPr>
              <w:pStyle w:val="yTableNAm"/>
              <w:rPr>
                <w:sz w:val="18"/>
              </w:rPr>
            </w:pPr>
            <w:r>
              <w:rPr>
                <w:sz w:val="18"/>
              </w:rPr>
              <w:br/>
              <w:t>60.654</w:t>
            </w:r>
          </w:p>
        </w:tc>
        <w:tc>
          <w:tcPr>
            <w:tcW w:w="1134" w:type="dxa"/>
          </w:tcPr>
          <w:p>
            <w:pPr>
              <w:pStyle w:val="yTableNAm"/>
              <w:rPr>
                <w:sz w:val="18"/>
              </w:rPr>
            </w:pPr>
            <w:r>
              <w:rPr>
                <w:sz w:val="18"/>
              </w:rPr>
              <w:br/>
              <w:t>71.137</w:t>
            </w:r>
          </w:p>
        </w:tc>
      </w:tr>
      <w:tr>
        <w:trPr>
          <w:cantSplit/>
        </w:trP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63.151</w:t>
            </w:r>
          </w:p>
        </w:tc>
        <w:tc>
          <w:tcPr>
            <w:tcW w:w="1276" w:type="dxa"/>
          </w:tcPr>
          <w:p>
            <w:pPr>
              <w:pStyle w:val="yTableNAm"/>
              <w:rPr>
                <w:sz w:val="18"/>
              </w:rPr>
            </w:pPr>
            <w:r>
              <w:rPr>
                <w:sz w:val="18"/>
              </w:rPr>
              <w:br/>
              <w:t>65.912</w:t>
            </w:r>
          </w:p>
        </w:tc>
        <w:tc>
          <w:tcPr>
            <w:tcW w:w="1134" w:type="dxa"/>
          </w:tcPr>
          <w:p>
            <w:pPr>
              <w:pStyle w:val="yTableNAm"/>
              <w:rPr>
                <w:sz w:val="18"/>
              </w:rPr>
            </w:pPr>
            <w:r>
              <w:rPr>
                <w:sz w:val="18"/>
              </w:rPr>
              <w:br/>
              <w:t>76.384</w:t>
            </w:r>
          </w:p>
        </w:tc>
      </w:tr>
      <w:tr>
        <w:trPr>
          <w:cantSplit/>
        </w:trP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r>
              <w:rPr>
                <w:sz w:val="18"/>
              </w:rPr>
              <w:t>41.844</w:t>
            </w:r>
          </w:p>
        </w:tc>
        <w:tc>
          <w:tcPr>
            <w:tcW w:w="1276" w:type="dxa"/>
          </w:tcPr>
          <w:p>
            <w:pPr>
              <w:pStyle w:val="yTableNAm"/>
              <w:rPr>
                <w:sz w:val="18"/>
              </w:rPr>
            </w:pPr>
            <w:r>
              <w:rPr>
                <w:sz w:val="18"/>
              </w:rPr>
              <w:t>42.823</w:t>
            </w:r>
          </w:p>
        </w:tc>
        <w:tc>
          <w:tcPr>
            <w:tcW w:w="1134" w:type="dxa"/>
          </w:tcPr>
          <w:p>
            <w:pPr>
              <w:pStyle w:val="yTableNAm"/>
              <w:rPr>
                <w:sz w:val="18"/>
              </w:rPr>
            </w:pPr>
            <w:r>
              <w:rPr>
                <w:sz w:val="18"/>
              </w:rPr>
              <w:t>48.367</w:t>
            </w:r>
          </w:p>
        </w:tc>
      </w:tr>
      <w:tr>
        <w:trPr>
          <w:cantSplit/>
        </w:trP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t>48.081</w:t>
            </w:r>
          </w:p>
        </w:tc>
        <w:tc>
          <w:tcPr>
            <w:tcW w:w="1276" w:type="dxa"/>
          </w:tcPr>
          <w:p>
            <w:pPr>
              <w:pStyle w:val="yTableNAm"/>
              <w:rPr>
                <w:sz w:val="18"/>
              </w:rPr>
            </w:pPr>
            <w:r>
              <w:rPr>
                <w:sz w:val="18"/>
              </w:rPr>
              <w:br/>
              <w:t>50.237</w:t>
            </w:r>
          </w:p>
        </w:tc>
        <w:tc>
          <w:tcPr>
            <w:tcW w:w="1134" w:type="dxa"/>
          </w:tcPr>
          <w:p>
            <w:pPr>
              <w:pStyle w:val="yTableNAm"/>
              <w:rPr>
                <w:sz w:val="18"/>
              </w:rPr>
            </w:pPr>
            <w:r>
              <w:rPr>
                <w:sz w:val="18"/>
              </w:rPr>
              <w:br/>
              <w:t>58.487</w:t>
            </w:r>
          </w:p>
        </w:tc>
      </w:tr>
      <w:tr>
        <w:trPr>
          <w:cantSplit/>
        </w:trP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t>55.935</w:t>
            </w:r>
          </w:p>
        </w:tc>
        <w:tc>
          <w:tcPr>
            <w:tcW w:w="1276" w:type="dxa"/>
          </w:tcPr>
          <w:p>
            <w:pPr>
              <w:pStyle w:val="yTableNAm"/>
              <w:rPr>
                <w:sz w:val="18"/>
              </w:rPr>
            </w:pPr>
            <w:r>
              <w:rPr>
                <w:sz w:val="18"/>
              </w:rPr>
              <w:br/>
              <w:t>58.124</w:t>
            </w:r>
          </w:p>
        </w:tc>
        <w:tc>
          <w:tcPr>
            <w:tcW w:w="1134" w:type="dxa"/>
          </w:tcPr>
          <w:p>
            <w:pPr>
              <w:pStyle w:val="yTableNAm"/>
              <w:rPr>
                <w:sz w:val="18"/>
              </w:rPr>
            </w:pPr>
            <w:r>
              <w:rPr>
                <w:sz w:val="18"/>
              </w:rPr>
              <w:br/>
              <w:t>66.374</w:t>
            </w:r>
          </w:p>
        </w:tc>
      </w:tr>
      <w:tr>
        <w:trPr>
          <w:cantSplit/>
        </w:trP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r>
              <w:rPr>
                <w:sz w:val="18"/>
              </w:rPr>
              <w:t>28.633</w:t>
            </w:r>
          </w:p>
        </w:tc>
        <w:tc>
          <w:tcPr>
            <w:tcW w:w="1276" w:type="dxa"/>
          </w:tcPr>
          <w:p>
            <w:pPr>
              <w:pStyle w:val="yTableNAm"/>
              <w:rPr>
                <w:sz w:val="18"/>
              </w:rPr>
            </w:pPr>
            <w:r>
              <w:rPr>
                <w:sz w:val="18"/>
              </w:rPr>
              <w:t>29.557</w:t>
            </w:r>
          </w:p>
        </w:tc>
        <w:tc>
          <w:tcPr>
            <w:tcW w:w="1134" w:type="dxa"/>
          </w:tcPr>
          <w:p>
            <w:pPr>
              <w:pStyle w:val="yTableNAm"/>
              <w:rPr>
                <w:sz w:val="18"/>
              </w:rPr>
            </w:pPr>
            <w:r>
              <w:rPr>
                <w:sz w:val="18"/>
              </w:rPr>
              <w:t>32.912</w:t>
            </w:r>
          </w:p>
        </w:tc>
      </w:tr>
      <w:tr>
        <w:trPr>
          <w:cantSplit/>
        </w:trP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r>
              <w:rPr>
                <w:sz w:val="18"/>
              </w:rPr>
              <w:t>46.046</w:t>
            </w:r>
          </w:p>
        </w:tc>
        <w:tc>
          <w:tcPr>
            <w:tcW w:w="1276" w:type="dxa"/>
          </w:tcPr>
          <w:p>
            <w:pPr>
              <w:pStyle w:val="yTableNAm"/>
              <w:rPr>
                <w:sz w:val="18"/>
              </w:rPr>
            </w:pPr>
            <w:r>
              <w:rPr>
                <w:sz w:val="18"/>
              </w:rPr>
              <w:t>47.839</w:t>
            </w:r>
          </w:p>
        </w:tc>
        <w:tc>
          <w:tcPr>
            <w:tcW w:w="1134" w:type="dxa"/>
          </w:tcPr>
          <w:p>
            <w:pPr>
              <w:pStyle w:val="yTableNAm"/>
              <w:rPr>
                <w:sz w:val="18"/>
              </w:rPr>
            </w:pPr>
            <w:r>
              <w:rPr>
                <w:sz w:val="18"/>
              </w:rPr>
              <w:t>54.593</w:t>
            </w:r>
          </w:p>
        </w:tc>
      </w:tr>
      <w:tr>
        <w:trPr>
          <w:cantSplit/>
        </w:trP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r>
              <w:rPr>
                <w:sz w:val="18"/>
              </w:rPr>
              <w:t>32.384</w:t>
            </w:r>
          </w:p>
        </w:tc>
        <w:tc>
          <w:tcPr>
            <w:tcW w:w="1276" w:type="dxa"/>
            <w:tcBorders>
              <w:bottom w:val="single" w:sz="4" w:space="0" w:color="auto"/>
            </w:tcBorders>
          </w:tcPr>
          <w:p>
            <w:pPr>
              <w:pStyle w:val="yTableNAm"/>
              <w:rPr>
                <w:sz w:val="18"/>
              </w:rPr>
            </w:pPr>
            <w:r>
              <w:rPr>
                <w:sz w:val="18"/>
              </w:rPr>
              <w:t>32.835</w:t>
            </w:r>
          </w:p>
        </w:tc>
        <w:tc>
          <w:tcPr>
            <w:tcW w:w="1134" w:type="dxa"/>
            <w:tcBorders>
              <w:bottom w:val="single" w:sz="4" w:space="0" w:color="auto"/>
            </w:tcBorders>
          </w:tcPr>
          <w:p>
            <w:pPr>
              <w:pStyle w:val="yTableNAm"/>
              <w:rPr>
                <w:sz w:val="18"/>
              </w:rPr>
            </w:pPr>
            <w:r>
              <w:rPr>
                <w:sz w:val="18"/>
              </w:rPr>
              <w:t>38.093</w:t>
            </w:r>
          </w:p>
        </w:tc>
      </w:tr>
    </w:tbl>
    <w:p>
      <w:pPr>
        <w:pStyle w:val="Footnotesection"/>
        <w:rPr>
          <w:rStyle w:val="CharSchNo"/>
        </w:rPr>
      </w:pPr>
      <w:r>
        <w:rPr>
          <w:rStyle w:val="CharSchNo"/>
        </w:rPr>
        <w:tab/>
        <w:t xml:space="preserve">[Schedule 2 inserted </w:t>
      </w:r>
      <w:r>
        <w:t>in Gazette 30 Mar 2009 p. 1006</w:t>
      </w:r>
      <w:r>
        <w:noBreakHyphen/>
        <w:t>8.]</w:t>
      </w:r>
    </w:p>
    <w:p>
      <w:pPr>
        <w:pStyle w:val="yScheduleHeading"/>
      </w:pPr>
      <w:bookmarkStart w:id="241" w:name="_Toc226274355"/>
      <w:r>
        <w:rPr>
          <w:rStyle w:val="CharSchNo"/>
        </w:rPr>
        <w:t>Schedule 3</w:t>
      </w:r>
      <w:r>
        <w:rPr>
          <w:rStyle w:val="CharSDivNo"/>
        </w:rPr>
        <w:t> </w:t>
      </w:r>
      <w:r>
        <w:t>—</w:t>
      </w:r>
      <w:r>
        <w:rPr>
          <w:rStyle w:val="CharSDivText"/>
        </w:rPr>
        <w:t> </w:t>
      </w:r>
      <w:r>
        <w:rPr>
          <w:rStyle w:val="CharSchText"/>
        </w:rPr>
        <w:t>Meter rentals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41"/>
    </w:p>
    <w:bookmarkEnd w:id="229"/>
    <w:bookmarkEnd w:id="230"/>
    <w:bookmarkEnd w:id="231"/>
    <w:bookmarkEnd w:id="232"/>
    <w:bookmarkEnd w:id="233"/>
    <w:bookmarkEnd w:id="234"/>
    <w:bookmarkEnd w:id="235"/>
    <w:bookmarkEnd w:id="236"/>
    <w:bookmarkEnd w:id="237"/>
    <w:bookmarkEnd w:id="238"/>
    <w:bookmarkEnd w:id="239"/>
    <w:bookmarkEnd w:id="240"/>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42" w:name="_Toc123621761"/>
      <w:bookmarkStart w:id="243" w:name="_Toc123621908"/>
      <w:bookmarkStart w:id="244" w:name="_Toc123624868"/>
      <w:bookmarkStart w:id="245" w:name="_Toc123624935"/>
      <w:bookmarkStart w:id="246" w:name="_Toc123630130"/>
      <w:bookmarkStart w:id="247" w:name="_Toc123630148"/>
      <w:bookmarkStart w:id="248" w:name="_Toc123630166"/>
      <w:bookmarkStart w:id="249" w:name="_Toc124052052"/>
      <w:bookmarkStart w:id="250" w:name="_Toc124057997"/>
      <w:bookmarkStart w:id="251" w:name="_Toc124058058"/>
      <w:bookmarkStart w:id="252" w:name="_Toc124133812"/>
      <w:bookmarkStart w:id="253" w:name="_Toc124148135"/>
      <w:bookmarkStart w:id="254" w:name="_Toc124157867"/>
      <w:bookmarkStart w:id="255" w:name="_Toc124216744"/>
      <w:bookmarkStart w:id="256" w:name="_Toc124217252"/>
      <w:bookmarkStart w:id="257" w:name="_Toc124218591"/>
      <w:bookmarkStart w:id="258" w:name="_Toc124222751"/>
      <w:bookmarkStart w:id="259" w:name="_Toc124224479"/>
      <w:bookmarkStart w:id="260" w:name="_Toc124224512"/>
      <w:bookmarkStart w:id="261" w:name="_Toc124224880"/>
      <w:bookmarkStart w:id="262" w:name="_Toc124224980"/>
      <w:bookmarkStart w:id="263" w:name="_Toc124225770"/>
      <w:bookmarkStart w:id="264" w:name="_Toc124226031"/>
      <w:bookmarkStart w:id="265" w:name="_Toc124235193"/>
      <w:bookmarkStart w:id="266" w:name="_Toc124235994"/>
      <w:bookmarkStart w:id="267" w:name="_Toc125272420"/>
      <w:bookmarkStart w:id="268" w:name="_Toc125279430"/>
      <w:bookmarkStart w:id="269" w:name="_Toc127005831"/>
      <w:bookmarkStart w:id="270" w:name="_Toc127006378"/>
      <w:bookmarkStart w:id="271" w:name="_Toc127077912"/>
      <w:bookmarkStart w:id="272" w:name="_Toc127078617"/>
      <w:bookmarkStart w:id="273" w:name="_Toc127079204"/>
      <w:bookmarkStart w:id="274" w:name="_Toc127079726"/>
      <w:bookmarkStart w:id="275" w:name="_Toc127083151"/>
      <w:bookmarkStart w:id="276" w:name="_Toc127084573"/>
      <w:bookmarkStart w:id="277" w:name="_Toc127084607"/>
      <w:bookmarkStart w:id="278" w:name="_Toc127084754"/>
      <w:bookmarkStart w:id="279" w:name="_Toc127085273"/>
      <w:bookmarkStart w:id="280" w:name="_Toc127085682"/>
      <w:bookmarkStart w:id="281" w:name="_Toc127085724"/>
      <w:bookmarkStart w:id="282" w:name="_Toc127085796"/>
      <w:bookmarkStart w:id="283" w:name="_Toc127086364"/>
      <w:bookmarkStart w:id="284" w:name="_Toc127672636"/>
      <w:bookmarkStart w:id="285" w:name="_Toc127695305"/>
      <w:bookmarkStart w:id="286" w:name="_Toc127695748"/>
      <w:bookmarkStart w:id="287" w:name="_Toc127699632"/>
      <w:bookmarkStart w:id="288" w:name="_Toc127947042"/>
      <w:bookmarkStart w:id="289" w:name="_Toc127947931"/>
      <w:bookmarkStart w:id="290" w:name="_Toc127947957"/>
      <w:bookmarkStart w:id="291" w:name="_Toc127959127"/>
      <w:bookmarkStart w:id="292" w:name="_Toc127959536"/>
      <w:bookmarkStart w:id="293" w:name="_Toc128191088"/>
      <w:bookmarkStart w:id="294" w:name="_Toc128196511"/>
      <w:bookmarkStart w:id="295" w:name="_Toc128283917"/>
      <w:bookmarkStart w:id="296" w:name="_Toc128284076"/>
      <w:bookmarkStart w:id="297" w:name="_Toc128284102"/>
      <w:bookmarkStart w:id="298" w:name="_Toc128284291"/>
      <w:bookmarkStart w:id="299" w:name="_Toc131496148"/>
      <w:bookmarkStart w:id="300" w:name="_Toc131497431"/>
      <w:bookmarkStart w:id="301" w:name="_Toc131501863"/>
      <w:bookmarkStart w:id="302" w:name="_Toc171050319"/>
      <w:bookmarkStart w:id="303" w:name="_Toc226274356"/>
      <w:r>
        <w:rPr>
          <w:rStyle w:val="CharSchNo"/>
        </w:rPr>
        <w:t>Schedule 4</w:t>
      </w:r>
      <w:r>
        <w:rPr>
          <w:rStyle w:val="CharSDivNo"/>
        </w:rPr>
        <w:t> </w:t>
      </w:r>
      <w:r>
        <w:t>—</w:t>
      </w:r>
      <w:r>
        <w:rPr>
          <w:rStyle w:val="CharSDivText"/>
        </w:rPr>
        <w:t> </w:t>
      </w:r>
      <w:r>
        <w:rPr>
          <w:rStyle w:val="CharSchText"/>
        </w:rPr>
        <w:t>Fees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spacing w:after="60"/>
              <w:rPr>
                <w:b/>
                <w:iCs/>
              </w:rPr>
            </w:pPr>
            <w:r>
              <w:rPr>
                <w:b/>
                <w:iCs/>
              </w:rPr>
              <w:t>Description of fee</w:t>
            </w:r>
          </w:p>
        </w:tc>
        <w:tc>
          <w:tcPr>
            <w:tcW w:w="1418" w:type="dxa"/>
            <w:tcBorders>
              <w:top w:val="single" w:sz="4" w:space="0" w:color="auto"/>
              <w:bottom w:val="single" w:sz="4" w:space="0" w:color="auto"/>
            </w:tcBorders>
          </w:tcPr>
          <w:p>
            <w:pPr>
              <w:pStyle w:val="yTable"/>
              <w:spacing w:after="60"/>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35.277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45.089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Rejected account payment …………………………</w:t>
            </w:r>
          </w:p>
        </w:tc>
        <w:tc>
          <w:tcPr>
            <w:tcW w:w="1418" w:type="dxa"/>
            <w:tcBorders>
              <w:bottom w:val="single" w:sz="4" w:space="0" w:color="auto"/>
            </w:tcBorders>
          </w:tcPr>
          <w:p>
            <w:pPr>
              <w:pStyle w:val="yTable"/>
              <w:tabs>
                <w:tab w:val="decimal" w:pos="425"/>
              </w:tabs>
              <w:spacing w:before="0"/>
            </w:pPr>
            <w:r>
              <w:t>$20.00</w:t>
            </w:r>
          </w:p>
        </w:tc>
      </w:tr>
    </w:tbl>
    <w:p>
      <w:pPr>
        <w:pStyle w:val="yFootnotesection"/>
      </w:pPr>
      <w:bookmarkStart w:id="304" w:name="_Toc113695922"/>
      <w:r>
        <w:tab/>
        <w:t>[Schedule 4 amended in Gazette 29 Jun 2007 p. 3193; 30 Mar 2009 p. 1008.]</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05" w:name="_Toc131497432"/>
      <w:bookmarkStart w:id="306" w:name="_Toc131501864"/>
      <w:bookmarkStart w:id="307" w:name="_Toc171050320"/>
      <w:bookmarkStart w:id="308" w:name="_Toc226274357"/>
      <w:r>
        <w:t>Notes</w:t>
      </w:r>
      <w:bookmarkEnd w:id="304"/>
      <w:bookmarkEnd w:id="305"/>
      <w:bookmarkEnd w:id="306"/>
      <w:bookmarkEnd w:id="307"/>
      <w:bookmarkEnd w:id="308"/>
    </w:p>
    <w:p>
      <w:pPr>
        <w:pStyle w:val="nSubsection"/>
        <w:rPr>
          <w:snapToGrid w:val="0"/>
        </w:rPr>
      </w:pPr>
      <w:bookmarkStart w:id="309" w:name="_Toc70311430"/>
      <w:bookmarkStart w:id="310"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11" w:name="_Toc226274358"/>
      <w:r>
        <w:t>Compilation table</w:t>
      </w:r>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rPr>
            </w:pPr>
            <w:r>
              <w:rPr>
                <w:i/>
                <w:noProof/>
                <w:snapToGrid w:val="0"/>
              </w:rPr>
              <w:t>Energy Operators (Regional Power Corporation) (Charges) By-laws 2006</w:t>
            </w:r>
          </w:p>
        </w:tc>
        <w:tc>
          <w:tcPr>
            <w:tcW w:w="1276" w:type="dxa"/>
          </w:tcPr>
          <w:p>
            <w:pPr>
              <w:pStyle w:val="nTable"/>
            </w:pPr>
            <w:r>
              <w:t>31 Mar 2006 p. 1279</w:t>
            </w:r>
            <w:r>
              <w:noBreakHyphen/>
              <w:t>97</w:t>
            </w:r>
          </w:p>
        </w:tc>
        <w:tc>
          <w:tcPr>
            <w:tcW w:w="2693" w:type="dxa"/>
          </w:tcPr>
          <w:p>
            <w:pPr>
              <w:pStyle w:val="nTable"/>
            </w:pPr>
            <w:r>
              <w:t>1 Apr 2006 (see bl. 2)</w:t>
            </w:r>
          </w:p>
        </w:tc>
      </w:tr>
      <w:tr>
        <w:tc>
          <w:tcPr>
            <w:tcW w:w="3118" w:type="dxa"/>
          </w:tcPr>
          <w:p>
            <w:pPr>
              <w:pStyle w:val="nTable"/>
              <w:rPr>
                <w:i/>
                <w:noProof/>
                <w:snapToGrid w:val="0"/>
              </w:rPr>
            </w:pPr>
            <w:r>
              <w:rPr>
                <w:i/>
                <w:noProof/>
                <w:snapToGrid w:val="0"/>
              </w:rPr>
              <w:t>Energy Operators (Regional Power Corporation) (Charges) Amendment By</w:t>
            </w:r>
            <w:r>
              <w:rPr>
                <w:i/>
                <w:noProof/>
                <w:snapToGrid w:val="0"/>
              </w:rPr>
              <w:noBreakHyphen/>
              <w:t>law  2007</w:t>
            </w:r>
          </w:p>
        </w:tc>
        <w:tc>
          <w:tcPr>
            <w:tcW w:w="1276" w:type="dxa"/>
          </w:tcPr>
          <w:p>
            <w:pPr>
              <w:pStyle w:val="nTable"/>
            </w:pPr>
            <w:r>
              <w:t>29 Jun 2007 p. 3192-3</w:t>
            </w:r>
          </w:p>
        </w:tc>
        <w:tc>
          <w:tcPr>
            <w:tcW w:w="2693" w:type="dxa"/>
          </w:tcPr>
          <w:p>
            <w:pPr>
              <w:pStyle w:val="nTable"/>
              <w:rPr>
                <w:sz w:val="19"/>
              </w:rPr>
            </w:pPr>
            <w:r>
              <w:rPr>
                <w:sz w:val="19"/>
              </w:rPr>
              <w:t>bl. 1 and 2: 29 Jun 2007 (see bl. 2(a));</w:t>
            </w:r>
          </w:p>
          <w:p>
            <w:pPr>
              <w:pStyle w:val="nTable"/>
            </w:pPr>
            <w:r>
              <w:rPr>
                <w:sz w:val="19"/>
              </w:rPr>
              <w:t>By-laws other than bl. 1 and 2: 1 Jul 2007 (see bl. 2(b))</w:t>
            </w:r>
          </w:p>
        </w:tc>
      </w:tr>
      <w:tr>
        <w:tc>
          <w:tcPr>
            <w:tcW w:w="3118" w:type="dxa"/>
            <w:tcBorders>
              <w:bottom w:val="single" w:sz="4" w:space="0" w:color="auto"/>
            </w:tcBorders>
          </w:tcPr>
          <w:p>
            <w:pPr>
              <w:pStyle w:val="nTable"/>
              <w:rPr>
                <w:iCs/>
              </w:rPr>
            </w:pPr>
            <w:r>
              <w:rPr>
                <w:i/>
                <w:noProof/>
                <w:snapToGrid w:val="0"/>
              </w:rPr>
              <w:t>Energy Operators (Regional Power Corporation) (Charges) Amendment By</w:t>
            </w:r>
            <w:r>
              <w:rPr>
                <w:i/>
                <w:noProof/>
                <w:snapToGrid w:val="0"/>
              </w:rPr>
              <w:noBreakHyphen/>
              <w:t>laws 2009</w:t>
            </w:r>
            <w:r>
              <w:rPr>
                <w:iCs/>
                <w:noProof/>
                <w:snapToGrid w:val="0"/>
              </w:rPr>
              <w:t xml:space="preserve"> bl. 3 and Pt. 2</w:t>
            </w:r>
          </w:p>
        </w:tc>
        <w:tc>
          <w:tcPr>
            <w:tcW w:w="1276" w:type="dxa"/>
            <w:tcBorders>
              <w:bottom w:val="single" w:sz="4" w:space="0" w:color="auto"/>
            </w:tcBorders>
          </w:tcPr>
          <w:p>
            <w:pPr>
              <w:pStyle w:val="nTable"/>
            </w:pPr>
            <w:r>
              <w:t>30 Mar 2009 p. 997</w:t>
            </w:r>
            <w:r>
              <w:noBreakHyphen/>
              <w:t>1017</w:t>
            </w:r>
          </w:p>
        </w:tc>
        <w:tc>
          <w:tcPr>
            <w:tcW w:w="2693" w:type="dxa"/>
            <w:tcBorders>
              <w:bottom w:val="single" w:sz="4" w:space="0" w:color="auto"/>
            </w:tcBorders>
          </w:tcPr>
          <w:p>
            <w:pPr>
              <w:pStyle w:val="nTable"/>
            </w:pPr>
            <w:r>
              <w:t>1 Apr 2009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7405065"/>
      <w:bookmarkStart w:id="313" w:name="_Toc181500909"/>
      <w:bookmarkStart w:id="314" w:name="_Toc193100050"/>
      <w:bookmarkStart w:id="315" w:name="_Toc226274359"/>
      <w:r>
        <w:t>Provisions that have not come into operation</w:t>
      </w:r>
      <w:bookmarkEnd w:id="312"/>
      <w:bookmarkEnd w:id="313"/>
      <w:bookmarkEnd w:id="314"/>
      <w:bookmarkEnd w:id="3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vertAlign w:val="superscript"/>
              </w:rPr>
            </w:pPr>
            <w:r>
              <w:rPr>
                <w:i/>
                <w:noProof/>
                <w:snapToGrid w:val="0"/>
              </w:rPr>
              <w:t>Energy Operators (Regional Power Corporation) (Charges) Amendment By</w:t>
            </w:r>
            <w:r>
              <w:rPr>
                <w:i/>
                <w:noProof/>
                <w:snapToGrid w:val="0"/>
              </w:rPr>
              <w:noBreakHyphen/>
              <w:t>laws 2009</w:t>
            </w:r>
            <w:r>
              <w:rPr>
                <w:iCs/>
                <w:noProof/>
                <w:snapToGrid w:val="0"/>
              </w:rPr>
              <w:t xml:space="preserve"> Pt. 3 </w:t>
            </w:r>
            <w:r>
              <w:rPr>
                <w:iCs/>
                <w:noProof/>
                <w:snapToGrid w:val="0"/>
                <w:vertAlign w:val="superscript"/>
              </w:rPr>
              <w:t>2</w:t>
            </w:r>
          </w:p>
        </w:tc>
        <w:tc>
          <w:tcPr>
            <w:tcW w:w="1276" w:type="dxa"/>
            <w:tcBorders>
              <w:top w:val="single" w:sz="8" w:space="0" w:color="auto"/>
              <w:bottom w:val="single" w:sz="4" w:space="0" w:color="auto"/>
            </w:tcBorders>
          </w:tcPr>
          <w:p>
            <w:pPr>
              <w:pStyle w:val="nTable"/>
            </w:pPr>
            <w:r>
              <w:t>30 Mar 2009 p. 997</w:t>
            </w:r>
            <w:r>
              <w:noBreakHyphen/>
              <w:t>1017</w:t>
            </w:r>
          </w:p>
        </w:tc>
        <w:tc>
          <w:tcPr>
            <w:tcW w:w="2693" w:type="dxa"/>
            <w:tcBorders>
              <w:top w:val="single" w:sz="8" w:space="0" w:color="auto"/>
              <w:bottom w:val="single" w:sz="4" w:space="0" w:color="auto"/>
            </w:tcBorders>
          </w:tcPr>
          <w:p>
            <w:pPr>
              <w:pStyle w:val="nTable"/>
            </w:pPr>
            <w:r>
              <w:t>1 Jul 2009 (see bl.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Energy Operators (Regional Power Corporation) (Charges) Amendment By laws 2009</w:t>
      </w:r>
      <w:r>
        <w:rPr>
          <w:snapToGrid w:val="0"/>
        </w:rPr>
        <w:t xml:space="preserve"> Pt. 3 had not come into operation.  It reads as follows:</w:t>
      </w:r>
    </w:p>
    <w:p>
      <w:pPr>
        <w:pStyle w:val="BlankOpen"/>
        <w:rPr>
          <w:snapToGrid w:val="0"/>
        </w:rPr>
      </w:pPr>
    </w:p>
    <w:p>
      <w:pPr>
        <w:pStyle w:val="nHeading2"/>
      </w:pPr>
      <w:bookmarkStart w:id="316" w:name="_Toc226274360"/>
      <w:r>
        <w:rPr>
          <w:rStyle w:val="CharPartNo"/>
        </w:rPr>
        <w:t>Part 3</w:t>
      </w:r>
      <w:r>
        <w:rPr>
          <w:rStyle w:val="CharDivNo"/>
        </w:rPr>
        <w:t> </w:t>
      </w:r>
      <w:r>
        <w:t>—</w:t>
      </w:r>
      <w:r>
        <w:rPr>
          <w:rStyle w:val="CharDivText"/>
        </w:rPr>
        <w:t> </w:t>
      </w:r>
      <w:r>
        <w:rPr>
          <w:rStyle w:val="CharPartText"/>
        </w:rPr>
        <w:t>Amendments commencing on 1 July 2009</w:t>
      </w:r>
      <w:bookmarkEnd w:id="316"/>
    </w:p>
    <w:p>
      <w:pPr>
        <w:pStyle w:val="nHeading5"/>
      </w:pPr>
      <w:r>
        <w:rPr>
          <w:rStyle w:val="CharSectno"/>
        </w:rPr>
        <w:t>10</w:t>
      </w:r>
      <w:r>
        <w:t>.</w:t>
      </w:r>
      <w:r>
        <w:tab/>
        <w:t>Schedule 1 replaced</w:t>
      </w:r>
    </w:p>
    <w:p>
      <w:pPr>
        <w:pStyle w:val="nSubsection"/>
        <w:tabs>
          <w:tab w:val="left" w:pos="882"/>
        </w:tabs>
      </w:pPr>
      <w:r>
        <w:tab/>
      </w:r>
      <w:r>
        <w:tab/>
        <w:t>Delete Schedule 1 and insert:</w:t>
      </w:r>
    </w:p>
    <w:p>
      <w:pPr>
        <w:pStyle w:val="BlankOpen"/>
      </w:pPr>
    </w:p>
    <w:p>
      <w:pPr>
        <w:pStyle w:val="nzHeading2"/>
      </w:pPr>
      <w:r>
        <w:t>Schedule 1 — Supply charges</w:t>
      </w:r>
    </w:p>
    <w:p>
      <w:pPr>
        <w:pStyle w:val="nzMiscellaneousBody"/>
        <w:jc w:val="right"/>
      </w:pPr>
      <w:r>
        <w:t>[bl. 3, 4(1) and 10(1)]</w:t>
      </w:r>
    </w:p>
    <w:p>
      <w:pPr>
        <w:pStyle w:val="nzHeading5"/>
      </w:pPr>
      <w:r>
        <w:t>1.</w:t>
      </w:r>
      <w:r>
        <w:rPr>
          <w:b w:val="0"/>
        </w:rPr>
        <w:tab/>
      </w:r>
      <w:r>
        <w:t>Terms used</w:t>
      </w:r>
    </w:p>
    <w:p>
      <w:pPr>
        <w:pStyle w:val="nzSubsection"/>
      </w:pPr>
      <w:r>
        <w:tab/>
      </w:r>
      <w:r>
        <w:tab/>
        <w:t xml:space="preserve">In this Schedule — </w:t>
      </w:r>
    </w:p>
    <w:p>
      <w:pPr>
        <w:pStyle w:val="nz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nz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nzDefstart"/>
      </w:pPr>
      <w:r>
        <w:tab/>
      </w:r>
      <w:r>
        <w:rPr>
          <w:rStyle w:val="CharDefText"/>
        </w:rPr>
        <w:t>South West interconnected system</w:t>
      </w:r>
      <w:r>
        <w:t xml:space="preserve"> has the meaning given in the </w:t>
      </w:r>
      <w:r>
        <w:rPr>
          <w:i/>
        </w:rPr>
        <w:t>Electricity Industry Act 2004</w:t>
      </w:r>
      <w:r>
        <w:t xml:space="preserve"> section 3.</w:t>
      </w:r>
    </w:p>
    <w:p>
      <w:pPr>
        <w:pStyle w:val="nzHeading5"/>
      </w:pPr>
      <w:r>
        <w:t>2.</w:t>
      </w:r>
      <w:r>
        <w:tab/>
        <w:t>Tariff L2 (general supply — low/medium voltage tariff)</w:t>
      </w:r>
    </w:p>
    <w:p>
      <w:pPr>
        <w:pStyle w:val="nzSubsection"/>
      </w:pPr>
      <w:r>
        <w:tab/>
        <w:t>(1)</w:t>
      </w:r>
      <w:r>
        <w:tab/>
        <w:t>Tariff L2 is available for low/medium voltage supply.</w:t>
      </w:r>
    </w:p>
    <w:p>
      <w:pPr>
        <w:pStyle w:val="nzSubsection"/>
      </w:pPr>
      <w:r>
        <w:tab/>
        <w:t>(2)</w:t>
      </w:r>
      <w:r>
        <w:tab/>
        <w:t xml:space="preserve">Tariff L2 comprises — </w:t>
      </w:r>
    </w:p>
    <w:p>
      <w:pPr>
        <w:pStyle w:val="nzIndenta"/>
      </w:pPr>
      <w:r>
        <w:tab/>
        <w:t>(a)</w:t>
      </w:r>
      <w:r>
        <w:tab/>
        <w:t>a fixed charge at the rate of 30.679 cents per day; and</w:t>
      </w:r>
    </w:p>
    <w:p>
      <w:pPr>
        <w:pStyle w:val="nzIndenta"/>
      </w:pPr>
      <w:r>
        <w:tab/>
        <w:t>(b)</w:t>
      </w:r>
      <w:r>
        <w:tab/>
        <w:t xml:space="preserve">a charge for metered consumption at the rate of — </w:t>
      </w:r>
    </w:p>
    <w:p>
      <w:pPr>
        <w:pStyle w:val="nzIndenti"/>
      </w:pPr>
      <w:r>
        <w:tab/>
        <w:t>(i)</w:t>
      </w:r>
      <w:r>
        <w:tab/>
        <w:t>20.163 cents per unit for the first 1 650 units per day; and</w:t>
      </w:r>
    </w:p>
    <w:p>
      <w:pPr>
        <w:pStyle w:val="nzIndenti"/>
      </w:pPr>
      <w:r>
        <w:tab/>
        <w:t>(ii)</w:t>
      </w:r>
      <w:r>
        <w:tab/>
        <w:t>18.194 cents per unit for all units exceeding 1 650 units per day.</w:t>
      </w:r>
    </w:p>
    <w:p>
      <w:pPr>
        <w:pStyle w:val="nzSubsection"/>
      </w:pPr>
      <w:r>
        <w:tab/>
        <w:t>(3)</w:t>
      </w:r>
      <w:r>
        <w:tab/>
        <w:t>Tariff L2 is available subject to the condition that the consumer satisfies the corporation that the amount of electricity supplied to the consumer’s premises will be less than 50 megawatt hours per annum.</w:t>
      </w:r>
    </w:p>
    <w:p>
      <w:pPr>
        <w:pStyle w:val="nzHeading5"/>
      </w:pPr>
      <w:r>
        <w:t>3.</w:t>
      </w:r>
      <w:r>
        <w:tab/>
        <w:t>Tariff L4 (general supply — low/medium voltage tariff)</w:t>
      </w:r>
    </w:p>
    <w:p>
      <w:pPr>
        <w:pStyle w:val="nzSubsection"/>
      </w:pPr>
      <w:r>
        <w:tab/>
        <w:t>(1)</w:t>
      </w:r>
      <w:r>
        <w:tab/>
        <w:t>Tariff L4 is available for low/medium voltage supply.</w:t>
      </w:r>
    </w:p>
    <w:p>
      <w:pPr>
        <w:pStyle w:val="nzSubsection"/>
      </w:pPr>
      <w:r>
        <w:tab/>
        <w:t>(2)</w:t>
      </w:r>
      <w:r>
        <w:tab/>
        <w:t xml:space="preserve">Tariff L4 comprises — </w:t>
      </w:r>
    </w:p>
    <w:p>
      <w:pPr>
        <w:pStyle w:val="nzIndenta"/>
      </w:pPr>
      <w:r>
        <w:tab/>
        <w:t>(a)</w:t>
      </w:r>
      <w:r>
        <w:tab/>
        <w:t>a fixed charge at the rate of 32.142 cents per day; and</w:t>
      </w:r>
    </w:p>
    <w:p>
      <w:pPr>
        <w:pStyle w:val="nzIndenta"/>
      </w:pPr>
      <w:r>
        <w:tab/>
        <w:t>(b)</w:t>
      </w:r>
      <w:r>
        <w:tab/>
        <w:t xml:space="preserve">a charge for metered consumption at the rate of — </w:t>
      </w:r>
    </w:p>
    <w:p>
      <w:pPr>
        <w:pStyle w:val="nzIndenti"/>
      </w:pPr>
      <w:r>
        <w:tab/>
        <w:t>(i)</w:t>
      </w:r>
      <w:r>
        <w:tab/>
        <w:t>21.12 cents per unit for the first 1 650 units per day; and</w:t>
      </w:r>
    </w:p>
    <w:p>
      <w:pPr>
        <w:pStyle w:val="nzIndenti"/>
      </w:pPr>
      <w:r>
        <w:tab/>
        <w:t>(ii)</w:t>
      </w:r>
      <w:r>
        <w:tab/>
        <w:t>19.063 cents per unit for all units exceeding 1 650 units per day.</w:t>
      </w:r>
    </w:p>
    <w:p>
      <w:pPr>
        <w:pStyle w:val="nzSubsection"/>
      </w:pPr>
      <w:r>
        <w:tab/>
        <w:t>(3)</w:t>
      </w:r>
      <w:r>
        <w:tab/>
        <w:t>Tariff L4 is available subject to the condition that the consumer satisfies the corporation that the amount of electricity supplied to the consumer’s premises will be 50 megawatt hours or more per annum.</w:t>
      </w:r>
    </w:p>
    <w:p>
      <w:pPr>
        <w:pStyle w:val="nzHeading5"/>
        <w:rPr>
          <w:snapToGrid w:val="0"/>
        </w:rPr>
      </w:pPr>
      <w:r>
        <w:t>4.</w:t>
      </w:r>
      <w:r>
        <w:rPr>
          <w:b w:val="0"/>
        </w:rPr>
        <w:tab/>
      </w:r>
      <w:r>
        <w:t>Tariff</w:t>
      </w:r>
      <w:r>
        <w:rPr>
          <w:snapToGrid w:val="0"/>
        </w:rPr>
        <w:t xml:space="preserve"> M2 (general supply — high voltage tariff)</w:t>
      </w:r>
    </w:p>
    <w:p>
      <w:pPr>
        <w:pStyle w:val="nzSubsection"/>
      </w:pPr>
      <w:r>
        <w:tab/>
        <w:t>(1)</w:t>
      </w:r>
      <w:r>
        <w:tab/>
        <w:t>Tariff M2 is available for consumers supplied at 6.6 kV, 11 kV, 22 kV or 33 kV or such higher voltage as the corporation may approve.</w:t>
      </w:r>
    </w:p>
    <w:p>
      <w:pPr>
        <w:pStyle w:val="nzSubsection"/>
      </w:pPr>
      <w:r>
        <w:tab/>
        <w:t>(2)</w:t>
      </w:r>
      <w:r>
        <w:tab/>
        <w:t xml:space="preserve">Tariff M2 comprises — </w:t>
      </w:r>
    </w:p>
    <w:p>
      <w:pPr>
        <w:pStyle w:val="nzIndenta"/>
      </w:pPr>
      <w:r>
        <w:tab/>
        <w:t>(a)</w:t>
      </w:r>
      <w:r>
        <w:tab/>
        <w:t xml:space="preserve">a fixed charge at the rate of </w:t>
      </w:r>
      <w:r>
        <w:rPr>
          <w:snapToGrid w:val="0"/>
        </w:rPr>
        <w:t>32.142</w:t>
      </w:r>
      <w:r>
        <w:t xml:space="preserve"> cents per day; and</w:t>
      </w:r>
    </w:p>
    <w:p>
      <w:pPr>
        <w:pStyle w:val="nzIndenta"/>
      </w:pPr>
      <w:r>
        <w:tab/>
        <w:t>(b)</w:t>
      </w:r>
      <w:r>
        <w:tab/>
        <w:t>a charge for metered consumption at the rate of — </w:t>
      </w:r>
    </w:p>
    <w:p>
      <w:pPr>
        <w:pStyle w:val="nzIndenti"/>
        <w:rPr>
          <w:snapToGrid w:val="0"/>
        </w:rPr>
      </w:pPr>
      <w:r>
        <w:rPr>
          <w:snapToGrid w:val="0"/>
        </w:rPr>
        <w:tab/>
        <w:t>(i)</w:t>
      </w:r>
      <w:r>
        <w:rPr>
          <w:snapToGrid w:val="0"/>
        </w:rPr>
        <w:tab/>
        <w:t>20.405 cents per unit for the first 1 650 units per day; and</w:t>
      </w:r>
    </w:p>
    <w:p>
      <w:pPr>
        <w:pStyle w:val="nzIndenti"/>
        <w:rPr>
          <w:snapToGrid w:val="0"/>
        </w:rPr>
      </w:pPr>
      <w:r>
        <w:rPr>
          <w:snapToGrid w:val="0"/>
        </w:rPr>
        <w:tab/>
        <w:t>(ii)</w:t>
      </w:r>
      <w:r>
        <w:rPr>
          <w:snapToGrid w:val="0"/>
        </w:rPr>
        <w:tab/>
        <w:t>18.326 cents per unit per day for all units exceeding 1 650 units.</w:t>
      </w:r>
    </w:p>
    <w:p>
      <w:pPr>
        <w:pStyle w:val="nzHeading5"/>
      </w:pPr>
      <w:r>
        <w:rPr>
          <w:rStyle w:val="CharSClsNo"/>
        </w:rPr>
        <w:t>5.</w:t>
      </w:r>
      <w:r>
        <w:rPr>
          <w:rStyle w:val="CharSClsNo"/>
          <w:b w:val="0"/>
        </w:rPr>
        <w:tab/>
      </w:r>
      <w:r>
        <w:t>Tariff N2 (regional non</w:t>
      </w:r>
      <w:r>
        <w:noBreakHyphen/>
        <w:t>integrated systems — cost of supply tariff)</w:t>
      </w:r>
    </w:p>
    <w:p>
      <w:pPr>
        <w:pStyle w:val="nzSubsection"/>
      </w:pPr>
      <w:r>
        <w:tab/>
        <w:t>(1)</w:t>
      </w:r>
      <w:r>
        <w:tab/>
        <w:t>Tariff N2 applies to electricity supplied from a regional non</w:t>
      </w:r>
      <w:r>
        <w:noBreakHyphen/>
        <w:t>integrated system to Commonwealth or foreign government instrumentalities.</w:t>
      </w:r>
    </w:p>
    <w:p>
      <w:pPr>
        <w:pStyle w:val="nzSubsection"/>
      </w:pPr>
      <w:r>
        <w:tab/>
        <w:t>(2)</w:t>
      </w:r>
      <w:r>
        <w:tab/>
        <w:t xml:space="preserve">Tariff N2 comprises — </w:t>
      </w:r>
    </w:p>
    <w:p>
      <w:pPr>
        <w:pStyle w:val="nzIndenta"/>
      </w:pPr>
      <w:r>
        <w:tab/>
        <w:t>(a)</w:t>
      </w:r>
      <w:r>
        <w:tab/>
        <w:t>a fixed charge at the rate of 31.31 cents per day; and</w:t>
      </w:r>
    </w:p>
    <w:p>
      <w:pPr>
        <w:pStyle w:val="nzIndenta"/>
      </w:pPr>
      <w:r>
        <w:tab/>
        <w:t>(b)</w:t>
      </w:r>
      <w:r>
        <w:tab/>
        <w:t>a charge for metered consumption at the rate (in cents per unit) calculated in accordance with the following formula and by</w:t>
      </w:r>
      <w:r>
        <w:noBreakHyphen/>
        <w:t>law 10(2) — </w:t>
      </w:r>
    </w:p>
    <w:p>
      <w:pPr>
        <w:pStyle w:val="zyMiscellaneousBody"/>
        <w:ind w:left="2410"/>
      </w:pPr>
      <w:r>
        <w:rPr>
          <w:noProof/>
          <w:lang w:eastAsia="en-AU"/>
        </w:rPr>
        <w:drawing>
          <wp:inline distT="0" distB="0" distL="0" distR="0">
            <wp:extent cx="2095500" cy="394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p>
    <w:p>
      <w:pPr>
        <w:pStyle w:val="nzIndenta"/>
      </w:pPr>
      <w:r>
        <w:tab/>
      </w:r>
      <w:r>
        <w:tab/>
        <w:t xml:space="preserve">Where — </w:t>
      </w:r>
    </w:p>
    <w:p>
      <w:pPr>
        <w:pStyle w:val="nzIndenta"/>
      </w:pPr>
      <w:r>
        <w:tab/>
      </w:r>
      <w:r>
        <w:tab/>
        <w:t>R is the rate to be calculated; and</w:t>
      </w:r>
    </w:p>
    <w:p>
      <w:pPr>
        <w:pStyle w:val="nzIndenta"/>
      </w:pPr>
      <w:r>
        <w:tab/>
      </w:r>
      <w:r>
        <w:tab/>
        <w:t xml:space="preserve">P is the Singapore Gas Oil 0.5%S midpoint of the Product Price Assessments for Singapore/Japan Cargoes — </w:t>
      </w:r>
    </w:p>
    <w:p>
      <w:pPr>
        <w:pStyle w:val="nzIndenti"/>
      </w:pPr>
      <w:r>
        <w:tab/>
        <w:t>(i)</w:t>
      </w:r>
      <w:r>
        <w:tab/>
        <w:t>as amended from time to time and published by Platt’s in the Oilgram Price Report; and</w:t>
      </w:r>
    </w:p>
    <w:p>
      <w:pPr>
        <w:pStyle w:val="nzIndenti"/>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nzHeading5"/>
        <w:rPr>
          <w:snapToGrid w:val="0"/>
        </w:rPr>
      </w:pPr>
      <w:r>
        <w:rPr>
          <w:rStyle w:val="CharSClsNo"/>
        </w:rPr>
        <w:t>6.</w:t>
      </w:r>
      <w:r>
        <w:rPr>
          <w:rStyle w:val="CharSClsNo"/>
          <w:b w:val="0"/>
        </w:rPr>
        <w:tab/>
      </w:r>
      <w:r>
        <w:t>Tariff</w:t>
      </w:r>
      <w:r>
        <w:rPr>
          <w:snapToGrid w:val="0"/>
        </w:rPr>
        <w:t xml:space="preserve"> P2 (North West interconnected system — cost of supply tariff)</w:t>
      </w:r>
    </w:p>
    <w:p>
      <w:pPr>
        <w:pStyle w:val="nz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nzSubsection"/>
        <w:rPr>
          <w:snapToGrid w:val="0"/>
        </w:rPr>
      </w:pPr>
      <w:r>
        <w:rPr>
          <w:snapToGrid w:val="0"/>
        </w:rPr>
        <w:tab/>
        <w:t>(2)</w:t>
      </w:r>
      <w:r>
        <w:rPr>
          <w:snapToGrid w:val="0"/>
        </w:rPr>
        <w:tab/>
        <w:t xml:space="preserve">Tariff P2 comprises — </w:t>
      </w:r>
    </w:p>
    <w:p>
      <w:pPr>
        <w:pStyle w:val="nzIndenta"/>
        <w:rPr>
          <w:snapToGrid w:val="0"/>
        </w:rPr>
      </w:pPr>
      <w:r>
        <w:rPr>
          <w:snapToGrid w:val="0"/>
        </w:rPr>
        <w:tab/>
        <w:t>(a)</w:t>
      </w:r>
      <w:r>
        <w:rPr>
          <w:snapToGrid w:val="0"/>
        </w:rPr>
        <w:tab/>
      </w:r>
      <w:r>
        <w:t>a</w:t>
      </w:r>
      <w:r>
        <w:rPr>
          <w:snapToGrid w:val="0"/>
        </w:rPr>
        <w:t xml:space="preserve"> fixed charge at the rate of 37.89 cents per day; and</w:t>
      </w:r>
    </w:p>
    <w:p>
      <w:pPr>
        <w:pStyle w:val="nzIndenta"/>
        <w:rPr>
          <w:snapToGrid w:val="0"/>
        </w:rPr>
      </w:pPr>
      <w:r>
        <w:rPr>
          <w:snapToGrid w:val="0"/>
        </w:rPr>
        <w:tab/>
        <w:t>(b)</w:t>
      </w:r>
      <w:r>
        <w:rPr>
          <w:snapToGrid w:val="0"/>
        </w:rPr>
        <w:tab/>
        <w:t>a charge for metered consumption at the rate of 25.13 cents per unit.</w:t>
      </w:r>
    </w:p>
    <w:p>
      <w:pPr>
        <w:pStyle w:val="nzHeading5"/>
      </w:pPr>
      <w:r>
        <w:t>7.</w:t>
      </w:r>
      <w:r>
        <w:rPr>
          <w:b w:val="0"/>
        </w:rPr>
        <w:tab/>
      </w:r>
      <w:r>
        <w:t>Tariff A2 (residential tariff)</w:t>
      </w:r>
    </w:p>
    <w:p>
      <w:pPr>
        <w:pStyle w:val="nzSubsection"/>
        <w:rPr>
          <w:snapToGrid w:val="0"/>
        </w:rPr>
      </w:pPr>
      <w:r>
        <w:tab/>
        <w:t>(1)</w:t>
      </w:r>
      <w:r>
        <w:tab/>
      </w:r>
      <w:r>
        <w:rPr>
          <w:snapToGrid w:val="0"/>
        </w:rPr>
        <w:t>Tariff A2 is available for residential use only.</w:t>
      </w:r>
    </w:p>
    <w:p>
      <w:pPr>
        <w:pStyle w:val="nzSubsection"/>
      </w:pPr>
      <w:r>
        <w:tab/>
        <w:t>(2)</w:t>
      </w:r>
      <w:r>
        <w:tab/>
        <w:t xml:space="preserve">Tariff A2 comprises — </w:t>
      </w:r>
    </w:p>
    <w:p>
      <w:pPr>
        <w:pStyle w:val="nz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nzIndenti"/>
        <w:rPr>
          <w:snapToGrid w:val="0"/>
        </w:rPr>
      </w:pPr>
      <w:r>
        <w:rPr>
          <w:snapToGrid w:val="0"/>
        </w:rPr>
        <w:tab/>
        <w:t>(i)</w:t>
      </w:r>
      <w:r>
        <w:rPr>
          <w:snapToGrid w:val="0"/>
        </w:rPr>
        <w:tab/>
        <w:t>32.329 cents per day for the first dwelling; and</w:t>
      </w:r>
    </w:p>
    <w:p>
      <w:pPr>
        <w:pStyle w:val="nzIndenti"/>
        <w:rPr>
          <w:snapToGrid w:val="0"/>
        </w:rPr>
      </w:pPr>
      <w:r>
        <w:rPr>
          <w:snapToGrid w:val="0"/>
        </w:rPr>
        <w:tab/>
        <w:t>(ii)</w:t>
      </w:r>
      <w:r>
        <w:rPr>
          <w:snapToGrid w:val="0"/>
        </w:rPr>
        <w:tab/>
        <w:t>25.102 cents per day for each additional dwelling;</w:t>
      </w:r>
    </w:p>
    <w:p>
      <w:pPr>
        <w:pStyle w:val="nzIndenta"/>
      </w:pPr>
      <w:r>
        <w:tab/>
      </w:r>
      <w:r>
        <w:tab/>
        <w:t>and</w:t>
      </w:r>
    </w:p>
    <w:p>
      <w:pPr>
        <w:pStyle w:val="nzIndenta"/>
      </w:pPr>
      <w:r>
        <w:tab/>
        <w:t>(b)</w:t>
      </w:r>
      <w:r>
        <w:tab/>
        <w:t>a charge for metered consumption at the rate of 17.611 cents per unit.</w:t>
      </w:r>
    </w:p>
    <w:p>
      <w:pPr>
        <w:pStyle w:val="nzHeading5"/>
      </w:pPr>
      <w:r>
        <w:t>8.</w:t>
      </w:r>
      <w:r>
        <w:rPr>
          <w:b w:val="0"/>
        </w:rPr>
        <w:tab/>
      </w:r>
      <w:r>
        <w:t>Tariff C2 (special community service tariff)</w:t>
      </w:r>
    </w:p>
    <w:p>
      <w:pPr>
        <w:pStyle w:val="nzSubsection"/>
        <w:rPr>
          <w:snapToGrid w:val="0"/>
        </w:rPr>
      </w:pPr>
      <w:r>
        <w:tab/>
        <w:t>(1)</w:t>
      </w:r>
      <w:r>
        <w:tab/>
        <w:t xml:space="preserve">Tariff </w:t>
      </w:r>
      <w:r>
        <w:rPr>
          <w:snapToGrid w:val="0"/>
        </w:rPr>
        <w:t>C2 is available for small voluntary and charitable organisations, subject to the conditions listed in subclause (3).</w:t>
      </w:r>
    </w:p>
    <w:p>
      <w:pPr>
        <w:pStyle w:val="nzSubsection"/>
        <w:rPr>
          <w:snapToGrid w:val="0"/>
        </w:rPr>
      </w:pPr>
      <w:r>
        <w:tab/>
        <w:t>(2)</w:t>
      </w:r>
      <w:r>
        <w:tab/>
      </w:r>
      <w:r>
        <w:rPr>
          <w:snapToGrid w:val="0"/>
        </w:rPr>
        <w:t xml:space="preserve">Tariff C2 comprises — </w:t>
      </w:r>
    </w:p>
    <w:p>
      <w:pPr>
        <w:pStyle w:val="nzIndenta"/>
        <w:rPr>
          <w:snapToGrid w:val="0"/>
        </w:rPr>
      </w:pPr>
      <w:r>
        <w:rPr>
          <w:snapToGrid w:val="0"/>
        </w:rPr>
        <w:tab/>
        <w:t>(a)</w:t>
      </w:r>
      <w:r>
        <w:rPr>
          <w:snapToGrid w:val="0"/>
        </w:rPr>
        <w:tab/>
      </w:r>
      <w:r>
        <w:t xml:space="preserve">a </w:t>
      </w:r>
      <w:r>
        <w:rPr>
          <w:snapToGrid w:val="0"/>
        </w:rPr>
        <w:t>fixed charge at the rate of 29.524 cents per day; and</w:t>
      </w:r>
    </w:p>
    <w:p>
      <w:pPr>
        <w:pStyle w:val="nzIndenta"/>
        <w:rPr>
          <w:snapToGrid w:val="0"/>
        </w:rPr>
      </w:pPr>
      <w:r>
        <w:rPr>
          <w:snapToGrid w:val="0"/>
        </w:rPr>
        <w:tab/>
        <w:t>(b)</w:t>
      </w:r>
      <w:r>
        <w:rPr>
          <w:snapToGrid w:val="0"/>
        </w:rPr>
        <w:tab/>
      </w:r>
      <w:r>
        <w:t>a charge for</w:t>
      </w:r>
      <w:r>
        <w:rPr>
          <w:snapToGrid w:val="0"/>
        </w:rPr>
        <w:t xml:space="preserve"> metered consumption at the rate of — </w:t>
      </w:r>
    </w:p>
    <w:p>
      <w:pPr>
        <w:pStyle w:val="nzIndenti"/>
        <w:rPr>
          <w:snapToGrid w:val="0"/>
        </w:rPr>
      </w:pPr>
      <w:r>
        <w:rPr>
          <w:snapToGrid w:val="0"/>
        </w:rPr>
        <w:tab/>
        <w:t>(i)</w:t>
      </w:r>
      <w:r>
        <w:rPr>
          <w:snapToGrid w:val="0"/>
        </w:rPr>
        <w:tab/>
        <w:t>16.093 cents per unit for the first 20 units per day; and</w:t>
      </w:r>
    </w:p>
    <w:p>
      <w:pPr>
        <w:pStyle w:val="nzIndenti"/>
        <w:rPr>
          <w:snapToGrid w:val="0"/>
        </w:rPr>
      </w:pPr>
      <w:r>
        <w:rPr>
          <w:snapToGrid w:val="0"/>
        </w:rPr>
        <w:tab/>
        <w:t>(ii)</w:t>
      </w:r>
      <w:r>
        <w:rPr>
          <w:snapToGrid w:val="0"/>
        </w:rPr>
        <w:tab/>
        <w:t>20.163 cents for the next 1 630 units per day; and</w:t>
      </w:r>
    </w:p>
    <w:p>
      <w:pPr>
        <w:pStyle w:val="nzIndenti"/>
        <w:rPr>
          <w:snapToGrid w:val="0"/>
        </w:rPr>
      </w:pPr>
      <w:r>
        <w:rPr>
          <w:snapToGrid w:val="0"/>
        </w:rPr>
        <w:tab/>
        <w:t>(iii)</w:t>
      </w:r>
      <w:r>
        <w:rPr>
          <w:snapToGrid w:val="0"/>
        </w:rPr>
        <w:tab/>
        <w:t>18.194 cents per unit per day for all units exceeding 1 650 units.</w:t>
      </w:r>
    </w:p>
    <w:p>
      <w:pPr>
        <w:pStyle w:val="nzSubsection"/>
        <w:rPr>
          <w:snapToGrid w:val="0"/>
        </w:rPr>
      </w:pPr>
      <w:r>
        <w:rPr>
          <w:snapToGrid w:val="0"/>
        </w:rPr>
        <w:tab/>
        <w:t>(3)</w:t>
      </w:r>
      <w:r>
        <w:rPr>
          <w:snapToGrid w:val="0"/>
        </w:rPr>
        <w:tab/>
        <w:t xml:space="preserve">Tariff C2 is available subject to the following conditions — </w:t>
      </w:r>
    </w:p>
    <w:p>
      <w:pPr>
        <w:pStyle w:val="nz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nzIndenta"/>
        <w:rPr>
          <w:snapToGrid w:val="0"/>
        </w:rPr>
      </w:pPr>
      <w:r>
        <w:rPr>
          <w:snapToGrid w:val="0"/>
        </w:rPr>
        <w:tab/>
        <w:t>(b)</w:t>
      </w:r>
      <w:r>
        <w:rPr>
          <w:snapToGrid w:val="0"/>
        </w:rPr>
        <w:tab/>
        <w:t>the consumer must be a voluntary, non</w:t>
      </w:r>
      <w:r>
        <w:rPr>
          <w:snapToGrid w:val="0"/>
        </w:rPr>
        <w:noBreakHyphen/>
        <w:t>profit making organisation;</w:t>
      </w:r>
    </w:p>
    <w:p>
      <w:pPr>
        <w:pStyle w:val="nz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nzIndenta"/>
        <w:rPr>
          <w:snapToGrid w:val="0"/>
        </w:rPr>
      </w:pPr>
      <w:r>
        <w:rPr>
          <w:snapToGrid w:val="0"/>
        </w:rPr>
        <w:tab/>
        <w:t>(d)</w:t>
      </w:r>
      <w:r>
        <w:rPr>
          <w:snapToGrid w:val="0"/>
        </w:rPr>
        <w:tab/>
        <w:t>the consumer must provide a public service, which is available to any member of the public without discrimination;</w:t>
      </w:r>
    </w:p>
    <w:p>
      <w:pPr>
        <w:pStyle w:val="nzIndenta"/>
        <w:rPr>
          <w:snapToGrid w:val="0"/>
        </w:rPr>
      </w:pPr>
      <w:r>
        <w:rPr>
          <w:snapToGrid w:val="0"/>
        </w:rPr>
        <w:tab/>
        <w:t>(e)</w:t>
      </w:r>
      <w:r>
        <w:rPr>
          <w:snapToGrid w:val="0"/>
        </w:rPr>
        <w:tab/>
        <w:t>the consumer must not be a Commonwealth, State or local government department, instrumentality or agency;</w:t>
      </w:r>
    </w:p>
    <w:p>
      <w:pPr>
        <w:pStyle w:val="nzIndenta"/>
        <w:rPr>
          <w:snapToGrid w:val="0"/>
        </w:rPr>
      </w:pPr>
      <w:r>
        <w:rPr>
          <w:snapToGrid w:val="0"/>
        </w:rPr>
        <w:tab/>
        <w:t>(f)</w:t>
      </w:r>
      <w:r>
        <w:rPr>
          <w:snapToGrid w:val="0"/>
        </w:rPr>
        <w:tab/>
        <w:t>the consumer must not receive the major part of its funding from any organisation mentioned in paragraph (e).</w:t>
      </w:r>
    </w:p>
    <w:p>
      <w:pPr>
        <w:pStyle w:val="nz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nzHeading5"/>
      </w:pPr>
      <w:r>
        <w:t>9.</w:t>
      </w:r>
      <w:r>
        <w:rPr>
          <w:b w:val="0"/>
        </w:rPr>
        <w:tab/>
      </w:r>
      <w:r>
        <w:t>Tariff D2 (special tariff for certain premises)</w:t>
      </w:r>
    </w:p>
    <w:p>
      <w:pPr>
        <w:pStyle w:val="nz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nzSubsection"/>
      </w:pPr>
      <w:r>
        <w:tab/>
        <w:t>(2)</w:t>
      </w:r>
      <w:r>
        <w:tab/>
        <w:t xml:space="preserve">Tariff D2 comprises — </w:t>
      </w:r>
    </w:p>
    <w:p>
      <w:pPr>
        <w:pStyle w:val="nzIndenta"/>
        <w:rPr>
          <w:snapToGrid w:val="0"/>
        </w:rPr>
      </w:pPr>
      <w:r>
        <w:rPr>
          <w:snapToGrid w:val="0"/>
        </w:rPr>
        <w:tab/>
        <w:t>(a)</w:t>
      </w:r>
      <w:r>
        <w:rPr>
          <w:snapToGrid w:val="0"/>
        </w:rPr>
        <w:tab/>
      </w:r>
      <w:r>
        <w:t>a</w:t>
      </w:r>
      <w:r>
        <w:rPr>
          <w:snapToGrid w:val="0"/>
        </w:rPr>
        <w:t xml:space="preserve"> fixed charge at the rate of 29.524 cents per day; and</w:t>
      </w:r>
    </w:p>
    <w:p>
      <w:pPr>
        <w:pStyle w:val="nz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nzIndenta"/>
        <w:rPr>
          <w:snapToGrid w:val="0"/>
        </w:rPr>
      </w:pPr>
      <w:r>
        <w:tab/>
        <w:t>(c)</w:t>
      </w:r>
      <w:r>
        <w:tab/>
        <w:t>a charge for</w:t>
      </w:r>
      <w:r>
        <w:rPr>
          <w:snapToGrid w:val="0"/>
        </w:rPr>
        <w:t xml:space="preserve"> metered consumption at the rate of 16.093 cents per unit.</w:t>
      </w:r>
    </w:p>
    <w:p>
      <w:pPr>
        <w:pStyle w:val="nz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nzHeading5"/>
      </w:pPr>
      <w:r>
        <w:t>10.</w:t>
      </w:r>
      <w:r>
        <w:rPr>
          <w:b w:val="0"/>
        </w:rPr>
        <w:tab/>
      </w:r>
      <w:r>
        <w:t>Tariff K2 (general supply with residential tariff)</w:t>
      </w:r>
    </w:p>
    <w:p>
      <w:pPr>
        <w:pStyle w:val="nz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nzSubsection"/>
      </w:pPr>
      <w:r>
        <w:tab/>
        <w:t>(2)</w:t>
      </w:r>
      <w:r>
        <w:tab/>
        <w:t xml:space="preserve">Tariff K2 comprises — </w:t>
      </w:r>
    </w:p>
    <w:p>
      <w:pPr>
        <w:pStyle w:val="nzIndenta"/>
        <w:rPr>
          <w:snapToGrid w:val="0"/>
        </w:rPr>
      </w:pPr>
      <w:r>
        <w:rPr>
          <w:snapToGrid w:val="0"/>
        </w:rPr>
        <w:tab/>
        <w:t>(a)</w:t>
      </w:r>
      <w:r>
        <w:rPr>
          <w:snapToGrid w:val="0"/>
        </w:rPr>
        <w:tab/>
      </w:r>
      <w:r>
        <w:t>a</w:t>
      </w:r>
      <w:r>
        <w:rPr>
          <w:snapToGrid w:val="0"/>
        </w:rPr>
        <w:t xml:space="preserve"> fixed charge at the rate of 32.329 cents per day; and</w:t>
      </w:r>
    </w:p>
    <w:p>
      <w:pPr>
        <w:pStyle w:val="nzIndenta"/>
        <w:rPr>
          <w:snapToGrid w:val="0"/>
        </w:rPr>
      </w:pPr>
      <w:r>
        <w:rPr>
          <w:snapToGrid w:val="0"/>
        </w:rPr>
        <w:tab/>
        <w:t>(b)</w:t>
      </w:r>
      <w:r>
        <w:rPr>
          <w:snapToGrid w:val="0"/>
        </w:rPr>
        <w:tab/>
      </w:r>
      <w:r>
        <w:t>a charge for</w:t>
      </w:r>
      <w:r>
        <w:rPr>
          <w:snapToGrid w:val="0"/>
        </w:rPr>
        <w:t xml:space="preserve"> metered consumption at the rate of — </w:t>
      </w:r>
    </w:p>
    <w:p>
      <w:pPr>
        <w:pStyle w:val="nzIndenti"/>
        <w:rPr>
          <w:snapToGrid w:val="0"/>
        </w:rPr>
      </w:pPr>
      <w:r>
        <w:rPr>
          <w:snapToGrid w:val="0"/>
        </w:rPr>
        <w:tab/>
        <w:t>(i)</w:t>
      </w:r>
      <w:r>
        <w:rPr>
          <w:snapToGrid w:val="0"/>
        </w:rPr>
        <w:tab/>
        <w:t>17.611 cents per unit for the first 20 units per day; and</w:t>
      </w:r>
    </w:p>
    <w:p>
      <w:pPr>
        <w:pStyle w:val="nzIndenti"/>
        <w:rPr>
          <w:snapToGrid w:val="0"/>
        </w:rPr>
      </w:pPr>
      <w:r>
        <w:rPr>
          <w:snapToGrid w:val="0"/>
        </w:rPr>
        <w:tab/>
        <w:t>(ii)</w:t>
      </w:r>
      <w:r>
        <w:rPr>
          <w:snapToGrid w:val="0"/>
        </w:rPr>
        <w:tab/>
        <w:t>22.077 cents per unit for the next 1 630 units per day; and</w:t>
      </w:r>
    </w:p>
    <w:p>
      <w:pPr>
        <w:pStyle w:val="nzIndenti"/>
        <w:rPr>
          <w:snapToGrid w:val="0"/>
        </w:rPr>
      </w:pPr>
      <w:r>
        <w:rPr>
          <w:snapToGrid w:val="0"/>
        </w:rPr>
        <w:tab/>
        <w:t>(iii)</w:t>
      </w:r>
      <w:r>
        <w:rPr>
          <w:snapToGrid w:val="0"/>
        </w:rPr>
        <w:tab/>
        <w:t>19.932 cents per unit per day for all units exceeding 1 650 units.</w:t>
      </w:r>
    </w:p>
    <w:p>
      <w:pPr>
        <w:pStyle w:val="nzHeading5"/>
      </w:pPr>
      <w:r>
        <w:t>11.</w:t>
      </w:r>
      <w:r>
        <w:rPr>
          <w:b w:val="0"/>
        </w:rPr>
        <w:tab/>
      </w:r>
      <w:r>
        <w:t>Tariff W2 (traffic light installations)</w:t>
      </w:r>
    </w:p>
    <w:p>
      <w:pPr>
        <w:pStyle w:val="nzSubsection"/>
      </w:pPr>
      <w:r>
        <w:tab/>
      </w:r>
      <w:r>
        <w:tab/>
        <w:t>Tariff W2 comprises a charge of $3.8833 per day per kW of installed wattage.</w:t>
      </w:r>
    </w:p>
    <w:p>
      <w:pPr>
        <w:pStyle w:val="BlankClose"/>
      </w:pPr>
    </w:p>
    <w:p>
      <w:pPr>
        <w:pStyle w:val="nHeading5"/>
      </w:pPr>
      <w:r>
        <w:rPr>
          <w:rStyle w:val="CharSectno"/>
        </w:rPr>
        <w:t>11</w:t>
      </w:r>
      <w:r>
        <w:t>.</w:t>
      </w:r>
      <w:r>
        <w:tab/>
        <w:t>Schedule 2 replaced</w:t>
      </w:r>
    </w:p>
    <w:p>
      <w:pPr>
        <w:pStyle w:val="nSubsection"/>
        <w:tabs>
          <w:tab w:val="left" w:pos="882"/>
        </w:tabs>
      </w:pPr>
      <w:r>
        <w:tab/>
      </w:r>
      <w:r>
        <w:tab/>
        <w:t>Delete Schedule 2 and insert:</w:t>
      </w:r>
    </w:p>
    <w:p>
      <w:pPr>
        <w:pStyle w:val="BlankOpen"/>
      </w:pPr>
    </w:p>
    <w:p>
      <w:pPr>
        <w:pStyle w:val="nzHeading2"/>
      </w:pPr>
      <w:r>
        <w:t>Schedule 2 — Street lighting</w:t>
      </w:r>
    </w:p>
    <w:p>
      <w:pPr>
        <w:pStyle w:val="nzMiscellaneousBody"/>
        <w:jc w:val="right"/>
      </w:pPr>
      <w:r>
        <w:t>[bl. 4(2)]</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trPr>
        <w:tc>
          <w:tcPr>
            <w:tcW w:w="567" w:type="dxa"/>
            <w:tcBorders>
              <w:top w:val="single" w:sz="4" w:space="0" w:color="auto"/>
              <w:bottom w:val="single" w:sz="4" w:space="0" w:color="auto"/>
            </w:tcBorders>
          </w:tcPr>
          <w:p>
            <w:pPr>
              <w:pStyle w:val="nzTable"/>
            </w:pPr>
            <w:r>
              <w:t>Item</w:t>
            </w:r>
          </w:p>
        </w:tc>
        <w:tc>
          <w:tcPr>
            <w:tcW w:w="851" w:type="dxa"/>
            <w:tcBorders>
              <w:top w:val="single" w:sz="4" w:space="0" w:color="auto"/>
              <w:bottom w:val="single" w:sz="4" w:space="0" w:color="auto"/>
            </w:tcBorders>
          </w:tcPr>
          <w:p>
            <w:pPr>
              <w:pStyle w:val="nzTable"/>
            </w:pPr>
            <w:r>
              <w:t>Wattage</w:t>
            </w:r>
          </w:p>
        </w:tc>
        <w:tc>
          <w:tcPr>
            <w:tcW w:w="1701" w:type="dxa"/>
            <w:tcBorders>
              <w:top w:val="single" w:sz="4" w:space="0" w:color="auto"/>
              <w:bottom w:val="single" w:sz="4" w:space="0" w:color="auto"/>
            </w:tcBorders>
          </w:tcPr>
          <w:p>
            <w:pPr>
              <w:pStyle w:val="nzTable"/>
            </w:pPr>
            <w:r>
              <w:t>Type</w:t>
            </w:r>
          </w:p>
        </w:tc>
        <w:tc>
          <w:tcPr>
            <w:tcW w:w="1275" w:type="dxa"/>
            <w:tcBorders>
              <w:top w:val="single" w:sz="4" w:space="0" w:color="auto"/>
              <w:bottom w:val="single" w:sz="4" w:space="0" w:color="auto"/>
            </w:tcBorders>
          </w:tcPr>
          <w:p>
            <w:pPr>
              <w:pStyle w:val="nzTable"/>
              <w:rPr>
                <w:spacing w:val="-4"/>
              </w:rPr>
            </w:pPr>
            <w:r>
              <w:rPr>
                <w:spacing w:val="-4"/>
              </w:rPr>
              <w:t>Midnight Switch</w:t>
            </w:r>
            <w:r>
              <w:rPr>
                <w:spacing w:val="-4"/>
              </w:rPr>
              <w:noBreakHyphen/>
              <w:t>off (Obsolescent) Cents per day</w:t>
            </w:r>
          </w:p>
        </w:tc>
        <w:tc>
          <w:tcPr>
            <w:tcW w:w="1276" w:type="dxa"/>
            <w:tcBorders>
              <w:top w:val="single" w:sz="4" w:space="0" w:color="auto"/>
              <w:bottom w:val="single" w:sz="4" w:space="0" w:color="auto"/>
            </w:tcBorders>
          </w:tcPr>
          <w:p>
            <w:pPr>
              <w:pStyle w:val="nzTable"/>
              <w:rPr>
                <w:spacing w:val="-8"/>
              </w:rPr>
            </w:pPr>
            <w:r>
              <w:rPr>
                <w:spacing w:val="-8"/>
              </w:rPr>
              <w:t>1.15 a.m. Switch</w:t>
            </w:r>
            <w:r>
              <w:rPr>
                <w:spacing w:val="-8"/>
              </w:rPr>
              <w:noBreakHyphen/>
              <w:t>off Cents per day</w:t>
            </w:r>
          </w:p>
        </w:tc>
        <w:tc>
          <w:tcPr>
            <w:tcW w:w="1134" w:type="dxa"/>
            <w:tcBorders>
              <w:top w:val="single" w:sz="4" w:space="0" w:color="auto"/>
              <w:bottom w:val="single" w:sz="4" w:space="0" w:color="auto"/>
            </w:tcBorders>
          </w:tcPr>
          <w:p>
            <w:pPr>
              <w:pStyle w:val="nzTable"/>
              <w:rPr>
                <w:spacing w:val="-8"/>
              </w:rPr>
            </w:pPr>
            <w:r>
              <w:rPr>
                <w:spacing w:val="-8"/>
              </w:rPr>
              <w:t>Dawn Switch</w:t>
            </w:r>
            <w:r>
              <w:rPr>
                <w:spacing w:val="-8"/>
              </w:rPr>
              <w:noBreakHyphen/>
              <w:t>off Cents per day</w:t>
            </w:r>
          </w:p>
        </w:tc>
      </w:tr>
      <w:tr>
        <w:trPr>
          <w:cantSplit/>
        </w:trPr>
        <w:tc>
          <w:tcPr>
            <w:tcW w:w="6804" w:type="dxa"/>
            <w:gridSpan w:val="6"/>
          </w:tcPr>
          <w:p>
            <w:pPr>
              <w:pStyle w:val="nzTable"/>
              <w:rPr>
                <w:i/>
                <w:iCs/>
              </w:rPr>
            </w:pPr>
            <w:r>
              <w:rPr>
                <w:i/>
                <w:iCs/>
              </w:rPr>
              <w:t>Street lighting on current offer and for existing services</w:t>
            </w:r>
          </w:p>
        </w:tc>
      </w:tr>
      <w:tr>
        <w:trPr>
          <w:cantSplit/>
        </w:trPr>
        <w:tc>
          <w:tcPr>
            <w:tcW w:w="567" w:type="dxa"/>
          </w:tcPr>
          <w:p>
            <w:pPr>
              <w:pStyle w:val="nzTable"/>
            </w:pPr>
            <w:r>
              <w:t>Z.01</w:t>
            </w:r>
          </w:p>
        </w:tc>
        <w:tc>
          <w:tcPr>
            <w:tcW w:w="851" w:type="dxa"/>
          </w:tcPr>
          <w:p>
            <w:pPr>
              <w:pStyle w:val="nzTable"/>
            </w:pPr>
            <w:r>
              <w:t>50</w:t>
            </w:r>
          </w:p>
        </w:tc>
        <w:tc>
          <w:tcPr>
            <w:tcW w:w="1701" w:type="dxa"/>
          </w:tcPr>
          <w:p>
            <w:pPr>
              <w:pStyle w:val="nzTable"/>
            </w:pPr>
            <w:r>
              <w:t>Mercury Vapour</w:t>
            </w:r>
          </w:p>
        </w:tc>
        <w:tc>
          <w:tcPr>
            <w:tcW w:w="1275" w:type="dxa"/>
          </w:tcPr>
          <w:p>
            <w:pPr>
              <w:pStyle w:val="nzTable"/>
            </w:pPr>
            <w:r>
              <w:t>22.605</w:t>
            </w:r>
          </w:p>
        </w:tc>
        <w:tc>
          <w:tcPr>
            <w:tcW w:w="1276" w:type="dxa"/>
          </w:tcPr>
          <w:p>
            <w:pPr>
              <w:pStyle w:val="nzTable"/>
            </w:pPr>
            <w:r>
              <w:t>23.089</w:t>
            </w:r>
          </w:p>
        </w:tc>
        <w:tc>
          <w:tcPr>
            <w:tcW w:w="1134" w:type="dxa"/>
          </w:tcPr>
          <w:p>
            <w:pPr>
              <w:pStyle w:val="nzTable"/>
            </w:pPr>
            <w:r>
              <w:t>24.838</w:t>
            </w:r>
          </w:p>
        </w:tc>
      </w:tr>
      <w:tr>
        <w:trPr>
          <w:cantSplit/>
        </w:trPr>
        <w:tc>
          <w:tcPr>
            <w:tcW w:w="567" w:type="dxa"/>
          </w:tcPr>
          <w:p>
            <w:pPr>
              <w:pStyle w:val="nzTable"/>
            </w:pPr>
            <w:r>
              <w:t>Z.02</w:t>
            </w:r>
          </w:p>
        </w:tc>
        <w:tc>
          <w:tcPr>
            <w:tcW w:w="851" w:type="dxa"/>
          </w:tcPr>
          <w:p>
            <w:pPr>
              <w:pStyle w:val="nzTable"/>
            </w:pPr>
            <w:r>
              <w:t>80</w:t>
            </w:r>
          </w:p>
        </w:tc>
        <w:tc>
          <w:tcPr>
            <w:tcW w:w="1701" w:type="dxa"/>
          </w:tcPr>
          <w:p>
            <w:pPr>
              <w:pStyle w:val="nzTable"/>
            </w:pPr>
            <w:r>
              <w:t>Mercury Vapour</w:t>
            </w:r>
          </w:p>
        </w:tc>
        <w:tc>
          <w:tcPr>
            <w:tcW w:w="1275" w:type="dxa"/>
          </w:tcPr>
          <w:p>
            <w:pPr>
              <w:pStyle w:val="nzTable"/>
            </w:pPr>
            <w:r>
              <w:t>26.620</w:t>
            </w:r>
          </w:p>
        </w:tc>
        <w:tc>
          <w:tcPr>
            <w:tcW w:w="1276" w:type="dxa"/>
          </w:tcPr>
          <w:p>
            <w:pPr>
              <w:pStyle w:val="nzTable"/>
            </w:pPr>
            <w:r>
              <w:t>27.214</w:t>
            </w:r>
          </w:p>
        </w:tc>
        <w:tc>
          <w:tcPr>
            <w:tcW w:w="1134" w:type="dxa"/>
          </w:tcPr>
          <w:p>
            <w:pPr>
              <w:pStyle w:val="nzTable"/>
            </w:pPr>
            <w:r>
              <w:t>29.942</w:t>
            </w:r>
          </w:p>
        </w:tc>
      </w:tr>
      <w:tr>
        <w:trPr>
          <w:cantSplit/>
        </w:trPr>
        <w:tc>
          <w:tcPr>
            <w:tcW w:w="567" w:type="dxa"/>
          </w:tcPr>
          <w:p>
            <w:pPr>
              <w:pStyle w:val="nzTable"/>
            </w:pPr>
            <w:r>
              <w:t>Z.03</w:t>
            </w:r>
          </w:p>
        </w:tc>
        <w:tc>
          <w:tcPr>
            <w:tcW w:w="851" w:type="dxa"/>
          </w:tcPr>
          <w:p>
            <w:pPr>
              <w:pStyle w:val="nzTable"/>
            </w:pPr>
            <w:r>
              <w:t>125</w:t>
            </w:r>
          </w:p>
        </w:tc>
        <w:tc>
          <w:tcPr>
            <w:tcW w:w="1701" w:type="dxa"/>
          </w:tcPr>
          <w:p>
            <w:pPr>
              <w:pStyle w:val="nzTable"/>
            </w:pPr>
            <w:r>
              <w:t>Mercury Vapour</w:t>
            </w:r>
          </w:p>
        </w:tc>
        <w:tc>
          <w:tcPr>
            <w:tcW w:w="1275" w:type="dxa"/>
          </w:tcPr>
          <w:p>
            <w:pPr>
              <w:pStyle w:val="nzTable"/>
            </w:pPr>
            <w:r>
              <w:t>32.923</w:t>
            </w:r>
          </w:p>
        </w:tc>
        <w:tc>
          <w:tcPr>
            <w:tcW w:w="1276" w:type="dxa"/>
          </w:tcPr>
          <w:p>
            <w:pPr>
              <w:pStyle w:val="nzTable"/>
            </w:pPr>
            <w:r>
              <w:t>33.990</w:t>
            </w:r>
          </w:p>
        </w:tc>
        <w:tc>
          <w:tcPr>
            <w:tcW w:w="1134" w:type="dxa"/>
          </w:tcPr>
          <w:p>
            <w:pPr>
              <w:pStyle w:val="nzTable"/>
            </w:pPr>
            <w:r>
              <w:t>37.840</w:t>
            </w:r>
          </w:p>
        </w:tc>
      </w:tr>
      <w:tr>
        <w:trPr>
          <w:cantSplit/>
        </w:trPr>
        <w:tc>
          <w:tcPr>
            <w:tcW w:w="567" w:type="dxa"/>
          </w:tcPr>
          <w:p>
            <w:pPr>
              <w:pStyle w:val="nzTable"/>
            </w:pPr>
            <w:r>
              <w:t>Z.04</w:t>
            </w:r>
          </w:p>
        </w:tc>
        <w:tc>
          <w:tcPr>
            <w:tcW w:w="851" w:type="dxa"/>
          </w:tcPr>
          <w:p>
            <w:pPr>
              <w:pStyle w:val="nzTable"/>
            </w:pPr>
            <w:r>
              <w:t>140</w:t>
            </w:r>
          </w:p>
        </w:tc>
        <w:tc>
          <w:tcPr>
            <w:tcW w:w="1701" w:type="dxa"/>
          </w:tcPr>
          <w:p>
            <w:pPr>
              <w:pStyle w:val="nzTable"/>
            </w:pPr>
            <w:r>
              <w:t xml:space="preserve">Low Pressure Sodium </w:t>
            </w:r>
          </w:p>
        </w:tc>
        <w:tc>
          <w:tcPr>
            <w:tcW w:w="1275" w:type="dxa"/>
          </w:tcPr>
          <w:p>
            <w:pPr>
              <w:pStyle w:val="nzTable"/>
            </w:pPr>
            <w:r>
              <w:br/>
              <w:t>33.693</w:t>
            </w:r>
          </w:p>
        </w:tc>
        <w:tc>
          <w:tcPr>
            <w:tcW w:w="1276" w:type="dxa"/>
          </w:tcPr>
          <w:p>
            <w:pPr>
              <w:pStyle w:val="nzTable"/>
            </w:pPr>
            <w:r>
              <w:br/>
              <w:t>34.793</w:t>
            </w:r>
          </w:p>
        </w:tc>
        <w:tc>
          <w:tcPr>
            <w:tcW w:w="1134" w:type="dxa"/>
          </w:tcPr>
          <w:p>
            <w:pPr>
              <w:pStyle w:val="nzTable"/>
            </w:pPr>
            <w:r>
              <w:br/>
              <w:t>39.215</w:t>
            </w:r>
          </w:p>
        </w:tc>
      </w:tr>
      <w:tr>
        <w:trPr>
          <w:cantSplit/>
        </w:trPr>
        <w:tc>
          <w:tcPr>
            <w:tcW w:w="567" w:type="dxa"/>
          </w:tcPr>
          <w:p>
            <w:pPr>
              <w:pStyle w:val="nzTable"/>
            </w:pPr>
            <w:r>
              <w:t>Z.07</w:t>
            </w:r>
          </w:p>
        </w:tc>
        <w:tc>
          <w:tcPr>
            <w:tcW w:w="851" w:type="dxa"/>
          </w:tcPr>
          <w:p>
            <w:pPr>
              <w:pStyle w:val="nzTable"/>
            </w:pPr>
            <w:r>
              <w:t>250</w:t>
            </w:r>
          </w:p>
        </w:tc>
        <w:tc>
          <w:tcPr>
            <w:tcW w:w="1701" w:type="dxa"/>
          </w:tcPr>
          <w:p>
            <w:pPr>
              <w:pStyle w:val="nzTable"/>
            </w:pPr>
            <w:r>
              <w:t>Mercury Vapour</w:t>
            </w:r>
          </w:p>
        </w:tc>
        <w:tc>
          <w:tcPr>
            <w:tcW w:w="1275" w:type="dxa"/>
          </w:tcPr>
          <w:p>
            <w:pPr>
              <w:pStyle w:val="nzTable"/>
            </w:pPr>
            <w:r>
              <w:t>40.854</w:t>
            </w:r>
          </w:p>
        </w:tc>
        <w:tc>
          <w:tcPr>
            <w:tcW w:w="1276" w:type="dxa"/>
          </w:tcPr>
          <w:p>
            <w:pPr>
              <w:pStyle w:val="nzTable"/>
            </w:pPr>
            <w:r>
              <w:t>42.933</w:t>
            </w:r>
          </w:p>
        </w:tc>
        <w:tc>
          <w:tcPr>
            <w:tcW w:w="1134" w:type="dxa"/>
          </w:tcPr>
          <w:p>
            <w:pPr>
              <w:pStyle w:val="nzTable"/>
            </w:pPr>
            <w:r>
              <w:t>50.688</w:t>
            </w:r>
          </w:p>
        </w:tc>
      </w:tr>
      <w:tr>
        <w:trPr>
          <w:cantSplit/>
        </w:trPr>
        <w:tc>
          <w:tcPr>
            <w:tcW w:w="567" w:type="dxa"/>
          </w:tcPr>
          <w:p>
            <w:pPr>
              <w:pStyle w:val="nzTable"/>
            </w:pPr>
            <w:r>
              <w:t>Z.10</w:t>
            </w:r>
          </w:p>
        </w:tc>
        <w:tc>
          <w:tcPr>
            <w:tcW w:w="851" w:type="dxa"/>
          </w:tcPr>
          <w:p>
            <w:pPr>
              <w:pStyle w:val="nzTable"/>
            </w:pPr>
            <w:r>
              <w:t>400</w:t>
            </w:r>
          </w:p>
        </w:tc>
        <w:tc>
          <w:tcPr>
            <w:tcW w:w="1701" w:type="dxa"/>
          </w:tcPr>
          <w:p>
            <w:pPr>
              <w:pStyle w:val="nzTable"/>
            </w:pPr>
            <w:r>
              <w:t>Mercury Vapour</w:t>
            </w:r>
          </w:p>
        </w:tc>
        <w:tc>
          <w:tcPr>
            <w:tcW w:w="1275" w:type="dxa"/>
          </w:tcPr>
          <w:p>
            <w:pPr>
              <w:pStyle w:val="nzTable"/>
            </w:pPr>
            <w:r>
              <w:t>60.522</w:t>
            </w:r>
          </w:p>
        </w:tc>
        <w:tc>
          <w:tcPr>
            <w:tcW w:w="1276" w:type="dxa"/>
          </w:tcPr>
          <w:p>
            <w:pPr>
              <w:pStyle w:val="nzTable"/>
            </w:pPr>
            <w:r>
              <w:t>63.690</w:t>
            </w:r>
          </w:p>
        </w:tc>
        <w:tc>
          <w:tcPr>
            <w:tcW w:w="1134" w:type="dxa"/>
          </w:tcPr>
          <w:p>
            <w:pPr>
              <w:pStyle w:val="nzTable"/>
            </w:pPr>
            <w:r>
              <w:t>75.790</w:t>
            </w:r>
          </w:p>
        </w:tc>
      </w:tr>
      <w:tr>
        <w:trPr>
          <w:cantSplit/>
        </w:trPr>
        <w:tc>
          <w:tcPr>
            <w:tcW w:w="567" w:type="dxa"/>
          </w:tcPr>
          <w:p>
            <w:pPr>
              <w:pStyle w:val="nzTable"/>
            </w:pPr>
            <w:r>
              <w:t>Z.13</w:t>
            </w:r>
          </w:p>
        </w:tc>
        <w:tc>
          <w:tcPr>
            <w:tcW w:w="851" w:type="dxa"/>
          </w:tcPr>
          <w:p>
            <w:pPr>
              <w:pStyle w:val="nzTable"/>
            </w:pPr>
            <w:r>
              <w:t>150</w:t>
            </w:r>
          </w:p>
        </w:tc>
        <w:tc>
          <w:tcPr>
            <w:tcW w:w="1701" w:type="dxa"/>
          </w:tcPr>
          <w:p>
            <w:pPr>
              <w:pStyle w:val="nzTable"/>
            </w:pPr>
            <w:r>
              <w:t>High Pressure Sodium</w:t>
            </w:r>
          </w:p>
        </w:tc>
        <w:tc>
          <w:tcPr>
            <w:tcW w:w="1275" w:type="dxa"/>
          </w:tcPr>
          <w:p>
            <w:pPr>
              <w:pStyle w:val="nzTable"/>
            </w:pPr>
            <w:r>
              <w:br/>
              <w:t>31.185</w:t>
            </w:r>
          </w:p>
        </w:tc>
        <w:tc>
          <w:tcPr>
            <w:tcW w:w="1276" w:type="dxa"/>
          </w:tcPr>
          <w:p>
            <w:pPr>
              <w:pStyle w:val="nzTable"/>
            </w:pPr>
            <w:r>
              <w:br/>
              <w:t>32.329</w:t>
            </w:r>
          </w:p>
        </w:tc>
        <w:tc>
          <w:tcPr>
            <w:tcW w:w="1134" w:type="dxa"/>
          </w:tcPr>
          <w:p>
            <w:pPr>
              <w:pStyle w:val="nzTable"/>
            </w:pPr>
            <w:r>
              <w:br/>
              <w:t>38.731</w:t>
            </w:r>
          </w:p>
        </w:tc>
      </w:tr>
      <w:tr>
        <w:trPr>
          <w:cantSplit/>
        </w:trPr>
        <w:tc>
          <w:tcPr>
            <w:tcW w:w="567" w:type="dxa"/>
          </w:tcPr>
          <w:p>
            <w:pPr>
              <w:pStyle w:val="nzTable"/>
            </w:pPr>
            <w:r>
              <w:t>Z.15</w:t>
            </w:r>
          </w:p>
        </w:tc>
        <w:tc>
          <w:tcPr>
            <w:tcW w:w="851" w:type="dxa"/>
          </w:tcPr>
          <w:p>
            <w:pPr>
              <w:pStyle w:val="nzTable"/>
            </w:pPr>
            <w:r>
              <w:t>250</w:t>
            </w:r>
          </w:p>
        </w:tc>
        <w:tc>
          <w:tcPr>
            <w:tcW w:w="1701" w:type="dxa"/>
          </w:tcPr>
          <w:p>
            <w:pPr>
              <w:pStyle w:val="nzTable"/>
            </w:pPr>
            <w:r>
              <w:t>High Pressure Sodium</w:t>
            </w:r>
          </w:p>
        </w:tc>
        <w:tc>
          <w:tcPr>
            <w:tcW w:w="1275" w:type="dxa"/>
          </w:tcPr>
          <w:p>
            <w:pPr>
              <w:pStyle w:val="nzTable"/>
            </w:pPr>
            <w:r>
              <w:br/>
              <w:t>46.233</w:t>
            </w:r>
          </w:p>
        </w:tc>
        <w:tc>
          <w:tcPr>
            <w:tcW w:w="1276" w:type="dxa"/>
          </w:tcPr>
          <w:p>
            <w:pPr>
              <w:pStyle w:val="nzTable"/>
            </w:pPr>
            <w:r>
              <w:br/>
              <w:t>48.697</w:t>
            </w:r>
          </w:p>
        </w:tc>
        <w:tc>
          <w:tcPr>
            <w:tcW w:w="1134" w:type="dxa"/>
          </w:tcPr>
          <w:p>
            <w:pPr>
              <w:pStyle w:val="nzTable"/>
            </w:pPr>
            <w:r>
              <w:br/>
              <w:t>58.201</w:t>
            </w:r>
          </w:p>
        </w:tc>
      </w:tr>
      <w:tr>
        <w:trPr>
          <w:cantSplit/>
        </w:trPr>
        <w:tc>
          <w:tcPr>
            <w:tcW w:w="567" w:type="dxa"/>
          </w:tcPr>
          <w:p>
            <w:pPr>
              <w:pStyle w:val="nzTable"/>
            </w:pPr>
            <w:r>
              <w:t>Z.18</w:t>
            </w:r>
          </w:p>
        </w:tc>
        <w:tc>
          <w:tcPr>
            <w:tcW w:w="851" w:type="dxa"/>
          </w:tcPr>
          <w:p>
            <w:pPr>
              <w:pStyle w:val="nzTable"/>
            </w:pPr>
            <w:r>
              <w:t>per kW</w:t>
            </w:r>
          </w:p>
        </w:tc>
        <w:tc>
          <w:tcPr>
            <w:tcW w:w="1701" w:type="dxa"/>
          </w:tcPr>
          <w:p>
            <w:pPr>
              <w:pStyle w:val="nzTable"/>
            </w:pPr>
            <w:r>
              <w:t>Auxiliary Lighting in Public Places</w:t>
            </w:r>
          </w:p>
        </w:tc>
        <w:tc>
          <w:tcPr>
            <w:tcW w:w="1275" w:type="dxa"/>
          </w:tcPr>
          <w:p>
            <w:pPr>
              <w:pStyle w:val="nzTable"/>
            </w:pPr>
            <w:r>
              <w:br/>
              <w:t>132.451</w:t>
            </w:r>
          </w:p>
        </w:tc>
        <w:tc>
          <w:tcPr>
            <w:tcW w:w="1276" w:type="dxa"/>
          </w:tcPr>
          <w:p>
            <w:pPr>
              <w:pStyle w:val="nzTable"/>
            </w:pPr>
            <w:r>
              <w:br/>
              <w:t>139.810</w:t>
            </w:r>
          </w:p>
        </w:tc>
        <w:tc>
          <w:tcPr>
            <w:tcW w:w="1134" w:type="dxa"/>
          </w:tcPr>
          <w:p>
            <w:pPr>
              <w:pStyle w:val="nzTable"/>
            </w:pPr>
            <w:r>
              <w:br/>
              <w:t>168.773</w:t>
            </w:r>
          </w:p>
        </w:tc>
      </w:tr>
      <w:tr>
        <w:trPr>
          <w:cantSplit/>
        </w:trPr>
        <w:tc>
          <w:tcPr>
            <w:tcW w:w="6804" w:type="dxa"/>
            <w:gridSpan w:val="6"/>
          </w:tcPr>
          <w:p>
            <w:pPr>
              <w:pStyle w:val="nzTable"/>
              <w:rPr>
                <w:i/>
                <w:iCs/>
              </w:rPr>
            </w:pPr>
            <w:r>
              <w:rPr>
                <w:i/>
                <w:iCs/>
              </w:rPr>
              <w:t>Street lighting for existing services only</w:t>
            </w:r>
          </w:p>
        </w:tc>
      </w:tr>
      <w:tr>
        <w:trPr>
          <w:cantSplit/>
        </w:trPr>
        <w:tc>
          <w:tcPr>
            <w:tcW w:w="567" w:type="dxa"/>
          </w:tcPr>
          <w:p>
            <w:pPr>
              <w:pStyle w:val="nzTable"/>
            </w:pPr>
            <w:r>
              <w:t>Z.05</w:t>
            </w:r>
          </w:p>
        </w:tc>
        <w:tc>
          <w:tcPr>
            <w:tcW w:w="851" w:type="dxa"/>
          </w:tcPr>
          <w:p>
            <w:pPr>
              <w:pStyle w:val="nzTable"/>
            </w:pPr>
            <w:r>
              <w:t>250</w:t>
            </w:r>
          </w:p>
        </w:tc>
        <w:tc>
          <w:tcPr>
            <w:tcW w:w="1701" w:type="dxa"/>
          </w:tcPr>
          <w:p>
            <w:pPr>
              <w:pStyle w:val="nzTable"/>
            </w:pPr>
            <w:r>
              <w:t>Mercury Vapour</w:t>
            </w:r>
          </w:p>
        </w:tc>
        <w:tc>
          <w:tcPr>
            <w:tcW w:w="1275" w:type="dxa"/>
          </w:tcPr>
          <w:p>
            <w:pPr>
              <w:pStyle w:val="nzTable"/>
            </w:pPr>
            <w:r>
              <w:t>52.943</w:t>
            </w:r>
          </w:p>
        </w:tc>
        <w:tc>
          <w:tcPr>
            <w:tcW w:w="1276" w:type="dxa"/>
          </w:tcPr>
          <w:p>
            <w:pPr>
              <w:pStyle w:val="nzTable"/>
            </w:pPr>
            <w:r>
              <w:t>55.011</w:t>
            </w:r>
          </w:p>
        </w:tc>
        <w:tc>
          <w:tcPr>
            <w:tcW w:w="1134" w:type="dxa"/>
          </w:tcPr>
          <w:p>
            <w:pPr>
              <w:pStyle w:val="nzTable"/>
            </w:pPr>
            <w:r>
              <w:t>62.777</w:t>
            </w:r>
          </w:p>
        </w:tc>
      </w:tr>
      <w:tr>
        <w:trPr>
          <w:cantSplit/>
        </w:trPr>
        <w:tc>
          <w:tcPr>
            <w:tcW w:w="567" w:type="dxa"/>
          </w:tcPr>
          <w:p>
            <w:pPr>
              <w:pStyle w:val="nzTable"/>
            </w:pPr>
            <w:r>
              <w:t>Z.06</w:t>
            </w:r>
          </w:p>
        </w:tc>
        <w:tc>
          <w:tcPr>
            <w:tcW w:w="851" w:type="dxa"/>
          </w:tcPr>
          <w:p>
            <w:pPr>
              <w:pStyle w:val="nzTable"/>
            </w:pPr>
            <w:r>
              <w:t>400</w:t>
            </w:r>
          </w:p>
        </w:tc>
        <w:tc>
          <w:tcPr>
            <w:tcW w:w="1701" w:type="dxa"/>
          </w:tcPr>
          <w:p>
            <w:pPr>
              <w:pStyle w:val="nzTable"/>
            </w:pPr>
            <w:r>
              <w:t>Mercury Vapour</w:t>
            </w:r>
          </w:p>
        </w:tc>
        <w:tc>
          <w:tcPr>
            <w:tcW w:w="1275" w:type="dxa"/>
          </w:tcPr>
          <w:p>
            <w:pPr>
              <w:pStyle w:val="nzTable"/>
            </w:pPr>
            <w:r>
              <w:t>72.622</w:t>
            </w:r>
          </w:p>
        </w:tc>
        <w:tc>
          <w:tcPr>
            <w:tcW w:w="1276" w:type="dxa"/>
          </w:tcPr>
          <w:p>
            <w:pPr>
              <w:pStyle w:val="nzTable"/>
            </w:pPr>
            <w:r>
              <w:t>75.790</w:t>
            </w:r>
          </w:p>
        </w:tc>
        <w:tc>
          <w:tcPr>
            <w:tcW w:w="1134" w:type="dxa"/>
          </w:tcPr>
          <w:p>
            <w:pPr>
              <w:pStyle w:val="nzTable"/>
            </w:pPr>
            <w:r>
              <w:t>87.835</w:t>
            </w:r>
          </w:p>
        </w:tc>
      </w:tr>
      <w:tr>
        <w:trPr>
          <w:cantSplit/>
        </w:trPr>
        <w:tc>
          <w:tcPr>
            <w:tcW w:w="567" w:type="dxa"/>
          </w:tcPr>
          <w:p>
            <w:pPr>
              <w:pStyle w:val="nzTable"/>
            </w:pPr>
            <w:r>
              <w:t>Z.08</w:t>
            </w:r>
          </w:p>
        </w:tc>
        <w:tc>
          <w:tcPr>
            <w:tcW w:w="851" w:type="dxa"/>
          </w:tcPr>
          <w:p>
            <w:pPr>
              <w:pStyle w:val="nzTable"/>
            </w:pPr>
            <w:r>
              <w:t>250</w:t>
            </w:r>
          </w:p>
        </w:tc>
        <w:tc>
          <w:tcPr>
            <w:tcW w:w="1701" w:type="dxa"/>
          </w:tcPr>
          <w:p>
            <w:pPr>
              <w:pStyle w:val="nzTable"/>
            </w:pPr>
            <w:r>
              <w:t>Mercury Vapour 50% E.C. cost</w:t>
            </w:r>
          </w:p>
        </w:tc>
        <w:tc>
          <w:tcPr>
            <w:tcW w:w="1275" w:type="dxa"/>
          </w:tcPr>
          <w:p>
            <w:pPr>
              <w:pStyle w:val="nzTable"/>
            </w:pPr>
            <w:r>
              <w:t>46.893</w:t>
            </w:r>
          </w:p>
        </w:tc>
        <w:tc>
          <w:tcPr>
            <w:tcW w:w="1276" w:type="dxa"/>
          </w:tcPr>
          <w:p>
            <w:pPr>
              <w:pStyle w:val="nzTable"/>
            </w:pPr>
            <w:r>
              <w:t>48.939</w:t>
            </w:r>
          </w:p>
        </w:tc>
        <w:tc>
          <w:tcPr>
            <w:tcW w:w="1134" w:type="dxa"/>
          </w:tcPr>
          <w:p>
            <w:pPr>
              <w:pStyle w:val="nzTable"/>
            </w:pPr>
            <w:r>
              <w:t>56.727</w:t>
            </w:r>
          </w:p>
        </w:tc>
      </w:tr>
      <w:tr>
        <w:trPr>
          <w:cantSplit/>
        </w:trPr>
        <w:tc>
          <w:tcPr>
            <w:tcW w:w="567" w:type="dxa"/>
          </w:tcPr>
          <w:p>
            <w:pPr>
              <w:pStyle w:val="nzTable"/>
            </w:pPr>
            <w:r>
              <w:t>Z.09</w:t>
            </w:r>
          </w:p>
        </w:tc>
        <w:tc>
          <w:tcPr>
            <w:tcW w:w="851" w:type="dxa"/>
          </w:tcPr>
          <w:p>
            <w:pPr>
              <w:pStyle w:val="nzTable"/>
            </w:pPr>
            <w:r>
              <w:t>250</w:t>
            </w:r>
          </w:p>
        </w:tc>
        <w:tc>
          <w:tcPr>
            <w:tcW w:w="1701" w:type="dxa"/>
          </w:tcPr>
          <w:p>
            <w:pPr>
              <w:pStyle w:val="nzTable"/>
            </w:pPr>
            <w:r>
              <w:t>Mercury Vapour 100% E.C. cost</w:t>
            </w:r>
          </w:p>
        </w:tc>
        <w:tc>
          <w:tcPr>
            <w:tcW w:w="1275" w:type="dxa"/>
          </w:tcPr>
          <w:p>
            <w:pPr>
              <w:pStyle w:val="nzTable"/>
            </w:pPr>
            <w:r>
              <w:br/>
              <w:t>52.943</w:t>
            </w:r>
          </w:p>
        </w:tc>
        <w:tc>
          <w:tcPr>
            <w:tcW w:w="1276" w:type="dxa"/>
          </w:tcPr>
          <w:p>
            <w:pPr>
              <w:pStyle w:val="nzTable"/>
            </w:pPr>
            <w:r>
              <w:br/>
              <w:t>55.011</w:t>
            </w:r>
          </w:p>
        </w:tc>
        <w:tc>
          <w:tcPr>
            <w:tcW w:w="1134" w:type="dxa"/>
          </w:tcPr>
          <w:p>
            <w:pPr>
              <w:pStyle w:val="nzTable"/>
            </w:pPr>
            <w:r>
              <w:br/>
              <w:t>62.777</w:t>
            </w:r>
          </w:p>
        </w:tc>
      </w:tr>
      <w:tr>
        <w:trPr>
          <w:cantSplit/>
        </w:trPr>
        <w:tc>
          <w:tcPr>
            <w:tcW w:w="567" w:type="dxa"/>
          </w:tcPr>
          <w:p>
            <w:pPr>
              <w:pStyle w:val="nzTable"/>
            </w:pPr>
            <w:r>
              <w:t>Z.11</w:t>
            </w:r>
          </w:p>
        </w:tc>
        <w:tc>
          <w:tcPr>
            <w:tcW w:w="851" w:type="dxa"/>
          </w:tcPr>
          <w:p>
            <w:pPr>
              <w:pStyle w:val="nzTable"/>
            </w:pPr>
            <w:r>
              <w:t>400</w:t>
            </w:r>
          </w:p>
        </w:tc>
        <w:tc>
          <w:tcPr>
            <w:tcW w:w="1701" w:type="dxa"/>
          </w:tcPr>
          <w:p>
            <w:pPr>
              <w:pStyle w:val="nzTable"/>
            </w:pPr>
            <w:r>
              <w:t>Mercury Vapour 50% E.C. cost</w:t>
            </w:r>
          </w:p>
        </w:tc>
        <w:tc>
          <w:tcPr>
            <w:tcW w:w="1275" w:type="dxa"/>
          </w:tcPr>
          <w:p>
            <w:pPr>
              <w:pStyle w:val="nzTable"/>
            </w:pPr>
            <w:r>
              <w:br/>
              <w:t>66.572</w:t>
            </w:r>
          </w:p>
        </w:tc>
        <w:tc>
          <w:tcPr>
            <w:tcW w:w="1276" w:type="dxa"/>
          </w:tcPr>
          <w:p>
            <w:pPr>
              <w:pStyle w:val="nzTable"/>
            </w:pPr>
            <w:r>
              <w:br/>
              <w:t>69.751</w:t>
            </w:r>
          </w:p>
        </w:tc>
        <w:tc>
          <w:tcPr>
            <w:tcW w:w="1134" w:type="dxa"/>
          </w:tcPr>
          <w:p>
            <w:pPr>
              <w:pStyle w:val="nzTable"/>
            </w:pPr>
            <w:r>
              <w:br/>
              <w:t>81.807</w:t>
            </w:r>
          </w:p>
        </w:tc>
      </w:tr>
      <w:tr>
        <w:trPr>
          <w:cantSplit/>
        </w:trPr>
        <w:tc>
          <w:tcPr>
            <w:tcW w:w="567" w:type="dxa"/>
          </w:tcPr>
          <w:p>
            <w:pPr>
              <w:pStyle w:val="nzTable"/>
            </w:pPr>
            <w:r>
              <w:t>Z.12</w:t>
            </w:r>
          </w:p>
        </w:tc>
        <w:tc>
          <w:tcPr>
            <w:tcW w:w="851" w:type="dxa"/>
          </w:tcPr>
          <w:p>
            <w:pPr>
              <w:pStyle w:val="nzTable"/>
            </w:pPr>
            <w:r>
              <w:t>400</w:t>
            </w:r>
          </w:p>
        </w:tc>
        <w:tc>
          <w:tcPr>
            <w:tcW w:w="1701" w:type="dxa"/>
          </w:tcPr>
          <w:p>
            <w:pPr>
              <w:pStyle w:val="nzTable"/>
            </w:pPr>
            <w:r>
              <w:t>Mercury Vapour 100% E.C. cost</w:t>
            </w:r>
          </w:p>
        </w:tc>
        <w:tc>
          <w:tcPr>
            <w:tcW w:w="1275" w:type="dxa"/>
          </w:tcPr>
          <w:p>
            <w:pPr>
              <w:pStyle w:val="nzTable"/>
            </w:pPr>
            <w:r>
              <w:br/>
              <w:t>72.622</w:t>
            </w:r>
          </w:p>
        </w:tc>
        <w:tc>
          <w:tcPr>
            <w:tcW w:w="1276" w:type="dxa"/>
          </w:tcPr>
          <w:p>
            <w:pPr>
              <w:pStyle w:val="nzTable"/>
            </w:pPr>
            <w:r>
              <w:br/>
              <w:t>75.790</w:t>
            </w:r>
          </w:p>
        </w:tc>
        <w:tc>
          <w:tcPr>
            <w:tcW w:w="1134" w:type="dxa"/>
          </w:tcPr>
          <w:p>
            <w:pPr>
              <w:pStyle w:val="nzTable"/>
            </w:pPr>
            <w:r>
              <w:br/>
              <w:t>87.835</w:t>
            </w:r>
          </w:p>
        </w:tc>
      </w:tr>
      <w:tr>
        <w:trPr>
          <w:cantSplit/>
        </w:trPr>
        <w:tc>
          <w:tcPr>
            <w:tcW w:w="567" w:type="dxa"/>
          </w:tcPr>
          <w:p>
            <w:pPr>
              <w:pStyle w:val="nzTable"/>
            </w:pPr>
            <w:r>
              <w:t>Z.14</w:t>
            </w:r>
          </w:p>
        </w:tc>
        <w:tc>
          <w:tcPr>
            <w:tcW w:w="851" w:type="dxa"/>
          </w:tcPr>
          <w:p>
            <w:pPr>
              <w:pStyle w:val="nzTable"/>
            </w:pPr>
            <w:r>
              <w:t>150</w:t>
            </w:r>
          </w:p>
        </w:tc>
        <w:tc>
          <w:tcPr>
            <w:tcW w:w="1701" w:type="dxa"/>
          </w:tcPr>
          <w:p>
            <w:pPr>
              <w:pStyle w:val="nzTable"/>
            </w:pPr>
            <w:r>
              <w:t>H.P. Sodium</w:t>
            </w:r>
          </w:p>
        </w:tc>
        <w:tc>
          <w:tcPr>
            <w:tcW w:w="1275" w:type="dxa"/>
          </w:tcPr>
          <w:p>
            <w:pPr>
              <w:pStyle w:val="nzTable"/>
            </w:pPr>
            <w:r>
              <w:t>48.114</w:t>
            </w:r>
          </w:p>
        </w:tc>
        <w:tc>
          <w:tcPr>
            <w:tcW w:w="1276" w:type="dxa"/>
          </w:tcPr>
          <w:p>
            <w:pPr>
              <w:pStyle w:val="nzTable"/>
            </w:pPr>
            <w:r>
              <w:t>49.236</w:t>
            </w:r>
          </w:p>
        </w:tc>
        <w:tc>
          <w:tcPr>
            <w:tcW w:w="1134" w:type="dxa"/>
          </w:tcPr>
          <w:p>
            <w:pPr>
              <w:pStyle w:val="nzTable"/>
            </w:pPr>
            <w:r>
              <w:t>55.616</w:t>
            </w:r>
          </w:p>
        </w:tc>
      </w:tr>
      <w:tr>
        <w:trPr>
          <w:cantSplit/>
        </w:trPr>
        <w:tc>
          <w:tcPr>
            <w:tcW w:w="567" w:type="dxa"/>
          </w:tcPr>
          <w:p>
            <w:pPr>
              <w:pStyle w:val="nzTable"/>
            </w:pPr>
            <w:r>
              <w:t>Z.16</w:t>
            </w:r>
          </w:p>
        </w:tc>
        <w:tc>
          <w:tcPr>
            <w:tcW w:w="851" w:type="dxa"/>
          </w:tcPr>
          <w:p>
            <w:pPr>
              <w:pStyle w:val="nzTable"/>
            </w:pPr>
            <w:r>
              <w:t>250</w:t>
            </w:r>
          </w:p>
        </w:tc>
        <w:tc>
          <w:tcPr>
            <w:tcW w:w="1701" w:type="dxa"/>
          </w:tcPr>
          <w:p>
            <w:pPr>
              <w:pStyle w:val="nzTable"/>
            </w:pPr>
            <w:r>
              <w:t>H.P. Sodium 50% E.C. cost</w:t>
            </w:r>
          </w:p>
        </w:tc>
        <w:tc>
          <w:tcPr>
            <w:tcW w:w="1275" w:type="dxa"/>
          </w:tcPr>
          <w:p>
            <w:pPr>
              <w:pStyle w:val="nzTable"/>
            </w:pPr>
            <w:r>
              <w:br/>
              <w:t>55.286</w:t>
            </w:r>
          </w:p>
        </w:tc>
        <w:tc>
          <w:tcPr>
            <w:tcW w:w="1276" w:type="dxa"/>
          </w:tcPr>
          <w:p>
            <w:pPr>
              <w:pStyle w:val="nzTable"/>
            </w:pPr>
            <w:r>
              <w:br/>
              <w:t>57.772</w:t>
            </w:r>
          </w:p>
        </w:tc>
        <w:tc>
          <w:tcPr>
            <w:tcW w:w="1134" w:type="dxa"/>
          </w:tcPr>
          <w:p>
            <w:pPr>
              <w:pStyle w:val="nzTable"/>
            </w:pPr>
            <w:r>
              <w:br/>
              <w:t>67.254</w:t>
            </w:r>
          </w:p>
        </w:tc>
      </w:tr>
      <w:tr>
        <w:trPr>
          <w:cantSplit/>
        </w:trPr>
        <w:tc>
          <w:tcPr>
            <w:tcW w:w="567" w:type="dxa"/>
          </w:tcPr>
          <w:p>
            <w:pPr>
              <w:pStyle w:val="nzTable"/>
            </w:pPr>
            <w:r>
              <w:t>Z.17</w:t>
            </w:r>
          </w:p>
        </w:tc>
        <w:tc>
          <w:tcPr>
            <w:tcW w:w="851" w:type="dxa"/>
          </w:tcPr>
          <w:p>
            <w:pPr>
              <w:pStyle w:val="nzTable"/>
            </w:pPr>
            <w:r>
              <w:t>250</w:t>
            </w:r>
          </w:p>
        </w:tc>
        <w:tc>
          <w:tcPr>
            <w:tcW w:w="1701" w:type="dxa"/>
          </w:tcPr>
          <w:p>
            <w:pPr>
              <w:pStyle w:val="nzTable"/>
            </w:pPr>
            <w:r>
              <w:t>H.P. Sodium 100% E.C. cost</w:t>
            </w:r>
          </w:p>
        </w:tc>
        <w:tc>
          <w:tcPr>
            <w:tcW w:w="1275" w:type="dxa"/>
          </w:tcPr>
          <w:p>
            <w:pPr>
              <w:pStyle w:val="nzTable"/>
            </w:pPr>
            <w:r>
              <w:br/>
              <w:t>64.317</w:t>
            </w:r>
          </w:p>
        </w:tc>
        <w:tc>
          <w:tcPr>
            <w:tcW w:w="1276" w:type="dxa"/>
          </w:tcPr>
          <w:p>
            <w:pPr>
              <w:pStyle w:val="nzTable"/>
            </w:pPr>
            <w:r>
              <w:br/>
              <w:t>66.836</w:t>
            </w:r>
          </w:p>
        </w:tc>
        <w:tc>
          <w:tcPr>
            <w:tcW w:w="1134" w:type="dxa"/>
          </w:tcPr>
          <w:p>
            <w:pPr>
              <w:pStyle w:val="nzTable"/>
            </w:pPr>
            <w:r>
              <w:br/>
              <w:t>76.329</w:t>
            </w:r>
          </w:p>
        </w:tc>
      </w:tr>
      <w:tr>
        <w:trPr>
          <w:cantSplit/>
        </w:trPr>
        <w:tc>
          <w:tcPr>
            <w:tcW w:w="567" w:type="dxa"/>
          </w:tcPr>
          <w:p>
            <w:pPr>
              <w:pStyle w:val="nzTable"/>
            </w:pPr>
            <w:r>
              <w:t>Z.51</w:t>
            </w:r>
          </w:p>
        </w:tc>
        <w:tc>
          <w:tcPr>
            <w:tcW w:w="851" w:type="dxa"/>
          </w:tcPr>
          <w:p>
            <w:pPr>
              <w:pStyle w:val="nzTable"/>
            </w:pPr>
            <w:r>
              <w:t>60</w:t>
            </w:r>
          </w:p>
        </w:tc>
        <w:tc>
          <w:tcPr>
            <w:tcW w:w="1701" w:type="dxa"/>
          </w:tcPr>
          <w:p>
            <w:pPr>
              <w:pStyle w:val="nzTable"/>
            </w:pPr>
            <w:r>
              <w:t>Incandescent</w:t>
            </w:r>
          </w:p>
        </w:tc>
        <w:tc>
          <w:tcPr>
            <w:tcW w:w="1275" w:type="dxa"/>
          </w:tcPr>
          <w:p>
            <w:pPr>
              <w:pStyle w:val="nzTable"/>
            </w:pPr>
            <w:r>
              <w:t>22.605</w:t>
            </w:r>
          </w:p>
        </w:tc>
        <w:tc>
          <w:tcPr>
            <w:tcW w:w="1276" w:type="dxa"/>
          </w:tcPr>
          <w:p>
            <w:pPr>
              <w:pStyle w:val="nzTable"/>
            </w:pPr>
            <w:r>
              <w:t>23.089</w:t>
            </w:r>
          </w:p>
        </w:tc>
        <w:tc>
          <w:tcPr>
            <w:tcW w:w="1134" w:type="dxa"/>
          </w:tcPr>
          <w:p>
            <w:pPr>
              <w:pStyle w:val="nzTable"/>
            </w:pPr>
            <w:r>
              <w:t>24.838</w:t>
            </w:r>
          </w:p>
        </w:tc>
      </w:tr>
      <w:tr>
        <w:trPr>
          <w:cantSplit/>
        </w:trPr>
        <w:tc>
          <w:tcPr>
            <w:tcW w:w="567" w:type="dxa"/>
          </w:tcPr>
          <w:p>
            <w:pPr>
              <w:pStyle w:val="nzTable"/>
            </w:pPr>
            <w:r>
              <w:t>Z.52</w:t>
            </w:r>
          </w:p>
        </w:tc>
        <w:tc>
          <w:tcPr>
            <w:tcW w:w="851" w:type="dxa"/>
          </w:tcPr>
          <w:p>
            <w:pPr>
              <w:pStyle w:val="nzTable"/>
            </w:pPr>
            <w:r>
              <w:t>100</w:t>
            </w:r>
          </w:p>
        </w:tc>
        <w:tc>
          <w:tcPr>
            <w:tcW w:w="1701" w:type="dxa"/>
          </w:tcPr>
          <w:p>
            <w:pPr>
              <w:pStyle w:val="nzTable"/>
            </w:pPr>
            <w:r>
              <w:t>Incandescent</w:t>
            </w:r>
          </w:p>
        </w:tc>
        <w:tc>
          <w:tcPr>
            <w:tcW w:w="1275" w:type="dxa"/>
          </w:tcPr>
          <w:p>
            <w:pPr>
              <w:pStyle w:val="nzTable"/>
            </w:pPr>
            <w:r>
              <w:t>22.605</w:t>
            </w:r>
          </w:p>
        </w:tc>
        <w:tc>
          <w:tcPr>
            <w:tcW w:w="1276" w:type="dxa"/>
          </w:tcPr>
          <w:p>
            <w:pPr>
              <w:pStyle w:val="nzTable"/>
            </w:pPr>
            <w:r>
              <w:t>23.089</w:t>
            </w:r>
          </w:p>
        </w:tc>
        <w:tc>
          <w:tcPr>
            <w:tcW w:w="1134" w:type="dxa"/>
          </w:tcPr>
          <w:p>
            <w:pPr>
              <w:pStyle w:val="nzTable"/>
            </w:pPr>
            <w:r>
              <w:t>24.838</w:t>
            </w:r>
          </w:p>
        </w:tc>
      </w:tr>
      <w:tr>
        <w:trPr>
          <w:cantSplit/>
        </w:trPr>
        <w:tc>
          <w:tcPr>
            <w:tcW w:w="567" w:type="dxa"/>
          </w:tcPr>
          <w:p>
            <w:pPr>
              <w:pStyle w:val="nzTable"/>
            </w:pPr>
            <w:r>
              <w:t>Z.53</w:t>
            </w:r>
          </w:p>
        </w:tc>
        <w:tc>
          <w:tcPr>
            <w:tcW w:w="851" w:type="dxa"/>
          </w:tcPr>
          <w:p>
            <w:pPr>
              <w:pStyle w:val="nzTable"/>
            </w:pPr>
            <w:r>
              <w:t>200</w:t>
            </w:r>
          </w:p>
        </w:tc>
        <w:tc>
          <w:tcPr>
            <w:tcW w:w="1701" w:type="dxa"/>
          </w:tcPr>
          <w:p>
            <w:pPr>
              <w:pStyle w:val="nzTable"/>
            </w:pPr>
            <w:r>
              <w:t>Incandescent</w:t>
            </w:r>
          </w:p>
        </w:tc>
        <w:tc>
          <w:tcPr>
            <w:tcW w:w="1275" w:type="dxa"/>
          </w:tcPr>
          <w:p>
            <w:pPr>
              <w:pStyle w:val="nzTable"/>
            </w:pPr>
            <w:r>
              <w:t>26.620</w:t>
            </w:r>
          </w:p>
        </w:tc>
        <w:tc>
          <w:tcPr>
            <w:tcW w:w="1276" w:type="dxa"/>
          </w:tcPr>
          <w:p>
            <w:pPr>
              <w:pStyle w:val="nzTable"/>
            </w:pPr>
            <w:r>
              <w:t>27.214</w:t>
            </w:r>
          </w:p>
        </w:tc>
        <w:tc>
          <w:tcPr>
            <w:tcW w:w="1134" w:type="dxa"/>
          </w:tcPr>
          <w:p>
            <w:pPr>
              <w:pStyle w:val="nzTable"/>
            </w:pPr>
            <w:r>
              <w:t>29.942</w:t>
            </w:r>
          </w:p>
        </w:tc>
      </w:tr>
      <w:tr>
        <w:trPr>
          <w:cantSplit/>
        </w:trPr>
        <w:tc>
          <w:tcPr>
            <w:tcW w:w="567" w:type="dxa"/>
          </w:tcPr>
          <w:p>
            <w:pPr>
              <w:pStyle w:val="nzTable"/>
            </w:pPr>
            <w:r>
              <w:t>Z.54</w:t>
            </w:r>
          </w:p>
        </w:tc>
        <w:tc>
          <w:tcPr>
            <w:tcW w:w="851" w:type="dxa"/>
          </w:tcPr>
          <w:p>
            <w:pPr>
              <w:pStyle w:val="nzTable"/>
            </w:pPr>
            <w:r>
              <w:t>300</w:t>
            </w:r>
          </w:p>
        </w:tc>
        <w:tc>
          <w:tcPr>
            <w:tcW w:w="1701" w:type="dxa"/>
          </w:tcPr>
          <w:p>
            <w:pPr>
              <w:pStyle w:val="nzTable"/>
            </w:pPr>
            <w:r>
              <w:t>Incandescent</w:t>
            </w:r>
          </w:p>
        </w:tc>
        <w:tc>
          <w:tcPr>
            <w:tcW w:w="1275" w:type="dxa"/>
          </w:tcPr>
          <w:p>
            <w:pPr>
              <w:pStyle w:val="nzTable"/>
            </w:pPr>
            <w:r>
              <w:t>32.923</w:t>
            </w:r>
          </w:p>
        </w:tc>
        <w:tc>
          <w:tcPr>
            <w:tcW w:w="1276" w:type="dxa"/>
          </w:tcPr>
          <w:p>
            <w:pPr>
              <w:pStyle w:val="nzTable"/>
            </w:pPr>
            <w:r>
              <w:t>33.990</w:t>
            </w:r>
          </w:p>
        </w:tc>
        <w:tc>
          <w:tcPr>
            <w:tcW w:w="1134" w:type="dxa"/>
          </w:tcPr>
          <w:p>
            <w:pPr>
              <w:pStyle w:val="nzTable"/>
            </w:pPr>
            <w:r>
              <w:t>37.840</w:t>
            </w:r>
          </w:p>
        </w:tc>
      </w:tr>
      <w:tr>
        <w:trPr>
          <w:cantSplit/>
        </w:trPr>
        <w:tc>
          <w:tcPr>
            <w:tcW w:w="567" w:type="dxa"/>
          </w:tcPr>
          <w:p>
            <w:pPr>
              <w:pStyle w:val="nzTable"/>
            </w:pPr>
            <w:r>
              <w:t>Z.55</w:t>
            </w:r>
          </w:p>
        </w:tc>
        <w:tc>
          <w:tcPr>
            <w:tcW w:w="851" w:type="dxa"/>
          </w:tcPr>
          <w:p>
            <w:pPr>
              <w:pStyle w:val="nzTable"/>
            </w:pPr>
            <w:r>
              <w:t>500</w:t>
            </w:r>
          </w:p>
        </w:tc>
        <w:tc>
          <w:tcPr>
            <w:tcW w:w="1701" w:type="dxa"/>
          </w:tcPr>
          <w:p>
            <w:pPr>
              <w:pStyle w:val="nzTable"/>
            </w:pPr>
            <w:r>
              <w:t>Incandescent</w:t>
            </w:r>
          </w:p>
        </w:tc>
        <w:tc>
          <w:tcPr>
            <w:tcW w:w="1275" w:type="dxa"/>
          </w:tcPr>
          <w:p>
            <w:pPr>
              <w:pStyle w:val="nzTable"/>
            </w:pPr>
            <w:r>
              <w:t>52.943</w:t>
            </w:r>
          </w:p>
        </w:tc>
        <w:tc>
          <w:tcPr>
            <w:tcW w:w="1276" w:type="dxa"/>
          </w:tcPr>
          <w:p>
            <w:pPr>
              <w:pStyle w:val="nzTable"/>
            </w:pPr>
            <w:r>
              <w:t>55.011</w:t>
            </w:r>
          </w:p>
        </w:tc>
        <w:tc>
          <w:tcPr>
            <w:tcW w:w="1134" w:type="dxa"/>
          </w:tcPr>
          <w:p>
            <w:pPr>
              <w:pStyle w:val="nzTable"/>
            </w:pPr>
            <w:r>
              <w:t>62.777</w:t>
            </w:r>
          </w:p>
        </w:tc>
      </w:tr>
      <w:tr>
        <w:trPr>
          <w:cantSplit/>
        </w:trPr>
        <w:tc>
          <w:tcPr>
            <w:tcW w:w="567" w:type="dxa"/>
          </w:tcPr>
          <w:p>
            <w:pPr>
              <w:pStyle w:val="nzTable"/>
            </w:pPr>
            <w:r>
              <w:t>Z.56</w:t>
            </w:r>
          </w:p>
        </w:tc>
        <w:tc>
          <w:tcPr>
            <w:tcW w:w="851" w:type="dxa"/>
          </w:tcPr>
          <w:p>
            <w:pPr>
              <w:pStyle w:val="nzTable"/>
            </w:pPr>
            <w:r>
              <w:t>40</w:t>
            </w:r>
          </w:p>
        </w:tc>
        <w:tc>
          <w:tcPr>
            <w:tcW w:w="1701" w:type="dxa"/>
          </w:tcPr>
          <w:p>
            <w:pPr>
              <w:pStyle w:val="nzTable"/>
            </w:pPr>
            <w:r>
              <w:t>Fluorescent</w:t>
            </w:r>
          </w:p>
        </w:tc>
        <w:tc>
          <w:tcPr>
            <w:tcW w:w="1275" w:type="dxa"/>
          </w:tcPr>
          <w:p>
            <w:pPr>
              <w:pStyle w:val="nzTable"/>
            </w:pPr>
            <w:r>
              <w:t>22.605</w:t>
            </w:r>
          </w:p>
        </w:tc>
        <w:tc>
          <w:tcPr>
            <w:tcW w:w="1276" w:type="dxa"/>
          </w:tcPr>
          <w:p>
            <w:pPr>
              <w:pStyle w:val="nzTable"/>
            </w:pPr>
            <w:r>
              <w:t>23.089</w:t>
            </w:r>
          </w:p>
        </w:tc>
        <w:tc>
          <w:tcPr>
            <w:tcW w:w="1134" w:type="dxa"/>
          </w:tcPr>
          <w:p>
            <w:pPr>
              <w:pStyle w:val="nzTable"/>
            </w:pPr>
            <w:r>
              <w:t>24.838</w:t>
            </w:r>
          </w:p>
        </w:tc>
      </w:tr>
      <w:tr>
        <w:trPr>
          <w:cantSplit/>
        </w:trPr>
        <w:tc>
          <w:tcPr>
            <w:tcW w:w="567" w:type="dxa"/>
          </w:tcPr>
          <w:p>
            <w:pPr>
              <w:pStyle w:val="nzTable"/>
            </w:pPr>
            <w:r>
              <w:t>Z.57</w:t>
            </w:r>
          </w:p>
        </w:tc>
        <w:tc>
          <w:tcPr>
            <w:tcW w:w="851" w:type="dxa"/>
          </w:tcPr>
          <w:p>
            <w:pPr>
              <w:pStyle w:val="nzTable"/>
            </w:pPr>
            <w:r>
              <w:t>80</w:t>
            </w:r>
          </w:p>
        </w:tc>
        <w:tc>
          <w:tcPr>
            <w:tcW w:w="1701" w:type="dxa"/>
          </w:tcPr>
          <w:p>
            <w:pPr>
              <w:pStyle w:val="nzTable"/>
            </w:pPr>
            <w:r>
              <w:t>Fluorescent</w:t>
            </w:r>
          </w:p>
        </w:tc>
        <w:tc>
          <w:tcPr>
            <w:tcW w:w="1275" w:type="dxa"/>
          </w:tcPr>
          <w:p>
            <w:pPr>
              <w:pStyle w:val="nzTable"/>
            </w:pPr>
            <w:r>
              <w:t>26.620</w:t>
            </w:r>
          </w:p>
        </w:tc>
        <w:tc>
          <w:tcPr>
            <w:tcW w:w="1276" w:type="dxa"/>
          </w:tcPr>
          <w:p>
            <w:pPr>
              <w:pStyle w:val="nzTable"/>
            </w:pPr>
            <w:r>
              <w:t>27.214</w:t>
            </w:r>
          </w:p>
        </w:tc>
        <w:tc>
          <w:tcPr>
            <w:tcW w:w="1134" w:type="dxa"/>
          </w:tcPr>
          <w:p>
            <w:pPr>
              <w:pStyle w:val="nzTable"/>
            </w:pPr>
            <w:r>
              <w:t>29.942</w:t>
            </w:r>
          </w:p>
        </w:tc>
      </w:tr>
      <w:tr>
        <w:trPr>
          <w:cantSplit/>
        </w:trPr>
        <w:tc>
          <w:tcPr>
            <w:tcW w:w="567" w:type="dxa"/>
            <w:tcBorders>
              <w:bottom w:val="single" w:sz="4" w:space="0" w:color="auto"/>
            </w:tcBorders>
          </w:tcPr>
          <w:p>
            <w:pPr>
              <w:pStyle w:val="nzTable"/>
            </w:pPr>
            <w:r>
              <w:t>Z.58</w:t>
            </w:r>
          </w:p>
        </w:tc>
        <w:tc>
          <w:tcPr>
            <w:tcW w:w="851" w:type="dxa"/>
            <w:tcBorders>
              <w:bottom w:val="single" w:sz="4" w:space="0" w:color="auto"/>
            </w:tcBorders>
          </w:tcPr>
          <w:p>
            <w:pPr>
              <w:pStyle w:val="nzTable"/>
            </w:pPr>
            <w:r>
              <w:t>160</w:t>
            </w:r>
          </w:p>
        </w:tc>
        <w:tc>
          <w:tcPr>
            <w:tcW w:w="1701" w:type="dxa"/>
            <w:tcBorders>
              <w:bottom w:val="single" w:sz="4" w:space="0" w:color="auto"/>
            </w:tcBorders>
          </w:tcPr>
          <w:p>
            <w:pPr>
              <w:pStyle w:val="nzTable"/>
            </w:pPr>
            <w:r>
              <w:t>Fluorescent</w:t>
            </w:r>
          </w:p>
        </w:tc>
        <w:tc>
          <w:tcPr>
            <w:tcW w:w="1275" w:type="dxa"/>
            <w:tcBorders>
              <w:bottom w:val="single" w:sz="4" w:space="0" w:color="auto"/>
            </w:tcBorders>
          </w:tcPr>
          <w:p>
            <w:pPr>
              <w:pStyle w:val="nzTable"/>
            </w:pPr>
            <w:r>
              <w:t>37.235</w:t>
            </w:r>
          </w:p>
        </w:tc>
        <w:tc>
          <w:tcPr>
            <w:tcW w:w="1276" w:type="dxa"/>
            <w:tcBorders>
              <w:bottom w:val="single" w:sz="4" w:space="0" w:color="auto"/>
            </w:tcBorders>
          </w:tcPr>
          <w:p>
            <w:pPr>
              <w:pStyle w:val="nzTable"/>
            </w:pPr>
            <w:r>
              <w:t>37.752</w:t>
            </w:r>
          </w:p>
        </w:tc>
        <w:tc>
          <w:tcPr>
            <w:tcW w:w="1134" w:type="dxa"/>
            <w:tcBorders>
              <w:bottom w:val="single" w:sz="4" w:space="0" w:color="auto"/>
            </w:tcBorders>
          </w:tcPr>
          <w:p>
            <w:pPr>
              <w:pStyle w:val="nzTable"/>
            </w:pPr>
            <w:r>
              <w:t>43.802</w:t>
            </w:r>
          </w:p>
        </w:tc>
      </w:tr>
    </w:tbl>
    <w:p>
      <w:pPr>
        <w:pStyle w:val="BlankClose"/>
      </w:pPr>
    </w:p>
    <w:p>
      <w:pPr>
        <w:pStyle w:val="nHeading5"/>
      </w:pPr>
      <w:r>
        <w:rPr>
          <w:rStyle w:val="CharSectno"/>
        </w:rPr>
        <w:t>12</w:t>
      </w:r>
      <w:r>
        <w:t>.</w:t>
      </w:r>
      <w:r>
        <w:tab/>
        <w:t>Schedule 4 amended</w:t>
      </w:r>
    </w:p>
    <w:p>
      <w:pPr>
        <w:pStyle w:val="nSubsection"/>
        <w:tabs>
          <w:tab w:val="left" w:pos="882"/>
        </w:tabs>
      </w:pPr>
      <w:r>
        <w:tab/>
        <w:t>(1)</w:t>
      </w:r>
      <w:r>
        <w:tab/>
        <w:t>In Schedule 4 delete item 11 and insert:</w:t>
      </w:r>
    </w:p>
    <w:p>
      <w:pPr>
        <w:pStyle w:val="BlankOpen"/>
      </w:pPr>
    </w:p>
    <w:tbl>
      <w:tblPr>
        <w:tblW w:w="0" w:type="auto"/>
        <w:tblInd w:w="622" w:type="dxa"/>
        <w:tblLayout w:type="fixed"/>
        <w:tblCellMar>
          <w:left w:w="142" w:type="dxa"/>
          <w:right w:w="142" w:type="dxa"/>
        </w:tblCellMar>
        <w:tblLook w:val="0000" w:firstRow="0" w:lastRow="0" w:firstColumn="0" w:lastColumn="0" w:noHBand="0" w:noVBand="0"/>
      </w:tblPr>
      <w:tblGrid>
        <w:gridCol w:w="720"/>
        <w:gridCol w:w="4560"/>
        <w:gridCol w:w="840"/>
      </w:tblGrid>
      <w:tr>
        <w:tc>
          <w:tcPr>
            <w:tcW w:w="720" w:type="dxa"/>
          </w:tcPr>
          <w:p>
            <w:pPr>
              <w:pStyle w:val="nzTable"/>
            </w:pPr>
            <w:r>
              <w:t>11.</w:t>
            </w:r>
          </w:p>
        </w:tc>
        <w:tc>
          <w:tcPr>
            <w:tcW w:w="4560" w:type="dxa"/>
          </w:tcPr>
          <w:p>
            <w:pPr>
              <w:pStyle w:val="nzTable"/>
            </w:pPr>
            <w:r>
              <w:t>Rejected account payment (where payment made through Australia Post) ...............................................</w:t>
            </w:r>
          </w:p>
        </w:tc>
        <w:tc>
          <w:tcPr>
            <w:tcW w:w="840" w:type="dxa"/>
          </w:tcPr>
          <w:p>
            <w:pPr>
              <w:pStyle w:val="nzTable"/>
            </w:pPr>
            <w:r>
              <w:br/>
              <w:t>$23.00</w:t>
            </w:r>
          </w:p>
        </w:tc>
      </w:tr>
    </w:tbl>
    <w:p>
      <w:pPr>
        <w:pStyle w:val="BlankClose"/>
      </w:pPr>
    </w:p>
    <w:p>
      <w:pPr>
        <w:pStyle w:val="nSubsection"/>
        <w:tabs>
          <w:tab w:val="left" w:pos="882"/>
        </w:tabs>
      </w:pPr>
      <w:r>
        <w:tab/>
        <w:t>(2)</w:t>
      </w:r>
      <w:r>
        <w:tab/>
        <w:t>Amend the provisions listed in the Table as set out in the Table.</w:t>
      </w:r>
    </w:p>
    <w:p>
      <w:pPr>
        <w:pStyle w:val="nzMiscellaneousHeading"/>
      </w:pPr>
      <w:bookmarkStart w:id="317" w:name="UpToHere"/>
      <w:r>
        <w:t>Table</w:t>
      </w:r>
    </w:p>
    <w:tbl>
      <w:tblPr>
        <w:tblW w:w="0" w:type="auto"/>
        <w:jc w:val="center"/>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75"/>
        <w:gridCol w:w="2268"/>
        <w:gridCol w:w="2268"/>
      </w:tblGrid>
      <w:tr>
        <w:trPr>
          <w:cantSplit/>
          <w:tblHeader/>
          <w:jc w:val="center"/>
        </w:trPr>
        <w:tc>
          <w:tcPr>
            <w:tcW w:w="1575" w:type="dxa"/>
          </w:tcPr>
          <w:bookmarkEnd w:id="317"/>
          <w:p>
            <w:pPr>
              <w:pStyle w:val="nzTable"/>
            </w:pPr>
            <w:r>
              <w:t>Provision</w:t>
            </w:r>
          </w:p>
        </w:tc>
        <w:tc>
          <w:tcPr>
            <w:tcW w:w="2268" w:type="dxa"/>
          </w:tcPr>
          <w:p>
            <w:pPr>
              <w:pStyle w:val="nzTable"/>
            </w:pPr>
            <w:r>
              <w:t>Delete</w:t>
            </w:r>
          </w:p>
        </w:tc>
        <w:tc>
          <w:tcPr>
            <w:tcW w:w="2268" w:type="dxa"/>
          </w:tcPr>
          <w:p>
            <w:pPr>
              <w:pStyle w:val="nzTable"/>
            </w:pPr>
            <w:r>
              <w:t>Insert</w:t>
            </w:r>
          </w:p>
        </w:tc>
      </w:tr>
      <w:tr>
        <w:trPr>
          <w:cantSplit/>
          <w:jc w:val="center"/>
        </w:trPr>
        <w:tc>
          <w:tcPr>
            <w:tcW w:w="1575" w:type="dxa"/>
          </w:tcPr>
          <w:p>
            <w:pPr>
              <w:pStyle w:val="nzTable"/>
            </w:pPr>
            <w:r>
              <w:t>Sch. 4 it. 1</w:t>
            </w:r>
          </w:p>
        </w:tc>
        <w:tc>
          <w:tcPr>
            <w:tcW w:w="2268" w:type="dxa"/>
          </w:tcPr>
          <w:p>
            <w:pPr>
              <w:pStyle w:val="nzTable"/>
              <w:rPr>
                <w:sz w:val="22"/>
              </w:rPr>
            </w:pPr>
            <w:r>
              <w:rPr>
                <w:sz w:val="22"/>
              </w:rPr>
              <w:t>$29.80</w:t>
            </w:r>
          </w:p>
        </w:tc>
        <w:tc>
          <w:tcPr>
            <w:tcW w:w="2268" w:type="dxa"/>
          </w:tcPr>
          <w:p>
            <w:pPr>
              <w:pStyle w:val="nzTable"/>
              <w:rPr>
                <w:sz w:val="22"/>
              </w:rPr>
            </w:pPr>
            <w:r>
              <w:rPr>
                <w:sz w:val="22"/>
              </w:rPr>
              <w:t>$32.10</w:t>
            </w:r>
          </w:p>
        </w:tc>
      </w:tr>
      <w:tr>
        <w:trPr>
          <w:cantSplit/>
          <w:jc w:val="center"/>
        </w:trPr>
        <w:tc>
          <w:tcPr>
            <w:tcW w:w="1575" w:type="dxa"/>
          </w:tcPr>
          <w:p>
            <w:pPr>
              <w:pStyle w:val="nzTable"/>
            </w:pPr>
            <w:r>
              <w:t>Sch. 4 it. 3</w:t>
            </w:r>
          </w:p>
        </w:tc>
        <w:tc>
          <w:tcPr>
            <w:tcW w:w="2268" w:type="dxa"/>
          </w:tcPr>
          <w:p>
            <w:pPr>
              <w:pStyle w:val="nzTable"/>
              <w:rPr>
                <w:sz w:val="22"/>
              </w:rPr>
            </w:pPr>
            <w:r>
              <w:rPr>
                <w:sz w:val="22"/>
              </w:rPr>
              <w:t>$27.50</w:t>
            </w:r>
          </w:p>
        </w:tc>
        <w:tc>
          <w:tcPr>
            <w:tcW w:w="2268" w:type="dxa"/>
          </w:tcPr>
          <w:p>
            <w:pPr>
              <w:pStyle w:val="nzTable"/>
              <w:rPr>
                <w:sz w:val="22"/>
              </w:rPr>
            </w:pPr>
            <w:r>
              <w:rPr>
                <w:sz w:val="22"/>
              </w:rPr>
              <w:t>$29.60</w:t>
            </w:r>
          </w:p>
        </w:tc>
      </w:tr>
      <w:tr>
        <w:trPr>
          <w:cantSplit/>
          <w:jc w:val="center"/>
        </w:trPr>
        <w:tc>
          <w:tcPr>
            <w:tcW w:w="1575" w:type="dxa"/>
          </w:tcPr>
          <w:p>
            <w:pPr>
              <w:pStyle w:val="nzTable"/>
            </w:pPr>
            <w:r>
              <w:t>Sch. 4 it. 4</w:t>
            </w:r>
          </w:p>
        </w:tc>
        <w:tc>
          <w:tcPr>
            <w:tcW w:w="2268" w:type="dxa"/>
          </w:tcPr>
          <w:p>
            <w:pPr>
              <w:pStyle w:val="nzTable"/>
              <w:rPr>
                <w:sz w:val="22"/>
              </w:rPr>
            </w:pPr>
            <w:r>
              <w:rPr>
                <w:sz w:val="22"/>
              </w:rPr>
              <w:t>35.227 cents</w:t>
            </w:r>
          </w:p>
        </w:tc>
        <w:tc>
          <w:tcPr>
            <w:tcW w:w="2268" w:type="dxa"/>
          </w:tcPr>
          <w:p>
            <w:pPr>
              <w:pStyle w:val="nzTable"/>
              <w:rPr>
                <w:sz w:val="22"/>
              </w:rPr>
            </w:pPr>
            <w:r>
              <w:rPr>
                <w:sz w:val="22"/>
              </w:rPr>
              <w:t>40.568 cents</w:t>
            </w:r>
          </w:p>
        </w:tc>
      </w:tr>
      <w:tr>
        <w:trPr>
          <w:cantSplit/>
          <w:jc w:val="center"/>
        </w:trPr>
        <w:tc>
          <w:tcPr>
            <w:tcW w:w="1575" w:type="dxa"/>
          </w:tcPr>
          <w:p>
            <w:pPr>
              <w:pStyle w:val="nzTable"/>
            </w:pPr>
            <w:r>
              <w:t>Sch. 4 it. 9</w:t>
            </w:r>
          </w:p>
        </w:tc>
        <w:tc>
          <w:tcPr>
            <w:tcW w:w="2268" w:type="dxa"/>
          </w:tcPr>
          <w:p>
            <w:pPr>
              <w:pStyle w:val="nzTable"/>
              <w:rPr>
                <w:sz w:val="22"/>
              </w:rPr>
            </w:pPr>
            <w:r>
              <w:rPr>
                <w:sz w:val="22"/>
              </w:rPr>
              <w:t>45.089 cents</w:t>
            </w:r>
          </w:p>
        </w:tc>
        <w:tc>
          <w:tcPr>
            <w:tcW w:w="2268" w:type="dxa"/>
          </w:tcPr>
          <w:p>
            <w:pPr>
              <w:pStyle w:val="nzTable"/>
              <w:rPr>
                <w:sz w:val="22"/>
              </w:rPr>
            </w:pPr>
            <w:r>
              <w:rPr>
                <w:sz w:val="22"/>
              </w:rPr>
              <w:t>51.843 cents</w:t>
            </w:r>
          </w:p>
        </w:tc>
      </w:tr>
      <w:tr>
        <w:trPr>
          <w:cantSplit/>
          <w:jc w:val="center"/>
        </w:trPr>
        <w:tc>
          <w:tcPr>
            <w:tcW w:w="1575" w:type="dxa"/>
          </w:tcPr>
          <w:p>
            <w:pPr>
              <w:pStyle w:val="nzTable"/>
            </w:pPr>
            <w:r>
              <w:t>Sch. 4 it. 10</w:t>
            </w:r>
          </w:p>
        </w:tc>
        <w:tc>
          <w:tcPr>
            <w:tcW w:w="2268" w:type="dxa"/>
          </w:tcPr>
          <w:p>
            <w:pPr>
              <w:pStyle w:val="nzTable"/>
              <w:rPr>
                <w:sz w:val="22"/>
              </w:rPr>
            </w:pPr>
            <w:r>
              <w:rPr>
                <w:sz w:val="22"/>
              </w:rPr>
              <w:t>$4.10</w:t>
            </w:r>
          </w:p>
        </w:tc>
        <w:tc>
          <w:tcPr>
            <w:tcW w:w="2268" w:type="dxa"/>
          </w:tcPr>
          <w:p>
            <w:pPr>
              <w:pStyle w:val="nzTable"/>
              <w:rPr>
                <w:sz w:val="22"/>
              </w:rPr>
            </w:pPr>
            <w:r>
              <w:rPr>
                <w:sz w:val="22"/>
              </w:rPr>
              <w:t>$4.40</w:t>
            </w:r>
          </w:p>
        </w:tc>
      </w:tr>
    </w:tbl>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33"/>
    <w:docVar w:name="WAFER_20151207170133" w:val="RemoveTrackChanges"/>
    <w:docVar w:name="WAFER_20151207170133_GUID" w:val="6f16e532-f355-42b1-a7d8-0e40a815a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5303</Words>
  <Characters>26095</Characters>
  <Application>Microsoft Office Word</Application>
  <DocSecurity>0</DocSecurity>
  <Lines>1186</Lines>
  <Paragraphs>897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Supply charges</vt:lpstr>
      <vt:lpstr>    Schedule 2 — Street lighting</vt:lpstr>
      <vt:lpstr>    Schedule 3 — Meter rentals</vt:lpstr>
      <vt:lpstr>    Schedule 4 — Fees</vt:lpstr>
      <vt:lpstr>    Notes</vt:lpstr>
      <vt:lpstr>    Part 3 — Amendments commencing on 1 July 2009</vt:lpstr>
    </vt:vector>
  </TitlesOfParts>
  <Manager/>
  <Company/>
  <LinksUpToDate>false</LinksUpToDate>
  <CharactersWithSpaces>30501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2006 - 00-c0-02</dc:title>
  <dc:subject/>
  <dc:creator/>
  <cp:keywords/>
  <dc:description/>
  <cp:lastModifiedBy>svcMRProcess</cp:lastModifiedBy>
  <cp:revision>4</cp:revision>
  <cp:lastPrinted>2006-02-17T09:03:00Z</cp:lastPrinted>
  <dcterms:created xsi:type="dcterms:W3CDTF">2020-02-24T14:06:00Z</dcterms:created>
  <dcterms:modified xsi:type="dcterms:W3CDTF">2020-02-24T14:07:00Z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Apr 2009</vt:lpwstr>
  </property>
  <property fmtid="{D5CDD505-2E9C-101B-9397-08002B2CF9AE}" pid="7" name="Suffix">
    <vt:lpwstr>00-c0-02</vt:lpwstr>
  </property>
</Properties>
</file>