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(Third Party Insurance) Act 1943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April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Motor Vehicle (Third Party Insurance) Act 1943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_Toc228079018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This Act to be read with the Road Traffic Act</w:t>
      </w:r>
      <w:r>
        <w:tab/>
      </w:r>
      <w:r>
        <w:fldChar w:fldCharType="begin"/>
      </w:r>
      <w:r>
        <w:instrText xml:space="preserve"> PAGEREF _Toc228079019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_Toc228079020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Application of sections 3C and 3D</w:t>
      </w:r>
      <w:r>
        <w:tab/>
      </w:r>
      <w:r>
        <w:fldChar w:fldCharType="begin"/>
      </w:r>
      <w:r>
        <w:instrText xml:space="preserve"> PAGEREF _Toc228079021 \h </w:instrText>
      </w:r>
      <w:r>
        <w:fldChar w:fldCharType="separate"/>
      </w:r>
      <w:r>
        <w:t>5</w:t>
      </w:r>
      <w:r>
        <w:fldChar w:fldCharType="end"/>
      </w:r>
    </w:p>
    <w:p>
      <w:pPr>
        <w:pStyle w:val="TOC8"/>
        <w:rPr>
          <w:sz w:val="24"/>
          <w:szCs w:val="24"/>
        </w:rPr>
      </w:pPr>
      <w:r>
        <w:rPr>
          <w:szCs w:val="24"/>
        </w:rPr>
        <w:t>3B</w:t>
      </w:r>
      <w:r>
        <w:rPr>
          <w:snapToGrid w:val="0"/>
          <w:szCs w:val="24"/>
        </w:rPr>
        <w:t xml:space="preserve">. </w:t>
      </w:r>
      <w:r>
        <w:rPr>
          <w:snapToGrid w:val="0"/>
          <w:szCs w:val="24"/>
        </w:rPr>
        <w:tab/>
        <w:t>Limit on powers of courts</w:t>
      </w:r>
      <w:r>
        <w:tab/>
      </w:r>
      <w:r>
        <w:fldChar w:fldCharType="begin"/>
      </w:r>
      <w:r>
        <w:instrText xml:space="preserve"> PAGEREF _Toc228079022 \h </w:instrText>
      </w:r>
      <w:r>
        <w:fldChar w:fldCharType="separate"/>
      </w:r>
      <w:r>
        <w:t>5</w:t>
      </w:r>
      <w:r>
        <w:fldChar w:fldCharType="end"/>
      </w:r>
    </w:p>
    <w:p>
      <w:pPr>
        <w:pStyle w:val="TOC8"/>
        <w:rPr>
          <w:sz w:val="24"/>
          <w:szCs w:val="24"/>
        </w:rPr>
      </w:pPr>
      <w:r>
        <w:rPr>
          <w:szCs w:val="24"/>
        </w:rPr>
        <w:t>3C</w:t>
      </w:r>
      <w:r>
        <w:rPr>
          <w:snapToGrid w:val="0"/>
          <w:szCs w:val="24"/>
        </w:rPr>
        <w:t xml:space="preserve">. </w:t>
      </w:r>
      <w:r>
        <w:rPr>
          <w:snapToGrid w:val="0"/>
          <w:szCs w:val="24"/>
        </w:rPr>
        <w:tab/>
        <w:t>Restrictions on damages for non</w:t>
      </w:r>
      <w:r>
        <w:rPr>
          <w:snapToGrid w:val="0"/>
          <w:szCs w:val="24"/>
        </w:rPr>
        <w:noBreakHyphen/>
        <w:t>pecuniary loss</w:t>
      </w:r>
      <w:r>
        <w:tab/>
      </w:r>
      <w:r>
        <w:fldChar w:fldCharType="begin"/>
      </w:r>
      <w:r>
        <w:instrText xml:space="preserve"> PAGEREF _Toc228079023 \h </w:instrText>
      </w:r>
      <w:r>
        <w:fldChar w:fldCharType="separate"/>
      </w:r>
      <w:r>
        <w:t>6</w:t>
      </w:r>
      <w:r>
        <w:fldChar w:fldCharType="end"/>
      </w:r>
    </w:p>
    <w:p>
      <w:pPr>
        <w:pStyle w:val="TOC8"/>
        <w:rPr>
          <w:sz w:val="24"/>
          <w:szCs w:val="24"/>
        </w:rPr>
      </w:pPr>
      <w:r>
        <w:rPr>
          <w:szCs w:val="24"/>
        </w:rPr>
        <w:t>3D</w:t>
      </w:r>
      <w:r>
        <w:rPr>
          <w:snapToGrid w:val="0"/>
          <w:szCs w:val="24"/>
        </w:rPr>
        <w:t xml:space="preserve">. </w:t>
      </w:r>
      <w:r>
        <w:rPr>
          <w:snapToGrid w:val="0"/>
          <w:szCs w:val="24"/>
        </w:rPr>
        <w:tab/>
        <w:t>Restrictions on damages for provision of home care services</w:t>
      </w:r>
      <w:r>
        <w:tab/>
      </w:r>
      <w:r>
        <w:fldChar w:fldCharType="begin"/>
      </w:r>
      <w:r>
        <w:instrText xml:space="preserve"> PAGEREF _Toc228079024 \h </w:instrText>
      </w:r>
      <w:r>
        <w:fldChar w:fldCharType="separate"/>
      </w:r>
      <w:r>
        <w:t>8</w:t>
      </w:r>
      <w:r>
        <w:fldChar w:fldCharType="end"/>
      </w:r>
    </w:p>
    <w:p>
      <w:pPr>
        <w:pStyle w:val="TOC8"/>
        <w:rPr>
          <w:sz w:val="24"/>
          <w:szCs w:val="24"/>
        </w:rPr>
      </w:pPr>
      <w:r>
        <w:rPr>
          <w:szCs w:val="24"/>
        </w:rPr>
        <w:t>3E</w:t>
      </w:r>
      <w:r>
        <w:rPr>
          <w:snapToGrid w:val="0"/>
          <w:szCs w:val="24"/>
        </w:rPr>
        <w:t xml:space="preserve">. </w:t>
      </w:r>
      <w:r>
        <w:rPr>
          <w:snapToGrid w:val="0"/>
          <w:szCs w:val="24"/>
        </w:rPr>
        <w:tab/>
        <w:t>Causes of action to which restrictions on damages apply</w:t>
      </w:r>
      <w:r>
        <w:tab/>
      </w:r>
      <w:r>
        <w:fldChar w:fldCharType="begin"/>
      </w:r>
      <w:r>
        <w:instrText xml:space="preserve"> PAGEREF _Toc228079025 \h </w:instrText>
      </w:r>
      <w:r>
        <w:fldChar w:fldCharType="separate"/>
      </w:r>
      <w:r>
        <w:t>10</w:t>
      </w:r>
      <w:r>
        <w:fldChar w:fldCharType="end"/>
      </w:r>
    </w:p>
    <w:p>
      <w:pPr>
        <w:pStyle w:val="TOC8"/>
        <w:rPr>
          <w:sz w:val="24"/>
          <w:szCs w:val="24"/>
        </w:rPr>
      </w:pPr>
      <w:r>
        <w:rPr>
          <w:szCs w:val="24"/>
        </w:rPr>
        <w:t>3F.</w:t>
      </w:r>
      <w:r>
        <w:rPr>
          <w:szCs w:val="24"/>
        </w:rPr>
        <w:tab/>
        <w:t>Restriction on damages for loss relating to earning capacity</w:t>
      </w:r>
      <w:r>
        <w:tab/>
      </w:r>
      <w:r>
        <w:fldChar w:fldCharType="begin"/>
      </w:r>
      <w:r>
        <w:instrText xml:space="preserve"> PAGEREF _Toc228079026 \h </w:instrText>
      </w:r>
      <w:r>
        <w:fldChar w:fldCharType="separate"/>
      </w:r>
      <w:r>
        <w:t>11</w:t>
      </w:r>
      <w:r>
        <w:fldChar w:fldCharType="end"/>
      </w:r>
    </w:p>
    <w:p>
      <w:pPr>
        <w:pStyle w:val="TOC8"/>
        <w:rPr>
          <w:sz w:val="24"/>
          <w:szCs w:val="24"/>
        </w:rPr>
      </w:pPr>
      <w:r>
        <w:rPr>
          <w:szCs w:val="24"/>
        </w:rPr>
        <w:t>3G.</w:t>
      </w:r>
      <w:r>
        <w:rPr>
          <w:szCs w:val="24"/>
        </w:rPr>
        <w:tab/>
        <w:t>Liability of employers</w:t>
      </w:r>
      <w:r>
        <w:tab/>
      </w:r>
      <w:r>
        <w:fldChar w:fldCharType="begin"/>
      </w:r>
      <w:r>
        <w:instrText xml:space="preserve"> PAGEREF _Toc228079027 \h </w:instrText>
      </w:r>
      <w:r>
        <w:fldChar w:fldCharType="separate"/>
      </w:r>
      <w:r>
        <w:t>12</w:t>
      </w:r>
      <w:r>
        <w:fldChar w:fldCharType="end"/>
      </w:r>
    </w:p>
    <w:p>
      <w:pPr>
        <w:pStyle w:val="TOC8"/>
        <w:rPr>
          <w:sz w:val="24"/>
          <w:szCs w:val="24"/>
        </w:rPr>
      </w:pPr>
      <w:r>
        <w:rPr>
          <w:szCs w:val="24"/>
        </w:rPr>
        <w:t>3Q</w:t>
      </w:r>
      <w:r>
        <w:rPr>
          <w:snapToGrid w:val="0"/>
          <w:szCs w:val="24"/>
        </w:rPr>
        <w:t xml:space="preserve">. </w:t>
      </w:r>
      <w:r>
        <w:rPr>
          <w:snapToGrid w:val="0"/>
          <w:szCs w:val="24"/>
        </w:rPr>
        <w:tab/>
        <w:t>Director General’s functions</w:t>
      </w:r>
      <w:r>
        <w:tab/>
      </w:r>
      <w:r>
        <w:fldChar w:fldCharType="begin"/>
      </w:r>
      <w:r>
        <w:instrText xml:space="preserve"> PAGEREF _Toc228079028 \h </w:instrText>
      </w:r>
      <w:r>
        <w:fldChar w:fldCharType="separate"/>
      </w:r>
      <w:r>
        <w:t>12</w:t>
      </w:r>
      <w:r>
        <w:fldChar w:fldCharType="end"/>
      </w:r>
    </w:p>
    <w:p>
      <w:pPr>
        <w:pStyle w:val="TOC8"/>
        <w:rPr>
          <w:sz w:val="24"/>
          <w:szCs w:val="24"/>
        </w:rPr>
      </w:pPr>
      <w:r>
        <w:rPr>
          <w:szCs w:val="24"/>
        </w:rPr>
        <w:t>3QA.</w:t>
      </w:r>
      <w:r>
        <w:rPr>
          <w:szCs w:val="24"/>
        </w:rPr>
        <w:tab/>
        <w:t>Agreements for performance of functions</w:t>
      </w:r>
      <w:r>
        <w:tab/>
      </w:r>
      <w:r>
        <w:fldChar w:fldCharType="begin"/>
      </w:r>
      <w:r>
        <w:instrText xml:space="preserve"> PAGEREF _Toc228079029 \h </w:instrText>
      </w:r>
      <w:r>
        <w:fldChar w:fldCharType="separate"/>
      </w:r>
      <w:r>
        <w:t>13</w:t>
      </w:r>
      <w:r>
        <w:fldChar w:fldCharType="end"/>
      </w:r>
    </w:p>
    <w:p>
      <w:pPr>
        <w:pStyle w:val="TOC8"/>
        <w:rPr>
          <w:sz w:val="24"/>
          <w:szCs w:val="24"/>
        </w:rPr>
      </w:pPr>
      <w:r>
        <w:rPr>
          <w:szCs w:val="24"/>
        </w:rPr>
        <w:t>3QB.</w:t>
      </w:r>
      <w:r>
        <w:rPr>
          <w:szCs w:val="24"/>
        </w:rPr>
        <w:tab/>
        <w:t>Delegation</w:t>
      </w:r>
      <w:r>
        <w:tab/>
      </w:r>
      <w:r>
        <w:fldChar w:fldCharType="begin"/>
      </w:r>
      <w:r>
        <w:instrText xml:space="preserve"> PAGEREF _Toc228079030 \h </w:instrText>
      </w:r>
      <w:r>
        <w:fldChar w:fldCharType="separate"/>
      </w:r>
      <w:r>
        <w:t>13</w:t>
      </w:r>
      <w:r>
        <w:fldChar w:fldCharType="end"/>
      </w:r>
    </w:p>
    <w:p>
      <w:pPr>
        <w:pStyle w:val="TOC8"/>
        <w:rPr>
          <w:sz w:val="24"/>
          <w:szCs w:val="24"/>
        </w:rPr>
      </w:pPr>
      <w:r>
        <w:rPr>
          <w:szCs w:val="24"/>
        </w:rPr>
        <w:t>3R</w:t>
      </w:r>
      <w:r>
        <w:rPr>
          <w:snapToGrid w:val="0"/>
          <w:szCs w:val="24"/>
        </w:rPr>
        <w:t xml:space="preserve">. </w:t>
      </w:r>
      <w:r>
        <w:rPr>
          <w:snapToGrid w:val="0"/>
          <w:szCs w:val="24"/>
        </w:rPr>
        <w:tab/>
        <w:t>Issue of policies of insurance</w:t>
      </w:r>
      <w:r>
        <w:tab/>
      </w:r>
      <w:r>
        <w:fldChar w:fldCharType="begin"/>
      </w:r>
      <w:r>
        <w:instrText xml:space="preserve"> PAGEREF _Toc228079031 \h </w:instrText>
      </w:r>
      <w:r>
        <w:fldChar w:fldCharType="separate"/>
      </w:r>
      <w:r>
        <w:t>14</w:t>
      </w:r>
      <w:r>
        <w:fldChar w:fldCharType="end"/>
      </w:r>
    </w:p>
    <w:p>
      <w:pPr>
        <w:pStyle w:val="TOC8"/>
        <w:rPr>
          <w:sz w:val="24"/>
          <w:szCs w:val="24"/>
        </w:rPr>
      </w:pPr>
      <w:r>
        <w:rPr>
          <w:szCs w:val="24"/>
        </w:rPr>
        <w:t>3S</w:t>
      </w:r>
      <w:r>
        <w:rPr>
          <w:snapToGrid w:val="0"/>
          <w:szCs w:val="24"/>
        </w:rPr>
        <w:t xml:space="preserve">. </w:t>
      </w:r>
      <w:r>
        <w:rPr>
          <w:snapToGrid w:val="0"/>
          <w:szCs w:val="24"/>
        </w:rPr>
        <w:tab/>
        <w:t>Further powers of the Commission</w:t>
      </w:r>
      <w:r>
        <w:tab/>
      </w:r>
      <w:r>
        <w:fldChar w:fldCharType="begin"/>
      </w:r>
      <w:r>
        <w:instrText xml:space="preserve"> PAGEREF _Toc228079032 \h </w:instrText>
      </w:r>
      <w:r>
        <w:fldChar w:fldCharType="separate"/>
      </w:r>
      <w:r>
        <w:t>15</w:t>
      </w:r>
      <w:r>
        <w:fldChar w:fldCharType="end"/>
      </w:r>
    </w:p>
    <w:p>
      <w:pPr>
        <w:pStyle w:val="TOC8"/>
        <w:rPr>
          <w:sz w:val="24"/>
          <w:szCs w:val="24"/>
        </w:rPr>
      </w:pPr>
      <w:r>
        <w:rPr>
          <w:szCs w:val="24"/>
        </w:rPr>
        <w:t>3T</w:t>
      </w:r>
      <w:r>
        <w:rPr>
          <w:snapToGrid w:val="0"/>
          <w:szCs w:val="24"/>
        </w:rPr>
        <w:t xml:space="preserve">. </w:t>
      </w:r>
      <w:r>
        <w:rPr>
          <w:snapToGrid w:val="0"/>
          <w:szCs w:val="24"/>
        </w:rPr>
        <w:tab/>
        <w:t>Premiums</w:t>
      </w:r>
      <w:r>
        <w:tab/>
      </w:r>
      <w:r>
        <w:fldChar w:fldCharType="begin"/>
      </w:r>
      <w:r>
        <w:instrText xml:space="preserve"> PAGEREF _Toc228079033 \h </w:instrText>
      </w:r>
      <w:r>
        <w:fldChar w:fldCharType="separate"/>
      </w:r>
      <w:r>
        <w:t>15</w:t>
      </w:r>
      <w:r>
        <w:fldChar w:fldCharType="end"/>
      </w:r>
    </w:p>
    <w:p>
      <w:pPr>
        <w:pStyle w:val="TOC8"/>
        <w:rPr>
          <w:sz w:val="24"/>
          <w:szCs w:val="24"/>
        </w:rPr>
      </w:pPr>
      <w:r>
        <w:rPr>
          <w:szCs w:val="24"/>
        </w:rPr>
        <w:t>4</w:t>
      </w:r>
      <w:r>
        <w:rPr>
          <w:snapToGrid w:val="0"/>
          <w:szCs w:val="24"/>
        </w:rPr>
        <w:t>.</w:t>
      </w:r>
      <w:r>
        <w:rPr>
          <w:snapToGrid w:val="0"/>
          <w:szCs w:val="24"/>
        </w:rPr>
        <w:tab/>
        <w:t>Insurance against third party risks</w:t>
      </w:r>
      <w:r>
        <w:tab/>
      </w:r>
      <w:r>
        <w:fldChar w:fldCharType="begin"/>
      </w:r>
      <w:r>
        <w:instrText xml:space="preserve"> PAGEREF _Toc228079034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Requirements in respect of policies</w:t>
      </w:r>
      <w:r>
        <w:tab/>
      </w:r>
      <w:r>
        <w:fldChar w:fldCharType="begin"/>
      </w:r>
      <w:r>
        <w:instrText xml:space="preserve"> PAGEREF _Toc228079035 \h </w:instrText>
      </w:r>
      <w:r>
        <w:fldChar w:fldCharType="separate"/>
      </w:r>
      <w:r>
        <w:t>19</w:t>
      </w:r>
      <w:r>
        <w:fldChar w:fldCharType="end"/>
      </w:r>
    </w:p>
    <w:p>
      <w:pPr>
        <w:pStyle w:val="TOC8"/>
        <w:rPr>
          <w:sz w:val="24"/>
          <w:szCs w:val="24"/>
        </w:rPr>
      </w:pPr>
      <w:r>
        <w:rPr>
          <w:szCs w:val="24"/>
        </w:rPr>
        <w:t>7</w:t>
      </w:r>
      <w:r>
        <w:rPr>
          <w:snapToGrid w:val="0"/>
          <w:szCs w:val="24"/>
        </w:rPr>
        <w:t>.</w:t>
      </w:r>
      <w:r>
        <w:rPr>
          <w:snapToGrid w:val="0"/>
          <w:szCs w:val="24"/>
        </w:rPr>
        <w:tab/>
        <w:t>Liability of the Commission</w:t>
      </w:r>
      <w:r>
        <w:tab/>
      </w:r>
      <w:r>
        <w:fldChar w:fldCharType="begin"/>
      </w:r>
      <w:r>
        <w:instrText xml:space="preserve"> PAGEREF _Toc228079036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Special provisions in relation to uninsured motor vehicles</w:t>
      </w:r>
      <w:r>
        <w:tab/>
      </w:r>
      <w:r>
        <w:fldChar w:fldCharType="begin"/>
      </w:r>
      <w:r>
        <w:instrText xml:space="preserve"> PAGEREF _Toc228079037 \h </w:instrText>
      </w:r>
      <w:r>
        <w:fldChar w:fldCharType="separate"/>
      </w:r>
      <w:r>
        <w:t>23</w:t>
      </w:r>
      <w:r>
        <w:fldChar w:fldCharType="end"/>
      </w:r>
    </w:p>
    <w:p>
      <w:pPr>
        <w:pStyle w:val="TOC8"/>
        <w:rPr>
          <w:sz w:val="24"/>
          <w:szCs w:val="24"/>
        </w:rPr>
      </w:pPr>
      <w:r>
        <w:rPr>
          <w:szCs w:val="24"/>
        </w:rPr>
        <w:lastRenderedPageBreak/>
        <w:t>10</w:t>
      </w:r>
      <w:r>
        <w:rPr>
          <w:snapToGrid w:val="0"/>
          <w:szCs w:val="24"/>
        </w:rPr>
        <w:t>.</w:t>
      </w:r>
      <w:r>
        <w:rPr>
          <w:snapToGrid w:val="0"/>
          <w:szCs w:val="24"/>
        </w:rPr>
        <w:tab/>
        <w:t>Duties of owner or insured person</w:t>
      </w:r>
      <w:r>
        <w:tab/>
      </w:r>
      <w:r>
        <w:fldChar w:fldCharType="begin"/>
      </w:r>
      <w:r>
        <w:instrText xml:space="preserve"> PAGEREF _Toc228079038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Power of the Commission to deal with claims against insured persons</w:t>
      </w:r>
      <w:r>
        <w:tab/>
      </w:r>
      <w:r>
        <w:fldChar w:fldCharType="begin"/>
      </w:r>
      <w:r>
        <w:instrText xml:space="preserve"> PAGEREF _Toc228079039 \h </w:instrText>
      </w:r>
      <w:r>
        <w:fldChar w:fldCharType="separate"/>
      </w:r>
      <w:r>
        <w:t>28</w:t>
      </w:r>
      <w:r>
        <w:fldChar w:fldCharType="end"/>
      </w:r>
    </w:p>
    <w:p>
      <w:pPr>
        <w:pStyle w:val="TOC8"/>
        <w:rPr>
          <w:sz w:val="24"/>
          <w:szCs w:val="24"/>
        </w:rPr>
      </w:pPr>
      <w:r>
        <w:rPr>
          <w:szCs w:val="24"/>
        </w:rPr>
        <w:t>12</w:t>
      </w:r>
      <w:r>
        <w:rPr>
          <w:snapToGrid w:val="0"/>
          <w:szCs w:val="24"/>
        </w:rPr>
        <w:t>.</w:t>
      </w:r>
      <w:r>
        <w:rPr>
          <w:snapToGrid w:val="0"/>
          <w:szCs w:val="24"/>
        </w:rPr>
        <w:tab/>
        <w:t>Emergency treatment</w:t>
      </w:r>
      <w:r>
        <w:tab/>
      </w:r>
      <w:r>
        <w:fldChar w:fldCharType="begin"/>
      </w:r>
      <w:r>
        <w:instrText xml:space="preserve"> PAGEREF _Toc228079040 \h </w:instrText>
      </w:r>
      <w:r>
        <w:fldChar w:fldCharType="separate"/>
      </w:r>
      <w:r>
        <w:t>29</w:t>
      </w:r>
      <w:r>
        <w:fldChar w:fldCharType="end"/>
      </w:r>
    </w:p>
    <w:p>
      <w:pPr>
        <w:pStyle w:val="TOC8"/>
        <w:rPr>
          <w:sz w:val="24"/>
          <w:szCs w:val="24"/>
        </w:rPr>
      </w:pPr>
      <w:r>
        <w:rPr>
          <w:szCs w:val="24"/>
        </w:rPr>
        <w:t>14</w:t>
      </w:r>
      <w:r>
        <w:rPr>
          <w:snapToGrid w:val="0"/>
          <w:szCs w:val="24"/>
        </w:rPr>
        <w:t>.</w:t>
      </w:r>
      <w:r>
        <w:rPr>
          <w:snapToGrid w:val="0"/>
          <w:szCs w:val="24"/>
        </w:rPr>
        <w:tab/>
        <w:t>Recovery of payment for emergency treatment</w:t>
      </w:r>
      <w:r>
        <w:tab/>
      </w:r>
      <w:r>
        <w:fldChar w:fldCharType="begin"/>
      </w:r>
      <w:r>
        <w:instrText xml:space="preserve"> PAGEREF _Toc228079041 \h </w:instrText>
      </w:r>
      <w:r>
        <w:fldChar w:fldCharType="separate"/>
      </w:r>
      <w:r>
        <w:t>31</w:t>
      </w:r>
      <w:r>
        <w:fldChar w:fldCharType="end"/>
      </w:r>
    </w:p>
    <w:p>
      <w:pPr>
        <w:pStyle w:val="TOC8"/>
        <w:rPr>
          <w:sz w:val="24"/>
          <w:szCs w:val="24"/>
        </w:rPr>
      </w:pPr>
      <w:r>
        <w:rPr>
          <w:szCs w:val="24"/>
        </w:rPr>
        <w:t>15</w:t>
      </w:r>
      <w:r>
        <w:rPr>
          <w:snapToGrid w:val="0"/>
          <w:szCs w:val="24"/>
        </w:rPr>
        <w:t>.</w:t>
      </w:r>
      <w:r>
        <w:rPr>
          <w:snapToGrid w:val="0"/>
          <w:szCs w:val="24"/>
        </w:rPr>
        <w:tab/>
        <w:t>Right of the Commission against unauthorised drivers</w:t>
      </w:r>
      <w:r>
        <w:tab/>
      </w:r>
      <w:r>
        <w:fldChar w:fldCharType="begin"/>
      </w:r>
      <w:r>
        <w:instrText xml:space="preserve"> PAGEREF _Toc228079042 \h </w:instrText>
      </w:r>
      <w:r>
        <w:fldChar w:fldCharType="separate"/>
      </w:r>
      <w:r>
        <w:t>31</w:t>
      </w:r>
      <w:r>
        <w:fldChar w:fldCharType="end"/>
      </w:r>
    </w:p>
    <w:p>
      <w:pPr>
        <w:pStyle w:val="TOC8"/>
        <w:rPr>
          <w:sz w:val="24"/>
          <w:szCs w:val="24"/>
        </w:rPr>
      </w:pPr>
      <w:r>
        <w:rPr>
          <w:szCs w:val="24"/>
        </w:rPr>
        <w:t>16</w:t>
      </w:r>
      <w:r>
        <w:rPr>
          <w:snapToGrid w:val="0"/>
          <w:szCs w:val="24"/>
        </w:rPr>
        <w:t>.</w:t>
      </w:r>
      <w:r>
        <w:rPr>
          <w:snapToGrid w:val="0"/>
          <w:szCs w:val="24"/>
        </w:rPr>
        <w:tab/>
        <w:t>Jurisdiction</w:t>
      </w:r>
      <w:r>
        <w:tab/>
      </w:r>
      <w:r>
        <w:fldChar w:fldCharType="begin"/>
      </w:r>
      <w:r>
        <w:instrText xml:space="preserve"> PAGEREF _Toc228079043 \h </w:instrText>
      </w:r>
      <w:r>
        <w:fldChar w:fldCharType="separate"/>
      </w:r>
      <w:r>
        <w:t>32</w:t>
      </w:r>
      <w:r>
        <w:fldChar w:fldCharType="end"/>
      </w:r>
    </w:p>
    <w:p>
      <w:pPr>
        <w:pStyle w:val="TOC8"/>
        <w:rPr>
          <w:sz w:val="24"/>
          <w:szCs w:val="24"/>
        </w:rPr>
      </w:pPr>
      <w:r>
        <w:rPr>
          <w:szCs w:val="24"/>
        </w:rPr>
        <w:t>17</w:t>
      </w:r>
      <w:r>
        <w:rPr>
          <w:snapToGrid w:val="0"/>
          <w:szCs w:val="24"/>
        </w:rPr>
        <w:t>.</w:t>
      </w:r>
      <w:r>
        <w:rPr>
          <w:snapToGrid w:val="0"/>
          <w:szCs w:val="24"/>
        </w:rPr>
        <w:tab/>
        <w:t>Insurance by visiting motorists</w:t>
      </w:r>
      <w:r>
        <w:tab/>
      </w:r>
      <w:r>
        <w:fldChar w:fldCharType="begin"/>
      </w:r>
      <w:r>
        <w:instrText xml:space="preserve"> PAGEREF _Toc228079044 \h </w:instrText>
      </w:r>
      <w:r>
        <w:fldChar w:fldCharType="separate"/>
      </w:r>
      <w:r>
        <w:t>34</w:t>
      </w:r>
      <w:r>
        <w:fldChar w:fldCharType="end"/>
      </w:r>
    </w:p>
    <w:p>
      <w:pPr>
        <w:pStyle w:val="TOC8"/>
        <w:rPr>
          <w:sz w:val="24"/>
          <w:szCs w:val="24"/>
        </w:rPr>
      </w:pPr>
      <w:r>
        <w:rPr>
          <w:szCs w:val="24"/>
        </w:rPr>
        <w:t>18</w:t>
      </w:r>
      <w:r>
        <w:rPr>
          <w:snapToGrid w:val="0"/>
          <w:szCs w:val="24"/>
        </w:rPr>
        <w:t>.</w:t>
      </w:r>
      <w:r>
        <w:rPr>
          <w:snapToGrid w:val="0"/>
          <w:szCs w:val="24"/>
        </w:rPr>
        <w:tab/>
        <w:t>Power to suspend or cancel licences</w:t>
      </w:r>
      <w:r>
        <w:tab/>
      </w:r>
      <w:r>
        <w:fldChar w:fldCharType="begin"/>
      </w:r>
      <w:r>
        <w:instrText xml:space="preserve"> PAGEREF _Toc228079045 \h </w:instrText>
      </w:r>
      <w:r>
        <w:fldChar w:fldCharType="separate"/>
      </w:r>
      <w:r>
        <w:t>34</w:t>
      </w:r>
      <w:r>
        <w:fldChar w:fldCharType="end"/>
      </w:r>
    </w:p>
    <w:p>
      <w:pPr>
        <w:pStyle w:val="TOC8"/>
        <w:rPr>
          <w:sz w:val="24"/>
          <w:szCs w:val="24"/>
        </w:rPr>
      </w:pPr>
      <w:r>
        <w:rPr>
          <w:szCs w:val="24"/>
        </w:rPr>
        <w:t>19</w:t>
      </w:r>
      <w:r>
        <w:rPr>
          <w:snapToGrid w:val="0"/>
          <w:szCs w:val="24"/>
        </w:rPr>
        <w:t>.</w:t>
      </w:r>
      <w:r>
        <w:rPr>
          <w:snapToGrid w:val="0"/>
          <w:szCs w:val="24"/>
        </w:rPr>
        <w:tab/>
        <w:t>Commission not to terminate policy</w:t>
      </w:r>
      <w:r>
        <w:tab/>
      </w:r>
      <w:r>
        <w:fldChar w:fldCharType="begin"/>
      </w:r>
      <w:r>
        <w:instrText xml:space="preserve"> PAGEREF _Toc228079046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Policy of insurance to continue notwithstanding change of ownership of vehicle</w:t>
      </w:r>
      <w:r>
        <w:tab/>
      </w:r>
      <w:r>
        <w:fldChar w:fldCharType="begin"/>
      </w:r>
      <w:r>
        <w:instrText xml:space="preserve"> PAGEREF _Toc228079047 \h </w:instrText>
      </w:r>
      <w:r>
        <w:fldChar w:fldCharType="separate"/>
      </w:r>
      <w:r>
        <w:t>35</w:t>
      </w:r>
      <w:r>
        <w:fldChar w:fldCharType="end"/>
      </w:r>
    </w:p>
    <w:p>
      <w:pPr>
        <w:pStyle w:val="TOC8"/>
        <w:rPr>
          <w:sz w:val="24"/>
          <w:szCs w:val="24"/>
        </w:rPr>
      </w:pPr>
      <w:r>
        <w:rPr>
          <w:szCs w:val="24"/>
        </w:rPr>
        <w:t>21</w:t>
      </w:r>
      <w:r>
        <w:rPr>
          <w:snapToGrid w:val="0"/>
          <w:szCs w:val="24"/>
        </w:rPr>
        <w:t>.</w:t>
      </w:r>
      <w:r>
        <w:rPr>
          <w:snapToGrid w:val="0"/>
          <w:szCs w:val="24"/>
        </w:rPr>
        <w:tab/>
        <w:t>Term of policy of insurance deemed to be extended in certain cases</w:t>
      </w:r>
      <w:r>
        <w:tab/>
      </w:r>
      <w:r>
        <w:fldChar w:fldCharType="begin"/>
      </w:r>
      <w:r>
        <w:instrText xml:space="preserve"> PAGEREF _Toc228079048 \h </w:instrText>
      </w:r>
      <w:r>
        <w:fldChar w:fldCharType="separate"/>
      </w:r>
      <w:r>
        <w:t>35</w:t>
      </w:r>
      <w:r>
        <w:fldChar w:fldCharType="end"/>
      </w:r>
    </w:p>
    <w:p>
      <w:pPr>
        <w:pStyle w:val="TOC8"/>
        <w:rPr>
          <w:sz w:val="24"/>
          <w:szCs w:val="24"/>
        </w:rPr>
      </w:pPr>
      <w:r>
        <w:rPr>
          <w:szCs w:val="24"/>
        </w:rPr>
        <w:t>22</w:t>
      </w:r>
      <w:r>
        <w:rPr>
          <w:snapToGrid w:val="0"/>
          <w:szCs w:val="24"/>
        </w:rPr>
        <w:t>.</w:t>
      </w:r>
      <w:r>
        <w:rPr>
          <w:snapToGrid w:val="0"/>
          <w:szCs w:val="24"/>
        </w:rPr>
        <w:tab/>
        <w:t>Provision regarding motor vehicle of employee used by employee in employer’s business</w:t>
      </w:r>
      <w:r>
        <w:tab/>
      </w:r>
      <w:r>
        <w:fldChar w:fldCharType="begin"/>
      </w:r>
      <w:r>
        <w:instrText xml:space="preserve"> PAGEREF _Toc228079049 \h </w:instrText>
      </w:r>
      <w:r>
        <w:fldChar w:fldCharType="separate"/>
      </w:r>
      <w:r>
        <w:t>36</w:t>
      </w:r>
      <w:r>
        <w:fldChar w:fldCharType="end"/>
      </w:r>
    </w:p>
    <w:p>
      <w:pPr>
        <w:pStyle w:val="TOC8"/>
        <w:rPr>
          <w:sz w:val="24"/>
          <w:szCs w:val="24"/>
        </w:rPr>
      </w:pPr>
      <w:r>
        <w:rPr>
          <w:szCs w:val="24"/>
        </w:rPr>
        <w:t>23</w:t>
      </w:r>
      <w:r>
        <w:rPr>
          <w:snapToGrid w:val="0"/>
          <w:szCs w:val="24"/>
        </w:rPr>
        <w:t>.</w:t>
      </w:r>
      <w:r>
        <w:rPr>
          <w:snapToGrid w:val="0"/>
          <w:szCs w:val="24"/>
        </w:rPr>
        <w:tab/>
        <w:t>Policies to give cover required by amending Acts</w:t>
      </w:r>
      <w:r>
        <w:tab/>
      </w:r>
      <w:r>
        <w:fldChar w:fldCharType="begin"/>
      </w:r>
      <w:r>
        <w:instrText xml:space="preserve"> PAGEREF _Toc228079050 \h </w:instrText>
      </w:r>
      <w:r>
        <w:fldChar w:fldCharType="separate"/>
      </w:r>
      <w:r>
        <w:t>37</w:t>
      </w:r>
      <w:r>
        <w:fldChar w:fldCharType="end"/>
      </w:r>
    </w:p>
    <w:p>
      <w:pPr>
        <w:pStyle w:val="TOC8"/>
        <w:rPr>
          <w:sz w:val="24"/>
          <w:szCs w:val="24"/>
        </w:rPr>
      </w:pPr>
      <w:r>
        <w:rPr>
          <w:szCs w:val="24"/>
        </w:rPr>
        <w:t>24</w:t>
      </w:r>
      <w:r>
        <w:rPr>
          <w:snapToGrid w:val="0"/>
          <w:szCs w:val="24"/>
        </w:rPr>
        <w:t>.</w:t>
      </w:r>
      <w:r>
        <w:rPr>
          <w:snapToGrid w:val="0"/>
          <w:szCs w:val="24"/>
        </w:rPr>
        <w:tab/>
        <w:t>Reference to issue of policy to extend to renewal of policy</w:t>
      </w:r>
      <w:r>
        <w:tab/>
      </w:r>
      <w:r>
        <w:fldChar w:fldCharType="begin"/>
      </w:r>
      <w:r>
        <w:instrText xml:space="preserve"> PAGEREF _Toc228079051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Information to be furnished by the Commission</w:t>
      </w:r>
      <w:r>
        <w:tab/>
      </w:r>
      <w:r>
        <w:fldChar w:fldCharType="begin"/>
      </w:r>
      <w:r>
        <w:instrText xml:space="preserve"> PAGEREF _Toc228079052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Contracting out of liability for negligence</w:t>
      </w:r>
      <w:r>
        <w:tab/>
      </w:r>
      <w:r>
        <w:fldChar w:fldCharType="begin"/>
      </w:r>
      <w:r>
        <w:instrText xml:space="preserve"> PAGEREF _Toc228079053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Soliciting instructions from persons claiming</w:t>
      </w:r>
      <w:r>
        <w:tab/>
      </w:r>
      <w:r>
        <w:fldChar w:fldCharType="begin"/>
      </w:r>
      <w:r>
        <w:instrText xml:space="preserve"> PAGEREF _Toc228079054 \h </w:instrText>
      </w:r>
      <w:r>
        <w:fldChar w:fldCharType="separate"/>
      </w:r>
      <w:r>
        <w:t>39</w:t>
      </w:r>
      <w:r>
        <w:fldChar w:fldCharType="end"/>
      </w:r>
    </w:p>
    <w:p>
      <w:pPr>
        <w:pStyle w:val="TOC8"/>
        <w:rPr>
          <w:sz w:val="24"/>
          <w:szCs w:val="24"/>
        </w:rPr>
      </w:pPr>
      <w:r>
        <w:rPr>
          <w:szCs w:val="24"/>
        </w:rPr>
        <w:t>27A</w:t>
      </w:r>
      <w:r>
        <w:rPr>
          <w:snapToGrid w:val="0"/>
          <w:szCs w:val="24"/>
        </w:rPr>
        <w:t xml:space="preserve">. </w:t>
      </w:r>
      <w:r>
        <w:rPr>
          <w:snapToGrid w:val="0"/>
          <w:szCs w:val="24"/>
        </w:rPr>
        <w:tab/>
        <w:t>Costs between solicitor and client</w:t>
      </w:r>
      <w:r>
        <w:tab/>
      </w:r>
      <w:r>
        <w:fldChar w:fldCharType="begin"/>
      </w:r>
      <w:r>
        <w:instrText xml:space="preserve"> PAGEREF _Toc228079055 \h </w:instrText>
      </w:r>
      <w:r>
        <w:fldChar w:fldCharType="separate"/>
      </w:r>
      <w:r>
        <w:t>40</w:t>
      </w:r>
      <w:r>
        <w:fldChar w:fldCharType="end"/>
      </w:r>
    </w:p>
    <w:p>
      <w:pPr>
        <w:pStyle w:val="TOC8"/>
        <w:rPr>
          <w:sz w:val="24"/>
          <w:szCs w:val="24"/>
        </w:rPr>
      </w:pPr>
      <w:r>
        <w:rPr>
          <w:szCs w:val="24"/>
        </w:rPr>
        <w:t>28</w:t>
      </w:r>
      <w:r>
        <w:rPr>
          <w:snapToGrid w:val="0"/>
          <w:szCs w:val="24"/>
        </w:rPr>
        <w:t>.</w:t>
      </w:r>
      <w:r>
        <w:rPr>
          <w:snapToGrid w:val="0"/>
          <w:szCs w:val="24"/>
        </w:rPr>
        <w:tab/>
        <w:t>Offences: general penalty</w:t>
      </w:r>
      <w:r>
        <w:tab/>
      </w:r>
      <w:r>
        <w:fldChar w:fldCharType="begin"/>
      </w:r>
      <w:r>
        <w:instrText xml:space="preserve"> PAGEREF _Toc228079056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Notice of claim</w:t>
      </w:r>
      <w:r>
        <w:tab/>
      </w:r>
      <w:r>
        <w:fldChar w:fldCharType="begin"/>
      </w:r>
      <w:r>
        <w:instrText xml:space="preserve"> PAGEREF _Toc228079057 \h </w:instrText>
      </w:r>
      <w:r>
        <w:fldChar w:fldCharType="separate"/>
      </w:r>
      <w:r>
        <w:t>41</w:t>
      </w:r>
      <w:r>
        <w:fldChar w:fldCharType="end"/>
      </w:r>
    </w:p>
    <w:p>
      <w:pPr>
        <w:pStyle w:val="TOC8"/>
        <w:rPr>
          <w:sz w:val="24"/>
          <w:szCs w:val="24"/>
        </w:rPr>
      </w:pPr>
      <w:r>
        <w:rPr>
          <w:szCs w:val="24"/>
        </w:rPr>
        <w:t>29A</w:t>
      </w:r>
      <w:r>
        <w:rPr>
          <w:snapToGrid w:val="0"/>
          <w:szCs w:val="24"/>
        </w:rPr>
        <w:t xml:space="preserve">. </w:t>
      </w:r>
      <w:r>
        <w:rPr>
          <w:snapToGrid w:val="0"/>
          <w:szCs w:val="24"/>
        </w:rPr>
        <w:tab/>
        <w:t>Court may grant leave to proceed</w:t>
      </w:r>
      <w:r>
        <w:tab/>
      </w:r>
      <w:r>
        <w:fldChar w:fldCharType="begin"/>
      </w:r>
      <w:r>
        <w:instrText xml:space="preserve"> PAGEREF _Toc228079058 \h </w:instrText>
      </w:r>
      <w:r>
        <w:fldChar w:fldCharType="separate"/>
      </w:r>
      <w:r>
        <w:t>42</w:t>
      </w:r>
      <w:r>
        <w:fldChar w:fldCharType="end"/>
      </w:r>
    </w:p>
    <w:p>
      <w:pPr>
        <w:pStyle w:val="TOC8"/>
        <w:rPr>
          <w:sz w:val="24"/>
          <w:szCs w:val="24"/>
        </w:rPr>
      </w:pPr>
      <w:r>
        <w:rPr>
          <w:szCs w:val="24"/>
        </w:rPr>
        <w:t>30</w:t>
      </w:r>
      <w:r>
        <w:rPr>
          <w:snapToGrid w:val="0"/>
          <w:szCs w:val="24"/>
        </w:rPr>
        <w:t>.</w:t>
      </w:r>
      <w:r>
        <w:rPr>
          <w:snapToGrid w:val="0"/>
          <w:szCs w:val="24"/>
        </w:rPr>
        <w:tab/>
        <w:t>Medical examination of injured person</w:t>
      </w:r>
      <w:r>
        <w:tab/>
      </w:r>
      <w:r>
        <w:fldChar w:fldCharType="begin"/>
      </w:r>
      <w:r>
        <w:instrText xml:space="preserve"> PAGEREF _Toc228079059 \h </w:instrText>
      </w:r>
      <w:r>
        <w:fldChar w:fldCharType="separate"/>
      </w:r>
      <w:r>
        <w:t>43</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_Toc228079060 \h </w:instrText>
      </w:r>
      <w:r>
        <w:fldChar w:fldCharType="separate"/>
      </w:r>
      <w:r>
        <w:t>44</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_Toc228079063 \h </w:instrText>
      </w:r>
      <w:r>
        <w:fldChar w:fldCharType="separate"/>
      </w:r>
      <w:r>
        <w:t>48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w:t>
            </w:r>
            <w:r>
              <w:rPr>
                <w:b/>
                <w:snapToGrid w:val="0"/>
                <w:sz w:val="22"/>
              </w:rPr>
              <w:t xml:space="preserve"> April 2009</w:t>
            </w:r>
          </w:p>
        </w:tc>
      </w:tr>
    </w:tbl>
    <w:p>
      <w:pPr>
        <w:pStyle w:val="WA"/>
        <w:spacing w:before="120"/>
      </w:pPr>
      <w:r>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2" w:name="_Toc61156054"/>
      <w:bookmarkStart w:id="3" w:name="_Toc122761290"/>
      <w:bookmarkStart w:id="4" w:name="_Toc228079018"/>
      <w:r>
        <w:rPr>
          <w:rStyle w:val="CharSectno"/>
        </w:rPr>
        <w:t>1</w:t>
      </w:r>
      <w:r>
        <w:rPr>
          <w:snapToGrid w:val="0"/>
        </w:rPr>
        <w:t>.</w:t>
      </w:r>
      <w:r>
        <w:rPr>
          <w:snapToGrid w:val="0"/>
        </w:rPr>
        <w:tab/>
        <w:t>Short title and commencement</w:t>
      </w:r>
      <w:bookmarkEnd w:id="2"/>
      <w:bookmarkEnd w:id="3"/>
      <w:bookmarkEnd w:id="4"/>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p>
    <w:p>
      <w:pPr>
        <w:pStyle w:val="Heading5"/>
        <w:rPr>
          <w:snapToGrid w:val="0"/>
        </w:rPr>
      </w:pPr>
      <w:bookmarkStart w:id="5" w:name="_Toc61156055"/>
      <w:bookmarkStart w:id="6" w:name="_Toc122761291"/>
      <w:bookmarkStart w:id="7" w:name="_Toc228079019"/>
      <w:r>
        <w:rPr>
          <w:rStyle w:val="CharSectno"/>
        </w:rPr>
        <w:t>2</w:t>
      </w:r>
      <w:r>
        <w:rPr>
          <w:snapToGrid w:val="0"/>
        </w:rPr>
        <w:t>.</w:t>
      </w:r>
      <w:r>
        <w:rPr>
          <w:snapToGrid w:val="0"/>
        </w:rPr>
        <w:tab/>
        <w:t>This Act to be read with the Road Traffic Act</w:t>
      </w:r>
      <w:bookmarkEnd w:id="5"/>
      <w:bookmarkEnd w:id="6"/>
      <w:bookmarkEnd w:id="7"/>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8" w:name="_Toc61156056"/>
      <w:bookmarkStart w:id="9" w:name="_Toc122761292"/>
      <w:bookmarkStart w:id="10" w:name="_Toc228079020"/>
      <w:r>
        <w:rPr>
          <w:rStyle w:val="CharSectno"/>
        </w:rPr>
        <w:t>3</w:t>
      </w:r>
      <w:r>
        <w:rPr>
          <w:snapToGrid w:val="0"/>
        </w:rPr>
        <w:t>.</w:t>
      </w:r>
      <w:r>
        <w:rPr>
          <w:snapToGrid w:val="0"/>
        </w:rPr>
        <w:tab/>
      </w:r>
      <w:bookmarkEnd w:id="8"/>
      <w:bookmarkEnd w:id="9"/>
      <w:r>
        <w:rPr>
          <w:snapToGrid w:val="0"/>
        </w:rPr>
        <w:t>Terms used</w:t>
      </w:r>
      <w:bookmarkEnd w:id="10"/>
    </w:p>
    <w:p>
      <w:pPr>
        <w:pStyle w:val="Subsection"/>
        <w:keepNext/>
        <w:rPr>
          <w:snapToGrid w:val="0"/>
        </w:rPr>
      </w:pPr>
      <w:r>
        <w:rPr>
          <w:snapToGrid w:val="0"/>
        </w:rPr>
        <w:tab/>
        <w:t>(1)</w:t>
      </w:r>
      <w:r>
        <w:rPr>
          <w:snapToGrid w:val="0"/>
        </w:rPr>
        <w:tab/>
        <w:t>In this Act, unless the context requires otherwise —</w:t>
      </w:r>
    </w:p>
    <w:p>
      <w:pPr>
        <w:pStyle w:val="Defstart"/>
      </w:pPr>
      <w:r>
        <w:rPr>
          <w:b/>
        </w:rP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Insurance Commission of Western Australia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Traffic Act and includes a caravan, trailer or semi</w:t>
      </w:r>
      <w:r>
        <w:noBreakHyphen/>
        <w:t>trailer drawn or hauled by a motor vehicle;</w:t>
      </w:r>
    </w:p>
    <w:p>
      <w:pPr>
        <w:pStyle w:val="Defstart"/>
        <w:keepLines/>
      </w:pPr>
      <w:r>
        <w:rPr>
          <w:b/>
        </w:rPr>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Traffic Act</w:t>
      </w:r>
      <w:r>
        <w:t xml:space="preserve"> means the </w:t>
      </w:r>
      <w:r>
        <w:rPr>
          <w:i/>
        </w:rPr>
        <w:t>Road Traffic Act 1974</w:t>
      </w:r>
      <w:r>
        <w:t xml:space="preserve"> as amended from time to time and for the time being;</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rPr>
      </w:pPr>
      <w:r>
        <w:rPr>
          <w:snapToGrid w:val="0"/>
          <w:spacing w:val="-2"/>
        </w:rPr>
        <w:tab/>
      </w:r>
      <w:r>
        <w:rPr>
          <w:snapToGrid w:val="0"/>
          <w:spacing w:val="-2"/>
        </w:rPr>
        <w:tab/>
      </w:r>
      <w:r>
        <w:rPr>
          <w:snapToGrid w:val="0"/>
        </w:rPr>
        <w:t>Provided that in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(4)(a)</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(b)</w:t>
      </w:r>
      <w:r>
        <w:rPr>
          <w:snapToGrid w:val="0"/>
        </w:rPr>
        <w:tab/>
        <w:t>The Governor may by order in council prescribe for the purposes of this subsection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w:t>
      </w:r>
    </w:p>
    <w:p>
      <w:pPr>
        <w:pStyle w:val="Heading5"/>
        <w:rPr>
          <w:snapToGrid w:val="0"/>
        </w:rPr>
      </w:pPr>
      <w:bookmarkStart w:id="11" w:name="_Toc61156057"/>
      <w:bookmarkStart w:id="12" w:name="_Toc122761293"/>
      <w:bookmarkStart w:id="13" w:name="_Toc228079021"/>
      <w:r>
        <w:rPr>
          <w:rStyle w:val="CharSectno"/>
        </w:rPr>
        <w:t>3A</w:t>
      </w:r>
      <w:r>
        <w:rPr>
          <w:snapToGrid w:val="0"/>
        </w:rPr>
        <w:t xml:space="preserve">. </w:t>
      </w:r>
      <w:r>
        <w:rPr>
          <w:snapToGrid w:val="0"/>
        </w:rPr>
        <w:tab/>
        <w:t>Application of sections 3C and 3D</w:t>
      </w:r>
      <w:bookmarkEnd w:id="11"/>
      <w:bookmarkEnd w:id="12"/>
      <w:bookmarkEnd w:id="13"/>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14" w:name="_Toc61156058"/>
      <w:bookmarkStart w:id="15" w:name="_Toc122761294"/>
      <w:bookmarkStart w:id="16" w:name="_Toc228079022"/>
      <w:r>
        <w:rPr>
          <w:rStyle w:val="CharSectno"/>
        </w:rPr>
        <w:t>3B</w:t>
      </w:r>
      <w:r>
        <w:rPr>
          <w:snapToGrid w:val="0"/>
        </w:rPr>
        <w:t xml:space="preserve">. </w:t>
      </w:r>
      <w:r>
        <w:rPr>
          <w:snapToGrid w:val="0"/>
        </w:rPr>
        <w:tab/>
        <w:t>Limit on powers of courts</w:t>
      </w:r>
      <w:bookmarkEnd w:id="14"/>
      <w:bookmarkEnd w:id="15"/>
      <w:bookmarkEnd w:id="16"/>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17" w:name="_Toc61156059"/>
      <w:bookmarkStart w:id="18" w:name="_Toc122761295"/>
      <w:bookmarkStart w:id="19" w:name="_Toc228079023"/>
      <w:r>
        <w:rPr>
          <w:rStyle w:val="CharSectno"/>
        </w:rPr>
        <w:t>3C</w:t>
      </w:r>
      <w:r>
        <w:rPr>
          <w:snapToGrid w:val="0"/>
        </w:rPr>
        <w:t xml:space="preserve">. </w:t>
      </w:r>
      <w:r>
        <w:rPr>
          <w:snapToGrid w:val="0"/>
        </w:rPr>
        <w:tab/>
        <w:t>Restrictions on damages for non</w:t>
      </w:r>
      <w:r>
        <w:rPr>
          <w:snapToGrid w:val="0"/>
        </w:rPr>
        <w:noBreakHyphen/>
        <w:t>pecuniary loss</w:t>
      </w:r>
      <w:bookmarkEnd w:id="17"/>
      <w:bookmarkEnd w:id="18"/>
      <w:bookmarkEnd w:id="19"/>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2</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object w:dxaOrig="38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o:ole="" fillcolor="window">
            <v:imagedata r:id="rId21" o:title=""/>
          </v:shape>
          <o:OLEObject Type="Embed" ProgID="Equation.3" ShapeID="_x0000_i1025" DrawAspect="Content" ObjectID="_1643525964" r:id="rId22"/>
        </w:obje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20" w:name="_Toc61156060"/>
      <w:bookmarkStart w:id="21" w:name="_Toc122761296"/>
      <w:bookmarkStart w:id="22" w:name="_Toc228079024"/>
      <w:r>
        <w:rPr>
          <w:rStyle w:val="CharSectno"/>
        </w:rPr>
        <w:t>3D</w:t>
      </w:r>
      <w:r>
        <w:rPr>
          <w:snapToGrid w:val="0"/>
        </w:rPr>
        <w:t xml:space="preserve">. </w:t>
      </w:r>
      <w:r>
        <w:rPr>
          <w:snapToGrid w:val="0"/>
        </w:rPr>
        <w:tab/>
        <w:t>Restrictions on damages for provision of home care services</w:t>
      </w:r>
      <w:bookmarkEnd w:id="20"/>
      <w:bookmarkEnd w:id="21"/>
      <w:bookmarkEnd w:id="22"/>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2</w:t>
      </w:r>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23" w:name="_Toc61156061"/>
      <w:bookmarkStart w:id="24" w:name="_Toc122761297"/>
      <w:bookmarkStart w:id="25" w:name="_Toc228079025"/>
      <w:r>
        <w:rPr>
          <w:rStyle w:val="CharSectno"/>
        </w:rPr>
        <w:t>3E</w:t>
      </w:r>
      <w:r>
        <w:rPr>
          <w:snapToGrid w:val="0"/>
        </w:rPr>
        <w:t xml:space="preserve">. </w:t>
      </w:r>
      <w:r>
        <w:rPr>
          <w:snapToGrid w:val="0"/>
        </w:rPr>
        <w:tab/>
        <w:t>Causes of action to which restrictions on damages apply</w:t>
      </w:r>
      <w:bookmarkEnd w:id="23"/>
      <w:bookmarkEnd w:id="24"/>
      <w:bookmarkEnd w:id="25"/>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spacing w:before="60"/>
        <w:ind w:left="890" w:hanging="890"/>
      </w:pPr>
      <w:r>
        <w:tab/>
        <w:t>[Section 3E inserted by No. 17 of 1994 s. 5.]</w:t>
      </w:r>
    </w:p>
    <w:p>
      <w:pPr>
        <w:pStyle w:val="Heading5"/>
      </w:pPr>
      <w:bookmarkStart w:id="26" w:name="_Toc228079026"/>
      <w:r>
        <w:rPr>
          <w:rStyle w:val="CharSectno"/>
        </w:rPr>
        <w:t>3F</w:t>
      </w:r>
      <w:r>
        <w:t>.</w:t>
      </w:r>
      <w:r>
        <w:tab/>
        <w:t>Restriction on damages for loss relating to earning capacity</w:t>
      </w:r>
      <w:bookmarkEnd w:id="26"/>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vertAlign w:val="superscript"/>
        </w:rPr>
        <w:t> 1</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27" w:name="_Toc228079027"/>
      <w:bookmarkStart w:id="28" w:name="_Toc61156062"/>
      <w:bookmarkStart w:id="29" w:name="_Toc122761298"/>
      <w:r>
        <w:rPr>
          <w:rStyle w:val="CharSectno"/>
        </w:rPr>
        <w:t>3G</w:t>
      </w:r>
      <w:r>
        <w:t>.</w:t>
      </w:r>
      <w:r>
        <w:tab/>
        <w:t>Liability of employers</w:t>
      </w:r>
      <w:bookmarkEnd w:id="27"/>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by No. 15 of 2006 s. 5.]</w:t>
      </w:r>
    </w:p>
    <w:p>
      <w:pPr>
        <w:pStyle w:val="Ednotesection"/>
        <w:spacing w:before="200"/>
      </w:pPr>
      <w:r>
        <w:t>[</w:t>
      </w:r>
      <w:r>
        <w:rPr>
          <w:b/>
        </w:rPr>
        <w:t>3H</w:t>
      </w:r>
      <w:r>
        <w:rPr>
          <w:b/>
        </w:rPr>
        <w:noBreakHyphen/>
        <w:t>3K.</w:t>
      </w:r>
      <w:r>
        <w:tab/>
        <w:t>Deleted by No. 51 of 1986 s. 46(2).]</w:t>
      </w:r>
    </w:p>
    <w:p>
      <w:pPr>
        <w:pStyle w:val="Ednotesection"/>
        <w:spacing w:before="200"/>
      </w:pPr>
      <w:r>
        <w:t>[</w:t>
      </w:r>
      <w:r>
        <w:rPr>
          <w:b/>
        </w:rPr>
        <w:t>3L</w:t>
      </w:r>
      <w:r>
        <w:rPr>
          <w:b/>
        </w:rPr>
        <w:noBreakHyphen/>
        <w:t>3N.</w:t>
      </w:r>
      <w:r>
        <w:rPr>
          <w:b/>
        </w:rPr>
        <w:tab/>
      </w:r>
      <w:r>
        <w:t>Deleted by No. 81 of 1982 s. 10.]</w:t>
      </w:r>
    </w:p>
    <w:p>
      <w:pPr>
        <w:pStyle w:val="Ednotesection"/>
        <w:spacing w:before="200"/>
      </w:pPr>
      <w:r>
        <w:t>[</w:t>
      </w:r>
      <w:r>
        <w:rPr>
          <w:b/>
        </w:rPr>
        <w:t>3P.</w:t>
      </w:r>
      <w:r>
        <w:rPr>
          <w:b/>
        </w:rPr>
        <w:tab/>
      </w:r>
      <w:r>
        <w:t>Deleted by No. 8 of 1988 s. 5.]</w:t>
      </w:r>
    </w:p>
    <w:p>
      <w:pPr>
        <w:pStyle w:val="Heading5"/>
        <w:spacing w:before="200"/>
        <w:rPr>
          <w:snapToGrid w:val="0"/>
        </w:rPr>
      </w:pPr>
      <w:bookmarkStart w:id="30" w:name="_Toc228079028"/>
      <w:r>
        <w:rPr>
          <w:rStyle w:val="CharSectno"/>
        </w:rPr>
        <w:t>3Q</w:t>
      </w:r>
      <w:r>
        <w:rPr>
          <w:snapToGrid w:val="0"/>
        </w:rPr>
        <w:t xml:space="preserve">. </w:t>
      </w:r>
      <w:r>
        <w:rPr>
          <w:snapToGrid w:val="0"/>
        </w:rPr>
        <w:tab/>
        <w:t>Director General’s functions</w:t>
      </w:r>
      <w:bookmarkEnd w:id="28"/>
      <w:bookmarkEnd w:id="29"/>
      <w:bookmarkEnd w:id="30"/>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spacing w:before="180"/>
      </w:pPr>
      <w:bookmarkStart w:id="31" w:name="_Toc61156063"/>
      <w:bookmarkStart w:id="32" w:name="_Toc122761299"/>
      <w:bookmarkStart w:id="33" w:name="_Toc228079029"/>
      <w:r>
        <w:rPr>
          <w:rStyle w:val="CharSectno"/>
        </w:rPr>
        <w:t>3QA</w:t>
      </w:r>
      <w:r>
        <w:t>.</w:t>
      </w:r>
      <w:r>
        <w:tab/>
        <w:t>Agreements for performance of functions</w:t>
      </w:r>
      <w:bookmarkEnd w:id="31"/>
      <w:bookmarkEnd w:id="32"/>
      <w:bookmarkEnd w:id="3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34" w:name="_Toc61156064"/>
      <w:bookmarkStart w:id="35" w:name="_Toc122761300"/>
      <w:bookmarkStart w:id="36" w:name="_Toc228079030"/>
      <w:r>
        <w:rPr>
          <w:rStyle w:val="CharSectno"/>
        </w:rPr>
        <w:t>3QB</w:t>
      </w:r>
      <w:r>
        <w:t>.</w:t>
      </w:r>
      <w:r>
        <w:tab/>
        <w:t>Delegation</w:t>
      </w:r>
      <w:bookmarkEnd w:id="34"/>
      <w:bookmarkEnd w:id="35"/>
      <w:bookmarkEnd w:id="3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37" w:name="_Toc61156065"/>
      <w:bookmarkStart w:id="38" w:name="_Toc122761301"/>
      <w:bookmarkStart w:id="39" w:name="_Toc228079031"/>
      <w:r>
        <w:rPr>
          <w:rStyle w:val="CharSectno"/>
        </w:rPr>
        <w:t>3R</w:t>
      </w:r>
      <w:r>
        <w:rPr>
          <w:snapToGrid w:val="0"/>
        </w:rPr>
        <w:t xml:space="preserve">. </w:t>
      </w:r>
      <w:r>
        <w:rPr>
          <w:snapToGrid w:val="0"/>
        </w:rPr>
        <w:tab/>
        <w:t>Issue of policies of insurance</w:t>
      </w:r>
      <w:bookmarkEnd w:id="37"/>
      <w:bookmarkEnd w:id="38"/>
      <w:bookmarkEnd w:id="39"/>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(c)</w:t>
      </w:r>
      <w:r>
        <w:rPr>
          <w:snapToGrid w:val="0"/>
        </w:rPr>
        <w:tab/>
        <w:t>The Treasurer shall pay all amounts received by him under paragraph (b)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Sch. 1 cl. 23(1).]</w:t>
      </w:r>
    </w:p>
    <w:p>
      <w:pPr>
        <w:pStyle w:val="Heading5"/>
        <w:rPr>
          <w:snapToGrid w:val="0"/>
        </w:rPr>
      </w:pPr>
      <w:bookmarkStart w:id="40" w:name="_Toc61156066"/>
      <w:bookmarkStart w:id="41" w:name="_Toc122761302"/>
      <w:bookmarkStart w:id="42" w:name="_Toc228079032"/>
      <w:r>
        <w:rPr>
          <w:rStyle w:val="CharSectno"/>
        </w:rPr>
        <w:t>3S</w:t>
      </w:r>
      <w:r>
        <w:rPr>
          <w:snapToGrid w:val="0"/>
        </w:rPr>
        <w:t xml:space="preserve">. </w:t>
      </w:r>
      <w:r>
        <w:rPr>
          <w:snapToGrid w:val="0"/>
        </w:rPr>
        <w:tab/>
        <w:t>Further powers of the Commission</w:t>
      </w:r>
      <w:bookmarkEnd w:id="40"/>
      <w:bookmarkEnd w:id="41"/>
      <w:bookmarkEnd w:id="42"/>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43" w:name="_Toc61156067"/>
      <w:bookmarkStart w:id="44" w:name="_Toc122761303"/>
      <w:bookmarkStart w:id="45" w:name="_Toc228079033"/>
      <w:r>
        <w:rPr>
          <w:rStyle w:val="CharSectno"/>
        </w:rPr>
        <w:t>3T</w:t>
      </w:r>
      <w:r>
        <w:rPr>
          <w:snapToGrid w:val="0"/>
        </w:rPr>
        <w:t xml:space="preserve">. </w:t>
      </w:r>
      <w:r>
        <w:rPr>
          <w:snapToGrid w:val="0"/>
        </w:rPr>
        <w:tab/>
        <w:t>Premiums</w:t>
      </w:r>
      <w:bookmarkEnd w:id="43"/>
      <w:bookmarkEnd w:id="44"/>
      <w:bookmarkEnd w:id="45"/>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46" w:name="_Toc61156068"/>
      <w:bookmarkStart w:id="47" w:name="_Toc122761304"/>
      <w:bookmarkStart w:id="48" w:name="_Toc228079034"/>
      <w:r>
        <w:rPr>
          <w:rStyle w:val="CharSectno"/>
        </w:rPr>
        <w:t>4</w:t>
      </w:r>
      <w:r>
        <w:rPr>
          <w:snapToGrid w:val="0"/>
        </w:rPr>
        <w:t>.</w:t>
      </w:r>
      <w:r>
        <w:rPr>
          <w:snapToGrid w:val="0"/>
        </w:rPr>
        <w:tab/>
        <w:t>Insurance against third party risks</w:t>
      </w:r>
      <w:bookmarkEnd w:id="46"/>
      <w:bookmarkEnd w:id="47"/>
      <w:bookmarkEnd w:id="48"/>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(b)</w:t>
      </w:r>
      <w:r>
        <w:tab/>
        <w:t>A person shall not be convicted or punished for an offence under paragraph (a) if he has already been convicted or acquitted of an offence under section 15 of the Traffic Act and both those offences had been committed simultaneously.</w:t>
      </w:r>
    </w:p>
    <w:p>
      <w:pPr>
        <w:pStyle w:val="Subsection"/>
      </w:pPr>
      <w:r>
        <w:tab/>
        <w:t>(c)</w:t>
      </w:r>
      <w:r>
        <w:tab/>
        <w:t>Upon conviction of a person of an offence under this subsection,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r>
      <w:r>
        <w:rPr>
          <w:snapToGrid w:val="0"/>
        </w:rPr>
        <w:tab/>
        <w:t>Provided that no such proceedings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(7)(a)</w:t>
      </w:r>
      <w:r>
        <w:rPr>
          <w:snapToGrid w:val="0"/>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(b)</w:t>
      </w:r>
      <w:r>
        <w:rPr>
          <w:snapToGrid w:val="0"/>
        </w:rPr>
        <w:tab/>
        <w:t>The owner shall be deemed to have complied with this subsection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Ednotesubsection"/>
      </w:pPr>
      <w:r>
        <w:tab/>
        <w:t>[(9)</w:t>
      </w:r>
      <w:r>
        <w:tab/>
        <w:t>deleted]</w:t>
      </w:r>
    </w:p>
    <w:p>
      <w:pPr>
        <w:pStyle w:val="Subsection"/>
        <w:rPr>
          <w:snapToGrid w:val="0"/>
        </w:rPr>
      </w:pPr>
      <w:r>
        <w:rPr>
          <w:snapToGrid w:val="0"/>
        </w:rPr>
        <w:tab/>
        <w:t>(9a)(a)</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(b)</w:t>
      </w:r>
      <w:r>
        <w:rPr>
          <w:snapToGrid w:val="0"/>
        </w:rPr>
        <w:tab/>
        <w:t xml:space="preserve">The owner and driver of any such vehicle 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w:t>
      </w:r>
    </w:p>
    <w:p>
      <w:pPr>
        <w:pStyle w:val="Ednotesection"/>
      </w:pPr>
      <w:r>
        <w:t>[</w:t>
      </w:r>
      <w:r>
        <w:rPr>
          <w:b/>
        </w:rPr>
        <w:t>5.</w:t>
      </w:r>
      <w:r>
        <w:rPr>
          <w:b/>
        </w:rPr>
        <w:tab/>
      </w:r>
      <w:r>
        <w:t>Deleted by No. 31 of 1948 s. 7.]</w:t>
      </w:r>
    </w:p>
    <w:p>
      <w:pPr>
        <w:pStyle w:val="Heading5"/>
        <w:rPr>
          <w:snapToGrid w:val="0"/>
        </w:rPr>
      </w:pPr>
      <w:bookmarkStart w:id="49" w:name="_Toc61156069"/>
      <w:bookmarkStart w:id="50" w:name="_Toc122761305"/>
      <w:bookmarkStart w:id="51" w:name="_Toc228079035"/>
      <w:r>
        <w:rPr>
          <w:rStyle w:val="CharSectno"/>
        </w:rPr>
        <w:t>6</w:t>
      </w:r>
      <w:r>
        <w:rPr>
          <w:snapToGrid w:val="0"/>
        </w:rPr>
        <w:t>.</w:t>
      </w:r>
      <w:r>
        <w:rPr>
          <w:snapToGrid w:val="0"/>
        </w:rPr>
        <w:tab/>
        <w:t>Requirements in respect of policies</w:t>
      </w:r>
      <w:bookmarkEnd w:id="49"/>
      <w:bookmarkEnd w:id="50"/>
      <w:bookmarkEnd w:id="51"/>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keepNext/>
      </w:pPr>
      <w:r>
        <w:tab/>
        <w:t>[(2)</w:t>
      </w:r>
      <w:r>
        <w:tab/>
        <w:t>deleted]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Deleted by No. 28 of 2003 s. 122(2).]</w:t>
      </w:r>
    </w:p>
    <w:p>
      <w:pPr>
        <w:pStyle w:val="Heading5"/>
        <w:rPr>
          <w:snapToGrid w:val="0"/>
        </w:rPr>
      </w:pPr>
      <w:bookmarkStart w:id="52" w:name="_Toc61156070"/>
      <w:bookmarkStart w:id="53" w:name="_Toc122761306"/>
      <w:bookmarkStart w:id="54" w:name="_Toc228079036"/>
      <w:r>
        <w:rPr>
          <w:rStyle w:val="CharSectno"/>
        </w:rPr>
        <w:t>7</w:t>
      </w:r>
      <w:r>
        <w:rPr>
          <w:snapToGrid w:val="0"/>
        </w:rPr>
        <w:t>.</w:t>
      </w:r>
      <w:r>
        <w:rPr>
          <w:snapToGrid w:val="0"/>
        </w:rPr>
        <w:tab/>
        <w:t>Liability of the Commission</w:t>
      </w:r>
      <w:bookmarkEnd w:id="52"/>
      <w:bookmarkEnd w:id="53"/>
      <w:bookmarkEnd w:id="54"/>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when the judgment against the insured person was obtained within the State, this subsection shall not apply unless before the action in which such judgment was obtained came on for hearing, the Commission knew that that action had been commenced; and</w:t>
      </w:r>
    </w:p>
    <w:p>
      <w:pPr>
        <w:pStyle w:val="Indenta"/>
        <w:rPr>
          <w:snapToGrid w:val="0"/>
        </w:rPr>
      </w:pPr>
      <w:r>
        <w:rPr>
          <w:snapToGrid w:val="0"/>
        </w:rPr>
        <w:tab/>
        <w:t>(ii)</w:t>
      </w:r>
      <w:r>
        <w:rPr>
          <w:snapToGrid w:val="0"/>
        </w:rPr>
        <w:tab/>
        <w:t>the right to recover under this subsection 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by No. 40 of 1944 s. 5; No. 7 of 1945 s. 3; No. 31 of 1948 s. 9; No. 36 of 1954 s. 3; No. 77 of 1957 s. 5; No. 72 of 1962 s. 7; No. 95 of 1966 s. 8; No. 81 of 1982 s. 16; No. 51 of 1986 s. 46(2); No. 107 of 1987 s. 7.]</w:t>
      </w:r>
    </w:p>
    <w:p>
      <w:pPr>
        <w:pStyle w:val="Heading5"/>
        <w:rPr>
          <w:snapToGrid w:val="0"/>
        </w:rPr>
      </w:pPr>
      <w:bookmarkStart w:id="55" w:name="_Toc61156071"/>
      <w:bookmarkStart w:id="56" w:name="_Toc122761307"/>
      <w:bookmarkStart w:id="57" w:name="_Toc228079037"/>
      <w:r>
        <w:rPr>
          <w:rStyle w:val="CharSectno"/>
        </w:rPr>
        <w:t>8</w:t>
      </w:r>
      <w:r>
        <w:rPr>
          <w:snapToGrid w:val="0"/>
        </w:rPr>
        <w:t>.</w:t>
      </w:r>
      <w:r>
        <w:rPr>
          <w:snapToGrid w:val="0"/>
        </w:rPr>
        <w:tab/>
        <w:t>Special provisions in relation to uninsured motor vehicles</w:t>
      </w:r>
      <w:bookmarkEnd w:id="55"/>
      <w:bookmarkEnd w:id="56"/>
      <w:bookmarkEnd w:id="5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r>
      <w:r>
        <w:rPr>
          <w:snapToGrid w:val="0"/>
        </w:rPr>
        <w:tab/>
        <w:t>Provided that, where execution of such judgment is stayed pending appeal, the time during which such execution is so stayed shall be excluded in calculating the said period of one month.</w:t>
      </w:r>
    </w:p>
    <w:p>
      <w:pPr>
        <w:pStyle w:val="Subsection"/>
        <w:rPr>
          <w:snapToGrid w:val="0"/>
        </w:rPr>
      </w:pPr>
      <w:r>
        <w:rPr>
          <w:snapToGrid w:val="0"/>
        </w:rPr>
        <w:tab/>
      </w:r>
      <w:r>
        <w:rPr>
          <w:snapToGrid w:val="0"/>
        </w:rPr>
        <w:tab/>
        <w:t>Provided further that, when such judgment was obtained within the State, this subsection 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(ii)</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w:t>
      </w:r>
    </w:p>
    <w:p>
      <w:pPr>
        <w:pStyle w:val="Indenta"/>
        <w:spacing w:before="0"/>
        <w:rPr>
          <w:snapToGrid w:val="0"/>
        </w:rPr>
      </w:pPr>
      <w:r>
        <w:rPr>
          <w:snapToGrid w:val="0"/>
        </w:rPr>
        <w:tab/>
      </w:r>
      <w:r>
        <w:rPr>
          <w:snapToGrid w:val="0"/>
        </w:rPr>
        <w:tab/>
        <w:t>and</w:t>
      </w:r>
    </w:p>
    <w:p>
      <w:pPr>
        <w:pStyle w:val="Indenta"/>
        <w:rPr>
          <w:snapToGrid w:val="0"/>
        </w:rPr>
      </w:pPr>
      <w:r>
        <w:rPr>
          <w:snapToGrid w:val="0"/>
        </w:rPr>
        <w:tab/>
        <w:t>(iii)</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Ednotesubsection"/>
      </w:pPr>
      <w:r>
        <w:tab/>
        <w:t>[(4)</w:t>
      </w:r>
      <w:r>
        <w:tab/>
        <w:t xml:space="preserve"> deleted]</w:t>
      </w:r>
    </w:p>
    <w:p>
      <w:pPr>
        <w:pStyle w:val="Subsection"/>
        <w:keepNext/>
        <w:rPr>
          <w:snapToGrid w:val="0"/>
        </w:rPr>
      </w:pPr>
      <w:r>
        <w:rPr>
          <w:snapToGrid w:val="0"/>
        </w:rPr>
        <w:tab/>
        <w:t>(5)(a)</w:t>
      </w:r>
      <w:r>
        <w:rPr>
          <w:snapToGrid w:val="0"/>
        </w:rPr>
        <w:tab/>
        <w:t>Where —</w:t>
      </w:r>
    </w:p>
    <w:p>
      <w:pPr>
        <w:pStyle w:val="Indenta"/>
        <w:rPr>
          <w:snapToGrid w:val="0"/>
        </w:rPr>
      </w:pPr>
      <w:r>
        <w:rPr>
          <w:snapToGrid w:val="0"/>
        </w:rPr>
        <w:tab/>
        <w:t>(i)</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(ii)</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(iii)</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person shall not be entitled so to recover unless, as soon as practicable after he knew that such owner or driver was dead or could not be found, he gave to the Commission notice of intention to make a claim and a short statement of the grounds thereof; and</w:t>
      </w:r>
    </w:p>
    <w:p>
      <w:pPr>
        <w:pStyle w:val="Indenta"/>
        <w:rPr>
          <w:snapToGrid w:val="0"/>
        </w:rPr>
      </w:pPr>
      <w:r>
        <w:rPr>
          <w:snapToGrid w:val="0"/>
        </w:rPr>
        <w:tab/>
        <w:t>(ii)</w:t>
      </w:r>
      <w:r>
        <w:rPr>
          <w:snapToGrid w:val="0"/>
        </w:rPr>
        <w:tab/>
        <w:t>the inquiry and search made for such owner or driver may be proved orally or by the affidavit of the person who made the inquiry and search.</w:t>
      </w:r>
    </w:p>
    <w:p>
      <w:pPr>
        <w:pStyle w:val="Ednotesubsection"/>
      </w:pPr>
      <w:r>
        <w:tab/>
        <w:t>[(b)</w:t>
      </w:r>
      <w:r>
        <w:tab/>
        <w:t>deleted]</w:t>
      </w:r>
    </w:p>
    <w:p>
      <w:pPr>
        <w:pStyle w:val="Footnotesection"/>
      </w:pPr>
      <w:r>
        <w:tab/>
        <w:t>[Section 8 amended by No. 31 of 1948 s. 10; No. 36 of 1954 s. 4; No. 25 of 1959 s. 5; No. 72 of 1962 s. 8; No. 51 of 1986 s. 46(2); No. 107 of 1987 s. 14.]</w:t>
      </w:r>
    </w:p>
    <w:p>
      <w:pPr>
        <w:pStyle w:val="Ednotesection"/>
      </w:pPr>
      <w:r>
        <w:t>[</w:t>
      </w:r>
      <w:r>
        <w:rPr>
          <w:b/>
        </w:rPr>
        <w:t>8A.</w:t>
      </w:r>
      <w:r>
        <w:rPr>
          <w:b/>
        </w:rPr>
        <w:tab/>
      </w:r>
      <w:r>
        <w:t>Deleted by No. 28 of 2003 s. 122(3).]</w:t>
      </w:r>
    </w:p>
    <w:p>
      <w:pPr>
        <w:pStyle w:val="Ednotesection"/>
      </w:pPr>
      <w:r>
        <w:t>[</w:t>
      </w:r>
      <w:r>
        <w:rPr>
          <w:b/>
        </w:rPr>
        <w:t>9.</w:t>
      </w:r>
      <w:r>
        <w:rPr>
          <w:b/>
        </w:rPr>
        <w:tab/>
      </w:r>
      <w:r>
        <w:t>Deleted by No. 31 of 1948 s. 11.]</w:t>
      </w:r>
    </w:p>
    <w:p>
      <w:pPr>
        <w:pStyle w:val="Heading5"/>
        <w:rPr>
          <w:snapToGrid w:val="0"/>
        </w:rPr>
      </w:pPr>
      <w:bookmarkStart w:id="58" w:name="_Toc61156072"/>
      <w:bookmarkStart w:id="59" w:name="_Toc122761308"/>
      <w:bookmarkStart w:id="60" w:name="_Toc228079038"/>
      <w:r>
        <w:rPr>
          <w:rStyle w:val="CharSectno"/>
        </w:rPr>
        <w:t>10</w:t>
      </w:r>
      <w:r>
        <w:rPr>
          <w:snapToGrid w:val="0"/>
        </w:rPr>
        <w:t>.</w:t>
      </w:r>
      <w:r>
        <w:rPr>
          <w:snapToGrid w:val="0"/>
        </w:rPr>
        <w:tab/>
        <w:t>Duties of owner or insured person</w:t>
      </w:r>
      <w:bookmarkEnd w:id="58"/>
      <w:bookmarkEnd w:id="59"/>
      <w:bookmarkEnd w:id="60"/>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rPr>
          <w:snapToGrid w:val="0"/>
        </w:rPr>
      </w:pPr>
      <w:bookmarkStart w:id="61" w:name="_Toc61156073"/>
      <w:bookmarkStart w:id="62" w:name="_Toc122761309"/>
      <w:bookmarkStart w:id="63" w:name="_Toc228079039"/>
      <w:r>
        <w:rPr>
          <w:rStyle w:val="CharSectno"/>
        </w:rPr>
        <w:t>11</w:t>
      </w:r>
      <w:r>
        <w:rPr>
          <w:snapToGrid w:val="0"/>
        </w:rPr>
        <w:t>.</w:t>
      </w:r>
      <w:r>
        <w:rPr>
          <w:snapToGrid w:val="0"/>
        </w:rPr>
        <w:tab/>
        <w:t>Power of the Commission to deal with claims against insured persons</w:t>
      </w:r>
      <w:bookmarkEnd w:id="61"/>
      <w:bookmarkEnd w:id="62"/>
      <w:bookmarkEnd w:id="63"/>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64" w:name="_Toc61156074"/>
      <w:bookmarkStart w:id="65" w:name="_Toc122761310"/>
      <w:bookmarkStart w:id="66" w:name="_Toc228079040"/>
      <w:r>
        <w:rPr>
          <w:rStyle w:val="CharSectno"/>
        </w:rPr>
        <w:t>12</w:t>
      </w:r>
      <w:r>
        <w:rPr>
          <w:snapToGrid w:val="0"/>
        </w:rPr>
        <w:t>.</w:t>
      </w:r>
      <w:r>
        <w:rPr>
          <w:snapToGrid w:val="0"/>
        </w:rPr>
        <w:tab/>
        <w:t>Emergency treatment</w:t>
      </w:r>
      <w:bookmarkEnd w:id="64"/>
      <w:bookmarkEnd w:id="65"/>
      <w:bookmarkEnd w:id="66"/>
    </w:p>
    <w:p>
      <w:pPr>
        <w:pStyle w:val="Subsection"/>
        <w:keepNext/>
        <w:keepLines/>
        <w:rPr>
          <w:snapToGrid w:val="0"/>
        </w:rPr>
      </w:pPr>
      <w:r>
        <w:rPr>
          <w:snapToGrid w:val="0"/>
        </w:rPr>
        <w:tab/>
        <w:t>(1)</w:t>
      </w:r>
      <w:r>
        <w:rPr>
          <w:snapToGrid w:val="0"/>
        </w:rPr>
        <w:tab/>
        <w:t>Where —</w:t>
      </w:r>
    </w:p>
    <w:p>
      <w:pPr>
        <w:pStyle w:val="Indenta"/>
        <w:ind w:left="2183" w:hanging="2183"/>
        <w:rPr>
          <w:snapToGrid w:val="0"/>
        </w:rPr>
      </w:pPr>
      <w:r>
        <w:rPr>
          <w:snapToGrid w:val="0"/>
        </w:rPr>
        <w:tab/>
        <w:t>(a)</w:t>
      </w:r>
      <w:r>
        <w:rPr>
          <w:snapToGrid w:val="0"/>
        </w:rPr>
        <w:tab/>
        <w:t>(i)</w:t>
      </w:r>
      <w:r>
        <w:rPr>
          <w:snapToGrid w:val="0"/>
        </w:rPr>
        <w:tab/>
        <w:t>any legally qualified medical practitioner or registered nurse renders emergency treatment in respect of bodily injury (including fatal injury) to any person directly caused by, or by the driving of, a motor vehicle which is insured under this Act or is an uninsured vehicle; or</w:t>
      </w:r>
    </w:p>
    <w:p>
      <w:pPr>
        <w:pStyle w:val="Indenti"/>
        <w:tabs>
          <w:tab w:val="clear" w:pos="2041"/>
          <w:tab w:val="right" w:pos="1831"/>
        </w:tabs>
        <w:ind w:left="2195" w:hanging="2195"/>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notice in writing of a claim under this section is given by the medical practitioner, nurse or person who conveyed the injured person, to the Commission within one month after the occurrence out of which the death or bodily injury arose, the Commission shall make the following payments as are applicable to the case —</w:t>
      </w:r>
    </w:p>
    <w:p>
      <w:pPr>
        <w:pStyle w:val="Indenti"/>
        <w:rPr>
          <w:snapToGrid w:val="0"/>
        </w:rPr>
      </w:pPr>
      <w:r>
        <w:rPr>
          <w:snapToGrid w:val="0"/>
        </w:rPr>
        <w:tab/>
        <w:t>(i)</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Ednotesubpara"/>
        <w:rPr>
          <w:snapToGrid w:val="0"/>
        </w:rPr>
      </w:pPr>
      <w:r>
        <w:rPr>
          <w:snapToGrid w:val="0"/>
        </w:rPr>
        <w:tab/>
        <w:t xml:space="preserve">[(ii) </w:t>
      </w:r>
      <w:r>
        <w:rPr>
          <w:snapToGrid w:val="0"/>
        </w:rPr>
        <w:tab/>
        <w:t>repealed]</w:t>
      </w:r>
    </w:p>
    <w:p>
      <w:pPr>
        <w:pStyle w:val="Indenti"/>
        <w:rPr>
          <w:snapToGrid w:val="0"/>
        </w:rPr>
      </w:pPr>
      <w:r>
        <w:rPr>
          <w:snapToGrid w:val="0"/>
        </w:rPr>
        <w:tab/>
        <w:t>(iii)</w:t>
      </w:r>
      <w:r>
        <w:rPr>
          <w:snapToGrid w:val="0"/>
        </w:rPr>
        <w:tab/>
        <w:t>to any person who conveyed the injured person as mentioned in paragraph (a),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 by No. 40 of 1944 s. 6; No. 31 of 1948 s. 14; No. 95 of 1966 s. 21; No. 58 of 1974 s. 31; No. 81 of 1982 s. 17; No. 51 of 1986 s. 46(2); No. 107 of 1987 s. 14; No. 76 of 1996 s. 40; No. 15 of 2006 s. 7.]</w:t>
      </w:r>
    </w:p>
    <w:p>
      <w:pPr>
        <w:pStyle w:val="Ednotesection"/>
      </w:pPr>
      <w:r>
        <w:t>[</w:t>
      </w:r>
      <w:r>
        <w:rPr>
          <w:b/>
        </w:rPr>
        <w:t>13.</w:t>
      </w:r>
      <w:r>
        <w:t xml:space="preserve"> </w:t>
      </w:r>
      <w:r>
        <w:tab/>
        <w:t>Deleted by No. 81 of 1982 s. 18.]</w:t>
      </w:r>
    </w:p>
    <w:p>
      <w:pPr>
        <w:pStyle w:val="Heading5"/>
        <w:rPr>
          <w:snapToGrid w:val="0"/>
        </w:rPr>
      </w:pPr>
      <w:bookmarkStart w:id="67" w:name="_Toc61156075"/>
      <w:bookmarkStart w:id="68" w:name="_Toc122761311"/>
      <w:bookmarkStart w:id="69" w:name="_Toc228079041"/>
      <w:r>
        <w:rPr>
          <w:rStyle w:val="CharSectno"/>
        </w:rPr>
        <w:t>14</w:t>
      </w:r>
      <w:r>
        <w:rPr>
          <w:snapToGrid w:val="0"/>
        </w:rPr>
        <w:t>.</w:t>
      </w:r>
      <w:r>
        <w:rPr>
          <w:snapToGrid w:val="0"/>
        </w:rPr>
        <w:tab/>
        <w:t>Recovery of payment for emergency treatment</w:t>
      </w:r>
      <w:bookmarkEnd w:id="67"/>
      <w:bookmarkEnd w:id="68"/>
      <w:bookmarkEnd w:id="69"/>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by No. 31 of 1948 s. 16; amended by No. 51 of 1986 s. 46(2); No. 107 of 1987 s. 14.]</w:t>
      </w:r>
    </w:p>
    <w:p>
      <w:pPr>
        <w:pStyle w:val="Heading5"/>
        <w:rPr>
          <w:snapToGrid w:val="0"/>
        </w:rPr>
      </w:pPr>
      <w:bookmarkStart w:id="70" w:name="_Toc61156076"/>
      <w:bookmarkStart w:id="71" w:name="_Toc122761312"/>
      <w:bookmarkStart w:id="72" w:name="_Toc228079042"/>
      <w:r>
        <w:rPr>
          <w:rStyle w:val="CharSectno"/>
        </w:rPr>
        <w:t>15</w:t>
      </w:r>
      <w:r>
        <w:rPr>
          <w:snapToGrid w:val="0"/>
        </w:rPr>
        <w:t>.</w:t>
      </w:r>
      <w:r>
        <w:rPr>
          <w:snapToGrid w:val="0"/>
        </w:rPr>
        <w:tab/>
        <w:t>Right of the Commission against unauthorised drivers</w:t>
      </w:r>
      <w:bookmarkEnd w:id="70"/>
      <w:bookmarkEnd w:id="71"/>
      <w:bookmarkEnd w:id="72"/>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by No. 31 of 1948 s. 17; No. 51 of 1986 s. 46(2); No. 107 of 1987 s. 11.]</w:t>
      </w:r>
    </w:p>
    <w:p>
      <w:pPr>
        <w:pStyle w:val="Heading5"/>
        <w:rPr>
          <w:snapToGrid w:val="0"/>
        </w:rPr>
      </w:pPr>
      <w:bookmarkStart w:id="73" w:name="_Toc61156077"/>
      <w:bookmarkStart w:id="74" w:name="_Toc122761313"/>
      <w:bookmarkStart w:id="75" w:name="_Toc228079043"/>
      <w:r>
        <w:rPr>
          <w:rStyle w:val="CharSectno"/>
        </w:rPr>
        <w:t>16</w:t>
      </w:r>
      <w:r>
        <w:rPr>
          <w:snapToGrid w:val="0"/>
        </w:rPr>
        <w:t>.</w:t>
      </w:r>
      <w:r>
        <w:rPr>
          <w:snapToGrid w:val="0"/>
        </w:rPr>
        <w:tab/>
        <w:t>Jurisdiction</w:t>
      </w:r>
      <w:bookmarkEnd w:id="73"/>
      <w:bookmarkEnd w:id="74"/>
      <w:bookmarkEnd w:id="75"/>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Magistrates Court,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w:t>
      </w:r>
      <w:r>
        <w:rPr>
          <w:vertAlign w:val="superscript"/>
        </w:rPr>
        <w:t> 1</w:t>
      </w:r>
      <w:r>
        <w:t>;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76" w:name="_Toc61156078"/>
      <w:bookmarkStart w:id="77" w:name="_Toc122761314"/>
      <w:bookmarkStart w:id="78" w:name="_Toc228079044"/>
      <w:r>
        <w:rPr>
          <w:rStyle w:val="CharSectno"/>
        </w:rPr>
        <w:t>17</w:t>
      </w:r>
      <w:r>
        <w:rPr>
          <w:snapToGrid w:val="0"/>
        </w:rPr>
        <w:t>.</w:t>
      </w:r>
      <w:r>
        <w:rPr>
          <w:snapToGrid w:val="0"/>
        </w:rPr>
        <w:tab/>
        <w:t>Insurance by visiting motorists</w:t>
      </w:r>
      <w:bookmarkEnd w:id="76"/>
      <w:bookmarkEnd w:id="77"/>
      <w:bookmarkEnd w:id="78"/>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79" w:name="_Toc61156079"/>
      <w:bookmarkStart w:id="80" w:name="_Toc122761315"/>
      <w:bookmarkStart w:id="81" w:name="_Toc228079045"/>
      <w:r>
        <w:rPr>
          <w:rStyle w:val="CharSectno"/>
        </w:rPr>
        <w:t>18</w:t>
      </w:r>
      <w:r>
        <w:rPr>
          <w:snapToGrid w:val="0"/>
        </w:rPr>
        <w:t>.</w:t>
      </w:r>
      <w:r>
        <w:rPr>
          <w:snapToGrid w:val="0"/>
        </w:rPr>
        <w:tab/>
        <w:t>Power to suspend or cancel licences</w:t>
      </w:r>
      <w:bookmarkEnd w:id="79"/>
      <w:bookmarkEnd w:id="80"/>
      <w:bookmarkEnd w:id="81"/>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82" w:name="_Toc61156080"/>
      <w:bookmarkStart w:id="83" w:name="_Toc122761316"/>
      <w:bookmarkStart w:id="84" w:name="_Toc228079046"/>
      <w:r>
        <w:rPr>
          <w:rStyle w:val="CharSectno"/>
        </w:rPr>
        <w:t>19</w:t>
      </w:r>
      <w:r>
        <w:rPr>
          <w:snapToGrid w:val="0"/>
        </w:rPr>
        <w:t>.</w:t>
      </w:r>
      <w:r>
        <w:rPr>
          <w:snapToGrid w:val="0"/>
        </w:rPr>
        <w:tab/>
        <w:t>Commission not to terminate policy</w:t>
      </w:r>
      <w:bookmarkEnd w:id="82"/>
      <w:bookmarkEnd w:id="83"/>
      <w:bookmarkEnd w:id="84"/>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85" w:name="_Toc61156081"/>
      <w:bookmarkStart w:id="86" w:name="_Toc122761317"/>
      <w:bookmarkStart w:id="87" w:name="_Toc228079047"/>
      <w:r>
        <w:rPr>
          <w:rStyle w:val="CharSectno"/>
        </w:rPr>
        <w:t>20</w:t>
      </w:r>
      <w:r>
        <w:rPr>
          <w:snapToGrid w:val="0"/>
        </w:rPr>
        <w:t>.</w:t>
      </w:r>
      <w:r>
        <w:rPr>
          <w:snapToGrid w:val="0"/>
        </w:rPr>
        <w:tab/>
        <w:t>Policy of insurance to continue notwithstanding change of ownership of vehicle</w:t>
      </w:r>
      <w:bookmarkEnd w:id="85"/>
      <w:bookmarkEnd w:id="86"/>
      <w:bookmarkEnd w:id="87"/>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88" w:name="_Toc61156082"/>
      <w:bookmarkStart w:id="89" w:name="_Toc122761318"/>
      <w:bookmarkStart w:id="90" w:name="_Toc228079048"/>
      <w:r>
        <w:rPr>
          <w:rStyle w:val="CharSectno"/>
        </w:rPr>
        <w:t>21</w:t>
      </w:r>
      <w:r>
        <w:rPr>
          <w:snapToGrid w:val="0"/>
        </w:rPr>
        <w:t>.</w:t>
      </w:r>
      <w:r>
        <w:rPr>
          <w:snapToGrid w:val="0"/>
        </w:rPr>
        <w:tab/>
        <w:t>Term of policy of insurance deemed to be extended in certain cases</w:t>
      </w:r>
      <w:bookmarkEnd w:id="88"/>
      <w:bookmarkEnd w:id="89"/>
      <w:bookmarkEnd w:id="90"/>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subsection, expire by effluxion of time on the same expiry day, if the provisions of paragraph (b) apply, the operation of the policy is extended by, and in accordance with, those provisions.</w:t>
      </w:r>
    </w:p>
    <w:p>
      <w:pPr>
        <w:pStyle w:val="Subsection"/>
        <w:rPr>
          <w:snapToGrid w:val="0"/>
        </w:rPr>
      </w:pPr>
      <w:r>
        <w:rPr>
          <w:snapToGrid w:val="0"/>
        </w:rPr>
        <w:tab/>
        <w:t>(b)</w:t>
      </w:r>
      <w:r>
        <w:rPr>
          <w:snapToGrid w:val="0"/>
        </w:rPr>
        <w:tab/>
        <w:t>If a new policy complying with the requirements of this Act is issued in respect of the motor vehicle within the period of 15 days of the expiry day of the policy mentioned in paragraph (a), the operation of the policy mentioned in that paragraph is, by this paragraph and notwithstanding any provisions to the contrary of the policy mentioned in that paragraph, extended until the new policy is issued.</w:t>
      </w:r>
    </w:p>
    <w:p>
      <w:pPr>
        <w:pStyle w:val="Subsection"/>
        <w:rPr>
          <w:snapToGrid w:val="0"/>
        </w:rPr>
      </w:pPr>
      <w:r>
        <w:rPr>
          <w:snapToGrid w:val="0"/>
        </w:rPr>
        <w:tab/>
        <w:t>(c)</w:t>
      </w:r>
      <w:r>
        <w:rPr>
          <w:snapToGrid w:val="0"/>
        </w:rPr>
        <w:tab/>
        <w:t>If however the new policy is not issued until after the expiration of that period of 15 days</w:t>
      </w:r>
    </w:p>
    <w:p>
      <w:pPr>
        <w:pStyle w:val="Indenta"/>
        <w:rPr>
          <w:snapToGrid w:val="0"/>
        </w:rPr>
      </w:pPr>
      <w:r>
        <w:rPr>
          <w:snapToGrid w:val="0"/>
        </w:rPr>
        <w:tab/>
        <w:t>(i)</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(ii)</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(iii)</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Nothing in subsection (1) shall operate or be deemed or construed to operate so as to render any policy of insurance aforesaid liable to payment of further duty in consequence of the currency of such policy being extended by the operation of this section.</w:t>
      </w:r>
    </w:p>
    <w:p>
      <w:pPr>
        <w:pStyle w:val="Footnotesection"/>
        <w:keepLines w:val="0"/>
        <w:rPr>
          <w:spacing w:val="-2"/>
        </w:rPr>
      </w:pPr>
      <w:r>
        <w:tab/>
        <w:t>[Section 21 </w:t>
      </w:r>
      <w:r>
        <w:rPr>
          <w:vertAlign w:val="superscript"/>
        </w:rPr>
        <w:t>3</w:t>
      </w:r>
      <w:r>
        <w:t xml:space="preserve"> inserted as s. 19B by No. 40 of 1944 s. 7; amended by No. 7 of 1945 s. 4; No. 36 of 1954 s. 8; No. 77 of 1957 s. 6; No. 58 of 1974 s. 33; No. 12 of 2008 </w:t>
      </w:r>
      <w:r>
        <w:rPr>
          <w:spacing w:val="-2"/>
        </w:rPr>
        <w:t xml:space="preserve"> Sch. 1 cl. 23(2).]</w:t>
      </w:r>
    </w:p>
    <w:p>
      <w:pPr>
        <w:pStyle w:val="Heading5"/>
        <w:rPr>
          <w:snapToGrid w:val="0"/>
        </w:rPr>
      </w:pPr>
      <w:bookmarkStart w:id="91" w:name="_Toc61156083"/>
      <w:bookmarkStart w:id="92" w:name="_Toc122761319"/>
      <w:bookmarkStart w:id="93" w:name="_Toc228079049"/>
      <w:r>
        <w:rPr>
          <w:rStyle w:val="CharSectno"/>
        </w:rPr>
        <w:t>22</w:t>
      </w:r>
      <w:r>
        <w:rPr>
          <w:snapToGrid w:val="0"/>
        </w:rPr>
        <w:t>.</w:t>
      </w:r>
      <w:r>
        <w:rPr>
          <w:snapToGrid w:val="0"/>
        </w:rPr>
        <w:tab/>
        <w:t>Provision regarding motor vehicle of employee used by employee in employer’s business</w:t>
      </w:r>
      <w:bookmarkEnd w:id="91"/>
      <w:bookmarkEnd w:id="92"/>
      <w:bookmarkEnd w:id="93"/>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r>
        <w:rPr>
          <w:vertAlign w:val="superscript"/>
        </w:rPr>
        <w:t>3</w:t>
      </w:r>
      <w:r>
        <w:t xml:space="preserve"> inserted as s. 19C by No. 40 of 1944 s. 7.]</w:t>
      </w:r>
    </w:p>
    <w:p>
      <w:pPr>
        <w:pStyle w:val="Heading5"/>
        <w:rPr>
          <w:snapToGrid w:val="0"/>
        </w:rPr>
      </w:pPr>
      <w:bookmarkStart w:id="94" w:name="_Toc61156084"/>
      <w:bookmarkStart w:id="95" w:name="_Toc122761320"/>
      <w:bookmarkStart w:id="96" w:name="_Toc228079050"/>
      <w:r>
        <w:rPr>
          <w:rStyle w:val="CharSectno"/>
        </w:rPr>
        <w:t>23</w:t>
      </w:r>
      <w:r>
        <w:rPr>
          <w:snapToGrid w:val="0"/>
        </w:rPr>
        <w:t>.</w:t>
      </w:r>
      <w:r>
        <w:rPr>
          <w:snapToGrid w:val="0"/>
        </w:rPr>
        <w:tab/>
        <w:t>Policies to give cover required by amending Acts</w:t>
      </w:r>
      <w:bookmarkEnd w:id="94"/>
      <w:bookmarkEnd w:id="95"/>
      <w:bookmarkEnd w:id="96"/>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rPr>
          <w:snapToGrid w:val="0"/>
        </w:rPr>
      </w:pPr>
      <w:bookmarkStart w:id="97" w:name="_Toc61156085"/>
      <w:bookmarkStart w:id="98" w:name="_Toc122761321"/>
      <w:bookmarkStart w:id="99" w:name="_Toc228079051"/>
      <w:r>
        <w:rPr>
          <w:rStyle w:val="CharSectno"/>
        </w:rPr>
        <w:t>24</w:t>
      </w:r>
      <w:r>
        <w:rPr>
          <w:snapToGrid w:val="0"/>
        </w:rPr>
        <w:t>.</w:t>
      </w:r>
      <w:r>
        <w:rPr>
          <w:snapToGrid w:val="0"/>
        </w:rPr>
        <w:tab/>
        <w:t>Reference to issue of policy to extend to renewal of policy</w:t>
      </w:r>
      <w:bookmarkEnd w:id="97"/>
      <w:bookmarkEnd w:id="98"/>
      <w:bookmarkEnd w:id="99"/>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100" w:name="_Toc61156086"/>
      <w:bookmarkStart w:id="101" w:name="_Toc122761322"/>
      <w:bookmarkStart w:id="102" w:name="_Toc228079052"/>
      <w:r>
        <w:rPr>
          <w:rStyle w:val="CharSectno"/>
        </w:rPr>
        <w:t>25</w:t>
      </w:r>
      <w:r>
        <w:rPr>
          <w:snapToGrid w:val="0"/>
        </w:rPr>
        <w:t>.</w:t>
      </w:r>
      <w:r>
        <w:rPr>
          <w:snapToGrid w:val="0"/>
        </w:rPr>
        <w:tab/>
        <w:t>Information to be furnished by the Commission</w:t>
      </w:r>
      <w:bookmarkEnd w:id="100"/>
      <w:bookmarkEnd w:id="101"/>
      <w:bookmarkEnd w:id="102"/>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103" w:name="_Toc61156087"/>
      <w:bookmarkStart w:id="104" w:name="_Toc122761323"/>
      <w:bookmarkStart w:id="105" w:name="_Toc228079053"/>
      <w:r>
        <w:rPr>
          <w:rStyle w:val="CharSectno"/>
        </w:rPr>
        <w:t>26</w:t>
      </w:r>
      <w:r>
        <w:rPr>
          <w:snapToGrid w:val="0"/>
        </w:rPr>
        <w:t>.</w:t>
      </w:r>
      <w:r>
        <w:rPr>
          <w:snapToGrid w:val="0"/>
        </w:rPr>
        <w:tab/>
        <w:t>Contracting out of liability for negligence</w:t>
      </w:r>
      <w:bookmarkEnd w:id="103"/>
      <w:bookmarkEnd w:id="104"/>
      <w:bookmarkEnd w:id="105"/>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106" w:name="_Toc61156088"/>
      <w:bookmarkStart w:id="107" w:name="_Toc122761324"/>
      <w:bookmarkStart w:id="108" w:name="_Toc228079054"/>
      <w:r>
        <w:rPr>
          <w:rStyle w:val="CharSectno"/>
        </w:rPr>
        <w:t>27</w:t>
      </w:r>
      <w:r>
        <w:rPr>
          <w:snapToGrid w:val="0"/>
        </w:rPr>
        <w:t>.</w:t>
      </w:r>
      <w:r>
        <w:rPr>
          <w:snapToGrid w:val="0"/>
        </w:rPr>
        <w:tab/>
        <w:t>Soliciting instructions from persons claiming</w:t>
      </w:r>
      <w:bookmarkEnd w:id="106"/>
      <w:bookmarkEnd w:id="107"/>
      <w:bookmarkEnd w:id="108"/>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109" w:name="_Toc61156089"/>
      <w:bookmarkStart w:id="110" w:name="_Toc122761325"/>
      <w:bookmarkStart w:id="111" w:name="_Toc228079055"/>
      <w:r>
        <w:rPr>
          <w:rStyle w:val="CharSectno"/>
        </w:rPr>
        <w:t>27A</w:t>
      </w:r>
      <w:r>
        <w:rPr>
          <w:snapToGrid w:val="0"/>
        </w:rPr>
        <w:t xml:space="preserve">. </w:t>
      </w:r>
      <w:r>
        <w:rPr>
          <w:snapToGrid w:val="0"/>
        </w:rPr>
        <w:tab/>
        <w:t>Costs between solicitor and client</w:t>
      </w:r>
      <w:bookmarkEnd w:id="109"/>
      <w:bookmarkEnd w:id="110"/>
      <w:bookmarkEnd w:id="111"/>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costs determination (as defined in the</w:t>
      </w:r>
      <w:r>
        <w:rPr>
          <w:i/>
          <w:iCs/>
        </w:rPr>
        <w:t xml:space="preserve"> Legal Profession Act 2008 </w:t>
      </w:r>
      <w:r>
        <w:t>section 252)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 No. 21 of 2008 s. 682.]</w:t>
      </w:r>
    </w:p>
    <w:p>
      <w:pPr>
        <w:pStyle w:val="Heading5"/>
        <w:rPr>
          <w:snapToGrid w:val="0"/>
        </w:rPr>
      </w:pPr>
      <w:bookmarkStart w:id="112" w:name="_Toc61156090"/>
      <w:bookmarkStart w:id="113" w:name="_Toc122761326"/>
      <w:bookmarkStart w:id="114" w:name="_Toc228079056"/>
      <w:r>
        <w:rPr>
          <w:rStyle w:val="CharSectno"/>
        </w:rPr>
        <w:t>28</w:t>
      </w:r>
      <w:r>
        <w:rPr>
          <w:snapToGrid w:val="0"/>
        </w:rPr>
        <w:t>.</w:t>
      </w:r>
      <w:r>
        <w:rPr>
          <w:snapToGrid w:val="0"/>
        </w:rPr>
        <w:tab/>
        <w:t>Offences: general penalty</w:t>
      </w:r>
      <w:bookmarkEnd w:id="112"/>
      <w:bookmarkEnd w:id="113"/>
      <w:bookmarkEnd w:id="114"/>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115" w:name="_Toc61156091"/>
      <w:bookmarkStart w:id="116" w:name="_Toc122761327"/>
      <w:bookmarkStart w:id="117" w:name="_Toc228079057"/>
      <w:r>
        <w:rPr>
          <w:rStyle w:val="CharSectno"/>
        </w:rPr>
        <w:t>29</w:t>
      </w:r>
      <w:r>
        <w:rPr>
          <w:snapToGrid w:val="0"/>
        </w:rPr>
        <w:t>.</w:t>
      </w:r>
      <w:r>
        <w:rPr>
          <w:snapToGrid w:val="0"/>
        </w:rPr>
        <w:tab/>
        <w:t>Notice of claim</w:t>
      </w:r>
      <w:bookmarkEnd w:id="115"/>
      <w:bookmarkEnd w:id="116"/>
      <w:bookmarkEnd w:id="117"/>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118" w:name="_Toc61156092"/>
      <w:bookmarkStart w:id="119" w:name="_Toc122761328"/>
      <w:bookmarkStart w:id="120" w:name="_Toc228079058"/>
      <w:r>
        <w:rPr>
          <w:rStyle w:val="CharSectno"/>
        </w:rPr>
        <w:t>29A</w:t>
      </w:r>
      <w:r>
        <w:rPr>
          <w:snapToGrid w:val="0"/>
        </w:rPr>
        <w:t xml:space="preserve">. </w:t>
      </w:r>
      <w:r>
        <w:rPr>
          <w:snapToGrid w:val="0"/>
        </w:rPr>
        <w:tab/>
        <w:t>Court may grant leave to proceed</w:t>
      </w:r>
      <w:bookmarkEnd w:id="118"/>
      <w:bookmarkEnd w:id="119"/>
      <w:bookmarkEnd w:id="120"/>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121" w:name="_Toc61156093"/>
      <w:bookmarkStart w:id="122" w:name="_Toc122761329"/>
      <w:bookmarkStart w:id="123" w:name="_Toc228079059"/>
      <w:r>
        <w:rPr>
          <w:rStyle w:val="CharSectno"/>
        </w:rPr>
        <w:t>30</w:t>
      </w:r>
      <w:r>
        <w:rPr>
          <w:snapToGrid w:val="0"/>
        </w:rPr>
        <w:t>.</w:t>
      </w:r>
      <w:r>
        <w:rPr>
          <w:snapToGrid w:val="0"/>
        </w:rPr>
        <w:tab/>
        <w:t>Medical examination of injured person</w:t>
      </w:r>
      <w:bookmarkEnd w:id="121"/>
      <w:bookmarkEnd w:id="122"/>
      <w:bookmarkEnd w:id="123"/>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rPr>
      </w:pPr>
      <w:r>
        <w:rPr>
          <w:snapToGrid w:val="0"/>
          <w:spacing w:val="-4"/>
        </w:rPr>
        <w:tab/>
        <w:t>(2)</w:t>
      </w:r>
      <w:r>
        <w:rPr>
          <w:snapToGrid w:val="0"/>
          <w:spacing w:val="-4"/>
        </w:rPr>
        <w:tab/>
      </w:r>
      <w:r>
        <w:rPr>
          <w:snapToGrid w:val="0"/>
        </w:rPr>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Deleted by No. 81 of 1982 s. 19.]</w:t>
      </w:r>
    </w:p>
    <w:p>
      <w:pPr>
        <w:pStyle w:val="Ednotesection"/>
        <w:spacing w:before="200"/>
        <w:ind w:left="890" w:hanging="890"/>
      </w:pPr>
      <w:r>
        <w:t>[</w:t>
      </w:r>
      <w:r>
        <w:rPr>
          <w:b/>
        </w:rPr>
        <w:t>32.</w:t>
      </w:r>
      <w:r>
        <w:tab/>
        <w:t>Deleted by No. 51 of 1986 s. 46(2).]</w:t>
      </w:r>
    </w:p>
    <w:p>
      <w:pPr>
        <w:pStyle w:val="Ednotesection"/>
        <w:spacing w:before="200"/>
        <w:ind w:left="890" w:hanging="890"/>
      </w:pPr>
      <w:r>
        <w:t>[</w:t>
      </w:r>
      <w:r>
        <w:rPr>
          <w:b/>
        </w:rPr>
        <w:t>32A.</w:t>
      </w:r>
      <w:r>
        <w:tab/>
        <w:t>Deleted by No. 76 of 1996 s. 39.]</w:t>
      </w:r>
    </w:p>
    <w:p>
      <w:pPr>
        <w:pStyle w:val="Heading5"/>
        <w:spacing w:before="260"/>
        <w:rPr>
          <w:snapToGrid w:val="0"/>
        </w:rPr>
      </w:pPr>
      <w:bookmarkStart w:id="124" w:name="_Toc61156094"/>
      <w:bookmarkStart w:id="125" w:name="_Toc122761330"/>
      <w:bookmarkStart w:id="126" w:name="_Toc228079060"/>
      <w:r>
        <w:rPr>
          <w:rStyle w:val="CharSectno"/>
        </w:rPr>
        <w:t>33</w:t>
      </w:r>
      <w:r>
        <w:rPr>
          <w:snapToGrid w:val="0"/>
        </w:rPr>
        <w:t>.</w:t>
      </w:r>
      <w:r>
        <w:rPr>
          <w:snapToGrid w:val="0"/>
        </w:rPr>
        <w:tab/>
        <w:t>Regulations</w:t>
      </w:r>
      <w:bookmarkEnd w:id="124"/>
      <w:bookmarkEnd w:id="125"/>
      <w:bookmarkEnd w:id="126"/>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Deleted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127" w:name="_Toc116374033"/>
      <w:bookmarkStart w:id="128" w:name="_Toc116374077"/>
      <w:bookmarkStart w:id="129" w:name="_Toc116376090"/>
      <w:bookmarkStart w:id="130" w:name="_Toc119220601"/>
      <w:bookmarkStart w:id="131" w:name="_Toc119315310"/>
      <w:bookmarkStart w:id="132" w:name="_Toc119394129"/>
      <w:bookmarkStart w:id="133" w:name="_Toc119394507"/>
      <w:bookmarkStart w:id="134" w:name="_Toc119731942"/>
      <w:bookmarkStart w:id="135" w:name="_Toc121287989"/>
      <w:bookmarkStart w:id="136" w:name="_Toc122761331"/>
      <w:bookmarkStart w:id="137" w:name="_Toc135714911"/>
      <w:bookmarkStart w:id="138" w:name="_Toc138582071"/>
      <w:bookmarkStart w:id="139" w:name="_Toc139252268"/>
      <w:bookmarkStart w:id="140" w:name="_Toc157925037"/>
      <w:bookmarkStart w:id="141" w:name="_Toc196193634"/>
      <w:bookmarkStart w:id="142" w:name="_Toc199754655"/>
      <w:bookmarkStart w:id="143" w:name="_Toc202174950"/>
      <w:bookmarkStart w:id="144" w:name="_Toc223858681"/>
      <w:bookmarkStart w:id="145" w:name="_Toc226184893"/>
      <w:bookmarkStart w:id="146" w:name="_Toc226185072"/>
      <w:bookmarkStart w:id="147" w:name="_Toc226796608"/>
      <w:bookmarkStart w:id="148" w:name="_Toc228006568"/>
      <w:bookmarkStart w:id="149" w:name="_Toc228079061"/>
      <w:r>
        <w:rPr>
          <w:rStyle w:val="CharSchNo"/>
        </w:rPr>
        <w:t>Schedule</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MiscellaneousHeading"/>
        <w:rPr>
          <w:b/>
          <w:snapToGrid w:val="0"/>
        </w:rPr>
      </w:pPr>
      <w:r>
        <w:rPr>
          <w:b/>
          <w:snapToGrid w:val="0"/>
        </w:rPr>
        <w:t xml:space="preserve">INSURANCE POLICY — issued under the </w:t>
      </w:r>
      <w:r>
        <w:rPr>
          <w:b/>
          <w:i/>
          <w:snapToGrid w:val="0"/>
        </w:rPr>
        <w:t>MOTOR VEHICLE (THIRD PARTY INSURANCE) ACT 1943</w:t>
      </w:r>
    </w:p>
    <w:p>
      <w:pPr>
        <w:pStyle w:val="yShoulderClause"/>
        <w:rPr>
          <w:snapToGrid w:val="0"/>
        </w:rPr>
      </w:pPr>
      <w:r>
        <w:rPr>
          <w:snapToGrid w:val="0"/>
        </w:rPr>
        <w:t>[s. 6]</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w:t>
      </w:r>
    </w:p>
    <w:p>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50" w:name="_Toc88885482"/>
      <w:bookmarkStart w:id="151" w:name="_Toc89568317"/>
      <w:bookmarkStart w:id="152" w:name="_Toc92784105"/>
      <w:bookmarkStart w:id="153" w:name="_Toc97018001"/>
      <w:bookmarkStart w:id="154" w:name="_Toc103131569"/>
      <w:bookmarkStart w:id="155" w:name="_Toc103131613"/>
      <w:bookmarkStart w:id="156" w:name="_Toc103131657"/>
      <w:bookmarkStart w:id="157" w:name="_Toc116374034"/>
      <w:bookmarkStart w:id="158" w:name="_Toc116374078"/>
      <w:bookmarkStart w:id="159" w:name="_Toc116376091"/>
      <w:bookmarkStart w:id="160" w:name="_Toc119220602"/>
      <w:bookmarkStart w:id="161" w:name="_Toc119315311"/>
      <w:bookmarkStart w:id="162" w:name="_Toc119394130"/>
      <w:bookmarkStart w:id="163" w:name="_Toc119394508"/>
      <w:bookmarkStart w:id="164" w:name="_Toc119731943"/>
      <w:bookmarkStart w:id="165" w:name="_Toc121287990"/>
      <w:bookmarkStart w:id="166" w:name="_Toc122761332"/>
      <w:bookmarkStart w:id="167" w:name="_Toc135714912"/>
      <w:bookmarkStart w:id="168" w:name="_Toc138582072"/>
      <w:bookmarkStart w:id="169" w:name="_Toc139252269"/>
      <w:bookmarkStart w:id="170" w:name="_Toc157925038"/>
      <w:bookmarkStart w:id="171" w:name="_Toc196193635"/>
      <w:bookmarkStart w:id="172" w:name="_Toc199754656"/>
      <w:bookmarkStart w:id="173" w:name="_Toc202174951"/>
      <w:bookmarkStart w:id="174" w:name="_Toc223858682"/>
      <w:bookmarkStart w:id="175" w:name="_Toc226184894"/>
      <w:bookmarkStart w:id="176" w:name="_Toc226185073"/>
      <w:bookmarkStart w:id="177" w:name="_Toc226796609"/>
      <w:bookmarkStart w:id="178" w:name="_Toc228006569"/>
      <w:bookmarkStart w:id="179" w:name="_Toc228079062"/>
      <w:r>
        <w:t>Notes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nSubsection"/>
        <w:rPr>
          <w:snapToGrid w:val="0"/>
        </w:rPr>
      </w:pPr>
      <w:r>
        <w:rPr>
          <w:snapToGrid w:val="0"/>
          <w:vertAlign w:val="superscript"/>
        </w:rPr>
        <w:t>1</w:t>
      </w:r>
      <w:r>
        <w:rPr>
          <w:snapToGrid w:val="0"/>
        </w:rPr>
        <w:tab/>
        <w:t xml:space="preserve">This reprint is a compilation as at 24 April 2009 of the </w:t>
      </w:r>
      <w:r>
        <w:rPr>
          <w:i/>
          <w:noProof/>
          <w:snapToGrid w:val="0"/>
        </w:rPr>
        <w:t>Motor Vehicle (Third Party Insurance) Act 1943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0" w:name="_Toc228079063"/>
      <w:r>
        <w:rPr>
          <w:snapToGrid w:val="0"/>
        </w:rPr>
        <w:t>Compilation table</w:t>
      </w:r>
      <w:bookmarkEnd w:id="180"/>
    </w:p>
    <w:tbl>
      <w:tblPr>
        <w:tblW w:w="7087" w:type="dxa"/>
        <w:tblInd w:w="38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r>
              <w:rPr>
                <w:color w:val="000000"/>
              </w:rPr>
              <w:t xml:space="preserve"> (7 Geo. VI No. 27)</w:t>
            </w:r>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 xml:space="preserve">40 of 1944 </w:t>
            </w:r>
            <w:r>
              <w:rPr>
                <w:color w:val="000000"/>
              </w:rPr>
              <w:t>(8 and 9 Geo. VI No. 40)</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 xml:space="preserve">7 of 1945 </w:t>
            </w:r>
            <w:r>
              <w:rPr>
                <w:color w:val="000000"/>
              </w:rPr>
              <w:t>(9 Geo. VI No. 7)</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Motor Vehicle (Third Party Insurance) Act 1943 </w:t>
            </w:r>
            <w:r>
              <w:rPr>
                <w:b/>
                <w:sz w:val="19"/>
              </w:rPr>
              <w:t xml:space="preserve">not in a Volume </w:t>
            </w:r>
            <w:r>
              <w:rPr>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 xml:space="preserve">31 of 1948 </w:t>
            </w:r>
            <w:r>
              <w:rPr>
                <w:color w:val="000000"/>
              </w:rPr>
              <w:t>(12 Geo. VI No. 31)</w:t>
            </w:r>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 xml:space="preserve">Pt. II: 27 May 1949 (see s. 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Apr 1950 in Volume 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 xml:space="preserve">40 of 1951 </w:t>
            </w:r>
            <w:r>
              <w:rPr>
                <w:color w:val="000000"/>
              </w:rPr>
              <w:t>(15 and 16 Geo. VI No. 40)</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23 Aug 1954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 xml:space="preserve">36 of 1954 </w:t>
            </w:r>
            <w:r>
              <w:rPr>
                <w:color w:val="000000"/>
              </w:rPr>
              <w:t>(3 Eliz. II No. 36)</w:t>
            </w:r>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keepNext/>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12 Jun 1957 in Volume 11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 xml:space="preserve">77 of 1957 </w:t>
            </w:r>
            <w:r>
              <w:rPr>
                <w:color w:val="000000"/>
              </w:rPr>
              <w:t>(6 Eliz. II No. 77)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r>
              <w:rPr>
                <w:color w:val="000000"/>
              </w:rPr>
              <w:t xml:space="preserve"> (8 Eliz. II No. 18)</w:t>
            </w:r>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r>
              <w:rPr>
                <w:color w:val="000000"/>
              </w:rPr>
              <w:t xml:space="preserve"> (8 Eliz. II No. 25)</w:t>
            </w:r>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r>
              <w:rPr>
                <w:color w:val="000000"/>
              </w:rPr>
              <w:t xml:space="preserve"> (9 Eliz. II No. 31)</w:t>
            </w:r>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 Mar 1961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 xml:space="preserve">70 of 1961 </w:t>
            </w:r>
            <w:r>
              <w:rPr>
                <w:color w:val="000000"/>
              </w:rPr>
              <w:t>(10 Eliz. II No. 70)</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 xml:space="preserve">57 of 1962 </w:t>
            </w:r>
            <w:r>
              <w:rPr>
                <w:color w:val="000000"/>
              </w:rPr>
              <w:t>(11 Eliz. II No. 57)</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 xml:space="preserve">72 of 1962 </w:t>
            </w:r>
            <w:r>
              <w:rPr>
                <w:color w:val="000000"/>
              </w:rPr>
              <w:t>(11 Eliz. II No. 72)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 xml:space="preserve">71 of 1963 </w:t>
            </w:r>
            <w:r>
              <w:rPr>
                <w:color w:val="000000"/>
              </w:rPr>
              <w:t>(12 Eliz. II No. 71)</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 xml:space="preserve">65 of 1964 </w:t>
            </w:r>
            <w:r>
              <w:rPr>
                <w:color w:val="000000"/>
              </w:rPr>
              <w:t>(13 Eliz. II No. 65)</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s. 1, 2, 6</w:t>
            </w:r>
            <w:r>
              <w:rPr>
                <w:sz w:val="19"/>
              </w:rPr>
              <w:noBreakHyphen/>
              <w:t>9, 19, 21: 1 Jul 1967 (see s. </w:t>
            </w:r>
            <w:r>
              <w:rPr>
                <w:rFonts w:ascii="Times" w:hAnsi="Times"/>
                <w:sz w:val="19"/>
              </w:rPr>
              <w:t xml:space="preserve">2 and </w:t>
            </w:r>
            <w:r>
              <w:rPr>
                <w:rFonts w:ascii="Times" w:hAnsi="Times"/>
                <w:i/>
                <w:sz w:val="19"/>
              </w:rPr>
              <w:t>Gazette</w:t>
            </w:r>
            <w:r>
              <w:rPr>
                <w:rFonts w:ascii="Times" w:hAnsi="Times"/>
                <w:sz w:val="19"/>
              </w:rPr>
              <w:t xml:space="preserve"> 5 May 1967 p. 1119);</w:t>
            </w:r>
            <w:r>
              <w:rPr>
                <w:rFonts w:ascii="Times" w:hAnsi="Times"/>
                <w:sz w:val="19"/>
              </w:rPr>
              <w:br/>
            </w:r>
            <w:r>
              <w:rPr>
                <w:rFonts w:ascii="Times" w:hAnsi="Times"/>
                <w:color w:val="000000"/>
                <w:sz w:val="19"/>
              </w:rPr>
              <w:t xml:space="preserve"> s. 3-5, 10-18 and 20:</w:t>
            </w:r>
            <w:r>
              <w:rPr>
                <w:rFonts w:ascii="Times" w:hAnsi="Times"/>
                <w:sz w:val="19"/>
              </w:rPr>
              <w:t xml:space="preserve"> 4 Dec 1967 (see s. 2 and </w:t>
            </w:r>
            <w:r>
              <w:rPr>
                <w:rFonts w:ascii="Times" w:hAnsi="Times"/>
                <w:i/>
                <w:sz w:val="19"/>
              </w:rPr>
              <w:t>Gazette</w:t>
            </w:r>
            <w:r>
              <w:rPr>
                <w:rFonts w:ascii="Times" w:hAnsi="Times"/>
                <w:sz w:val="19"/>
              </w:rPr>
              <w:t xml:space="preserve"> 24 Nov 1967 p. 3195)</w:t>
            </w:r>
          </w:p>
        </w:tc>
      </w:tr>
      <w:tr>
        <w:trPr>
          <w:cantSplit/>
        </w:trPr>
        <w:tc>
          <w:tcPr>
            <w:tcW w:w="2268" w:type="dxa"/>
          </w:tcPr>
          <w:p>
            <w:pPr>
              <w:pStyle w:val="nTable"/>
              <w:keepNext/>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 xml:space="preserve">4 Dec 1967 (see s. 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14 Feb 1968 in Volume 21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May 1974</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authorised 12 Jan 1981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 xml:space="preserve">25 Feb 1983 (see s. 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 </w:t>
            </w:r>
            <w:r>
              <w:rPr>
                <w:b/>
                <w:sz w:val="19"/>
              </w:rPr>
              <w:t>as at 11 Mar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w:t>
            </w:r>
            <w:r>
              <w:rPr>
                <w:i/>
                <w:sz w:val="19"/>
              </w:rPr>
              <w:t xml:space="preserve"> </w:t>
            </w:r>
            <w:r>
              <w:rPr>
                <w:b/>
                <w:sz w:val="19"/>
              </w:rPr>
              <w:t>as at 20 Nov 1998</w:t>
            </w:r>
            <w:r>
              <w:rPr>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Reprint 11: The</w:t>
            </w:r>
            <w:r>
              <w:rPr>
                <w:b/>
                <w:i/>
                <w:sz w:val="19"/>
              </w:rPr>
              <w:t xml:space="preserve"> Motor Vehicle (Third Party Insurance) Act 1943</w:t>
            </w:r>
            <w:r>
              <w:rPr>
                <w:b/>
                <w:sz w:val="19"/>
              </w:rPr>
              <w:t xml:space="preserve"> as at 2 Dec 2005</w:t>
            </w:r>
            <w:r>
              <w:rPr>
                <w:sz w:val="19"/>
              </w:rPr>
              <w:t xml:space="preserve"> (includes amendments listed above)</w:t>
            </w:r>
          </w:p>
        </w:tc>
      </w:tr>
      <w:tr>
        <w:trPr>
          <w:cantSplit/>
        </w:trPr>
        <w:tc>
          <w:tcPr>
            <w:tcW w:w="2268" w:type="dxa"/>
          </w:tcPr>
          <w:p>
            <w:pPr>
              <w:pStyle w:val="nTable"/>
              <w:spacing w:after="40"/>
              <w:rPr>
                <w:snapToGrid w:val="0"/>
                <w:sz w:val="19"/>
              </w:rPr>
            </w:pPr>
            <w:r>
              <w:rPr>
                <w:i/>
                <w:snapToGrid w:val="0"/>
                <w:sz w:val="19"/>
              </w:rPr>
              <w:t>Motor Vehicle (Third Party Insurance) Amendment Act 2006</w:t>
            </w:r>
            <w:r>
              <w:rPr>
                <w:snapToGrid w:val="0"/>
                <w:sz w:val="19"/>
              </w:rPr>
              <w:t xml:space="preserve"> </w:t>
            </w:r>
          </w:p>
        </w:tc>
        <w:tc>
          <w:tcPr>
            <w:tcW w:w="1134" w:type="dxa"/>
          </w:tcPr>
          <w:p>
            <w:pPr>
              <w:pStyle w:val="nTable"/>
              <w:spacing w:after="40"/>
              <w:rPr>
                <w:snapToGrid w:val="0"/>
                <w:sz w:val="19"/>
              </w:rPr>
            </w:pPr>
            <w:r>
              <w:rPr>
                <w:snapToGrid w:val="0"/>
                <w:sz w:val="19"/>
              </w:rPr>
              <w:t>15 of 2006</w:t>
            </w:r>
          </w:p>
        </w:tc>
        <w:tc>
          <w:tcPr>
            <w:tcW w:w="1134" w:type="dxa"/>
          </w:tcPr>
          <w:p>
            <w:pPr>
              <w:pStyle w:val="nTable"/>
              <w:spacing w:after="40"/>
              <w:rPr>
                <w:sz w:val="19"/>
              </w:rPr>
            </w:pPr>
            <w:r>
              <w:rPr>
                <w:sz w:val="19"/>
              </w:rPr>
              <w:t>17 May 2006</w:t>
            </w:r>
          </w:p>
        </w:tc>
        <w:tc>
          <w:tcPr>
            <w:tcW w:w="2551" w:type="dxa"/>
          </w:tcPr>
          <w:p>
            <w:pPr>
              <w:pStyle w:val="nTable"/>
              <w:spacing w:after="40"/>
              <w:rPr>
                <w:sz w:val="19"/>
              </w:rPr>
            </w:pPr>
            <w:r>
              <w:rPr>
                <w:sz w:val="19"/>
              </w:rPr>
              <w:t>Act other than s. 5: 17 May 2006 (see s. 2(1));</w:t>
            </w:r>
            <w:r>
              <w:rPr>
                <w:sz w:val="19"/>
              </w:rPr>
              <w:br/>
              <w:t xml:space="preserve">s. 5: 1 Jul 2006 (see s. 2(2) and </w:t>
            </w:r>
            <w:r>
              <w:rPr>
                <w:i/>
                <w:sz w:val="19"/>
              </w:rPr>
              <w:t xml:space="preserve">Gazette </w:t>
            </w:r>
            <w:r>
              <w:rPr>
                <w:sz w:val="19"/>
              </w:rPr>
              <w:t>16 Jun 2006 p. 2109)</w:t>
            </w:r>
          </w:p>
        </w:tc>
      </w:tr>
      <w:tr>
        <w:trPr>
          <w:cantSplit/>
        </w:trPr>
        <w:tc>
          <w:tcPr>
            <w:tcW w:w="2268" w:type="dxa"/>
          </w:tcPr>
          <w:p>
            <w:pPr>
              <w:pStyle w:val="nTable"/>
              <w:spacing w:after="40"/>
              <w:rPr>
                <w:i/>
                <w:snapToGrid w:val="0"/>
                <w:spacing w:val="6"/>
                <w:sz w:val="19"/>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z w:val="19"/>
              </w:rPr>
              <w:t>Duties Legislation Amendment Act 2008</w:t>
            </w:r>
            <w:r>
              <w:rPr>
                <w:iCs/>
                <w:sz w:val="19"/>
              </w:rPr>
              <w:t xml:space="preserve"> Sch. 1 cl. 23</w:t>
            </w:r>
          </w:p>
        </w:tc>
        <w:tc>
          <w:tcPr>
            <w:tcW w:w="1134" w:type="dxa"/>
          </w:tcPr>
          <w:p>
            <w:pPr>
              <w:pStyle w:val="nTable"/>
              <w:spacing w:after="40"/>
              <w:rPr>
                <w:snapToGrid w:val="0"/>
                <w:sz w:val="19"/>
                <w:lang w:val="en-US"/>
              </w:rPr>
            </w:pPr>
            <w:r>
              <w:rPr>
                <w:sz w:val="19"/>
              </w:rPr>
              <w:t>12 of 2008</w:t>
            </w:r>
          </w:p>
        </w:tc>
        <w:tc>
          <w:tcPr>
            <w:tcW w:w="1134" w:type="dxa"/>
          </w:tcPr>
          <w:p>
            <w:pPr>
              <w:pStyle w:val="nTable"/>
              <w:spacing w:after="40"/>
              <w:rPr>
                <w:snapToGrid w:val="0"/>
                <w:sz w:val="19"/>
                <w:lang w:val="en-US"/>
              </w:rPr>
            </w:pPr>
            <w:r>
              <w:rPr>
                <w:sz w:val="19"/>
              </w:rPr>
              <w:t>14 Apr 2008</w:t>
            </w:r>
          </w:p>
        </w:tc>
        <w:tc>
          <w:tcPr>
            <w:tcW w:w="2551" w:type="dxa"/>
          </w:tcPr>
          <w:p>
            <w:pPr>
              <w:pStyle w:val="nTable"/>
              <w:spacing w:after="40"/>
              <w:rPr>
                <w:snapToGrid w:val="0"/>
                <w:sz w:val="19"/>
                <w:lang w:val="en-US"/>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snapToGrid w:val="0"/>
                <w:sz w:val="19"/>
                <w:lang w:val="en-US"/>
              </w:rPr>
              <w:t xml:space="preserve"> s. 682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4"/>
            <w:tcBorders>
              <w:bottom w:val="single" w:sz="8" w:space="0" w:color="auto"/>
            </w:tcBorders>
          </w:tcPr>
          <w:p>
            <w:pPr>
              <w:pStyle w:val="nTable"/>
              <w:spacing w:after="40"/>
              <w:rPr>
                <w:snapToGrid w:val="0"/>
                <w:spacing w:val="-2"/>
                <w:sz w:val="19"/>
                <w:lang w:val="en-US"/>
              </w:rPr>
            </w:pPr>
            <w:r>
              <w:rPr>
                <w:b/>
                <w:sz w:val="19"/>
              </w:rPr>
              <w:t>Reprint 12: The</w:t>
            </w:r>
            <w:r>
              <w:rPr>
                <w:b/>
                <w:i/>
                <w:sz w:val="19"/>
              </w:rPr>
              <w:t xml:space="preserve"> Motor Vehicle (Third Party Insurance) Act 1943</w:t>
            </w:r>
            <w:r>
              <w:rPr>
                <w:b/>
                <w:sz w:val="19"/>
              </w:rPr>
              <w:t xml:space="preserve"> as at 24 Apr 2009</w:t>
            </w:r>
            <w:r>
              <w:rPr>
                <w:sz w:val="19"/>
              </w:rPr>
              <w:t xml:space="preserve"> (includes amendments listed above)</w:t>
            </w:r>
          </w:p>
        </w:tc>
      </w:tr>
    </w:tbl>
    <w:p>
      <w:pPr>
        <w:pStyle w:val="nSubsection"/>
        <w:keepNext/>
        <w:spacing w:before="120"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rPr>
          <w:cantSplit/>
        </w:trP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r>
        <w:tc>
          <w:tcPr>
            <w:tcW w:w="1440" w:type="dxa"/>
          </w:tcPr>
          <w:p>
            <w:pPr>
              <w:pStyle w:val="nSubsection"/>
              <w:ind w:left="0" w:firstLine="0"/>
              <w:rPr>
                <w:snapToGrid w:val="0"/>
                <w:sz w:val="18"/>
              </w:rPr>
            </w:pPr>
            <w:r>
              <w:rPr>
                <w:snapToGrid w:val="0"/>
                <w:sz w:val="18"/>
              </w:rPr>
              <w:t>1 July 2006</w:t>
            </w:r>
          </w:p>
        </w:tc>
        <w:tc>
          <w:tcPr>
            <w:tcW w:w="1080" w:type="dxa"/>
          </w:tcPr>
          <w:p>
            <w:pPr>
              <w:pStyle w:val="nSubsection"/>
              <w:keepNext/>
              <w:keepLines/>
              <w:ind w:left="0" w:firstLine="0"/>
              <w:rPr>
                <w:snapToGrid w:val="0"/>
                <w:sz w:val="18"/>
              </w:rPr>
            </w:pPr>
            <w:r>
              <w:rPr>
                <w:snapToGrid w:val="0"/>
                <w:sz w:val="18"/>
              </w:rPr>
              <w:t>$279 000</w:t>
            </w:r>
          </w:p>
        </w:tc>
        <w:tc>
          <w:tcPr>
            <w:tcW w:w="1080" w:type="dxa"/>
          </w:tcPr>
          <w:p>
            <w:pPr>
              <w:pStyle w:val="nSubsection"/>
              <w:keepNext/>
              <w:keepLines/>
              <w:ind w:left="0" w:firstLine="0"/>
              <w:rPr>
                <w:snapToGrid w:val="0"/>
                <w:sz w:val="18"/>
              </w:rPr>
            </w:pPr>
            <w:r>
              <w:rPr>
                <w:snapToGrid w:val="0"/>
                <w:sz w:val="18"/>
              </w:rPr>
              <w:t>$14 000</w:t>
            </w:r>
          </w:p>
        </w:tc>
        <w:tc>
          <w:tcPr>
            <w:tcW w:w="1080" w:type="dxa"/>
          </w:tcPr>
          <w:p>
            <w:pPr>
              <w:pStyle w:val="nSubsection"/>
              <w:keepNext/>
              <w:keepLines/>
              <w:ind w:left="0" w:firstLine="0"/>
              <w:rPr>
                <w:snapToGrid w:val="0"/>
                <w:sz w:val="18"/>
              </w:rPr>
            </w:pPr>
            <w:r>
              <w:rPr>
                <w:snapToGrid w:val="0"/>
                <w:sz w:val="18"/>
              </w:rPr>
              <w:t>$42 500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28 Apr 2006 p. 1670</w:t>
            </w:r>
          </w:p>
        </w:tc>
      </w:tr>
      <w:tr>
        <w:tc>
          <w:tcPr>
            <w:tcW w:w="1440" w:type="dxa"/>
          </w:tcPr>
          <w:p>
            <w:pPr>
              <w:pStyle w:val="nSubsection"/>
              <w:ind w:left="0" w:firstLine="0"/>
              <w:rPr>
                <w:snapToGrid w:val="0"/>
                <w:sz w:val="18"/>
              </w:rPr>
            </w:pPr>
            <w:r>
              <w:rPr>
                <w:snapToGrid w:val="0"/>
                <w:sz w:val="18"/>
              </w:rPr>
              <w:t>1 July 2007</w:t>
            </w:r>
          </w:p>
        </w:tc>
        <w:tc>
          <w:tcPr>
            <w:tcW w:w="1080" w:type="dxa"/>
          </w:tcPr>
          <w:p>
            <w:pPr>
              <w:pStyle w:val="nSubsection"/>
              <w:keepNext/>
              <w:keepLines/>
              <w:ind w:left="0" w:firstLine="0"/>
              <w:rPr>
                <w:snapToGrid w:val="0"/>
                <w:sz w:val="18"/>
              </w:rPr>
            </w:pPr>
            <w:r>
              <w:rPr>
                <w:snapToGrid w:val="0"/>
                <w:sz w:val="18"/>
              </w:rPr>
              <w:t>$292 000</w:t>
            </w:r>
          </w:p>
        </w:tc>
        <w:tc>
          <w:tcPr>
            <w:tcW w:w="1080" w:type="dxa"/>
          </w:tcPr>
          <w:p>
            <w:pPr>
              <w:pStyle w:val="nSubsection"/>
              <w:keepNext/>
              <w:keepLines/>
              <w:ind w:left="0" w:firstLine="0"/>
              <w:rPr>
                <w:snapToGrid w:val="0"/>
                <w:sz w:val="18"/>
              </w:rPr>
            </w:pPr>
            <w:r>
              <w:rPr>
                <w:snapToGrid w:val="0"/>
                <w:sz w:val="18"/>
              </w:rPr>
              <w:t>$14 500</w:t>
            </w:r>
          </w:p>
        </w:tc>
        <w:tc>
          <w:tcPr>
            <w:tcW w:w="1080" w:type="dxa"/>
          </w:tcPr>
          <w:p>
            <w:pPr>
              <w:pStyle w:val="nSubsection"/>
              <w:keepNext/>
              <w:keepLines/>
              <w:ind w:left="0" w:firstLine="0"/>
              <w:rPr>
                <w:snapToGrid w:val="0"/>
                <w:sz w:val="18"/>
              </w:rPr>
            </w:pPr>
            <w:r>
              <w:rPr>
                <w:snapToGrid w:val="0"/>
                <w:sz w:val="18"/>
              </w:rPr>
              <w:t>$44 500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3 Apr 2007 p. 1512</w:t>
            </w:r>
          </w:p>
        </w:tc>
      </w:tr>
      <w:tr>
        <w:tc>
          <w:tcPr>
            <w:tcW w:w="1440" w:type="dxa"/>
          </w:tcPr>
          <w:p>
            <w:pPr>
              <w:pStyle w:val="nSubsection"/>
              <w:ind w:left="0" w:firstLine="0"/>
              <w:rPr>
                <w:snapToGrid w:val="0"/>
                <w:sz w:val="18"/>
              </w:rPr>
            </w:pPr>
            <w:r>
              <w:rPr>
                <w:snapToGrid w:val="0"/>
                <w:sz w:val="18"/>
              </w:rPr>
              <w:t>1 July 2008</w:t>
            </w:r>
          </w:p>
        </w:tc>
        <w:tc>
          <w:tcPr>
            <w:tcW w:w="1080" w:type="dxa"/>
          </w:tcPr>
          <w:p>
            <w:pPr>
              <w:pStyle w:val="nSubsection"/>
              <w:ind w:left="0" w:firstLine="0"/>
              <w:rPr>
                <w:snapToGrid w:val="0"/>
                <w:sz w:val="18"/>
              </w:rPr>
            </w:pPr>
            <w:r>
              <w:rPr>
                <w:snapToGrid w:val="0"/>
                <w:sz w:val="18"/>
              </w:rPr>
              <w:t>$309 000</w:t>
            </w:r>
          </w:p>
        </w:tc>
        <w:tc>
          <w:tcPr>
            <w:tcW w:w="1080" w:type="dxa"/>
          </w:tcPr>
          <w:p>
            <w:pPr>
              <w:pStyle w:val="nSubsection"/>
              <w:ind w:left="0" w:firstLine="0"/>
              <w:rPr>
                <w:snapToGrid w:val="0"/>
                <w:sz w:val="18"/>
              </w:rPr>
            </w:pPr>
            <w:r>
              <w:rPr>
                <w:snapToGrid w:val="0"/>
                <w:sz w:val="18"/>
              </w:rPr>
              <w:t>$15 500</w:t>
            </w:r>
          </w:p>
        </w:tc>
        <w:tc>
          <w:tcPr>
            <w:tcW w:w="1080" w:type="dxa"/>
          </w:tcPr>
          <w:p>
            <w:pPr>
              <w:pStyle w:val="nSubsection"/>
              <w:ind w:left="0" w:firstLine="0"/>
              <w:rPr>
                <w:snapToGrid w:val="0"/>
                <w:sz w:val="18"/>
              </w:rPr>
            </w:pPr>
            <w:r>
              <w:rPr>
                <w:snapToGrid w:val="0"/>
                <w:sz w:val="18"/>
              </w:rPr>
              <w:t>$47 000</w:t>
            </w:r>
          </w:p>
        </w:tc>
        <w:tc>
          <w:tcPr>
            <w:tcW w:w="1080" w:type="dxa"/>
          </w:tcPr>
          <w:p>
            <w:pPr>
              <w:pStyle w:val="nSubsection"/>
              <w:ind w:left="0" w:firstLine="0"/>
              <w:rPr>
                <w:snapToGrid w:val="0"/>
                <w:sz w:val="18"/>
              </w:rPr>
            </w:pPr>
            <w:r>
              <w:rPr>
                <w:snapToGrid w:val="0"/>
                <w:sz w:val="18"/>
              </w:rPr>
              <w:t>$5 500</w:t>
            </w:r>
          </w:p>
        </w:tc>
        <w:tc>
          <w:tcPr>
            <w:tcW w:w="1320" w:type="dxa"/>
          </w:tcPr>
          <w:p>
            <w:pPr>
              <w:pStyle w:val="nSubsection"/>
              <w:ind w:left="12" w:firstLine="0"/>
              <w:rPr>
                <w:snapToGrid w:val="0"/>
                <w:sz w:val="18"/>
              </w:rPr>
            </w:pPr>
            <w:r>
              <w:rPr>
                <w:snapToGrid w:val="0"/>
                <w:sz w:val="18"/>
              </w:rPr>
              <w:t>22 Apr 2008 p. 1546</w:t>
            </w:r>
          </w:p>
        </w:tc>
      </w:tr>
    </w:tbl>
    <w:p>
      <w:pPr>
        <w:pStyle w:val="nSubsection"/>
        <w:spacing w:before="16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2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bookmarkStart w:id="181" w:name="AutoSch"/>
      <w:bookmarkEnd w:id="181"/>
    </w:p>
    <w:p>
      <w:pPr>
        <w:rPr>
          <w:vertAlign w:val="superscript"/>
        </w:r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rPr>
          <w:vertAlign w:val="superscript"/>
        </w:rPr>
      </w:pPr>
    </w:p>
    <w:p>
      <w:pPr>
        <w:pStyle w:val="nHeading2"/>
        <w:rPr>
          <w:sz w:val="28"/>
          <w:vertAlign w:val="superscript"/>
        </w:rPr>
      </w:pPr>
      <w:bookmarkStart w:id="182" w:name="_Toc226185075"/>
      <w:bookmarkStart w:id="183" w:name="_Toc226796611"/>
      <w:bookmarkStart w:id="184" w:name="_Toc228006571"/>
      <w:bookmarkStart w:id="185" w:name="_Toc228079064"/>
      <w:r>
        <w:rPr>
          <w:sz w:val="28"/>
        </w:rPr>
        <w:t>Defined Terms</w:t>
      </w:r>
      <w:bookmarkEnd w:id="182"/>
      <w:bookmarkEnd w:id="183"/>
      <w:bookmarkEnd w:id="184"/>
      <w:bookmarkEnd w:id="185"/>
    </w:p>
    <w:p>
      <w:pPr>
        <w:ind w:left="850" w:right="850"/>
        <w:jc w:val="center"/>
        <w:rPr>
          <w:i/>
          <w:sz w:val="18"/>
          <w:vertAlign w:val="superscript"/>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6" w:name="DefinedTerms"/>
      <w:bookmarkEnd w:id="186"/>
      <w:r>
        <w:t>action or proceedings</w:t>
      </w:r>
      <w:r>
        <w:tab/>
        <w:t>16(1)</w:t>
      </w:r>
    </w:p>
    <w:p>
      <w:pPr>
        <w:pStyle w:val="DefinedTerms"/>
      </w:pPr>
      <w:r>
        <w:t>Amount A</w:t>
      </w:r>
      <w:r>
        <w:tab/>
        <w:t>3C(1)</w:t>
      </w:r>
    </w:p>
    <w:p>
      <w:pPr>
        <w:pStyle w:val="DefinedTerms"/>
      </w:pPr>
      <w:r>
        <w:t>Amount B</w:t>
      </w:r>
      <w:r>
        <w:tab/>
        <w:t>3C(1)</w:t>
      </w:r>
    </w:p>
    <w:p>
      <w:pPr>
        <w:pStyle w:val="DefinedTerms"/>
      </w:pPr>
      <w:r>
        <w:t>Amount C</w:t>
      </w:r>
      <w:r>
        <w:tab/>
        <w:t>3C(1)</w:t>
      </w:r>
    </w:p>
    <w:p>
      <w:pPr>
        <w:pStyle w:val="DefinedTerms"/>
      </w:pPr>
      <w:r>
        <w:t>Amount D</w:t>
      </w:r>
      <w:r>
        <w:tab/>
        <w:t>3D(7)</w:t>
      </w:r>
    </w:p>
    <w:p>
      <w:pPr>
        <w:pStyle w:val="DefinedTerms"/>
      </w:pPr>
      <w:r>
        <w:t>Commission</w:t>
      </w:r>
      <w:r>
        <w:tab/>
        <w:t>3(1)</w:t>
      </w:r>
    </w:p>
    <w:p>
      <w:pPr>
        <w:pStyle w:val="DefinedTerms"/>
      </w:pPr>
      <w:r>
        <w:t>contract of insurance</w:t>
      </w:r>
      <w:r>
        <w:tab/>
        <w:t>3(1)</w:t>
      </w:r>
    </w:p>
    <w:p>
      <w:pPr>
        <w:pStyle w:val="DefinedTerms"/>
      </w:pPr>
      <w:r>
        <w:t>court</w:t>
      </w:r>
      <w:r>
        <w:tab/>
        <w:t>16(1)</w:t>
      </w:r>
    </w:p>
    <w:p>
      <w:pPr>
        <w:pStyle w:val="DefinedTerms"/>
      </w:pPr>
      <w:r>
        <w:t>Director General</w:t>
      </w:r>
      <w:r>
        <w:tab/>
        <w:t>3(1)</w:t>
      </w:r>
    </w:p>
    <w:p>
      <w:pPr>
        <w:pStyle w:val="DefinedTerms"/>
      </w:pPr>
      <w:r>
        <w:t>District Court</w:t>
      </w:r>
      <w:r>
        <w:tab/>
        <w:t>3(1)</w:t>
      </w:r>
    </w:p>
    <w:p>
      <w:pPr>
        <w:pStyle w:val="DefinedTerms"/>
      </w:pPr>
      <w:r>
        <w:t>driver</w:t>
      </w:r>
      <w:r>
        <w:tab/>
        <w:t>3(1)</w:t>
      </w:r>
    </w:p>
    <w:p>
      <w:pPr>
        <w:pStyle w:val="DefinedTerms"/>
      </w:pPr>
      <w:r>
        <w:t>emergency treatment</w:t>
      </w:r>
      <w:r>
        <w:tab/>
        <w:t>12(4)</w:t>
      </w:r>
    </w:p>
    <w:p>
      <w:pPr>
        <w:pStyle w:val="DefinedTerms"/>
      </w:pPr>
      <w:r>
        <w:t>Fund</w:t>
      </w:r>
      <w:r>
        <w:tab/>
        <w:t>3(1)</w:t>
      </w:r>
    </w:p>
    <w:p>
      <w:pPr>
        <w:pStyle w:val="DefinedTerms"/>
      </w:pPr>
      <w:r>
        <w:t>insured person</w:t>
      </w:r>
      <w:r>
        <w:tab/>
        <w:t>3(1)</w:t>
      </w:r>
    </w:p>
    <w:p>
      <w:pPr>
        <w:pStyle w:val="DefinedTerms"/>
      </w:pPr>
      <w:r>
        <w:t>Minister</w:t>
      </w:r>
      <w:r>
        <w:tab/>
        <w:t>3(1)</w:t>
      </w:r>
    </w:p>
    <w:p>
      <w:pPr>
        <w:pStyle w:val="DefinedTerms"/>
      </w:pPr>
      <w:r>
        <w:t>motor vehicle</w:t>
      </w:r>
      <w:r>
        <w:tab/>
        <w:t>3(1), 4(9a)(b)</w:t>
      </w:r>
    </w:p>
    <w:p>
      <w:pPr>
        <w:pStyle w:val="DefinedTerms"/>
      </w:pPr>
      <w:r>
        <w:t>non</w:t>
      </w:r>
      <w:r>
        <w:noBreakHyphen/>
        <w:t>pecuniary loss</w:t>
      </w:r>
      <w:r>
        <w:tab/>
        <w:t>3C(1)</w:t>
      </w:r>
    </w:p>
    <w:p>
      <w:pPr>
        <w:pStyle w:val="DefinedTerms"/>
      </w:pPr>
      <w:r>
        <w:t>owner</w:t>
      </w:r>
      <w:r>
        <w:tab/>
        <w:t>3(1),  3G(3)</w:t>
      </w:r>
    </w:p>
    <w:p>
      <w:pPr>
        <w:pStyle w:val="DefinedTerms"/>
      </w:pPr>
      <w:r>
        <w:t>pending action or proceedings</w:t>
      </w:r>
      <w:r>
        <w:tab/>
        <w:t>16(1)</w:t>
      </w:r>
    </w:p>
    <w:p>
      <w:pPr>
        <w:pStyle w:val="DefinedTerms"/>
      </w:pPr>
      <w:r>
        <w:t>policy of insurance</w:t>
      </w:r>
      <w:r>
        <w:tab/>
        <w:t>3(1)</w:t>
      </w:r>
    </w:p>
    <w:p>
      <w:pPr>
        <w:pStyle w:val="DefinedTerms"/>
      </w:pPr>
      <w:r>
        <w:t>proclaimed date</w:t>
      </w:r>
      <w:r>
        <w:tab/>
        <w:t>16(1)</w:t>
      </w:r>
    </w:p>
    <w:p>
      <w:pPr>
        <w:pStyle w:val="DefinedTerms"/>
      </w:pPr>
      <w:r>
        <w:t>the claimant</w:t>
      </w:r>
      <w:r>
        <w:tab/>
        <w:t>29(2)</w:t>
      </w:r>
    </w:p>
    <w:p>
      <w:pPr>
        <w:pStyle w:val="DefinedTerms"/>
      </w:pPr>
      <w:r>
        <w:t>the recalculation date</w:t>
      </w:r>
      <w:r>
        <w:tab/>
        <w:t>3C(8), 3D(8)</w:t>
      </w:r>
    </w:p>
    <w:p>
      <w:pPr>
        <w:pStyle w:val="DefinedTerms"/>
      </w:pPr>
      <w:r>
        <w:t>the relevant quarter</w:t>
      </w:r>
      <w:r>
        <w:tab/>
        <w:t>3D(4)</w:t>
      </w:r>
    </w:p>
    <w:p>
      <w:pPr>
        <w:pStyle w:val="DefinedTerms"/>
      </w:pPr>
      <w:r>
        <w:t>the Tribunal</w:t>
      </w:r>
      <w:r>
        <w:tab/>
        <w:t>16(1)</w:t>
      </w:r>
    </w:p>
    <w:p>
      <w:pPr>
        <w:pStyle w:val="DefinedTerms"/>
      </w:pPr>
      <w:r>
        <w:t>the Act</w:t>
      </w:r>
      <w:r>
        <w:tab/>
        <w:t>Sch.</w:t>
      </w:r>
    </w:p>
    <w:p>
      <w:pPr>
        <w:pStyle w:val="DefinedTerms"/>
      </w:pPr>
      <w:r>
        <w:t>Traffic Act</w:t>
      </w:r>
      <w:r>
        <w:tab/>
        <w:t>3(1)</w:t>
      </w:r>
    </w:p>
    <w:p>
      <w:pPr>
        <w:pStyle w:val="DefinedTerms"/>
      </w:pPr>
      <w:r>
        <w:t>uninsured motor vehicle</w:t>
      </w:r>
      <w:r>
        <w:tab/>
        <w:t>3(1)</w:t>
      </w:r>
    </w:p>
    <w:p>
      <w:pPr>
        <w:pStyle w:val="DefinedTerms"/>
        <w:sectPr>
          <w:headerReference w:type="even" r:id="rId36"/>
          <w:headerReference w:type="default" r:id="rId37"/>
          <w:footerReference w:type="even" r:id="rId38"/>
          <w:headerReference w:type="first" r:id="rId39"/>
          <w:pgSz w:w="11906" w:h="16838" w:code="9"/>
          <w:pgMar w:top="2381" w:right="2409" w:bottom="3543" w:left="2409" w:header="720" w:footer="3380" w:gutter="0"/>
          <w:cols w:space="720"/>
          <w:noEndnote/>
          <w:docGrid w:linePitch="326"/>
        </w:sectPr>
      </w:pPr>
    </w:p>
    <w:p/>
    <w:p/>
    <w:p/>
    <w:p/>
    <w:p/>
    <w:p/>
    <w:sectPr>
      <w:headerReference w:type="even" r:id="rId40"/>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fldSimple w:instr=" styleref CharSchno ">
            <w:r>
              <w:rPr>
                <w:noProof/>
              </w:rPr>
              <w:t>Schedule</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Motor Vehicle (Third Party Insurance) Act 1943</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6"/>
  </w:num>
  <w:num w:numId="13">
    <w:abstractNumId w:val="19"/>
  </w:num>
  <w:num w:numId="14">
    <w:abstractNumId w:val="20"/>
  </w:num>
  <w:num w:numId="15">
    <w:abstractNumId w:val="12"/>
  </w:num>
  <w:num w:numId="16">
    <w:abstractNumId w:val="14"/>
  </w:num>
  <w:num w:numId="17">
    <w:abstractNumId w:val="13"/>
  </w:num>
  <w:num w:numId="18">
    <w:abstractNumId w:val="24"/>
  </w:num>
  <w:num w:numId="19">
    <w:abstractNumId w:val="22"/>
  </w:num>
  <w:num w:numId="20">
    <w:abstractNumId w:val="10"/>
  </w:num>
  <w:num w:numId="2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4.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17597</Words>
  <Characters>78310</Characters>
  <Application>Microsoft Office Word</Application>
  <DocSecurity>0</DocSecurity>
  <Lines>2303</Lines>
  <Paragraphs>1141</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94766</CharactersWithSpaces>
  <SharedDoc>false</SharedDoc>
  <HLinks>
    <vt:vector size="18" baseType="variant">
      <vt:variant>
        <vt:i4>65542</vt:i4>
      </vt:variant>
      <vt:variant>
        <vt:i4>4988</vt:i4>
      </vt:variant>
      <vt:variant>
        <vt:i4>1025</vt:i4>
      </vt:variant>
      <vt:variant>
        <vt:i4>1</vt:i4>
      </vt:variant>
      <vt:variant>
        <vt:lpwstr>Crest</vt:lpwstr>
      </vt:variant>
      <vt:variant>
        <vt:lpwstr/>
      </vt:variant>
      <vt:variant>
        <vt:i4>131085</vt:i4>
      </vt:variant>
      <vt:variant>
        <vt:i4>80849</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1943 - 12-a0-02</dc:title>
  <dc:subject/>
  <dc:creator/>
  <cp:keywords/>
  <dc:description/>
  <cp:lastModifiedBy>svcMRProcess</cp:lastModifiedBy>
  <cp:revision>4</cp:revision>
  <cp:lastPrinted>2009-04-22T01:43:00Z</cp:lastPrinted>
  <dcterms:created xsi:type="dcterms:W3CDTF">2020-02-18T02:13:00Z</dcterms:created>
  <dcterms:modified xsi:type="dcterms:W3CDTF">2020-02-18T02:13:00Z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20090424</vt:lpwstr>
  </property>
  <property fmtid="{D5CDD505-2E9C-101B-9397-08002B2CF9AE}" pid="4" name="DocumentType">
    <vt:lpwstr>Act</vt:lpwstr>
  </property>
  <property fmtid="{D5CDD505-2E9C-101B-9397-08002B2CF9AE}" pid="5" name="OwlsUID">
    <vt:i4>527</vt:i4>
  </property>
  <property fmtid="{D5CDD505-2E9C-101B-9397-08002B2CF9AE}" pid="6" name="AsAtDate">
    <vt:lpwstr>24 Apr 2009</vt:lpwstr>
  </property>
  <property fmtid="{D5CDD505-2E9C-101B-9397-08002B2CF9AE}" pid="7" name="Suffix">
    <vt:lpwstr>12-a0-02</vt:lpwstr>
  </property>
  <property fmtid="{D5CDD505-2E9C-101B-9397-08002B2CF9AE}" pid="8" name="ReprintNo">
    <vt:lpwstr>12</vt:lpwstr>
  </property>
</Properties>
</file>