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Occupational Safety and Health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Occupational Safety and Health Act 1984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_Toc131409846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_Toc131409847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_Toc131409848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3A.</w:t>
      </w:r>
      <w:r>
        <w:rPr>
          <w:noProof/>
          <w:sz w:val="24"/>
          <w:szCs w:val="24"/>
        </w:rPr>
        <w:tab/>
      </w:r>
      <w:r>
        <w:rPr>
          <w:noProof/>
          <w:szCs w:val="24"/>
        </w:rPr>
        <w:t>Penalty levels defined</w:t>
      </w:r>
      <w:r>
        <w:rPr>
          <w:noProof/>
        </w:rPr>
        <w:tab/>
      </w:r>
      <w:r>
        <w:rPr>
          <w:noProof/>
        </w:rPr>
        <w:fldChar w:fldCharType="begin"/>
      </w:r>
      <w:r>
        <w:rPr>
          <w:noProof/>
        </w:rPr>
        <w:instrText xml:space="preserve"> PAGEREF _Toc131409849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3B.</w:t>
      </w:r>
      <w:r>
        <w:rPr>
          <w:noProof/>
          <w:sz w:val="24"/>
          <w:szCs w:val="24"/>
        </w:rPr>
        <w:tab/>
      </w:r>
      <w:r>
        <w:rPr>
          <w:noProof/>
          <w:szCs w:val="24"/>
        </w:rPr>
        <w:t>Meaning of “</w:t>
      </w:r>
      <w:r>
        <w:rPr>
          <w:bCs/>
          <w:noProof/>
          <w:szCs w:val="24"/>
        </w:rPr>
        <w:t>first offence</w:t>
      </w:r>
      <w:r>
        <w:rPr>
          <w:noProof/>
          <w:szCs w:val="24"/>
        </w:rPr>
        <w:t>” and “subsequent offence”</w:t>
      </w:r>
      <w:r>
        <w:rPr>
          <w:noProof/>
        </w:rPr>
        <w:tab/>
      </w:r>
      <w:r>
        <w:rPr>
          <w:noProof/>
        </w:rPr>
        <w:fldChar w:fldCharType="begin"/>
      </w:r>
      <w:r>
        <w:rPr>
          <w:noProof/>
        </w:rPr>
        <w:instrText xml:space="preserve"> PAGEREF _Toc131409850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Application of this Act</w:t>
      </w:r>
      <w:r>
        <w:rPr>
          <w:noProof/>
        </w:rPr>
        <w:tab/>
      </w:r>
      <w:r>
        <w:rPr>
          <w:noProof/>
        </w:rPr>
        <w:fldChar w:fldCharType="begin"/>
      </w:r>
      <w:r>
        <w:rPr>
          <w:noProof/>
        </w:rPr>
        <w:instrText xml:space="preserve"> PAGEREF _Toc131409851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4A.</w:t>
      </w:r>
      <w:r>
        <w:rPr>
          <w:noProof/>
          <w:sz w:val="24"/>
          <w:szCs w:val="24"/>
        </w:rPr>
        <w:tab/>
      </w:r>
      <w:r>
        <w:rPr>
          <w:noProof/>
          <w:szCs w:val="24"/>
          <w:lang w:val="en-GB"/>
        </w:rPr>
        <w:t>Act does not operate to affect adversely certain police operations</w:t>
      </w:r>
      <w:r>
        <w:rPr>
          <w:noProof/>
        </w:rPr>
        <w:tab/>
      </w:r>
      <w:r>
        <w:rPr>
          <w:noProof/>
        </w:rPr>
        <w:fldChar w:fldCharType="begin"/>
      </w:r>
      <w:r>
        <w:rPr>
          <w:noProof/>
        </w:rPr>
        <w:instrText xml:space="preserve"> PAGEREF _Toc131409852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Objects</w:t>
      </w:r>
      <w:r>
        <w:rPr>
          <w:noProof/>
        </w:rPr>
        <w:tab/>
      </w:r>
      <w:r>
        <w:rPr>
          <w:noProof/>
        </w:rPr>
        <w:fldChar w:fldCharType="begin"/>
      </w:r>
      <w:r>
        <w:rPr>
          <w:noProof/>
        </w:rPr>
        <w:instrText xml:space="preserve"> PAGEREF _Toc131409853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30"/>
        </w:rPr>
        <w:t>Part II — Commission for Occupational Safety and Health</w:t>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The Commission</w:t>
      </w:r>
      <w:r>
        <w:rPr>
          <w:noProof/>
        </w:rPr>
        <w:tab/>
      </w:r>
      <w:r>
        <w:rPr>
          <w:noProof/>
        </w:rPr>
        <w:fldChar w:fldCharType="begin"/>
      </w:r>
      <w:r>
        <w:rPr>
          <w:noProof/>
        </w:rPr>
        <w:instrText xml:space="preserve"> PAGEREF _Toc131409855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6A</w:t>
      </w:r>
      <w:r>
        <w:rPr>
          <w:noProof/>
          <w:snapToGrid w:val="0"/>
          <w:szCs w:val="24"/>
        </w:rPr>
        <w:t xml:space="preserve">. </w:t>
      </w:r>
      <w:r>
        <w:rPr>
          <w:noProof/>
          <w:sz w:val="24"/>
          <w:szCs w:val="24"/>
        </w:rPr>
        <w:tab/>
      </w:r>
      <w:r>
        <w:rPr>
          <w:noProof/>
          <w:snapToGrid w:val="0"/>
          <w:szCs w:val="24"/>
        </w:rPr>
        <w:t>Deputy chairperson</w:t>
      </w:r>
      <w:r>
        <w:rPr>
          <w:noProof/>
        </w:rPr>
        <w:tab/>
      </w:r>
      <w:r>
        <w:rPr>
          <w:noProof/>
        </w:rPr>
        <w:fldChar w:fldCharType="begin"/>
      </w:r>
      <w:r>
        <w:rPr>
          <w:noProof/>
        </w:rPr>
        <w:instrText xml:space="preserve"> PAGEREF _Toc131409856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Acting members</w:t>
      </w:r>
      <w:r>
        <w:rPr>
          <w:noProof/>
        </w:rPr>
        <w:tab/>
      </w:r>
      <w:r>
        <w:rPr>
          <w:noProof/>
        </w:rPr>
        <w:fldChar w:fldCharType="begin"/>
      </w:r>
      <w:r>
        <w:rPr>
          <w:noProof/>
        </w:rPr>
        <w:instrText xml:space="preserve"> PAGEREF _Toc131409857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Terms and conditions of appointed members</w:t>
      </w:r>
      <w:r>
        <w:rPr>
          <w:noProof/>
        </w:rPr>
        <w:tab/>
      </w:r>
      <w:r>
        <w:rPr>
          <w:noProof/>
        </w:rPr>
        <w:fldChar w:fldCharType="begin"/>
      </w:r>
      <w:r>
        <w:rPr>
          <w:noProof/>
        </w:rPr>
        <w:instrText xml:space="preserve"> PAGEREF _Toc131409858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WorkSafe Western Australia Commissioner</w:t>
      </w:r>
      <w:r>
        <w:rPr>
          <w:noProof/>
        </w:rPr>
        <w:tab/>
      </w:r>
      <w:r>
        <w:rPr>
          <w:noProof/>
        </w:rPr>
        <w:fldChar w:fldCharType="begin"/>
      </w:r>
      <w:r>
        <w:rPr>
          <w:noProof/>
        </w:rPr>
        <w:instrText xml:space="preserve"> PAGEREF _Toc131409859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Vacation of office</w:t>
      </w:r>
      <w:r>
        <w:rPr>
          <w:noProof/>
        </w:rPr>
        <w:tab/>
      </w:r>
      <w:r>
        <w:rPr>
          <w:noProof/>
        </w:rPr>
        <w:fldChar w:fldCharType="begin"/>
      </w:r>
      <w:r>
        <w:rPr>
          <w:noProof/>
        </w:rPr>
        <w:instrText xml:space="preserve"> PAGEREF _Toc131409860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Leave of absence</w:t>
      </w:r>
      <w:r>
        <w:rPr>
          <w:noProof/>
        </w:rPr>
        <w:tab/>
      </w:r>
      <w:r>
        <w:rPr>
          <w:noProof/>
        </w:rPr>
        <w:fldChar w:fldCharType="begin"/>
      </w:r>
      <w:r>
        <w:rPr>
          <w:noProof/>
        </w:rPr>
        <w:instrText xml:space="preserve"> PAGEREF _Toc131409861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Casual vacancies</w:t>
      </w:r>
      <w:r>
        <w:rPr>
          <w:noProof/>
        </w:rPr>
        <w:tab/>
      </w:r>
      <w:r>
        <w:rPr>
          <w:noProof/>
        </w:rPr>
        <w:fldChar w:fldCharType="begin"/>
      </w:r>
      <w:r>
        <w:rPr>
          <w:noProof/>
        </w:rPr>
        <w:instrText xml:space="preserve"> PAGEREF _Toc131409862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Meetings of the Commission</w:t>
      </w:r>
      <w:r>
        <w:rPr>
          <w:noProof/>
        </w:rPr>
        <w:tab/>
      </w:r>
      <w:r>
        <w:rPr>
          <w:noProof/>
        </w:rPr>
        <w:fldChar w:fldCharType="begin"/>
      </w:r>
      <w:r>
        <w:rPr>
          <w:noProof/>
        </w:rPr>
        <w:instrText xml:space="preserve"> PAGEREF _Toc131409863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Functions of the Commission</w:t>
      </w:r>
      <w:r>
        <w:rPr>
          <w:noProof/>
        </w:rPr>
        <w:tab/>
      </w:r>
      <w:r>
        <w:rPr>
          <w:noProof/>
        </w:rPr>
        <w:fldChar w:fldCharType="begin"/>
      </w:r>
      <w:r>
        <w:rPr>
          <w:noProof/>
        </w:rPr>
        <w:instrText xml:space="preserve"> PAGEREF _Toc131409864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14A.</w:t>
      </w:r>
      <w:r>
        <w:rPr>
          <w:noProof/>
          <w:sz w:val="24"/>
          <w:szCs w:val="24"/>
        </w:rPr>
        <w:tab/>
      </w:r>
      <w:r>
        <w:rPr>
          <w:noProof/>
          <w:szCs w:val="24"/>
        </w:rPr>
        <w:t>Mining Industry Advisory Committee</w:t>
      </w:r>
      <w:r>
        <w:rPr>
          <w:noProof/>
        </w:rPr>
        <w:tab/>
      </w:r>
      <w:r>
        <w:rPr>
          <w:noProof/>
        </w:rPr>
        <w:fldChar w:fldCharType="begin"/>
      </w:r>
      <w:r>
        <w:rPr>
          <w:noProof/>
        </w:rPr>
        <w:instrText xml:space="preserve"> PAGEREF _Toc131409865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Advisory committees</w:t>
      </w:r>
      <w:r>
        <w:rPr>
          <w:noProof/>
        </w:rPr>
        <w:tab/>
      </w:r>
      <w:r>
        <w:rPr>
          <w:noProof/>
        </w:rPr>
        <w:fldChar w:fldCharType="begin"/>
      </w:r>
      <w:r>
        <w:rPr>
          <w:noProof/>
        </w:rPr>
        <w:instrText xml:space="preserve"> PAGEREF _Toc131409866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Annual report</w:t>
      </w:r>
      <w:r>
        <w:rPr>
          <w:noProof/>
        </w:rPr>
        <w:tab/>
      </w:r>
      <w:r>
        <w:rPr>
          <w:noProof/>
        </w:rPr>
        <w:fldChar w:fldCharType="begin"/>
      </w:r>
      <w:r>
        <w:rPr>
          <w:noProof/>
        </w:rPr>
        <w:instrText xml:space="preserve"> PAGEREF _Toc131409867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Staff to assist the Commission</w:t>
      </w:r>
      <w:r>
        <w:rPr>
          <w:noProof/>
        </w:rPr>
        <w:tab/>
      </w:r>
      <w:r>
        <w:rPr>
          <w:noProof/>
        </w:rPr>
        <w:fldChar w:fldCharType="begin"/>
      </w:r>
      <w:r>
        <w:rPr>
          <w:noProof/>
        </w:rPr>
        <w:instrText xml:space="preserve"> PAGEREF _Toc131409868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The Commissioner and the department</w:t>
      </w:r>
      <w:r>
        <w:rPr>
          <w:noProof/>
        </w:rPr>
        <w:tab/>
      </w:r>
      <w:r>
        <w:rPr>
          <w:noProof/>
        </w:rPr>
        <w:fldChar w:fldCharType="begin"/>
      </w:r>
      <w:r>
        <w:rPr>
          <w:noProof/>
        </w:rPr>
        <w:instrText xml:space="preserve"> PAGEREF _Toc131409869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szCs w:val="24"/>
        </w:rPr>
      </w:pPr>
      <w:r>
        <w:rPr>
          <w:noProof/>
          <w:szCs w:val="30"/>
        </w:rPr>
        <w:t>Part III</w:t>
      </w:r>
      <w:r>
        <w:rPr>
          <w:noProof/>
          <w:sz w:val="26"/>
          <w:szCs w:val="30"/>
        </w:rPr>
        <w:t> </w:t>
      </w:r>
      <w:r>
        <w:rPr>
          <w:noProof/>
          <w:szCs w:val="30"/>
        </w:rPr>
        <w:t>—</w:t>
      </w:r>
      <w:r>
        <w:rPr>
          <w:noProof/>
          <w:sz w:val="26"/>
          <w:szCs w:val="30"/>
        </w:rPr>
        <w:t> </w:t>
      </w:r>
      <w:r>
        <w:rPr>
          <w:noProof/>
          <w:szCs w:val="30"/>
        </w:rPr>
        <w:t>General provisions relating to occupational safety and health</w:t>
      </w:r>
    </w:p>
    <w:p>
      <w:pPr>
        <w:pStyle w:val="TOC3"/>
        <w:rPr>
          <w:b w:val="0"/>
          <w:noProof/>
          <w:sz w:val="24"/>
          <w:szCs w:val="24"/>
        </w:rPr>
      </w:pPr>
      <w:r>
        <w:rPr>
          <w:noProof/>
          <w:szCs w:val="26"/>
        </w:rPr>
        <w:t>Division 1 — Preliminary</w:t>
      </w:r>
    </w:p>
    <w:p>
      <w:pPr>
        <w:pStyle w:val="TOC4"/>
        <w:tabs>
          <w:tab w:val="left" w:pos="1701"/>
        </w:tabs>
        <w:rPr>
          <w:noProof/>
          <w:sz w:val="24"/>
          <w:szCs w:val="24"/>
        </w:rPr>
      </w:pPr>
      <w:r>
        <w:rPr>
          <w:noProof/>
          <w:szCs w:val="24"/>
        </w:rPr>
        <w:t>18A.</w:t>
      </w:r>
      <w:r>
        <w:rPr>
          <w:noProof/>
          <w:sz w:val="24"/>
          <w:szCs w:val="24"/>
        </w:rPr>
        <w:tab/>
      </w:r>
      <w:r>
        <w:rPr>
          <w:noProof/>
          <w:szCs w:val="24"/>
        </w:rPr>
        <w:t>Meaning of gross negligence in relation to certain breaches of this Part</w:t>
      </w:r>
      <w:r>
        <w:rPr>
          <w:noProof/>
        </w:rPr>
        <w:tab/>
      </w:r>
      <w:r>
        <w:rPr>
          <w:noProof/>
        </w:rPr>
        <w:fldChar w:fldCharType="begin"/>
      </w:r>
      <w:r>
        <w:rPr>
          <w:noProof/>
        </w:rPr>
        <w:instrText xml:space="preserve"> PAGEREF _Toc131409872 \h </w:instrText>
      </w:r>
      <w:r>
        <w:rPr>
          <w:noProof/>
        </w:rPr>
      </w:r>
      <w:r>
        <w:rPr>
          <w:noProof/>
        </w:rPr>
        <w:fldChar w:fldCharType="separate"/>
      </w:r>
      <w:r>
        <w:rPr>
          <w:noProof/>
        </w:rPr>
        <w:t>26</w:t>
      </w:r>
      <w:r>
        <w:rPr>
          <w:noProof/>
        </w:rPr>
        <w:fldChar w:fldCharType="end"/>
      </w:r>
    </w:p>
    <w:p>
      <w:pPr>
        <w:pStyle w:val="TOC3"/>
        <w:rPr>
          <w:b w:val="0"/>
          <w:noProof/>
          <w:sz w:val="24"/>
          <w:szCs w:val="24"/>
        </w:rPr>
      </w:pPr>
      <w:r>
        <w:rPr>
          <w:noProof/>
          <w:szCs w:val="26"/>
        </w:rPr>
        <w:t>Division 2 — General workplace duties</w:t>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Duties of employers</w:t>
      </w:r>
      <w:r>
        <w:rPr>
          <w:noProof/>
        </w:rPr>
        <w:tab/>
      </w:r>
      <w:r>
        <w:rPr>
          <w:noProof/>
        </w:rPr>
        <w:fldChar w:fldCharType="begin"/>
      </w:r>
      <w:r>
        <w:rPr>
          <w:noProof/>
        </w:rPr>
        <w:instrText xml:space="preserve"> PAGEREF _Toc131409874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19A.</w:t>
      </w:r>
      <w:r>
        <w:rPr>
          <w:noProof/>
          <w:sz w:val="24"/>
          <w:szCs w:val="24"/>
        </w:rPr>
        <w:tab/>
      </w:r>
      <w:r>
        <w:rPr>
          <w:noProof/>
          <w:szCs w:val="24"/>
        </w:rPr>
        <w:t>Breaches of section 19(1)</w:t>
      </w:r>
      <w:r>
        <w:rPr>
          <w:noProof/>
        </w:rPr>
        <w:tab/>
      </w:r>
      <w:r>
        <w:rPr>
          <w:noProof/>
        </w:rPr>
        <w:fldChar w:fldCharType="begin"/>
      </w:r>
      <w:r>
        <w:rPr>
          <w:noProof/>
        </w:rPr>
        <w:instrText xml:space="preserve"> PAGEREF _Toc131409875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Duties of employees</w:t>
      </w:r>
      <w:r>
        <w:rPr>
          <w:noProof/>
        </w:rPr>
        <w:tab/>
      </w:r>
      <w:r>
        <w:rPr>
          <w:noProof/>
        </w:rPr>
        <w:fldChar w:fldCharType="begin"/>
      </w:r>
      <w:r>
        <w:rPr>
          <w:noProof/>
        </w:rPr>
        <w:instrText xml:space="preserve"> PAGEREF _Toc131409876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20A.</w:t>
      </w:r>
      <w:r>
        <w:rPr>
          <w:noProof/>
          <w:sz w:val="24"/>
          <w:szCs w:val="24"/>
        </w:rPr>
        <w:tab/>
      </w:r>
      <w:r>
        <w:rPr>
          <w:noProof/>
          <w:szCs w:val="24"/>
        </w:rPr>
        <w:t>Breaches of section 20(1) or (3)</w:t>
      </w:r>
      <w:r>
        <w:rPr>
          <w:noProof/>
        </w:rPr>
        <w:tab/>
      </w:r>
      <w:r>
        <w:rPr>
          <w:noProof/>
        </w:rPr>
        <w:fldChar w:fldCharType="begin"/>
      </w:r>
      <w:r>
        <w:rPr>
          <w:noProof/>
        </w:rPr>
        <w:instrText xml:space="preserve"> PAGEREF _Toc131409877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Duties of employers and self</w:t>
      </w:r>
      <w:r>
        <w:rPr>
          <w:noProof/>
          <w:snapToGrid w:val="0"/>
          <w:szCs w:val="24"/>
        </w:rPr>
        <w:noBreakHyphen/>
        <w:t>employed persons</w:t>
      </w:r>
      <w:r>
        <w:rPr>
          <w:noProof/>
        </w:rPr>
        <w:tab/>
      </w:r>
      <w:r>
        <w:rPr>
          <w:noProof/>
        </w:rPr>
        <w:fldChar w:fldCharType="begin"/>
      </w:r>
      <w:r>
        <w:rPr>
          <w:noProof/>
        </w:rPr>
        <w:instrText xml:space="preserve"> PAGEREF _Toc131409878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21A.</w:t>
      </w:r>
      <w:r>
        <w:rPr>
          <w:noProof/>
          <w:sz w:val="24"/>
          <w:szCs w:val="24"/>
        </w:rPr>
        <w:tab/>
      </w:r>
      <w:r>
        <w:rPr>
          <w:noProof/>
          <w:szCs w:val="24"/>
        </w:rPr>
        <w:t>Breaches of section 21</w:t>
      </w:r>
      <w:r>
        <w:rPr>
          <w:noProof/>
        </w:rPr>
        <w:tab/>
      </w:r>
      <w:r>
        <w:rPr>
          <w:noProof/>
        </w:rPr>
        <w:fldChar w:fldCharType="begin"/>
      </w:r>
      <w:r>
        <w:rPr>
          <w:noProof/>
        </w:rPr>
        <w:instrText xml:space="preserve"> PAGEREF _Toc131409879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21B.</w:t>
      </w:r>
      <w:r>
        <w:rPr>
          <w:noProof/>
          <w:sz w:val="24"/>
          <w:szCs w:val="24"/>
        </w:rPr>
        <w:tab/>
      </w:r>
      <w:r>
        <w:rPr>
          <w:noProof/>
          <w:szCs w:val="24"/>
        </w:rPr>
        <w:t>Duty placed on body corporate to which section 23D, 23E or 23F applies</w:t>
      </w:r>
      <w:r>
        <w:rPr>
          <w:noProof/>
        </w:rPr>
        <w:tab/>
      </w:r>
      <w:r>
        <w:rPr>
          <w:noProof/>
        </w:rPr>
        <w:fldChar w:fldCharType="begin"/>
      </w:r>
      <w:r>
        <w:rPr>
          <w:noProof/>
        </w:rPr>
        <w:instrText xml:space="preserve"> PAGEREF _Toc131409880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21C.</w:t>
      </w:r>
      <w:r>
        <w:rPr>
          <w:noProof/>
          <w:sz w:val="24"/>
          <w:szCs w:val="24"/>
        </w:rPr>
        <w:tab/>
      </w:r>
      <w:r>
        <w:rPr>
          <w:noProof/>
          <w:szCs w:val="24"/>
        </w:rPr>
        <w:t>Breaches of section 21B</w:t>
      </w:r>
      <w:r>
        <w:rPr>
          <w:noProof/>
        </w:rPr>
        <w:tab/>
      </w:r>
      <w:r>
        <w:rPr>
          <w:noProof/>
        </w:rPr>
        <w:fldChar w:fldCharType="begin"/>
      </w:r>
      <w:r>
        <w:rPr>
          <w:noProof/>
        </w:rPr>
        <w:instrText xml:space="preserve"> PAGEREF _Toc131409881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Duties of persons who have control of workplaces</w:t>
      </w:r>
      <w:r>
        <w:rPr>
          <w:noProof/>
        </w:rPr>
        <w:tab/>
      </w:r>
      <w:r>
        <w:rPr>
          <w:noProof/>
        </w:rPr>
        <w:fldChar w:fldCharType="begin"/>
      </w:r>
      <w:r>
        <w:rPr>
          <w:noProof/>
        </w:rPr>
        <w:instrText xml:space="preserve"> PAGEREF _Toc131409882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22A.</w:t>
      </w:r>
      <w:r>
        <w:rPr>
          <w:noProof/>
          <w:sz w:val="24"/>
          <w:szCs w:val="24"/>
        </w:rPr>
        <w:tab/>
      </w:r>
      <w:r>
        <w:rPr>
          <w:noProof/>
          <w:szCs w:val="24"/>
        </w:rPr>
        <w:t>Breaches of section 22(1)</w:t>
      </w:r>
      <w:r>
        <w:rPr>
          <w:noProof/>
        </w:rPr>
        <w:tab/>
      </w:r>
      <w:r>
        <w:rPr>
          <w:noProof/>
        </w:rPr>
        <w:fldChar w:fldCharType="begin"/>
      </w:r>
      <w:r>
        <w:rPr>
          <w:noProof/>
        </w:rPr>
        <w:instrText xml:space="preserve"> PAGEREF _Toc131409883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Duties of manufacturers, etc.</w:t>
      </w:r>
      <w:r>
        <w:rPr>
          <w:noProof/>
        </w:rPr>
        <w:tab/>
      </w:r>
      <w:r>
        <w:rPr>
          <w:noProof/>
        </w:rPr>
        <w:fldChar w:fldCharType="begin"/>
      </w:r>
      <w:r>
        <w:rPr>
          <w:noProof/>
        </w:rPr>
        <w:instrText xml:space="preserve"> PAGEREF _Toc131409884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23AA.</w:t>
      </w:r>
      <w:r>
        <w:rPr>
          <w:noProof/>
          <w:sz w:val="24"/>
          <w:szCs w:val="24"/>
        </w:rPr>
        <w:tab/>
      </w:r>
      <w:r>
        <w:rPr>
          <w:noProof/>
          <w:szCs w:val="24"/>
        </w:rPr>
        <w:t>Breaches of section 23</w:t>
      </w:r>
      <w:r>
        <w:rPr>
          <w:noProof/>
        </w:rPr>
        <w:tab/>
      </w:r>
      <w:r>
        <w:rPr>
          <w:noProof/>
        </w:rPr>
        <w:fldChar w:fldCharType="begin"/>
      </w:r>
      <w:r>
        <w:rPr>
          <w:noProof/>
        </w:rPr>
        <w:instrText xml:space="preserve"> PAGEREF _Toc131409885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23A</w:t>
      </w:r>
      <w:r>
        <w:rPr>
          <w:noProof/>
          <w:snapToGrid w:val="0"/>
          <w:szCs w:val="24"/>
        </w:rPr>
        <w:t xml:space="preserve">. </w:t>
      </w:r>
      <w:r>
        <w:rPr>
          <w:noProof/>
          <w:sz w:val="24"/>
          <w:szCs w:val="24"/>
        </w:rPr>
        <w:tab/>
      </w:r>
      <w:r>
        <w:rPr>
          <w:noProof/>
          <w:snapToGrid w:val="0"/>
          <w:szCs w:val="24"/>
        </w:rPr>
        <w:t>Prohibited activities in prescribed areas</w:t>
      </w:r>
      <w:r>
        <w:rPr>
          <w:noProof/>
        </w:rPr>
        <w:tab/>
      </w:r>
      <w:r>
        <w:rPr>
          <w:noProof/>
        </w:rPr>
        <w:fldChar w:fldCharType="begin"/>
      </w:r>
      <w:r>
        <w:rPr>
          <w:noProof/>
        </w:rPr>
        <w:instrText xml:space="preserve"> PAGEREF _Toc131409886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23B.</w:t>
      </w:r>
      <w:r>
        <w:rPr>
          <w:noProof/>
          <w:sz w:val="24"/>
          <w:szCs w:val="24"/>
        </w:rPr>
        <w:tab/>
      </w:r>
      <w:r>
        <w:rPr>
          <w:noProof/>
          <w:szCs w:val="24"/>
        </w:rPr>
        <w:t>Breaches of section 23A</w:t>
      </w:r>
      <w:r>
        <w:rPr>
          <w:noProof/>
        </w:rPr>
        <w:tab/>
      </w:r>
      <w:r>
        <w:rPr>
          <w:noProof/>
        </w:rPr>
        <w:fldChar w:fldCharType="begin"/>
      </w:r>
      <w:r>
        <w:rPr>
          <w:noProof/>
        </w:rPr>
        <w:instrText xml:space="preserve"> PAGEREF _Toc131409887 \h </w:instrText>
      </w:r>
      <w:r>
        <w:rPr>
          <w:noProof/>
        </w:rPr>
      </w:r>
      <w:r>
        <w:rPr>
          <w:noProof/>
        </w:rPr>
        <w:fldChar w:fldCharType="separate"/>
      </w:r>
      <w:r>
        <w:rPr>
          <w:noProof/>
        </w:rPr>
        <w:t>38</w:t>
      </w:r>
      <w:r>
        <w:rPr>
          <w:noProof/>
        </w:rPr>
        <w:fldChar w:fldCharType="end"/>
      </w:r>
    </w:p>
    <w:p>
      <w:pPr>
        <w:pStyle w:val="TOC3"/>
        <w:rPr>
          <w:b w:val="0"/>
          <w:noProof/>
          <w:sz w:val="24"/>
          <w:szCs w:val="24"/>
        </w:rPr>
      </w:pPr>
      <w:r>
        <w:rPr>
          <w:noProof/>
          <w:szCs w:val="26"/>
        </w:rPr>
        <w:t>Division 3 — Certain workplace situations to be treated as employment</w:t>
      </w:r>
    </w:p>
    <w:p>
      <w:pPr>
        <w:pStyle w:val="TOC4"/>
        <w:tabs>
          <w:tab w:val="left" w:pos="1701"/>
        </w:tabs>
        <w:rPr>
          <w:noProof/>
          <w:sz w:val="24"/>
          <w:szCs w:val="24"/>
        </w:rPr>
      </w:pPr>
      <w:r>
        <w:rPr>
          <w:noProof/>
          <w:szCs w:val="24"/>
        </w:rPr>
        <w:t>23C.</w:t>
      </w:r>
      <w:r>
        <w:rPr>
          <w:noProof/>
          <w:sz w:val="24"/>
          <w:szCs w:val="24"/>
        </w:rPr>
        <w:tab/>
      </w:r>
      <w:r>
        <w:rPr>
          <w:noProof/>
          <w:szCs w:val="24"/>
        </w:rPr>
        <w:t>Terms used in this Division</w:t>
      </w:r>
      <w:r>
        <w:rPr>
          <w:noProof/>
        </w:rPr>
        <w:tab/>
      </w:r>
      <w:r>
        <w:rPr>
          <w:noProof/>
        </w:rPr>
        <w:fldChar w:fldCharType="begin"/>
      </w:r>
      <w:r>
        <w:rPr>
          <w:noProof/>
        </w:rPr>
        <w:instrText xml:space="preserve"> PAGEREF _Toc131409889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23D.</w:t>
      </w:r>
      <w:r>
        <w:rPr>
          <w:noProof/>
          <w:sz w:val="24"/>
          <w:szCs w:val="24"/>
        </w:rPr>
        <w:tab/>
      </w:r>
      <w:r>
        <w:rPr>
          <w:noProof/>
          <w:szCs w:val="24"/>
        </w:rPr>
        <w:t>Contract work arrangements</w:t>
      </w:r>
      <w:r>
        <w:rPr>
          <w:noProof/>
        </w:rPr>
        <w:tab/>
      </w:r>
      <w:r>
        <w:rPr>
          <w:noProof/>
        </w:rPr>
        <w:fldChar w:fldCharType="begin"/>
      </w:r>
      <w:r>
        <w:rPr>
          <w:noProof/>
        </w:rPr>
        <w:instrText xml:space="preserve"> PAGEREF _Toc131409890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23E.</w:t>
      </w:r>
      <w:r>
        <w:rPr>
          <w:noProof/>
          <w:sz w:val="24"/>
          <w:szCs w:val="24"/>
        </w:rPr>
        <w:tab/>
      </w:r>
      <w:r>
        <w:rPr>
          <w:noProof/>
          <w:szCs w:val="24"/>
        </w:rPr>
        <w:t>Labour arrangements in general</w:t>
      </w:r>
      <w:r>
        <w:rPr>
          <w:noProof/>
        </w:rPr>
        <w:tab/>
      </w:r>
      <w:r>
        <w:rPr>
          <w:noProof/>
        </w:rPr>
        <w:fldChar w:fldCharType="begin"/>
      </w:r>
      <w:r>
        <w:rPr>
          <w:noProof/>
        </w:rPr>
        <w:instrText xml:space="preserve"> PAGEREF _Toc131409891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23F.</w:t>
      </w:r>
      <w:r>
        <w:rPr>
          <w:noProof/>
          <w:sz w:val="24"/>
          <w:szCs w:val="24"/>
        </w:rPr>
        <w:tab/>
      </w:r>
      <w:r>
        <w:rPr>
          <w:noProof/>
          <w:szCs w:val="24"/>
        </w:rPr>
        <w:t>Labour hire arrangements</w:t>
      </w:r>
      <w:r>
        <w:rPr>
          <w:noProof/>
        </w:rPr>
        <w:tab/>
      </w:r>
      <w:r>
        <w:rPr>
          <w:noProof/>
        </w:rPr>
        <w:fldChar w:fldCharType="begin"/>
      </w:r>
      <w:r>
        <w:rPr>
          <w:noProof/>
        </w:rPr>
        <w:instrText xml:space="preserve"> PAGEREF _Toc131409892 \h </w:instrText>
      </w:r>
      <w:r>
        <w:rPr>
          <w:noProof/>
        </w:rPr>
      </w:r>
      <w:r>
        <w:rPr>
          <w:noProof/>
        </w:rPr>
        <w:fldChar w:fldCharType="separate"/>
      </w:r>
      <w:r>
        <w:rPr>
          <w:noProof/>
        </w:rPr>
        <w:t>43</w:t>
      </w:r>
      <w:r>
        <w:rPr>
          <w:noProof/>
        </w:rPr>
        <w:fldChar w:fldCharType="end"/>
      </w:r>
    </w:p>
    <w:p>
      <w:pPr>
        <w:pStyle w:val="TOC3"/>
        <w:rPr>
          <w:b w:val="0"/>
          <w:noProof/>
          <w:sz w:val="24"/>
          <w:szCs w:val="24"/>
        </w:rPr>
      </w:pPr>
      <w:r>
        <w:rPr>
          <w:noProof/>
          <w:szCs w:val="26"/>
        </w:rPr>
        <w:t>Division 4 — Duty relating to certain employment accommodation</w:t>
      </w:r>
    </w:p>
    <w:p>
      <w:pPr>
        <w:pStyle w:val="TOC4"/>
        <w:tabs>
          <w:tab w:val="left" w:pos="1701"/>
        </w:tabs>
        <w:rPr>
          <w:noProof/>
          <w:sz w:val="24"/>
          <w:szCs w:val="24"/>
        </w:rPr>
      </w:pPr>
      <w:r>
        <w:rPr>
          <w:noProof/>
          <w:szCs w:val="24"/>
        </w:rPr>
        <w:t>23G.</w:t>
      </w:r>
      <w:r>
        <w:rPr>
          <w:noProof/>
          <w:sz w:val="24"/>
          <w:szCs w:val="24"/>
        </w:rPr>
        <w:tab/>
      </w:r>
      <w:r>
        <w:rPr>
          <w:noProof/>
          <w:szCs w:val="24"/>
        </w:rPr>
        <w:t>Duty of employer to maintain safe premises</w:t>
      </w:r>
      <w:r>
        <w:rPr>
          <w:noProof/>
        </w:rPr>
        <w:tab/>
      </w:r>
      <w:r>
        <w:rPr>
          <w:noProof/>
        </w:rPr>
        <w:fldChar w:fldCharType="begin"/>
      </w:r>
      <w:r>
        <w:rPr>
          <w:noProof/>
        </w:rPr>
        <w:instrText xml:space="preserve"> PAGEREF _Toc131409894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23H.</w:t>
      </w:r>
      <w:r>
        <w:rPr>
          <w:noProof/>
          <w:sz w:val="24"/>
          <w:szCs w:val="24"/>
        </w:rPr>
        <w:tab/>
      </w:r>
      <w:r>
        <w:rPr>
          <w:noProof/>
          <w:szCs w:val="24"/>
        </w:rPr>
        <w:t>Breaches of section 23G</w:t>
      </w:r>
      <w:r>
        <w:rPr>
          <w:noProof/>
        </w:rPr>
        <w:tab/>
      </w:r>
      <w:r>
        <w:rPr>
          <w:noProof/>
        </w:rPr>
        <w:fldChar w:fldCharType="begin"/>
      </w:r>
      <w:r>
        <w:rPr>
          <w:noProof/>
        </w:rPr>
        <w:instrText xml:space="preserve"> PAGEREF _Toc131409895 \h </w:instrText>
      </w:r>
      <w:r>
        <w:rPr>
          <w:noProof/>
        </w:rPr>
      </w:r>
      <w:r>
        <w:rPr>
          <w:noProof/>
        </w:rPr>
        <w:fldChar w:fldCharType="separate"/>
      </w:r>
      <w:r>
        <w:rPr>
          <w:noProof/>
        </w:rPr>
        <w:t>45</w:t>
      </w:r>
      <w:r>
        <w:rPr>
          <w:noProof/>
        </w:rPr>
        <w:fldChar w:fldCharType="end"/>
      </w:r>
    </w:p>
    <w:p>
      <w:pPr>
        <w:pStyle w:val="TOC3"/>
        <w:rPr>
          <w:b w:val="0"/>
          <w:noProof/>
          <w:sz w:val="24"/>
          <w:szCs w:val="24"/>
        </w:rPr>
      </w:pPr>
      <w:r>
        <w:rPr>
          <w:noProof/>
          <w:szCs w:val="26"/>
        </w:rPr>
        <w:t>Division 5 — Other duties</w:t>
      </w:r>
    </w:p>
    <w:p>
      <w:pPr>
        <w:pStyle w:val="TOC4"/>
        <w:tabs>
          <w:tab w:val="left" w:pos="1701"/>
        </w:tabs>
        <w:rPr>
          <w:noProof/>
          <w:sz w:val="24"/>
          <w:szCs w:val="24"/>
        </w:rPr>
      </w:pPr>
      <w:r>
        <w:rPr>
          <w:noProof/>
          <w:szCs w:val="24"/>
        </w:rPr>
        <w:t>23I.</w:t>
      </w:r>
      <w:r>
        <w:rPr>
          <w:noProof/>
          <w:sz w:val="24"/>
          <w:szCs w:val="24"/>
        </w:rPr>
        <w:tab/>
      </w:r>
      <w:r>
        <w:rPr>
          <w:noProof/>
          <w:szCs w:val="24"/>
        </w:rPr>
        <w:t>Notification of deaths, injuries and diseases</w:t>
      </w:r>
      <w:r>
        <w:rPr>
          <w:noProof/>
        </w:rPr>
        <w:tab/>
      </w:r>
      <w:r>
        <w:rPr>
          <w:noProof/>
        </w:rPr>
        <w:fldChar w:fldCharType="begin"/>
      </w:r>
      <w:r>
        <w:rPr>
          <w:noProof/>
        </w:rPr>
        <w:instrText xml:space="preserve"> PAGEREF _Toc131409897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23J.</w:t>
      </w:r>
      <w:r>
        <w:rPr>
          <w:noProof/>
          <w:sz w:val="24"/>
          <w:szCs w:val="24"/>
        </w:rPr>
        <w:tab/>
      </w:r>
      <w:r>
        <w:rPr>
          <w:noProof/>
          <w:szCs w:val="24"/>
        </w:rPr>
        <w:t>Breaches of section 23I</w:t>
      </w:r>
      <w:r>
        <w:rPr>
          <w:noProof/>
        </w:rPr>
        <w:tab/>
      </w:r>
      <w:r>
        <w:rPr>
          <w:noProof/>
        </w:rPr>
        <w:fldChar w:fldCharType="begin"/>
      </w:r>
      <w:r>
        <w:rPr>
          <w:noProof/>
        </w:rPr>
        <w:instrText xml:space="preserve"> PAGEREF _Toc131409898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23K.</w:t>
      </w:r>
      <w:r>
        <w:rPr>
          <w:noProof/>
          <w:sz w:val="24"/>
          <w:szCs w:val="24"/>
        </w:rPr>
        <w:tab/>
      </w:r>
      <w:r>
        <w:rPr>
          <w:noProof/>
          <w:szCs w:val="24"/>
        </w:rPr>
        <w:t>Duty to inform employee who reports a hazard or injury</w:t>
      </w:r>
      <w:r>
        <w:rPr>
          <w:noProof/>
        </w:rPr>
        <w:tab/>
      </w:r>
      <w:r>
        <w:rPr>
          <w:noProof/>
        </w:rPr>
        <w:fldChar w:fldCharType="begin"/>
      </w:r>
      <w:r>
        <w:rPr>
          <w:noProof/>
        </w:rPr>
        <w:instrText xml:space="preserve"> PAGEREF _Toc131409899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23L.</w:t>
      </w:r>
      <w:r>
        <w:rPr>
          <w:noProof/>
          <w:sz w:val="24"/>
          <w:szCs w:val="24"/>
        </w:rPr>
        <w:tab/>
      </w:r>
      <w:r>
        <w:rPr>
          <w:noProof/>
          <w:szCs w:val="24"/>
        </w:rPr>
        <w:t>Notification of hazard to person having control of workplace</w:t>
      </w:r>
      <w:r>
        <w:rPr>
          <w:noProof/>
        </w:rPr>
        <w:tab/>
      </w:r>
      <w:r>
        <w:rPr>
          <w:noProof/>
        </w:rPr>
        <w:fldChar w:fldCharType="begin"/>
      </w:r>
      <w:r>
        <w:rPr>
          <w:noProof/>
        </w:rPr>
        <w:instrText xml:space="preserve"> PAGEREF _Toc131409900 \h </w:instrText>
      </w:r>
      <w:r>
        <w:rPr>
          <w:noProof/>
        </w:rPr>
      </w:r>
      <w:r>
        <w:rPr>
          <w:noProof/>
        </w:rPr>
        <w:fldChar w:fldCharType="separate"/>
      </w:r>
      <w:r>
        <w:rPr>
          <w:noProof/>
        </w:rPr>
        <w:t>49</w:t>
      </w:r>
      <w:r>
        <w:rPr>
          <w:noProof/>
        </w:rPr>
        <w:fldChar w:fldCharType="end"/>
      </w:r>
    </w:p>
    <w:p>
      <w:pPr>
        <w:pStyle w:val="TOC3"/>
        <w:rPr>
          <w:b w:val="0"/>
          <w:noProof/>
          <w:sz w:val="24"/>
          <w:szCs w:val="24"/>
        </w:rPr>
      </w:pPr>
      <w:r>
        <w:rPr>
          <w:noProof/>
          <w:szCs w:val="26"/>
        </w:rPr>
        <w:t>Division 6 — Resolution of workplace issues, and refusal to work on grounds of risk</w:t>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Resolution of issues at the workplace</w:t>
      </w:r>
      <w:r>
        <w:rPr>
          <w:noProof/>
        </w:rPr>
        <w:tab/>
      </w:r>
      <w:r>
        <w:rPr>
          <w:noProof/>
        </w:rPr>
        <w:fldChar w:fldCharType="begin"/>
      </w:r>
      <w:r>
        <w:rPr>
          <w:noProof/>
        </w:rPr>
        <w:instrText xml:space="preserve"> PAGEREF _Toc131409902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Inspector may be notified where issues unresolved</w:t>
      </w:r>
      <w:r>
        <w:rPr>
          <w:noProof/>
        </w:rPr>
        <w:tab/>
      </w:r>
      <w:r>
        <w:rPr>
          <w:noProof/>
        </w:rPr>
        <w:fldChar w:fldCharType="begin"/>
      </w:r>
      <w:r>
        <w:rPr>
          <w:noProof/>
        </w:rPr>
        <w:instrText xml:space="preserve"> PAGEREF _Toc131409903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Refusal by employees to work in certain cases</w:t>
      </w:r>
      <w:r>
        <w:rPr>
          <w:noProof/>
        </w:rPr>
        <w:tab/>
      </w:r>
      <w:r>
        <w:rPr>
          <w:noProof/>
        </w:rPr>
        <w:fldChar w:fldCharType="begin"/>
      </w:r>
      <w:r>
        <w:rPr>
          <w:noProof/>
        </w:rPr>
        <w:instrText xml:space="preserve"> PAGEREF _Toc131409904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Assignment of other work</w:t>
      </w:r>
      <w:r>
        <w:rPr>
          <w:noProof/>
        </w:rPr>
        <w:tab/>
      </w:r>
      <w:r>
        <w:rPr>
          <w:noProof/>
        </w:rPr>
        <w:fldChar w:fldCharType="begin"/>
      </w:r>
      <w:r>
        <w:rPr>
          <w:noProof/>
        </w:rPr>
        <w:instrText xml:space="preserve"> PAGEREF _Toc131409905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Entitlements to continue</w:t>
      </w:r>
      <w:r>
        <w:rPr>
          <w:noProof/>
        </w:rPr>
        <w:tab/>
      </w:r>
      <w:r>
        <w:rPr>
          <w:noProof/>
        </w:rPr>
        <w:fldChar w:fldCharType="begin"/>
      </w:r>
      <w:r>
        <w:rPr>
          <w:noProof/>
        </w:rPr>
        <w:instrText xml:space="preserve"> PAGEREF _Toc131409906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28A</w:t>
      </w:r>
      <w:r>
        <w:rPr>
          <w:noProof/>
          <w:snapToGrid w:val="0"/>
          <w:szCs w:val="24"/>
        </w:rPr>
        <w:t xml:space="preserve">. </w:t>
      </w:r>
      <w:r>
        <w:rPr>
          <w:noProof/>
          <w:sz w:val="24"/>
          <w:szCs w:val="24"/>
        </w:rPr>
        <w:tab/>
      </w:r>
      <w:r>
        <w:rPr>
          <w:noProof/>
          <w:snapToGrid w:val="0"/>
          <w:szCs w:val="24"/>
        </w:rPr>
        <w:t>Offences — refusal to work</w:t>
      </w:r>
      <w:r>
        <w:rPr>
          <w:noProof/>
        </w:rPr>
        <w:tab/>
      </w:r>
      <w:r>
        <w:rPr>
          <w:noProof/>
        </w:rPr>
        <w:fldChar w:fldCharType="begin"/>
      </w:r>
      <w:r>
        <w:rPr>
          <w:noProof/>
        </w:rPr>
        <w:instrText xml:space="preserve"> PAGEREF _Toc131409907 \h </w:instrText>
      </w:r>
      <w:r>
        <w:rPr>
          <w:noProof/>
        </w:rPr>
      </w:r>
      <w:r>
        <w:rPr>
          <w:noProof/>
        </w:rPr>
        <w:fldChar w:fldCharType="separate"/>
      </w:r>
      <w:r>
        <w:rPr>
          <w:noProof/>
        </w:rPr>
        <w:t>53</w:t>
      </w:r>
      <w:r>
        <w:rPr>
          <w:noProof/>
        </w:rPr>
        <w:fldChar w:fldCharType="end"/>
      </w:r>
    </w:p>
    <w:p>
      <w:pPr>
        <w:pStyle w:val="TOC2"/>
        <w:tabs>
          <w:tab w:val="right" w:leader="dot" w:pos="7086"/>
        </w:tabs>
        <w:rPr>
          <w:b w:val="0"/>
          <w:noProof/>
          <w:sz w:val="24"/>
          <w:szCs w:val="24"/>
        </w:rPr>
      </w:pPr>
      <w:r>
        <w:rPr>
          <w:noProof/>
          <w:szCs w:val="30"/>
        </w:rPr>
        <w:t>Part IV — Safety and health representatives and committees</w:t>
      </w:r>
    </w:p>
    <w:p>
      <w:pPr>
        <w:pStyle w:val="TOC3"/>
        <w:rPr>
          <w:b w:val="0"/>
          <w:noProof/>
          <w:sz w:val="24"/>
          <w:szCs w:val="24"/>
        </w:rPr>
      </w:pPr>
      <w:r>
        <w:rPr>
          <w:noProof/>
          <w:szCs w:val="26"/>
        </w:rPr>
        <w:t>Division 1 — Safety and health representatives</w:t>
      </w:r>
    </w:p>
    <w:p>
      <w:pPr>
        <w:pStyle w:val="TOC4"/>
        <w:tabs>
          <w:tab w:val="left" w:pos="1701"/>
        </w:tabs>
        <w:rPr>
          <w:noProof/>
          <w:sz w:val="24"/>
          <w:szCs w:val="24"/>
        </w:rPr>
      </w:pPr>
      <w:r>
        <w:rPr>
          <w:noProof/>
          <w:spacing w:val="-2"/>
          <w:szCs w:val="24"/>
        </w:rPr>
        <w:t>29</w:t>
      </w:r>
      <w:r>
        <w:rPr>
          <w:noProof/>
          <w:snapToGrid w:val="0"/>
          <w:spacing w:val="-2"/>
          <w:szCs w:val="24"/>
        </w:rPr>
        <w:t>.</w:t>
      </w:r>
      <w:r>
        <w:rPr>
          <w:noProof/>
          <w:sz w:val="24"/>
          <w:szCs w:val="24"/>
        </w:rPr>
        <w:tab/>
      </w:r>
      <w:r>
        <w:rPr>
          <w:noProof/>
          <w:snapToGrid w:val="0"/>
          <w:spacing w:val="-2"/>
          <w:szCs w:val="24"/>
        </w:rPr>
        <w:t>Notices requiring election of safety and health representatives</w:t>
      </w:r>
      <w:r>
        <w:rPr>
          <w:noProof/>
        </w:rPr>
        <w:tab/>
      </w:r>
      <w:r>
        <w:rPr>
          <w:noProof/>
        </w:rPr>
        <w:fldChar w:fldCharType="begin"/>
      </w:r>
      <w:r>
        <w:rPr>
          <w:noProof/>
        </w:rPr>
        <w:instrText xml:space="preserve"> PAGEREF _Toc131409910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Consultation on matters relevant to elections</w:t>
      </w:r>
      <w:r>
        <w:rPr>
          <w:noProof/>
        </w:rPr>
        <w:tab/>
      </w:r>
      <w:r>
        <w:rPr>
          <w:noProof/>
        </w:rPr>
        <w:fldChar w:fldCharType="begin"/>
      </w:r>
      <w:r>
        <w:rPr>
          <w:noProof/>
        </w:rPr>
        <w:instrText xml:space="preserve"> PAGEREF _Toc131409911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30A.</w:t>
      </w:r>
      <w:r>
        <w:rPr>
          <w:noProof/>
          <w:sz w:val="24"/>
          <w:szCs w:val="24"/>
        </w:rPr>
        <w:tab/>
      </w:r>
      <w:r>
        <w:rPr>
          <w:noProof/>
          <w:szCs w:val="24"/>
        </w:rPr>
        <w:t>Election scheme may be established</w:t>
      </w:r>
      <w:r>
        <w:rPr>
          <w:noProof/>
        </w:rPr>
        <w:tab/>
      </w:r>
      <w:r>
        <w:rPr>
          <w:noProof/>
        </w:rPr>
        <w:fldChar w:fldCharType="begin"/>
      </w:r>
      <w:r>
        <w:rPr>
          <w:noProof/>
        </w:rPr>
        <w:instrText xml:space="preserve"> PAGEREF _Toc131409912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30B.</w:t>
      </w:r>
      <w:r>
        <w:rPr>
          <w:noProof/>
          <w:sz w:val="24"/>
          <w:szCs w:val="24"/>
        </w:rPr>
        <w:tab/>
      </w:r>
      <w:r>
        <w:rPr>
          <w:noProof/>
          <w:szCs w:val="24"/>
        </w:rPr>
        <w:t>What may be included in a scheme</w:t>
      </w:r>
      <w:r>
        <w:rPr>
          <w:noProof/>
        </w:rPr>
        <w:tab/>
      </w:r>
      <w:r>
        <w:rPr>
          <w:noProof/>
        </w:rPr>
        <w:fldChar w:fldCharType="begin"/>
      </w:r>
      <w:r>
        <w:rPr>
          <w:noProof/>
        </w:rPr>
        <w:instrText xml:space="preserve"> PAGEREF _Toc131409913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30C.</w:t>
      </w:r>
      <w:r>
        <w:rPr>
          <w:noProof/>
          <w:sz w:val="24"/>
          <w:szCs w:val="24"/>
        </w:rPr>
        <w:tab/>
      </w:r>
      <w:r>
        <w:rPr>
          <w:noProof/>
          <w:szCs w:val="24"/>
        </w:rPr>
        <w:t>Appointment of further delegates may be required</w:t>
      </w:r>
      <w:r>
        <w:rPr>
          <w:noProof/>
        </w:rPr>
        <w:tab/>
      </w:r>
      <w:r>
        <w:rPr>
          <w:noProof/>
        </w:rPr>
        <w:fldChar w:fldCharType="begin"/>
      </w:r>
      <w:r>
        <w:rPr>
          <w:noProof/>
        </w:rPr>
        <w:instrText xml:space="preserve"> PAGEREF _Toc131409914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Election of safety and health representatives</w:t>
      </w:r>
      <w:r>
        <w:rPr>
          <w:noProof/>
        </w:rPr>
        <w:tab/>
      </w:r>
      <w:r>
        <w:rPr>
          <w:noProof/>
        </w:rPr>
        <w:fldChar w:fldCharType="begin"/>
      </w:r>
      <w:r>
        <w:rPr>
          <w:noProof/>
        </w:rPr>
        <w:instrText xml:space="preserve"> PAGEREF _Toc131409915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Terms of office</w:t>
      </w:r>
      <w:r>
        <w:rPr>
          <w:noProof/>
        </w:rPr>
        <w:tab/>
      </w:r>
      <w:r>
        <w:rPr>
          <w:noProof/>
        </w:rPr>
        <w:fldChar w:fldCharType="begin"/>
      </w:r>
      <w:r>
        <w:rPr>
          <w:noProof/>
        </w:rPr>
        <w:instrText xml:space="preserve"> PAGEREF _Toc131409916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Functions of safety and health representatives</w:t>
      </w:r>
      <w:r>
        <w:rPr>
          <w:noProof/>
        </w:rPr>
        <w:tab/>
      </w:r>
      <w:r>
        <w:rPr>
          <w:noProof/>
        </w:rPr>
        <w:fldChar w:fldCharType="begin"/>
      </w:r>
      <w:r>
        <w:rPr>
          <w:noProof/>
        </w:rPr>
        <w:instrText xml:space="preserve"> PAGEREF _Toc131409917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Disqualification of safety and health representatives</w:t>
      </w:r>
      <w:r>
        <w:rPr>
          <w:noProof/>
        </w:rPr>
        <w:tab/>
      </w:r>
      <w:r>
        <w:rPr>
          <w:noProof/>
        </w:rPr>
        <w:fldChar w:fldCharType="begin"/>
      </w:r>
      <w:r>
        <w:rPr>
          <w:noProof/>
        </w:rPr>
        <w:instrText xml:space="preserve"> PAGEREF _Toc131409918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Certain duties of employers in relation to safety and health representatives</w:t>
      </w:r>
      <w:r>
        <w:rPr>
          <w:noProof/>
        </w:rPr>
        <w:tab/>
      </w:r>
      <w:r>
        <w:rPr>
          <w:noProof/>
        </w:rPr>
        <w:fldChar w:fldCharType="begin"/>
      </w:r>
      <w:r>
        <w:rPr>
          <w:noProof/>
        </w:rPr>
        <w:instrText xml:space="preserve"> PAGEREF _Toc131409919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35A.</w:t>
      </w:r>
      <w:r>
        <w:rPr>
          <w:noProof/>
          <w:sz w:val="24"/>
          <w:szCs w:val="24"/>
        </w:rPr>
        <w:tab/>
      </w:r>
      <w:r>
        <w:rPr>
          <w:noProof/>
          <w:szCs w:val="24"/>
        </w:rPr>
        <w:t>Discrimination against safety and health representative in relation to employment</w:t>
      </w:r>
      <w:r>
        <w:rPr>
          <w:noProof/>
        </w:rPr>
        <w:tab/>
      </w:r>
      <w:r>
        <w:rPr>
          <w:noProof/>
        </w:rPr>
        <w:fldChar w:fldCharType="begin"/>
      </w:r>
      <w:r>
        <w:rPr>
          <w:noProof/>
        </w:rPr>
        <w:instrText xml:space="preserve"> PAGEREF _Toc131409920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35B.</w:t>
      </w:r>
      <w:r>
        <w:rPr>
          <w:noProof/>
          <w:sz w:val="24"/>
          <w:szCs w:val="24"/>
        </w:rPr>
        <w:tab/>
      </w:r>
      <w:r>
        <w:rPr>
          <w:noProof/>
          <w:szCs w:val="24"/>
        </w:rPr>
        <w:t>Discrimination against safety and health representative in relation to contract for services</w:t>
      </w:r>
      <w:r>
        <w:rPr>
          <w:noProof/>
        </w:rPr>
        <w:tab/>
      </w:r>
      <w:r>
        <w:rPr>
          <w:noProof/>
        </w:rPr>
        <w:fldChar w:fldCharType="begin"/>
      </w:r>
      <w:r>
        <w:rPr>
          <w:noProof/>
        </w:rPr>
        <w:instrText xml:space="preserve"> PAGEREF _Toc131409921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35C.</w:t>
      </w:r>
      <w:r>
        <w:rPr>
          <w:noProof/>
          <w:sz w:val="24"/>
          <w:szCs w:val="24"/>
        </w:rPr>
        <w:tab/>
      </w:r>
      <w:r>
        <w:rPr>
          <w:noProof/>
          <w:szCs w:val="24"/>
        </w:rPr>
        <w:t>Claim may be referred to the Tribunal</w:t>
      </w:r>
      <w:r>
        <w:rPr>
          <w:noProof/>
        </w:rPr>
        <w:tab/>
      </w:r>
      <w:r>
        <w:rPr>
          <w:noProof/>
        </w:rPr>
        <w:fldChar w:fldCharType="begin"/>
      </w:r>
      <w:r>
        <w:rPr>
          <w:noProof/>
        </w:rPr>
        <w:instrText xml:space="preserve"> PAGEREF _Toc131409922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35D.</w:t>
      </w:r>
      <w:r>
        <w:rPr>
          <w:noProof/>
          <w:sz w:val="24"/>
          <w:szCs w:val="24"/>
        </w:rPr>
        <w:tab/>
      </w:r>
      <w:r>
        <w:rPr>
          <w:noProof/>
          <w:szCs w:val="24"/>
        </w:rPr>
        <w:t>Remedies that may be granted</w:t>
      </w:r>
      <w:r>
        <w:rPr>
          <w:noProof/>
        </w:rPr>
        <w:tab/>
      </w:r>
      <w:r>
        <w:rPr>
          <w:noProof/>
        </w:rPr>
        <w:fldChar w:fldCharType="begin"/>
      </w:r>
      <w:r>
        <w:rPr>
          <w:noProof/>
        </w:rPr>
        <w:instrText xml:space="preserve"> PAGEREF _Toc131409923 \h </w:instrText>
      </w:r>
      <w:r>
        <w:rPr>
          <w:noProof/>
        </w:rPr>
      </w:r>
      <w:r>
        <w:rPr>
          <w:noProof/>
        </w:rPr>
        <w:fldChar w:fldCharType="separate"/>
      </w:r>
      <w:r>
        <w:rPr>
          <w:noProof/>
        </w:rPr>
        <w:t>70</w:t>
      </w:r>
      <w:r>
        <w:rPr>
          <w:noProof/>
        </w:rPr>
        <w:fldChar w:fldCharType="end"/>
      </w:r>
    </w:p>
    <w:p>
      <w:pPr>
        <w:pStyle w:val="TOC3"/>
        <w:rPr>
          <w:b w:val="0"/>
          <w:noProof/>
          <w:sz w:val="24"/>
          <w:szCs w:val="24"/>
        </w:rPr>
      </w:pPr>
      <w:r>
        <w:rPr>
          <w:noProof/>
          <w:szCs w:val="26"/>
        </w:rPr>
        <w:t>Division 2 — Safety and health committees</w:t>
      </w:r>
    </w:p>
    <w:p>
      <w:pPr>
        <w:pStyle w:val="TOC4"/>
        <w:tabs>
          <w:tab w:val="left" w:pos="1701"/>
        </w:tabs>
        <w:rPr>
          <w:noProof/>
          <w:sz w:val="24"/>
          <w:szCs w:val="24"/>
        </w:rPr>
      </w:pPr>
      <w:r>
        <w:rPr>
          <w:noProof/>
          <w:szCs w:val="24"/>
        </w:rPr>
        <w:t>36.</w:t>
      </w:r>
      <w:r>
        <w:rPr>
          <w:noProof/>
          <w:sz w:val="24"/>
          <w:szCs w:val="24"/>
        </w:rPr>
        <w:tab/>
      </w:r>
      <w:r>
        <w:rPr>
          <w:noProof/>
          <w:szCs w:val="24"/>
        </w:rPr>
        <w:t>Interpretation</w:t>
      </w:r>
      <w:r>
        <w:rPr>
          <w:noProof/>
        </w:rPr>
        <w:tab/>
      </w:r>
      <w:r>
        <w:rPr>
          <w:noProof/>
        </w:rPr>
        <w:fldChar w:fldCharType="begin"/>
      </w:r>
      <w:r>
        <w:rPr>
          <w:noProof/>
        </w:rPr>
        <w:instrText xml:space="preserve"> PAGEREF _Toc131409925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37.</w:t>
      </w:r>
      <w:r>
        <w:rPr>
          <w:noProof/>
          <w:sz w:val="24"/>
          <w:szCs w:val="24"/>
        </w:rPr>
        <w:tab/>
      </w:r>
      <w:r>
        <w:rPr>
          <w:noProof/>
          <w:szCs w:val="24"/>
        </w:rPr>
        <w:t>Employees to appoint representatives</w:t>
      </w:r>
      <w:r>
        <w:rPr>
          <w:noProof/>
        </w:rPr>
        <w:tab/>
      </w:r>
      <w:r>
        <w:rPr>
          <w:noProof/>
        </w:rPr>
        <w:fldChar w:fldCharType="begin"/>
      </w:r>
      <w:r>
        <w:rPr>
          <w:noProof/>
        </w:rPr>
        <w:instrText xml:space="preserve"> PAGEREF _Toc131409926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38.</w:t>
      </w:r>
      <w:r>
        <w:rPr>
          <w:noProof/>
          <w:sz w:val="24"/>
          <w:szCs w:val="24"/>
        </w:rPr>
        <w:tab/>
      </w:r>
      <w:r>
        <w:rPr>
          <w:noProof/>
          <w:szCs w:val="24"/>
        </w:rPr>
        <w:t>Obligation of employer to establish a safety and health committee</w:t>
      </w:r>
      <w:r>
        <w:rPr>
          <w:noProof/>
        </w:rPr>
        <w:tab/>
      </w:r>
      <w:r>
        <w:rPr>
          <w:noProof/>
        </w:rPr>
        <w:fldChar w:fldCharType="begin"/>
      </w:r>
      <w:r>
        <w:rPr>
          <w:noProof/>
        </w:rPr>
        <w:instrText xml:space="preserve"> PAGEREF _Toc131409927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39.</w:t>
      </w:r>
      <w:r>
        <w:rPr>
          <w:noProof/>
          <w:sz w:val="24"/>
          <w:szCs w:val="24"/>
        </w:rPr>
        <w:tab/>
      </w:r>
      <w:r>
        <w:rPr>
          <w:noProof/>
          <w:szCs w:val="24"/>
        </w:rPr>
        <w:t>Request for establishment of safety and health committee</w:t>
      </w:r>
      <w:r>
        <w:rPr>
          <w:noProof/>
        </w:rPr>
        <w:tab/>
      </w:r>
      <w:r>
        <w:rPr>
          <w:noProof/>
        </w:rPr>
        <w:fldChar w:fldCharType="begin"/>
      </w:r>
      <w:r>
        <w:rPr>
          <w:noProof/>
        </w:rPr>
        <w:instrText xml:space="preserve"> PAGEREF _Toc131409928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39A.</w:t>
      </w:r>
      <w:r>
        <w:rPr>
          <w:noProof/>
          <w:sz w:val="24"/>
          <w:szCs w:val="24"/>
        </w:rPr>
        <w:tab/>
      </w:r>
      <w:r>
        <w:rPr>
          <w:noProof/>
          <w:szCs w:val="24"/>
        </w:rPr>
        <w:t>Referral of question to Commissioner</w:t>
      </w:r>
      <w:r>
        <w:rPr>
          <w:noProof/>
        </w:rPr>
        <w:tab/>
      </w:r>
      <w:r>
        <w:rPr>
          <w:noProof/>
        </w:rPr>
        <w:fldChar w:fldCharType="begin"/>
      </w:r>
      <w:r>
        <w:rPr>
          <w:noProof/>
        </w:rPr>
        <w:instrText xml:space="preserve"> PAGEREF _Toc131409929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39B.</w:t>
      </w:r>
      <w:r>
        <w:rPr>
          <w:noProof/>
          <w:sz w:val="24"/>
          <w:szCs w:val="24"/>
        </w:rPr>
        <w:tab/>
      </w:r>
      <w:r>
        <w:rPr>
          <w:noProof/>
          <w:szCs w:val="24"/>
        </w:rPr>
        <w:t>Employer may establish a safety and health committee</w:t>
      </w:r>
      <w:r>
        <w:rPr>
          <w:noProof/>
        </w:rPr>
        <w:tab/>
      </w:r>
      <w:r>
        <w:rPr>
          <w:noProof/>
        </w:rPr>
        <w:fldChar w:fldCharType="begin"/>
      </w:r>
      <w:r>
        <w:rPr>
          <w:noProof/>
        </w:rPr>
        <w:instrText xml:space="preserve"> PAGEREF _Toc131409930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39C.</w:t>
      </w:r>
      <w:r>
        <w:rPr>
          <w:noProof/>
          <w:sz w:val="24"/>
          <w:szCs w:val="24"/>
        </w:rPr>
        <w:tab/>
      </w:r>
      <w:r>
        <w:rPr>
          <w:noProof/>
          <w:szCs w:val="24"/>
        </w:rPr>
        <w:t>How safety and health committee to be constituted</w:t>
      </w:r>
      <w:r>
        <w:rPr>
          <w:noProof/>
        </w:rPr>
        <w:tab/>
      </w:r>
      <w:r>
        <w:rPr>
          <w:noProof/>
        </w:rPr>
        <w:fldChar w:fldCharType="begin"/>
      </w:r>
      <w:r>
        <w:rPr>
          <w:noProof/>
        </w:rPr>
        <w:instrText xml:space="preserve"> PAGEREF _Toc131409931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39D.</w:t>
      </w:r>
      <w:r>
        <w:rPr>
          <w:noProof/>
          <w:sz w:val="24"/>
          <w:szCs w:val="24"/>
        </w:rPr>
        <w:tab/>
      </w:r>
      <w:r>
        <w:rPr>
          <w:noProof/>
          <w:szCs w:val="24"/>
        </w:rPr>
        <w:t>Commissioner may make determination in certain cases</w:t>
      </w:r>
      <w:r>
        <w:rPr>
          <w:noProof/>
        </w:rPr>
        <w:tab/>
      </w:r>
      <w:r>
        <w:rPr>
          <w:noProof/>
        </w:rPr>
        <w:fldChar w:fldCharType="begin"/>
      </w:r>
      <w:r>
        <w:rPr>
          <w:noProof/>
        </w:rPr>
        <w:instrText xml:space="preserve"> PAGEREF _Toc131409932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39E.</w:t>
      </w:r>
      <w:r>
        <w:rPr>
          <w:noProof/>
          <w:sz w:val="24"/>
          <w:szCs w:val="24"/>
        </w:rPr>
        <w:tab/>
      </w:r>
      <w:r>
        <w:rPr>
          <w:noProof/>
          <w:szCs w:val="24"/>
        </w:rPr>
        <w:t>Functions of committee may cover more than one workplace</w:t>
      </w:r>
      <w:r>
        <w:rPr>
          <w:noProof/>
        </w:rPr>
        <w:tab/>
      </w:r>
      <w:r>
        <w:rPr>
          <w:noProof/>
        </w:rPr>
        <w:fldChar w:fldCharType="begin"/>
      </w:r>
      <w:r>
        <w:rPr>
          <w:noProof/>
        </w:rPr>
        <w:instrText xml:space="preserve"> PAGEREF _Toc131409933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39F.</w:t>
      </w:r>
      <w:r>
        <w:rPr>
          <w:noProof/>
          <w:sz w:val="24"/>
          <w:szCs w:val="24"/>
        </w:rPr>
        <w:tab/>
      </w:r>
      <w:r>
        <w:rPr>
          <w:noProof/>
          <w:szCs w:val="24"/>
        </w:rPr>
        <w:t>Amendment of agreement and abolition of committee</w:t>
      </w:r>
      <w:r>
        <w:rPr>
          <w:noProof/>
        </w:rPr>
        <w:tab/>
      </w:r>
      <w:r>
        <w:rPr>
          <w:noProof/>
        </w:rPr>
        <w:fldChar w:fldCharType="begin"/>
      </w:r>
      <w:r>
        <w:rPr>
          <w:noProof/>
        </w:rPr>
        <w:instrText xml:space="preserve"> PAGEREF _Toc131409934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39G.</w:t>
      </w:r>
      <w:r>
        <w:rPr>
          <w:noProof/>
          <w:sz w:val="24"/>
          <w:szCs w:val="24"/>
        </w:rPr>
        <w:tab/>
      </w:r>
      <w:r>
        <w:rPr>
          <w:noProof/>
          <w:szCs w:val="24"/>
        </w:rPr>
        <w:t>Review of Commissioner’s decision</w:t>
      </w:r>
      <w:r>
        <w:rPr>
          <w:noProof/>
        </w:rPr>
        <w:tab/>
      </w:r>
      <w:r>
        <w:rPr>
          <w:noProof/>
        </w:rPr>
        <w:fldChar w:fldCharType="begin"/>
      </w:r>
      <w:r>
        <w:rPr>
          <w:noProof/>
        </w:rPr>
        <w:instrText xml:space="preserve"> PAGEREF _Toc131409935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Functions of safety and health committees</w:t>
      </w:r>
      <w:r>
        <w:rPr>
          <w:noProof/>
        </w:rPr>
        <w:tab/>
      </w:r>
      <w:r>
        <w:rPr>
          <w:noProof/>
        </w:rPr>
        <w:fldChar w:fldCharType="begin"/>
      </w:r>
      <w:r>
        <w:rPr>
          <w:noProof/>
        </w:rPr>
        <w:instrText xml:space="preserve"> PAGEREF _Toc131409936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Procedures</w:t>
      </w:r>
      <w:r>
        <w:rPr>
          <w:noProof/>
        </w:rPr>
        <w:tab/>
      </w:r>
      <w:r>
        <w:rPr>
          <w:noProof/>
        </w:rPr>
        <w:fldChar w:fldCharType="begin"/>
      </w:r>
      <w:r>
        <w:rPr>
          <w:noProof/>
        </w:rPr>
        <w:instrText xml:space="preserve"> PAGEREF _Toc131409937 \h </w:instrText>
      </w:r>
      <w:r>
        <w:rPr>
          <w:noProof/>
        </w:rPr>
      </w:r>
      <w:r>
        <w:rPr>
          <w:noProof/>
        </w:rPr>
        <w:fldChar w:fldCharType="separate"/>
      </w:r>
      <w:r>
        <w:rPr>
          <w:noProof/>
        </w:rPr>
        <w:t>80</w:t>
      </w:r>
      <w:r>
        <w:rPr>
          <w:noProof/>
        </w:rPr>
        <w:fldChar w:fldCharType="end"/>
      </w:r>
    </w:p>
    <w:p>
      <w:pPr>
        <w:pStyle w:val="TOC2"/>
        <w:tabs>
          <w:tab w:val="right" w:leader="dot" w:pos="7086"/>
        </w:tabs>
        <w:rPr>
          <w:b w:val="0"/>
          <w:noProof/>
          <w:sz w:val="24"/>
          <w:szCs w:val="24"/>
        </w:rPr>
      </w:pPr>
      <w:r>
        <w:rPr>
          <w:noProof/>
          <w:szCs w:val="30"/>
        </w:rPr>
        <w:t>Part V — Inspectors</w:t>
      </w:r>
    </w:p>
    <w:p>
      <w:pPr>
        <w:pStyle w:val="TOC4"/>
        <w:tabs>
          <w:tab w:val="left" w:pos="1701"/>
        </w:tabs>
        <w:rPr>
          <w:noProof/>
          <w:sz w:val="24"/>
          <w:szCs w:val="24"/>
        </w:rPr>
      </w:pPr>
      <w:r>
        <w:rPr>
          <w:noProof/>
          <w:szCs w:val="24"/>
        </w:rPr>
        <w:t>41A.</w:t>
      </w:r>
      <w:r>
        <w:rPr>
          <w:noProof/>
          <w:sz w:val="24"/>
          <w:szCs w:val="24"/>
        </w:rPr>
        <w:tab/>
      </w:r>
      <w:r>
        <w:rPr>
          <w:noProof/>
          <w:szCs w:val="24"/>
        </w:rPr>
        <w:t>Extended meaning of “employer” and “employee”</w:t>
      </w:r>
      <w:r>
        <w:rPr>
          <w:noProof/>
        </w:rPr>
        <w:tab/>
      </w:r>
      <w:r>
        <w:rPr>
          <w:noProof/>
        </w:rPr>
        <w:fldChar w:fldCharType="begin"/>
      </w:r>
      <w:r>
        <w:rPr>
          <w:noProof/>
        </w:rPr>
        <w:instrText xml:space="preserve"> PAGEREF _Toc131409939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42.</w:t>
      </w:r>
      <w:r>
        <w:rPr>
          <w:noProof/>
          <w:sz w:val="24"/>
          <w:szCs w:val="24"/>
        </w:rPr>
        <w:tab/>
      </w:r>
      <w:r>
        <w:rPr>
          <w:noProof/>
          <w:szCs w:val="24"/>
        </w:rPr>
        <w:t>Appointment of inspectors</w:t>
      </w:r>
      <w:r>
        <w:rPr>
          <w:noProof/>
        </w:rPr>
        <w:tab/>
      </w:r>
      <w:r>
        <w:rPr>
          <w:noProof/>
        </w:rPr>
        <w:fldChar w:fldCharType="begin"/>
      </w:r>
      <w:r>
        <w:rPr>
          <w:noProof/>
        </w:rPr>
        <w:instrText xml:space="preserve"> PAGEREF _Toc131409940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42A.</w:t>
      </w:r>
      <w:r>
        <w:rPr>
          <w:noProof/>
          <w:sz w:val="24"/>
          <w:szCs w:val="24"/>
        </w:rPr>
        <w:tab/>
      </w:r>
      <w:r>
        <w:rPr>
          <w:noProof/>
          <w:szCs w:val="24"/>
        </w:rPr>
        <w:t>Appointment of restricted inspectors</w:t>
      </w:r>
      <w:r>
        <w:rPr>
          <w:noProof/>
        </w:rPr>
        <w:tab/>
      </w:r>
      <w:r>
        <w:rPr>
          <w:noProof/>
        </w:rPr>
        <w:fldChar w:fldCharType="begin"/>
      </w:r>
      <w:r>
        <w:rPr>
          <w:noProof/>
        </w:rPr>
        <w:instrText xml:space="preserve"> PAGEREF _Toc131409941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42B.</w:t>
      </w:r>
      <w:r>
        <w:rPr>
          <w:noProof/>
          <w:sz w:val="24"/>
          <w:szCs w:val="24"/>
        </w:rPr>
        <w:tab/>
      </w:r>
      <w:r>
        <w:rPr>
          <w:noProof/>
          <w:szCs w:val="24"/>
        </w:rPr>
        <w:t>Powers of restricted inspector</w:t>
      </w:r>
      <w:r>
        <w:rPr>
          <w:noProof/>
        </w:rPr>
        <w:tab/>
      </w:r>
      <w:r>
        <w:rPr>
          <w:noProof/>
        </w:rPr>
        <w:fldChar w:fldCharType="begin"/>
      </w:r>
      <w:r>
        <w:rPr>
          <w:noProof/>
        </w:rPr>
        <w:instrText xml:space="preserve"> PAGEREF _Toc131409942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42C.</w:t>
      </w:r>
      <w:r>
        <w:rPr>
          <w:noProof/>
          <w:sz w:val="24"/>
          <w:szCs w:val="24"/>
        </w:rPr>
        <w:tab/>
      </w:r>
      <w:r>
        <w:rPr>
          <w:noProof/>
          <w:szCs w:val="24"/>
        </w:rPr>
        <w:t>Certificate of appointment</w:t>
      </w:r>
      <w:r>
        <w:rPr>
          <w:noProof/>
        </w:rPr>
        <w:tab/>
      </w:r>
      <w:r>
        <w:rPr>
          <w:noProof/>
        </w:rPr>
        <w:fldChar w:fldCharType="begin"/>
      </w:r>
      <w:r>
        <w:rPr>
          <w:noProof/>
        </w:rPr>
        <w:instrText xml:space="preserve"> PAGEREF _Toc131409943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Powers</w:t>
      </w:r>
      <w:r>
        <w:rPr>
          <w:noProof/>
        </w:rPr>
        <w:tab/>
      </w:r>
      <w:r>
        <w:rPr>
          <w:noProof/>
        </w:rPr>
        <w:fldChar w:fldCharType="begin"/>
      </w:r>
      <w:r>
        <w:rPr>
          <w:noProof/>
        </w:rPr>
        <w:instrText xml:space="preserve"> PAGEREF _Toc131409944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Interpreters</w:t>
      </w:r>
      <w:r>
        <w:rPr>
          <w:noProof/>
        </w:rPr>
        <w:tab/>
      </w:r>
      <w:r>
        <w:rPr>
          <w:noProof/>
        </w:rPr>
        <w:fldChar w:fldCharType="begin"/>
      </w:r>
      <w:r>
        <w:rPr>
          <w:noProof/>
        </w:rPr>
        <w:instrText xml:space="preserve"> PAGEREF _Toc131409945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Notification by inspector</w:t>
      </w:r>
      <w:r>
        <w:rPr>
          <w:noProof/>
        </w:rPr>
        <w:tab/>
      </w:r>
      <w:r>
        <w:rPr>
          <w:noProof/>
        </w:rPr>
        <w:fldChar w:fldCharType="begin"/>
      </w:r>
      <w:r>
        <w:rPr>
          <w:noProof/>
        </w:rPr>
        <w:instrText xml:space="preserve"> PAGEREF _Toc131409946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Samples</w:t>
      </w:r>
      <w:r>
        <w:rPr>
          <w:noProof/>
        </w:rPr>
        <w:tab/>
      </w:r>
      <w:r>
        <w:rPr>
          <w:noProof/>
        </w:rPr>
        <w:fldChar w:fldCharType="begin"/>
      </w:r>
      <w:r>
        <w:rPr>
          <w:noProof/>
        </w:rPr>
        <w:instrText xml:space="preserve"> PAGEREF _Toc131409947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_Toc131409948 \h </w:instrText>
      </w:r>
      <w:r>
        <w:rPr>
          <w:noProof/>
        </w:rPr>
      </w:r>
      <w:r>
        <w:rPr>
          <w:noProof/>
        </w:rPr>
        <w:fldChar w:fldCharType="separate"/>
      </w:r>
      <w:r>
        <w:rPr>
          <w:noProof/>
        </w:rPr>
        <w:t>88</w:t>
      </w:r>
      <w:r>
        <w:rPr>
          <w:noProof/>
        </w:rPr>
        <w:fldChar w:fldCharType="end"/>
      </w:r>
    </w:p>
    <w:p>
      <w:pPr>
        <w:pStyle w:val="TOC2"/>
        <w:tabs>
          <w:tab w:val="right" w:leader="dot" w:pos="7086"/>
        </w:tabs>
        <w:rPr>
          <w:b w:val="0"/>
          <w:noProof/>
          <w:sz w:val="24"/>
          <w:szCs w:val="24"/>
        </w:rPr>
      </w:pPr>
      <w:r>
        <w:rPr>
          <w:noProof/>
          <w:szCs w:val="30"/>
        </w:rPr>
        <w:t>Part VI — Improvement and prohibition notices</w:t>
      </w:r>
    </w:p>
    <w:p>
      <w:pPr>
        <w:pStyle w:val="TOC3"/>
        <w:rPr>
          <w:b w:val="0"/>
          <w:noProof/>
          <w:sz w:val="24"/>
          <w:szCs w:val="24"/>
        </w:rPr>
      </w:pPr>
      <w:r>
        <w:rPr>
          <w:noProof/>
          <w:szCs w:val="26"/>
        </w:rPr>
        <w:t>Division 1 — Issue of notices by inspector</w:t>
      </w:r>
    </w:p>
    <w:p>
      <w:pPr>
        <w:pStyle w:val="TOC4"/>
        <w:tabs>
          <w:tab w:val="left" w:pos="1701"/>
        </w:tabs>
        <w:rPr>
          <w:noProof/>
          <w:sz w:val="24"/>
          <w:szCs w:val="24"/>
        </w:rPr>
      </w:pPr>
      <w:r>
        <w:rPr>
          <w:noProof/>
          <w:szCs w:val="24"/>
        </w:rPr>
        <w:t>47A.</w:t>
      </w:r>
      <w:r>
        <w:rPr>
          <w:noProof/>
          <w:sz w:val="24"/>
          <w:szCs w:val="24"/>
        </w:rPr>
        <w:tab/>
      </w:r>
      <w:r>
        <w:rPr>
          <w:noProof/>
          <w:szCs w:val="24"/>
        </w:rPr>
        <w:t>Extended meaning of “employer” and “employee”</w:t>
      </w:r>
      <w:r>
        <w:rPr>
          <w:noProof/>
        </w:rPr>
        <w:tab/>
      </w:r>
      <w:r>
        <w:rPr>
          <w:noProof/>
        </w:rPr>
        <w:fldChar w:fldCharType="begin"/>
      </w:r>
      <w:r>
        <w:rPr>
          <w:noProof/>
        </w:rPr>
        <w:instrText xml:space="preserve"> PAGEREF _Toc131409951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Inspectors may issue improvement notices</w:t>
      </w:r>
      <w:r>
        <w:rPr>
          <w:noProof/>
        </w:rPr>
        <w:tab/>
      </w:r>
      <w:r>
        <w:rPr>
          <w:noProof/>
        </w:rPr>
        <w:fldChar w:fldCharType="begin"/>
      </w:r>
      <w:r>
        <w:rPr>
          <w:noProof/>
        </w:rPr>
        <w:instrText xml:space="preserve"> PAGEREF _Toc131409952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Inspectors may issue prohibition notices</w:t>
      </w:r>
      <w:r>
        <w:rPr>
          <w:noProof/>
        </w:rPr>
        <w:tab/>
      </w:r>
      <w:r>
        <w:rPr>
          <w:noProof/>
        </w:rPr>
        <w:fldChar w:fldCharType="begin"/>
      </w:r>
      <w:r>
        <w:rPr>
          <w:noProof/>
        </w:rPr>
        <w:instrText xml:space="preserve"> PAGEREF _Toc131409953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Notices may include directions</w:t>
      </w:r>
      <w:r>
        <w:rPr>
          <w:noProof/>
        </w:rPr>
        <w:tab/>
      </w:r>
      <w:r>
        <w:rPr>
          <w:noProof/>
        </w:rPr>
        <w:fldChar w:fldCharType="begin"/>
      </w:r>
      <w:r>
        <w:rPr>
          <w:noProof/>
        </w:rPr>
        <w:instrText xml:space="preserve"> PAGEREF _Toc131409954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50A.</w:t>
      </w:r>
      <w:r>
        <w:rPr>
          <w:noProof/>
          <w:sz w:val="24"/>
          <w:szCs w:val="24"/>
        </w:rPr>
        <w:tab/>
      </w:r>
      <w:r>
        <w:rPr>
          <w:noProof/>
          <w:szCs w:val="24"/>
        </w:rPr>
        <w:t>Notices may be issued to the Crown</w:t>
      </w:r>
      <w:r>
        <w:rPr>
          <w:noProof/>
        </w:rPr>
        <w:tab/>
      </w:r>
      <w:r>
        <w:rPr>
          <w:noProof/>
        </w:rPr>
        <w:fldChar w:fldCharType="begin"/>
      </w:r>
      <w:r>
        <w:rPr>
          <w:noProof/>
        </w:rPr>
        <w:instrText xml:space="preserve"> PAGEREF _Toc131409955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Review of notices</w:t>
      </w:r>
      <w:r>
        <w:rPr>
          <w:noProof/>
        </w:rPr>
        <w:tab/>
      </w:r>
      <w:r>
        <w:rPr>
          <w:noProof/>
        </w:rPr>
        <w:fldChar w:fldCharType="begin"/>
      </w:r>
      <w:r>
        <w:rPr>
          <w:noProof/>
        </w:rPr>
        <w:instrText xml:space="preserve"> PAGEREF _Toc131409956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51AA.</w:t>
      </w:r>
      <w:r>
        <w:rPr>
          <w:noProof/>
          <w:sz w:val="24"/>
          <w:szCs w:val="24"/>
        </w:rPr>
        <w:tab/>
      </w:r>
      <w:r>
        <w:rPr>
          <w:noProof/>
          <w:szCs w:val="24"/>
        </w:rPr>
        <w:t>Further power of Commissioner to cancel notice</w:t>
      </w:r>
      <w:r>
        <w:rPr>
          <w:noProof/>
        </w:rPr>
        <w:tab/>
      </w:r>
      <w:r>
        <w:rPr>
          <w:noProof/>
        </w:rPr>
        <w:fldChar w:fldCharType="begin"/>
      </w:r>
      <w:r>
        <w:rPr>
          <w:noProof/>
        </w:rPr>
        <w:instrText xml:space="preserve"> PAGEREF _Toc131409957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51A</w:t>
      </w:r>
      <w:r>
        <w:rPr>
          <w:noProof/>
          <w:snapToGrid w:val="0"/>
          <w:szCs w:val="24"/>
        </w:rPr>
        <w:t xml:space="preserve">. </w:t>
      </w:r>
      <w:r>
        <w:rPr>
          <w:noProof/>
          <w:sz w:val="24"/>
          <w:szCs w:val="24"/>
        </w:rPr>
        <w:tab/>
      </w:r>
      <w:r>
        <w:rPr>
          <w:noProof/>
          <w:snapToGrid w:val="0"/>
          <w:szCs w:val="24"/>
        </w:rPr>
        <w:t>Further review of notices</w:t>
      </w:r>
      <w:r>
        <w:rPr>
          <w:noProof/>
        </w:rPr>
        <w:tab/>
      </w:r>
      <w:r>
        <w:rPr>
          <w:noProof/>
        </w:rPr>
        <w:fldChar w:fldCharType="begin"/>
      </w:r>
      <w:r>
        <w:rPr>
          <w:noProof/>
        </w:rPr>
        <w:instrText xml:space="preserve"> PAGEREF _Toc131409958 \h </w:instrText>
      </w:r>
      <w:r>
        <w:rPr>
          <w:noProof/>
        </w:rPr>
      </w:r>
      <w:r>
        <w:rPr>
          <w:noProof/>
        </w:rPr>
        <w:fldChar w:fldCharType="separate"/>
      </w:r>
      <w:r>
        <w:rPr>
          <w:noProof/>
        </w:rPr>
        <w:t>98</w:t>
      </w:r>
      <w:r>
        <w:rPr>
          <w:noProof/>
        </w:rPr>
        <w:fldChar w:fldCharType="end"/>
      </w:r>
    </w:p>
    <w:p>
      <w:pPr>
        <w:pStyle w:val="TOC3"/>
        <w:rPr>
          <w:b w:val="0"/>
          <w:noProof/>
          <w:sz w:val="24"/>
          <w:szCs w:val="24"/>
        </w:rPr>
      </w:pPr>
      <w:r>
        <w:rPr>
          <w:noProof/>
          <w:szCs w:val="26"/>
        </w:rPr>
        <w:t>Division 2 — Issue of provisional improvement notices by safety and health representative</w:t>
      </w:r>
    </w:p>
    <w:p>
      <w:pPr>
        <w:pStyle w:val="TOC4"/>
        <w:tabs>
          <w:tab w:val="left" w:pos="1701"/>
        </w:tabs>
        <w:rPr>
          <w:noProof/>
          <w:sz w:val="24"/>
          <w:szCs w:val="24"/>
        </w:rPr>
      </w:pPr>
      <w:r>
        <w:rPr>
          <w:noProof/>
          <w:szCs w:val="24"/>
        </w:rPr>
        <w:t>51AB.</w:t>
      </w:r>
      <w:r>
        <w:rPr>
          <w:noProof/>
          <w:sz w:val="24"/>
          <w:szCs w:val="24"/>
        </w:rPr>
        <w:tab/>
      </w:r>
      <w:r>
        <w:rPr>
          <w:noProof/>
          <w:szCs w:val="24"/>
        </w:rPr>
        <w:t>Definition</w:t>
      </w:r>
      <w:r>
        <w:rPr>
          <w:noProof/>
        </w:rPr>
        <w:tab/>
      </w:r>
      <w:r>
        <w:rPr>
          <w:noProof/>
        </w:rPr>
        <w:fldChar w:fldCharType="begin"/>
      </w:r>
      <w:r>
        <w:rPr>
          <w:noProof/>
        </w:rPr>
        <w:instrText xml:space="preserve"> PAGEREF _Toc131409960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4"/>
        </w:rPr>
        <w:t>51AC.</w:t>
      </w:r>
      <w:r>
        <w:rPr>
          <w:noProof/>
          <w:sz w:val="24"/>
          <w:szCs w:val="24"/>
        </w:rPr>
        <w:tab/>
      </w:r>
      <w:r>
        <w:rPr>
          <w:noProof/>
          <w:szCs w:val="24"/>
        </w:rPr>
        <w:t>Issue of provisional improvement notices</w:t>
      </w:r>
      <w:r>
        <w:rPr>
          <w:noProof/>
        </w:rPr>
        <w:tab/>
      </w:r>
      <w:r>
        <w:rPr>
          <w:noProof/>
        </w:rPr>
        <w:fldChar w:fldCharType="begin"/>
      </w:r>
      <w:r>
        <w:rPr>
          <w:noProof/>
        </w:rPr>
        <w:instrText xml:space="preserve"> PAGEREF _Toc131409961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4"/>
        </w:rPr>
        <w:t>51AD.</w:t>
      </w:r>
      <w:r>
        <w:rPr>
          <w:noProof/>
          <w:sz w:val="24"/>
          <w:szCs w:val="24"/>
        </w:rPr>
        <w:tab/>
      </w:r>
      <w:r>
        <w:rPr>
          <w:noProof/>
          <w:szCs w:val="24"/>
        </w:rPr>
        <w:t>Consultation required before issue</w:t>
      </w:r>
      <w:r>
        <w:rPr>
          <w:noProof/>
        </w:rPr>
        <w:tab/>
      </w:r>
      <w:r>
        <w:rPr>
          <w:noProof/>
        </w:rPr>
        <w:fldChar w:fldCharType="begin"/>
      </w:r>
      <w:r>
        <w:rPr>
          <w:noProof/>
        </w:rPr>
        <w:instrText xml:space="preserve"> PAGEREF _Toc131409962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4"/>
        </w:rPr>
        <w:t>51AE.</w:t>
      </w:r>
      <w:r>
        <w:rPr>
          <w:noProof/>
          <w:sz w:val="24"/>
          <w:szCs w:val="24"/>
        </w:rPr>
        <w:tab/>
      </w:r>
      <w:r>
        <w:rPr>
          <w:noProof/>
          <w:szCs w:val="24"/>
        </w:rPr>
        <w:t>Contents of notice</w:t>
      </w:r>
      <w:r>
        <w:rPr>
          <w:noProof/>
        </w:rPr>
        <w:tab/>
      </w:r>
      <w:r>
        <w:rPr>
          <w:noProof/>
        </w:rPr>
        <w:fldChar w:fldCharType="begin"/>
      </w:r>
      <w:r>
        <w:rPr>
          <w:noProof/>
        </w:rPr>
        <w:instrText xml:space="preserve"> PAGEREF _Toc131409963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zCs w:val="24"/>
        </w:rPr>
        <w:t>51AF.</w:t>
      </w:r>
      <w:r>
        <w:rPr>
          <w:noProof/>
          <w:sz w:val="24"/>
          <w:szCs w:val="24"/>
        </w:rPr>
        <w:tab/>
      </w:r>
      <w:r>
        <w:rPr>
          <w:noProof/>
          <w:szCs w:val="24"/>
        </w:rPr>
        <w:t>Provisional notices may include directions</w:t>
      </w:r>
      <w:r>
        <w:rPr>
          <w:noProof/>
        </w:rPr>
        <w:tab/>
      </w:r>
      <w:r>
        <w:rPr>
          <w:noProof/>
        </w:rPr>
        <w:fldChar w:fldCharType="begin"/>
      </w:r>
      <w:r>
        <w:rPr>
          <w:noProof/>
        </w:rPr>
        <w:instrText xml:space="preserve"> PAGEREF _Toc131409964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51AG.</w:t>
      </w:r>
      <w:r>
        <w:rPr>
          <w:noProof/>
          <w:sz w:val="24"/>
          <w:szCs w:val="24"/>
        </w:rPr>
        <w:tab/>
      </w:r>
      <w:r>
        <w:rPr>
          <w:noProof/>
          <w:szCs w:val="24"/>
        </w:rPr>
        <w:t>Failure to comply with notice</w:t>
      </w:r>
      <w:r>
        <w:rPr>
          <w:noProof/>
        </w:rPr>
        <w:tab/>
      </w:r>
      <w:r>
        <w:rPr>
          <w:noProof/>
        </w:rPr>
        <w:fldChar w:fldCharType="begin"/>
      </w:r>
      <w:r>
        <w:rPr>
          <w:noProof/>
        </w:rPr>
        <w:instrText xml:space="preserve"> PAGEREF _Toc131409965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51AH.</w:t>
      </w:r>
      <w:r>
        <w:rPr>
          <w:noProof/>
          <w:sz w:val="24"/>
          <w:szCs w:val="24"/>
        </w:rPr>
        <w:tab/>
      </w:r>
      <w:r>
        <w:rPr>
          <w:noProof/>
          <w:szCs w:val="24"/>
        </w:rPr>
        <w:t>Review of notice by an inspector</w:t>
      </w:r>
      <w:r>
        <w:rPr>
          <w:noProof/>
        </w:rPr>
        <w:tab/>
      </w:r>
      <w:r>
        <w:rPr>
          <w:noProof/>
        </w:rPr>
        <w:fldChar w:fldCharType="begin"/>
      </w:r>
      <w:r>
        <w:rPr>
          <w:noProof/>
        </w:rPr>
        <w:instrText xml:space="preserve"> PAGEREF _Toc131409966 \h </w:instrText>
      </w:r>
      <w:r>
        <w:rPr>
          <w:noProof/>
        </w:rPr>
      </w:r>
      <w:r>
        <w:rPr>
          <w:noProof/>
        </w:rPr>
        <w:fldChar w:fldCharType="separate"/>
      </w:r>
      <w:r>
        <w:rPr>
          <w:noProof/>
        </w:rPr>
        <w:t>102</w:t>
      </w:r>
      <w:r>
        <w:rPr>
          <w:noProof/>
        </w:rPr>
        <w:fldChar w:fldCharType="end"/>
      </w:r>
    </w:p>
    <w:p>
      <w:pPr>
        <w:pStyle w:val="TOC2"/>
        <w:tabs>
          <w:tab w:val="right" w:leader="dot" w:pos="7086"/>
        </w:tabs>
        <w:rPr>
          <w:b w:val="0"/>
          <w:noProof/>
          <w:sz w:val="24"/>
          <w:szCs w:val="24"/>
        </w:rPr>
      </w:pPr>
      <w:r>
        <w:rPr>
          <w:noProof/>
          <w:szCs w:val="30"/>
        </w:rPr>
        <w:t>Part VIA — Safety and health magistrates</w:t>
      </w:r>
    </w:p>
    <w:p>
      <w:pPr>
        <w:pStyle w:val="TOC4"/>
        <w:tabs>
          <w:tab w:val="left" w:pos="1701"/>
        </w:tabs>
        <w:rPr>
          <w:noProof/>
          <w:sz w:val="24"/>
          <w:szCs w:val="24"/>
        </w:rPr>
      </w:pPr>
      <w:r>
        <w:rPr>
          <w:noProof/>
          <w:szCs w:val="24"/>
        </w:rPr>
        <w:t>51B</w:t>
      </w:r>
      <w:r>
        <w:rPr>
          <w:noProof/>
          <w:snapToGrid w:val="0"/>
          <w:szCs w:val="24"/>
        </w:rPr>
        <w:t xml:space="preserve">. </w:t>
      </w:r>
      <w:r>
        <w:rPr>
          <w:noProof/>
          <w:sz w:val="24"/>
          <w:szCs w:val="24"/>
        </w:rPr>
        <w:tab/>
      </w:r>
      <w:r>
        <w:rPr>
          <w:noProof/>
          <w:snapToGrid w:val="0"/>
          <w:szCs w:val="24"/>
        </w:rPr>
        <w:t>Safety and health magistrates</w:t>
      </w:r>
      <w:r>
        <w:rPr>
          <w:noProof/>
        </w:rPr>
        <w:tab/>
      </w:r>
      <w:r>
        <w:rPr>
          <w:noProof/>
        </w:rPr>
        <w:fldChar w:fldCharType="begin"/>
      </w:r>
      <w:r>
        <w:rPr>
          <w:noProof/>
        </w:rPr>
        <w:instrText xml:space="preserve"> PAGEREF _Toc131409968 \h </w:instrText>
      </w:r>
      <w:r>
        <w:rPr>
          <w:noProof/>
        </w:rPr>
      </w:r>
      <w:r>
        <w:rPr>
          <w:noProof/>
        </w:rPr>
        <w:fldChar w:fldCharType="separate"/>
      </w:r>
      <w:r>
        <w:rPr>
          <w:noProof/>
        </w:rPr>
        <w:t>105</w:t>
      </w:r>
      <w:r>
        <w:rPr>
          <w:noProof/>
        </w:rPr>
        <w:fldChar w:fldCharType="end"/>
      </w:r>
    </w:p>
    <w:p>
      <w:pPr>
        <w:pStyle w:val="TOC4"/>
        <w:tabs>
          <w:tab w:val="left" w:pos="1701"/>
        </w:tabs>
        <w:rPr>
          <w:noProof/>
          <w:sz w:val="24"/>
          <w:szCs w:val="24"/>
        </w:rPr>
      </w:pPr>
      <w:r>
        <w:rPr>
          <w:noProof/>
          <w:szCs w:val="24"/>
        </w:rPr>
        <w:t>51C</w:t>
      </w:r>
      <w:r>
        <w:rPr>
          <w:noProof/>
          <w:snapToGrid w:val="0"/>
          <w:szCs w:val="24"/>
        </w:rPr>
        <w:t xml:space="preserve">. </w:t>
      </w:r>
      <w:r>
        <w:rPr>
          <w:noProof/>
          <w:sz w:val="24"/>
          <w:szCs w:val="24"/>
        </w:rPr>
        <w:tab/>
      </w:r>
      <w:r>
        <w:rPr>
          <w:noProof/>
          <w:snapToGrid w:val="0"/>
          <w:szCs w:val="24"/>
        </w:rPr>
        <w:t>Jurisdiction of safety and health magistrate</w:t>
      </w:r>
      <w:r>
        <w:rPr>
          <w:noProof/>
        </w:rPr>
        <w:tab/>
      </w:r>
      <w:r>
        <w:rPr>
          <w:noProof/>
        </w:rPr>
        <w:fldChar w:fldCharType="begin"/>
      </w:r>
      <w:r>
        <w:rPr>
          <w:noProof/>
        </w:rPr>
        <w:instrText xml:space="preserve"> PAGEREF _Toc131409969 \h </w:instrText>
      </w:r>
      <w:r>
        <w:rPr>
          <w:noProof/>
        </w:rPr>
      </w:r>
      <w:r>
        <w:rPr>
          <w:noProof/>
        </w:rPr>
        <w:fldChar w:fldCharType="separate"/>
      </w:r>
      <w:r>
        <w:rPr>
          <w:noProof/>
        </w:rPr>
        <w:t>105</w:t>
      </w:r>
      <w:r>
        <w:rPr>
          <w:noProof/>
        </w:rPr>
        <w:fldChar w:fldCharType="end"/>
      </w:r>
    </w:p>
    <w:p>
      <w:pPr>
        <w:pStyle w:val="TOC4"/>
        <w:tabs>
          <w:tab w:val="left" w:pos="1701"/>
        </w:tabs>
        <w:rPr>
          <w:noProof/>
          <w:sz w:val="24"/>
          <w:szCs w:val="24"/>
        </w:rPr>
      </w:pPr>
      <w:r>
        <w:rPr>
          <w:noProof/>
          <w:szCs w:val="24"/>
        </w:rPr>
        <w:t>51D</w:t>
      </w:r>
      <w:r>
        <w:rPr>
          <w:noProof/>
          <w:snapToGrid w:val="0"/>
          <w:szCs w:val="24"/>
        </w:rPr>
        <w:t xml:space="preserve">. </w:t>
      </w:r>
      <w:r>
        <w:rPr>
          <w:noProof/>
          <w:sz w:val="24"/>
          <w:szCs w:val="24"/>
        </w:rPr>
        <w:tab/>
      </w:r>
      <w:r>
        <w:rPr>
          <w:noProof/>
          <w:snapToGrid w:val="0"/>
          <w:szCs w:val="24"/>
        </w:rPr>
        <w:t>Representation</w:t>
      </w:r>
      <w:r>
        <w:rPr>
          <w:noProof/>
        </w:rPr>
        <w:tab/>
      </w:r>
      <w:r>
        <w:rPr>
          <w:noProof/>
        </w:rPr>
        <w:fldChar w:fldCharType="begin"/>
      </w:r>
      <w:r>
        <w:rPr>
          <w:noProof/>
        </w:rPr>
        <w:instrText xml:space="preserve"> PAGEREF _Toc131409970 \h </w:instrText>
      </w:r>
      <w:r>
        <w:rPr>
          <w:noProof/>
        </w:rPr>
      </w:r>
      <w:r>
        <w:rPr>
          <w:noProof/>
        </w:rPr>
        <w:fldChar w:fldCharType="separate"/>
      </w:r>
      <w:r>
        <w:rPr>
          <w:noProof/>
        </w:rPr>
        <w:t>106</w:t>
      </w:r>
      <w:r>
        <w:rPr>
          <w:noProof/>
        </w:rPr>
        <w:fldChar w:fldCharType="end"/>
      </w:r>
    </w:p>
    <w:p>
      <w:pPr>
        <w:pStyle w:val="TOC4"/>
        <w:tabs>
          <w:tab w:val="left" w:pos="1701"/>
        </w:tabs>
        <w:rPr>
          <w:noProof/>
          <w:sz w:val="24"/>
          <w:szCs w:val="24"/>
        </w:rPr>
      </w:pPr>
      <w:r>
        <w:rPr>
          <w:noProof/>
          <w:szCs w:val="24"/>
        </w:rPr>
        <w:t>51E</w:t>
      </w:r>
      <w:r>
        <w:rPr>
          <w:noProof/>
          <w:snapToGrid w:val="0"/>
          <w:szCs w:val="24"/>
        </w:rPr>
        <w:t xml:space="preserve">. </w:t>
      </w:r>
      <w:r>
        <w:rPr>
          <w:noProof/>
          <w:sz w:val="24"/>
          <w:szCs w:val="24"/>
        </w:rPr>
        <w:tab/>
      </w:r>
      <w:r>
        <w:rPr>
          <w:noProof/>
          <w:snapToGrid w:val="0"/>
          <w:szCs w:val="24"/>
        </w:rPr>
        <w:t>Administrative arrangements</w:t>
      </w:r>
      <w:r>
        <w:rPr>
          <w:noProof/>
        </w:rPr>
        <w:tab/>
      </w:r>
      <w:r>
        <w:rPr>
          <w:noProof/>
        </w:rPr>
        <w:fldChar w:fldCharType="begin"/>
      </w:r>
      <w:r>
        <w:rPr>
          <w:noProof/>
        </w:rPr>
        <w:instrText xml:space="preserve"> PAGEREF _Toc131409971 \h </w:instrText>
      </w:r>
      <w:r>
        <w:rPr>
          <w:noProof/>
        </w:rPr>
      </w:r>
      <w:r>
        <w:rPr>
          <w:noProof/>
        </w:rPr>
        <w:fldChar w:fldCharType="separate"/>
      </w:r>
      <w:r>
        <w:rPr>
          <w:noProof/>
        </w:rPr>
        <w:t>106</w:t>
      </w:r>
      <w:r>
        <w:rPr>
          <w:noProof/>
        </w:rPr>
        <w:fldChar w:fldCharType="end"/>
      </w:r>
    </w:p>
    <w:p>
      <w:pPr>
        <w:pStyle w:val="TOC2"/>
        <w:tabs>
          <w:tab w:val="right" w:leader="dot" w:pos="7086"/>
        </w:tabs>
        <w:rPr>
          <w:b w:val="0"/>
          <w:noProof/>
          <w:sz w:val="24"/>
          <w:szCs w:val="24"/>
        </w:rPr>
      </w:pPr>
      <w:r>
        <w:rPr>
          <w:noProof/>
          <w:szCs w:val="30"/>
        </w:rPr>
        <w:t>Part VIB — Occupational Safety and Health Tribunal</w:t>
      </w:r>
    </w:p>
    <w:p>
      <w:pPr>
        <w:pStyle w:val="TOC4"/>
        <w:tabs>
          <w:tab w:val="left" w:pos="1701"/>
        </w:tabs>
        <w:rPr>
          <w:noProof/>
          <w:sz w:val="24"/>
          <w:szCs w:val="24"/>
        </w:rPr>
      </w:pPr>
      <w:r>
        <w:rPr>
          <w:noProof/>
          <w:szCs w:val="24"/>
        </w:rPr>
        <w:t>51F.</w:t>
      </w:r>
      <w:r>
        <w:rPr>
          <w:noProof/>
          <w:sz w:val="24"/>
          <w:szCs w:val="24"/>
        </w:rPr>
        <w:tab/>
      </w:r>
      <w:r>
        <w:rPr>
          <w:noProof/>
          <w:szCs w:val="24"/>
        </w:rPr>
        <w:t>Interpretation</w:t>
      </w:r>
      <w:r>
        <w:rPr>
          <w:noProof/>
        </w:rPr>
        <w:tab/>
      </w:r>
      <w:r>
        <w:rPr>
          <w:noProof/>
        </w:rPr>
        <w:fldChar w:fldCharType="begin"/>
      </w:r>
      <w:r>
        <w:rPr>
          <w:noProof/>
        </w:rPr>
        <w:instrText xml:space="preserve"> PAGEREF _Toc131409973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51G.</w:t>
      </w:r>
      <w:r>
        <w:rPr>
          <w:noProof/>
          <w:sz w:val="24"/>
          <w:szCs w:val="24"/>
        </w:rPr>
        <w:tab/>
      </w:r>
      <w:r>
        <w:rPr>
          <w:noProof/>
          <w:szCs w:val="24"/>
        </w:rPr>
        <w:t>Industrial Relations Commission sitting as the Occupational Safety and Health Tribunal</w:t>
      </w:r>
      <w:r>
        <w:rPr>
          <w:noProof/>
        </w:rPr>
        <w:tab/>
      </w:r>
      <w:r>
        <w:rPr>
          <w:noProof/>
        </w:rPr>
        <w:fldChar w:fldCharType="begin"/>
      </w:r>
      <w:r>
        <w:rPr>
          <w:noProof/>
        </w:rPr>
        <w:instrText xml:space="preserve"> PAGEREF _Toc131409974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51H.</w:t>
      </w:r>
      <w:r>
        <w:rPr>
          <w:noProof/>
          <w:sz w:val="24"/>
          <w:szCs w:val="24"/>
        </w:rPr>
        <w:tab/>
      </w:r>
      <w:r>
        <w:rPr>
          <w:noProof/>
          <w:szCs w:val="24"/>
        </w:rPr>
        <w:t>Jurisdiction to be exercised by Commissioner with requisite qualifications</w:t>
      </w:r>
      <w:r>
        <w:rPr>
          <w:noProof/>
        </w:rPr>
        <w:tab/>
      </w:r>
      <w:r>
        <w:rPr>
          <w:noProof/>
        </w:rPr>
        <w:fldChar w:fldCharType="begin"/>
      </w:r>
      <w:r>
        <w:rPr>
          <w:noProof/>
        </w:rPr>
        <w:instrText xml:space="preserve"> PAGEREF _Toc131409975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51I.</w:t>
      </w:r>
      <w:r>
        <w:rPr>
          <w:noProof/>
          <w:sz w:val="24"/>
          <w:szCs w:val="24"/>
        </w:rPr>
        <w:tab/>
      </w:r>
      <w:r>
        <w:rPr>
          <w:noProof/>
          <w:szCs w:val="24"/>
        </w:rPr>
        <w:t>Practice, procedure and appeals</w:t>
      </w:r>
      <w:r>
        <w:rPr>
          <w:noProof/>
        </w:rPr>
        <w:tab/>
      </w:r>
      <w:r>
        <w:rPr>
          <w:noProof/>
        </w:rPr>
        <w:fldChar w:fldCharType="begin"/>
      </w:r>
      <w:r>
        <w:rPr>
          <w:noProof/>
        </w:rPr>
        <w:instrText xml:space="preserve"> PAGEREF _Toc131409976 \h </w:instrText>
      </w:r>
      <w:r>
        <w:rPr>
          <w:noProof/>
        </w:rPr>
      </w:r>
      <w:r>
        <w:rPr>
          <w:noProof/>
        </w:rPr>
        <w:fldChar w:fldCharType="separate"/>
      </w:r>
      <w:r>
        <w:rPr>
          <w:noProof/>
        </w:rPr>
        <w:t>108</w:t>
      </w:r>
      <w:r>
        <w:rPr>
          <w:noProof/>
        </w:rPr>
        <w:fldChar w:fldCharType="end"/>
      </w:r>
    </w:p>
    <w:p>
      <w:pPr>
        <w:pStyle w:val="TOC4"/>
        <w:tabs>
          <w:tab w:val="left" w:pos="1701"/>
        </w:tabs>
        <w:rPr>
          <w:noProof/>
          <w:sz w:val="24"/>
          <w:szCs w:val="24"/>
        </w:rPr>
      </w:pPr>
      <w:r>
        <w:rPr>
          <w:noProof/>
          <w:szCs w:val="24"/>
        </w:rPr>
        <w:t>51J.</w:t>
      </w:r>
      <w:r>
        <w:rPr>
          <w:noProof/>
          <w:sz w:val="24"/>
          <w:szCs w:val="24"/>
        </w:rPr>
        <w:tab/>
      </w:r>
      <w:r>
        <w:rPr>
          <w:noProof/>
          <w:szCs w:val="24"/>
        </w:rPr>
        <w:t>Conciliation</w:t>
      </w:r>
      <w:r>
        <w:rPr>
          <w:noProof/>
        </w:rPr>
        <w:tab/>
      </w:r>
      <w:r>
        <w:rPr>
          <w:noProof/>
        </w:rPr>
        <w:fldChar w:fldCharType="begin"/>
      </w:r>
      <w:r>
        <w:rPr>
          <w:noProof/>
        </w:rPr>
        <w:instrText xml:space="preserve"> PAGEREF _Toc131409977 \h </w:instrText>
      </w:r>
      <w:r>
        <w:rPr>
          <w:noProof/>
        </w:rPr>
      </w:r>
      <w:r>
        <w:rPr>
          <w:noProof/>
        </w:rPr>
        <w:fldChar w:fldCharType="separate"/>
      </w:r>
      <w:r>
        <w:rPr>
          <w:noProof/>
        </w:rPr>
        <w:t>109</w:t>
      </w:r>
      <w:r>
        <w:rPr>
          <w:noProof/>
        </w:rPr>
        <w:fldChar w:fldCharType="end"/>
      </w:r>
    </w:p>
    <w:p>
      <w:pPr>
        <w:pStyle w:val="TOC4"/>
        <w:tabs>
          <w:tab w:val="left" w:pos="1701"/>
        </w:tabs>
        <w:rPr>
          <w:noProof/>
          <w:sz w:val="24"/>
          <w:szCs w:val="24"/>
        </w:rPr>
      </w:pPr>
      <w:r>
        <w:rPr>
          <w:noProof/>
          <w:szCs w:val="24"/>
        </w:rPr>
        <w:t>51K.</w:t>
      </w:r>
      <w:r>
        <w:rPr>
          <w:noProof/>
          <w:sz w:val="24"/>
          <w:szCs w:val="24"/>
        </w:rPr>
        <w:tab/>
      </w:r>
      <w:r>
        <w:rPr>
          <w:noProof/>
          <w:szCs w:val="24"/>
        </w:rPr>
        <w:t>Certain matters to be heard together</w:t>
      </w:r>
      <w:r>
        <w:rPr>
          <w:noProof/>
        </w:rPr>
        <w:tab/>
      </w:r>
      <w:r>
        <w:rPr>
          <w:noProof/>
        </w:rPr>
        <w:fldChar w:fldCharType="begin"/>
      </w:r>
      <w:r>
        <w:rPr>
          <w:noProof/>
        </w:rPr>
        <w:instrText xml:space="preserve"> PAGEREF _Toc131409978 \h </w:instrText>
      </w:r>
      <w:r>
        <w:rPr>
          <w:noProof/>
        </w:rPr>
      </w:r>
      <w:r>
        <w:rPr>
          <w:noProof/>
        </w:rPr>
        <w:fldChar w:fldCharType="separate"/>
      </w:r>
      <w:r>
        <w:rPr>
          <w:noProof/>
        </w:rPr>
        <w:t>110</w:t>
      </w:r>
      <w:r>
        <w:rPr>
          <w:noProof/>
        </w:rPr>
        <w:fldChar w:fldCharType="end"/>
      </w:r>
    </w:p>
    <w:p>
      <w:pPr>
        <w:pStyle w:val="TOC2"/>
        <w:tabs>
          <w:tab w:val="right" w:leader="dot" w:pos="7086"/>
        </w:tabs>
        <w:rPr>
          <w:b w:val="0"/>
          <w:noProof/>
          <w:sz w:val="24"/>
          <w:szCs w:val="24"/>
        </w:rPr>
      </w:pPr>
      <w:r>
        <w:rPr>
          <w:noProof/>
          <w:szCs w:val="30"/>
        </w:rPr>
        <w:t>Part VII — Legal proceedings</w:t>
      </w:r>
    </w:p>
    <w:p>
      <w:pPr>
        <w:pStyle w:val="TOC3"/>
        <w:rPr>
          <w:b w:val="0"/>
          <w:noProof/>
          <w:sz w:val="24"/>
          <w:szCs w:val="24"/>
        </w:rPr>
      </w:pPr>
      <w:r>
        <w:rPr>
          <w:noProof/>
          <w:szCs w:val="26"/>
        </w:rPr>
        <w:t>Division 1 — General provisions</w:t>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Prosecutions</w:t>
      </w:r>
      <w:r>
        <w:rPr>
          <w:noProof/>
        </w:rPr>
        <w:tab/>
      </w:r>
      <w:r>
        <w:rPr>
          <w:noProof/>
        </w:rPr>
        <w:fldChar w:fldCharType="begin"/>
      </w:r>
      <w:r>
        <w:rPr>
          <w:noProof/>
        </w:rPr>
        <w:instrText xml:space="preserve"> PAGEREF _Toc131409981 \h </w:instrText>
      </w:r>
      <w:r>
        <w:rPr>
          <w:noProof/>
        </w:rPr>
      </w:r>
      <w:r>
        <w:rPr>
          <w:noProof/>
        </w:rPr>
        <w:fldChar w:fldCharType="separate"/>
      </w:r>
      <w:r>
        <w:rPr>
          <w:noProof/>
        </w:rPr>
        <w:t>112</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Evidentiary provisions</w:t>
      </w:r>
      <w:r>
        <w:rPr>
          <w:noProof/>
        </w:rPr>
        <w:tab/>
      </w:r>
      <w:r>
        <w:rPr>
          <w:noProof/>
        </w:rPr>
        <w:fldChar w:fldCharType="begin"/>
      </w:r>
      <w:r>
        <w:rPr>
          <w:noProof/>
        </w:rPr>
        <w:instrText xml:space="preserve"> PAGEREF _Toc131409982 \h </w:instrText>
      </w:r>
      <w:r>
        <w:rPr>
          <w:noProof/>
        </w:rPr>
      </w:r>
      <w:r>
        <w:rPr>
          <w:noProof/>
        </w:rPr>
        <w:fldChar w:fldCharType="separate"/>
      </w:r>
      <w:r>
        <w:rPr>
          <w:noProof/>
        </w:rPr>
        <w:t>112</w:t>
      </w:r>
      <w:r>
        <w:rPr>
          <w:noProof/>
        </w:rPr>
        <w:fldChar w:fldCharType="end"/>
      </w:r>
    </w:p>
    <w:p>
      <w:pPr>
        <w:pStyle w:val="TOC4"/>
        <w:tabs>
          <w:tab w:val="left" w:pos="1701"/>
        </w:tabs>
        <w:rPr>
          <w:noProof/>
          <w:sz w:val="24"/>
          <w:szCs w:val="24"/>
        </w:rPr>
      </w:pPr>
      <w:r>
        <w:rPr>
          <w:noProof/>
          <w:szCs w:val="24"/>
        </w:rPr>
        <w:t>54.</w:t>
      </w:r>
      <w:r>
        <w:rPr>
          <w:noProof/>
          <w:sz w:val="24"/>
          <w:szCs w:val="24"/>
        </w:rPr>
        <w:tab/>
      </w:r>
      <w:r>
        <w:rPr>
          <w:noProof/>
          <w:szCs w:val="24"/>
        </w:rPr>
        <w:t>General penalty</w:t>
      </w:r>
      <w:r>
        <w:rPr>
          <w:noProof/>
        </w:rPr>
        <w:tab/>
      </w:r>
      <w:r>
        <w:rPr>
          <w:noProof/>
        </w:rPr>
        <w:fldChar w:fldCharType="begin"/>
      </w:r>
      <w:r>
        <w:rPr>
          <w:noProof/>
        </w:rPr>
        <w:instrText xml:space="preserve"> PAGEREF _Toc131409983 \h </w:instrText>
      </w:r>
      <w:r>
        <w:rPr>
          <w:noProof/>
        </w:rPr>
      </w:r>
      <w:r>
        <w:rPr>
          <w:noProof/>
        </w:rPr>
        <w:fldChar w:fldCharType="separate"/>
      </w:r>
      <w:r>
        <w:rPr>
          <w:noProof/>
        </w:rPr>
        <w:t>113</w:t>
      </w:r>
      <w:r>
        <w:rPr>
          <w:noProof/>
        </w:rPr>
        <w:fldChar w:fldCharType="end"/>
      </w:r>
    </w:p>
    <w:p>
      <w:pPr>
        <w:pStyle w:val="TOC4"/>
        <w:tabs>
          <w:tab w:val="left" w:pos="1701"/>
        </w:tabs>
        <w:rPr>
          <w:noProof/>
          <w:sz w:val="24"/>
          <w:szCs w:val="24"/>
        </w:rPr>
      </w:pPr>
      <w:r>
        <w:rPr>
          <w:noProof/>
          <w:szCs w:val="24"/>
        </w:rPr>
        <w:t>54A</w:t>
      </w:r>
      <w:r>
        <w:rPr>
          <w:noProof/>
          <w:snapToGrid w:val="0"/>
          <w:szCs w:val="24"/>
        </w:rPr>
        <w:t xml:space="preserve">. </w:t>
      </w:r>
      <w:r>
        <w:rPr>
          <w:noProof/>
          <w:sz w:val="24"/>
          <w:szCs w:val="24"/>
        </w:rPr>
        <w:tab/>
      </w:r>
      <w:r>
        <w:rPr>
          <w:noProof/>
          <w:snapToGrid w:val="0"/>
          <w:szCs w:val="24"/>
        </w:rPr>
        <w:t>Continuing offences</w:t>
      </w:r>
      <w:r>
        <w:rPr>
          <w:noProof/>
        </w:rPr>
        <w:tab/>
      </w:r>
      <w:r>
        <w:rPr>
          <w:noProof/>
        </w:rPr>
        <w:fldChar w:fldCharType="begin"/>
      </w:r>
      <w:r>
        <w:rPr>
          <w:noProof/>
        </w:rPr>
        <w:instrText xml:space="preserve"> PAGEREF _Toc131409984 \h </w:instrText>
      </w:r>
      <w:r>
        <w:rPr>
          <w:noProof/>
        </w:rPr>
      </w:r>
      <w:r>
        <w:rPr>
          <w:noProof/>
        </w:rPr>
        <w:fldChar w:fldCharType="separate"/>
      </w:r>
      <w:r>
        <w:rPr>
          <w:noProof/>
        </w:rPr>
        <w:t>114</w:t>
      </w:r>
      <w:r>
        <w:rPr>
          <w:noProof/>
        </w:rPr>
        <w:fldChar w:fldCharType="end"/>
      </w:r>
    </w:p>
    <w:p>
      <w:pPr>
        <w:pStyle w:val="TOC4"/>
        <w:tabs>
          <w:tab w:val="left" w:pos="1701"/>
        </w:tabs>
        <w:rPr>
          <w:noProof/>
          <w:sz w:val="24"/>
          <w:szCs w:val="24"/>
        </w:rPr>
      </w:pPr>
      <w:r>
        <w:rPr>
          <w:noProof/>
          <w:szCs w:val="24"/>
        </w:rPr>
        <w:t>54B</w:t>
      </w:r>
      <w:r>
        <w:rPr>
          <w:noProof/>
          <w:snapToGrid w:val="0"/>
          <w:szCs w:val="24"/>
        </w:rPr>
        <w:t xml:space="preserve">. </w:t>
      </w:r>
      <w:r>
        <w:rPr>
          <w:noProof/>
          <w:sz w:val="24"/>
          <w:szCs w:val="24"/>
        </w:rPr>
        <w:tab/>
      </w:r>
      <w:r>
        <w:rPr>
          <w:noProof/>
          <w:snapToGrid w:val="0"/>
          <w:szCs w:val="24"/>
        </w:rPr>
        <w:t>Appeals</w:t>
      </w:r>
      <w:r>
        <w:rPr>
          <w:noProof/>
        </w:rPr>
        <w:tab/>
      </w:r>
      <w:r>
        <w:rPr>
          <w:noProof/>
        </w:rPr>
        <w:fldChar w:fldCharType="begin"/>
      </w:r>
      <w:r>
        <w:rPr>
          <w:noProof/>
        </w:rPr>
        <w:instrText xml:space="preserve"> PAGEREF _Toc131409985 \h </w:instrText>
      </w:r>
      <w:r>
        <w:rPr>
          <w:noProof/>
        </w:rPr>
      </w:r>
      <w:r>
        <w:rPr>
          <w:noProof/>
        </w:rPr>
        <w:fldChar w:fldCharType="separate"/>
      </w:r>
      <w:r>
        <w:rPr>
          <w:noProof/>
        </w:rPr>
        <w:t>114</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Offences by bodies corporate</w:t>
      </w:r>
      <w:r>
        <w:rPr>
          <w:noProof/>
        </w:rPr>
        <w:tab/>
      </w:r>
      <w:r>
        <w:rPr>
          <w:noProof/>
        </w:rPr>
        <w:fldChar w:fldCharType="begin"/>
      </w:r>
      <w:r>
        <w:rPr>
          <w:noProof/>
        </w:rPr>
        <w:instrText xml:space="preserve"> PAGEREF _Toc131409986 \h </w:instrText>
      </w:r>
      <w:r>
        <w:rPr>
          <w:noProof/>
        </w:rPr>
      </w:r>
      <w:r>
        <w:rPr>
          <w:noProof/>
        </w:rPr>
        <w:fldChar w:fldCharType="separate"/>
      </w:r>
      <w:r>
        <w:rPr>
          <w:noProof/>
        </w:rPr>
        <w:t>115</w:t>
      </w:r>
      <w:r>
        <w:rPr>
          <w:noProof/>
        </w:rPr>
        <w:fldChar w:fldCharType="end"/>
      </w:r>
    </w:p>
    <w:p>
      <w:pPr>
        <w:pStyle w:val="TOC4"/>
        <w:tabs>
          <w:tab w:val="left" w:pos="1701"/>
        </w:tabs>
        <w:rPr>
          <w:noProof/>
          <w:sz w:val="24"/>
          <w:szCs w:val="24"/>
        </w:rPr>
      </w:pPr>
      <w:r>
        <w:rPr>
          <w:noProof/>
          <w:szCs w:val="24"/>
        </w:rPr>
        <w:t>55A.</w:t>
      </w:r>
      <w:r>
        <w:rPr>
          <w:noProof/>
          <w:sz w:val="24"/>
          <w:szCs w:val="24"/>
        </w:rPr>
        <w:tab/>
      </w:r>
      <w:r>
        <w:rPr>
          <w:noProof/>
          <w:szCs w:val="24"/>
        </w:rPr>
        <w:t>No double jeopardy</w:t>
      </w:r>
      <w:r>
        <w:rPr>
          <w:noProof/>
        </w:rPr>
        <w:tab/>
      </w:r>
      <w:r>
        <w:rPr>
          <w:noProof/>
        </w:rPr>
        <w:fldChar w:fldCharType="begin"/>
      </w:r>
      <w:r>
        <w:rPr>
          <w:noProof/>
        </w:rPr>
        <w:instrText xml:space="preserve"> PAGEREF _Toc131409987 \h </w:instrText>
      </w:r>
      <w:r>
        <w:rPr>
          <w:noProof/>
        </w:rPr>
      </w:r>
      <w:r>
        <w:rPr>
          <w:noProof/>
        </w:rPr>
        <w:fldChar w:fldCharType="separate"/>
      </w:r>
      <w:r>
        <w:rPr>
          <w:noProof/>
        </w:rPr>
        <w:t>116</w:t>
      </w:r>
      <w:r>
        <w:rPr>
          <w:noProof/>
        </w:rPr>
        <w:fldChar w:fldCharType="end"/>
      </w:r>
    </w:p>
    <w:p>
      <w:pPr>
        <w:pStyle w:val="TOC3"/>
        <w:rPr>
          <w:b w:val="0"/>
          <w:noProof/>
          <w:sz w:val="24"/>
          <w:szCs w:val="24"/>
        </w:rPr>
      </w:pPr>
      <w:r>
        <w:rPr>
          <w:noProof/>
          <w:szCs w:val="26"/>
        </w:rPr>
        <w:t>Division 2 — Criminal proceedings against the Crown</w:t>
      </w:r>
    </w:p>
    <w:p>
      <w:pPr>
        <w:pStyle w:val="TOC4"/>
        <w:tabs>
          <w:tab w:val="left" w:pos="1701"/>
        </w:tabs>
        <w:rPr>
          <w:noProof/>
          <w:sz w:val="24"/>
          <w:szCs w:val="24"/>
        </w:rPr>
      </w:pPr>
      <w:r>
        <w:rPr>
          <w:noProof/>
          <w:szCs w:val="24"/>
        </w:rPr>
        <w:t>55B.</w:t>
      </w:r>
      <w:r>
        <w:rPr>
          <w:noProof/>
          <w:sz w:val="24"/>
          <w:szCs w:val="24"/>
        </w:rPr>
        <w:tab/>
      </w:r>
      <w:r>
        <w:rPr>
          <w:noProof/>
          <w:szCs w:val="24"/>
        </w:rPr>
        <w:t>Crown may be prosecuted</w:t>
      </w:r>
      <w:r>
        <w:rPr>
          <w:noProof/>
        </w:rPr>
        <w:tab/>
      </w:r>
      <w:r>
        <w:rPr>
          <w:noProof/>
        </w:rPr>
        <w:fldChar w:fldCharType="begin"/>
      </w:r>
      <w:r>
        <w:rPr>
          <w:noProof/>
        </w:rPr>
        <w:instrText xml:space="preserve"> PAGEREF _Toc131409989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zCs w:val="24"/>
        </w:rPr>
        <w:t>55C.</w:t>
      </w:r>
      <w:r>
        <w:rPr>
          <w:noProof/>
          <w:sz w:val="24"/>
          <w:szCs w:val="24"/>
        </w:rPr>
        <w:tab/>
      </w:r>
      <w:r>
        <w:rPr>
          <w:noProof/>
          <w:szCs w:val="24"/>
        </w:rPr>
        <w:t>Prosecution against body corporate</w:t>
      </w:r>
      <w:r>
        <w:rPr>
          <w:noProof/>
        </w:rPr>
        <w:tab/>
      </w:r>
      <w:r>
        <w:rPr>
          <w:noProof/>
        </w:rPr>
        <w:fldChar w:fldCharType="begin"/>
      </w:r>
      <w:r>
        <w:rPr>
          <w:noProof/>
        </w:rPr>
        <w:instrText xml:space="preserve"> PAGEREF _Toc131409990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zCs w:val="24"/>
        </w:rPr>
        <w:t>55D.</w:t>
      </w:r>
      <w:r>
        <w:rPr>
          <w:noProof/>
          <w:sz w:val="24"/>
          <w:szCs w:val="24"/>
        </w:rPr>
        <w:tab/>
      </w:r>
      <w:r>
        <w:rPr>
          <w:noProof/>
          <w:szCs w:val="24"/>
        </w:rPr>
        <w:t>Prosecution in other cases</w:t>
      </w:r>
      <w:r>
        <w:rPr>
          <w:noProof/>
        </w:rPr>
        <w:tab/>
      </w:r>
      <w:r>
        <w:rPr>
          <w:noProof/>
        </w:rPr>
        <w:fldChar w:fldCharType="begin"/>
      </w:r>
      <w:r>
        <w:rPr>
          <w:noProof/>
        </w:rPr>
        <w:instrText xml:space="preserve"> PAGEREF _Toc131409991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zCs w:val="24"/>
        </w:rPr>
        <w:t>55E.</w:t>
      </w:r>
      <w:r>
        <w:rPr>
          <w:noProof/>
          <w:sz w:val="24"/>
          <w:szCs w:val="24"/>
        </w:rPr>
        <w:tab/>
      </w:r>
      <w:r>
        <w:rPr>
          <w:noProof/>
          <w:szCs w:val="24"/>
        </w:rPr>
        <w:t>Provisions applicable to responsible agency</w:t>
      </w:r>
      <w:r>
        <w:rPr>
          <w:noProof/>
        </w:rPr>
        <w:tab/>
      </w:r>
      <w:r>
        <w:rPr>
          <w:noProof/>
        </w:rPr>
        <w:fldChar w:fldCharType="begin"/>
      </w:r>
      <w:r>
        <w:rPr>
          <w:noProof/>
        </w:rPr>
        <w:instrText xml:space="preserve"> PAGEREF _Toc131409992 \h </w:instrText>
      </w:r>
      <w:r>
        <w:rPr>
          <w:noProof/>
        </w:rPr>
      </w:r>
      <w:r>
        <w:rPr>
          <w:noProof/>
        </w:rPr>
        <w:fldChar w:fldCharType="separate"/>
      </w:r>
      <w:r>
        <w:rPr>
          <w:noProof/>
        </w:rPr>
        <w:t>118</w:t>
      </w:r>
      <w:r>
        <w:rPr>
          <w:noProof/>
        </w:rPr>
        <w:fldChar w:fldCharType="end"/>
      </w:r>
    </w:p>
    <w:p>
      <w:pPr>
        <w:pStyle w:val="TOC4"/>
        <w:tabs>
          <w:tab w:val="left" w:pos="1701"/>
        </w:tabs>
        <w:rPr>
          <w:noProof/>
          <w:sz w:val="24"/>
          <w:szCs w:val="24"/>
        </w:rPr>
      </w:pPr>
      <w:r>
        <w:rPr>
          <w:noProof/>
          <w:szCs w:val="24"/>
        </w:rPr>
        <w:t>55F.</w:t>
      </w:r>
      <w:r>
        <w:rPr>
          <w:noProof/>
          <w:sz w:val="24"/>
          <w:szCs w:val="24"/>
        </w:rPr>
        <w:tab/>
      </w:r>
      <w:r>
        <w:rPr>
          <w:noProof/>
          <w:szCs w:val="24"/>
        </w:rPr>
        <w:t>Proceedings where agency has ceased to exist</w:t>
      </w:r>
      <w:r>
        <w:rPr>
          <w:noProof/>
        </w:rPr>
        <w:tab/>
      </w:r>
      <w:r>
        <w:rPr>
          <w:noProof/>
        </w:rPr>
        <w:fldChar w:fldCharType="begin"/>
      </w:r>
      <w:r>
        <w:rPr>
          <w:noProof/>
        </w:rPr>
        <w:instrText xml:space="preserve"> PAGEREF _Toc131409993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zCs w:val="24"/>
        </w:rPr>
        <w:t>55G.</w:t>
      </w:r>
      <w:r>
        <w:rPr>
          <w:noProof/>
          <w:sz w:val="24"/>
          <w:szCs w:val="24"/>
        </w:rPr>
        <w:tab/>
      </w:r>
      <w:r>
        <w:rPr>
          <w:noProof/>
          <w:szCs w:val="24"/>
        </w:rPr>
        <w:t>Penalties in proceedings against the Crown</w:t>
      </w:r>
      <w:r>
        <w:rPr>
          <w:noProof/>
        </w:rPr>
        <w:tab/>
      </w:r>
      <w:r>
        <w:rPr>
          <w:noProof/>
        </w:rPr>
        <w:fldChar w:fldCharType="begin"/>
      </w:r>
      <w:r>
        <w:rPr>
          <w:noProof/>
        </w:rPr>
        <w:instrText xml:space="preserve"> PAGEREF _Toc131409994 \h </w:instrText>
      </w:r>
      <w:r>
        <w:rPr>
          <w:noProof/>
        </w:rPr>
      </w:r>
      <w:r>
        <w:rPr>
          <w:noProof/>
        </w:rPr>
        <w:fldChar w:fldCharType="separate"/>
      </w:r>
      <w:r>
        <w:rPr>
          <w:noProof/>
        </w:rPr>
        <w:t>120</w:t>
      </w:r>
      <w:r>
        <w:rPr>
          <w:noProof/>
        </w:rPr>
        <w:fldChar w:fldCharType="end"/>
      </w:r>
    </w:p>
    <w:p>
      <w:pPr>
        <w:pStyle w:val="TOC3"/>
        <w:rPr>
          <w:b w:val="0"/>
          <w:noProof/>
          <w:sz w:val="24"/>
          <w:szCs w:val="24"/>
        </w:rPr>
      </w:pPr>
      <w:r>
        <w:rPr>
          <w:noProof/>
          <w:szCs w:val="26"/>
        </w:rPr>
        <w:t>Division 3 — Undertaking by offender in lieu of payment of fine</w:t>
      </w:r>
    </w:p>
    <w:p>
      <w:pPr>
        <w:pStyle w:val="TOC4"/>
        <w:tabs>
          <w:tab w:val="left" w:pos="1701"/>
        </w:tabs>
        <w:rPr>
          <w:noProof/>
          <w:sz w:val="24"/>
          <w:szCs w:val="24"/>
        </w:rPr>
      </w:pPr>
      <w:r>
        <w:rPr>
          <w:noProof/>
          <w:szCs w:val="24"/>
        </w:rPr>
        <w:t>55H.</w:t>
      </w:r>
      <w:r>
        <w:rPr>
          <w:noProof/>
          <w:sz w:val="24"/>
          <w:szCs w:val="24"/>
        </w:rPr>
        <w:tab/>
      </w:r>
      <w:r>
        <w:rPr>
          <w:noProof/>
          <w:szCs w:val="24"/>
        </w:rPr>
        <w:t>Terms used in this Division</w:t>
      </w:r>
      <w:r>
        <w:rPr>
          <w:noProof/>
        </w:rPr>
        <w:tab/>
      </w:r>
      <w:r>
        <w:rPr>
          <w:noProof/>
        </w:rPr>
        <w:fldChar w:fldCharType="begin"/>
      </w:r>
      <w:r>
        <w:rPr>
          <w:noProof/>
        </w:rPr>
        <w:instrText xml:space="preserve"> PAGEREF _Toc131409996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zCs w:val="24"/>
        </w:rPr>
        <w:t>55I.</w:t>
      </w:r>
      <w:r>
        <w:rPr>
          <w:noProof/>
          <w:sz w:val="24"/>
          <w:szCs w:val="24"/>
        </w:rPr>
        <w:tab/>
      </w:r>
      <w:r>
        <w:rPr>
          <w:noProof/>
          <w:szCs w:val="24"/>
        </w:rPr>
        <w:t>Court may allow offender to make election</w:t>
      </w:r>
      <w:r>
        <w:rPr>
          <w:noProof/>
        </w:rPr>
        <w:tab/>
      </w:r>
      <w:r>
        <w:rPr>
          <w:noProof/>
        </w:rPr>
        <w:fldChar w:fldCharType="begin"/>
      </w:r>
      <w:r>
        <w:rPr>
          <w:noProof/>
        </w:rPr>
        <w:instrText xml:space="preserve"> PAGEREF _Toc131409997 \h </w:instrText>
      </w:r>
      <w:r>
        <w:rPr>
          <w:noProof/>
        </w:rPr>
      </w:r>
      <w:r>
        <w:rPr>
          <w:noProof/>
        </w:rPr>
        <w:fldChar w:fldCharType="separate"/>
      </w:r>
      <w:r>
        <w:rPr>
          <w:noProof/>
        </w:rPr>
        <w:t>121</w:t>
      </w:r>
      <w:r>
        <w:rPr>
          <w:noProof/>
        </w:rPr>
        <w:fldChar w:fldCharType="end"/>
      </w:r>
    </w:p>
    <w:p>
      <w:pPr>
        <w:pStyle w:val="TOC4"/>
        <w:tabs>
          <w:tab w:val="left" w:pos="1701"/>
        </w:tabs>
        <w:rPr>
          <w:noProof/>
          <w:sz w:val="24"/>
          <w:szCs w:val="24"/>
        </w:rPr>
      </w:pPr>
      <w:r>
        <w:rPr>
          <w:noProof/>
          <w:szCs w:val="24"/>
        </w:rPr>
        <w:t>55J.</w:t>
      </w:r>
      <w:r>
        <w:rPr>
          <w:noProof/>
          <w:sz w:val="24"/>
          <w:szCs w:val="24"/>
        </w:rPr>
        <w:tab/>
      </w:r>
      <w:r>
        <w:rPr>
          <w:noProof/>
          <w:szCs w:val="24"/>
        </w:rPr>
        <w:t>Making of election</w:t>
      </w:r>
      <w:r>
        <w:rPr>
          <w:noProof/>
        </w:rPr>
        <w:tab/>
      </w:r>
      <w:r>
        <w:rPr>
          <w:noProof/>
        </w:rPr>
        <w:fldChar w:fldCharType="begin"/>
      </w:r>
      <w:r>
        <w:rPr>
          <w:noProof/>
        </w:rPr>
        <w:instrText xml:space="preserve"> PAGEREF _Toc131409998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55K.</w:t>
      </w:r>
      <w:r>
        <w:rPr>
          <w:noProof/>
          <w:sz w:val="24"/>
          <w:szCs w:val="24"/>
        </w:rPr>
        <w:tab/>
      </w:r>
      <w:r>
        <w:rPr>
          <w:noProof/>
          <w:szCs w:val="24"/>
        </w:rPr>
        <w:t>Failure to enter into undertaking</w:t>
      </w:r>
      <w:r>
        <w:rPr>
          <w:noProof/>
        </w:rPr>
        <w:tab/>
      </w:r>
      <w:r>
        <w:rPr>
          <w:noProof/>
        </w:rPr>
        <w:fldChar w:fldCharType="begin"/>
      </w:r>
      <w:r>
        <w:rPr>
          <w:noProof/>
        </w:rPr>
        <w:instrText xml:space="preserve"> PAGEREF _Toc131409999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55L.</w:t>
      </w:r>
      <w:r>
        <w:rPr>
          <w:noProof/>
          <w:sz w:val="24"/>
          <w:szCs w:val="24"/>
        </w:rPr>
        <w:tab/>
      </w:r>
      <w:r>
        <w:rPr>
          <w:noProof/>
          <w:szCs w:val="24"/>
        </w:rPr>
        <w:t>Time for payment of fines</w:t>
      </w:r>
      <w:r>
        <w:rPr>
          <w:noProof/>
        </w:rPr>
        <w:tab/>
      </w:r>
      <w:r>
        <w:rPr>
          <w:noProof/>
        </w:rPr>
        <w:fldChar w:fldCharType="begin"/>
      </w:r>
      <w:r>
        <w:rPr>
          <w:noProof/>
        </w:rPr>
        <w:instrText xml:space="preserve"> PAGEREF _Toc131410000 \h </w:instrText>
      </w:r>
      <w:r>
        <w:rPr>
          <w:noProof/>
        </w:rPr>
      </w:r>
      <w:r>
        <w:rPr>
          <w:noProof/>
        </w:rPr>
        <w:fldChar w:fldCharType="separate"/>
      </w:r>
      <w:r>
        <w:rPr>
          <w:noProof/>
        </w:rPr>
        <w:t>123</w:t>
      </w:r>
      <w:r>
        <w:rPr>
          <w:noProof/>
        </w:rPr>
        <w:fldChar w:fldCharType="end"/>
      </w:r>
    </w:p>
    <w:p>
      <w:pPr>
        <w:pStyle w:val="TOC4"/>
        <w:tabs>
          <w:tab w:val="left" w:pos="1701"/>
        </w:tabs>
        <w:rPr>
          <w:noProof/>
          <w:sz w:val="24"/>
          <w:szCs w:val="24"/>
        </w:rPr>
      </w:pPr>
      <w:r>
        <w:rPr>
          <w:noProof/>
          <w:szCs w:val="24"/>
        </w:rPr>
        <w:t>55M.</w:t>
      </w:r>
      <w:r>
        <w:rPr>
          <w:noProof/>
          <w:sz w:val="24"/>
          <w:szCs w:val="24"/>
        </w:rPr>
        <w:tab/>
      </w:r>
      <w:r>
        <w:rPr>
          <w:noProof/>
          <w:szCs w:val="24"/>
        </w:rPr>
        <w:t>Nature and terms of undertaking</w:t>
      </w:r>
      <w:r>
        <w:rPr>
          <w:noProof/>
        </w:rPr>
        <w:tab/>
      </w:r>
      <w:r>
        <w:rPr>
          <w:noProof/>
        </w:rPr>
        <w:fldChar w:fldCharType="begin"/>
      </w:r>
      <w:r>
        <w:rPr>
          <w:noProof/>
        </w:rPr>
        <w:instrText xml:space="preserve"> PAGEREF _Toc131410001 \h </w:instrText>
      </w:r>
      <w:r>
        <w:rPr>
          <w:noProof/>
        </w:rPr>
      </w:r>
      <w:r>
        <w:rPr>
          <w:noProof/>
        </w:rPr>
        <w:fldChar w:fldCharType="separate"/>
      </w:r>
      <w:r>
        <w:rPr>
          <w:noProof/>
        </w:rPr>
        <w:t>123</w:t>
      </w:r>
      <w:r>
        <w:rPr>
          <w:noProof/>
        </w:rPr>
        <w:fldChar w:fldCharType="end"/>
      </w:r>
    </w:p>
    <w:p>
      <w:pPr>
        <w:pStyle w:val="TOC4"/>
        <w:tabs>
          <w:tab w:val="left" w:pos="1701"/>
        </w:tabs>
        <w:rPr>
          <w:noProof/>
          <w:sz w:val="24"/>
          <w:szCs w:val="24"/>
        </w:rPr>
      </w:pPr>
      <w:r>
        <w:rPr>
          <w:noProof/>
          <w:szCs w:val="24"/>
        </w:rPr>
        <w:t>55N.</w:t>
      </w:r>
      <w:r>
        <w:rPr>
          <w:noProof/>
          <w:sz w:val="24"/>
          <w:szCs w:val="24"/>
        </w:rPr>
        <w:tab/>
      </w:r>
      <w:r>
        <w:rPr>
          <w:noProof/>
          <w:szCs w:val="24"/>
        </w:rPr>
        <w:t>What may be included in undertaking</w:t>
      </w:r>
      <w:r>
        <w:rPr>
          <w:noProof/>
        </w:rPr>
        <w:tab/>
      </w:r>
      <w:r>
        <w:rPr>
          <w:noProof/>
        </w:rPr>
        <w:fldChar w:fldCharType="begin"/>
      </w:r>
      <w:r>
        <w:rPr>
          <w:noProof/>
        </w:rPr>
        <w:instrText xml:space="preserve"> PAGEREF _Toc131410002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zCs w:val="24"/>
        </w:rPr>
        <w:t>55O.</w:t>
      </w:r>
      <w:r>
        <w:rPr>
          <w:noProof/>
          <w:sz w:val="24"/>
          <w:szCs w:val="24"/>
        </w:rPr>
        <w:tab/>
      </w:r>
      <w:r>
        <w:rPr>
          <w:noProof/>
          <w:szCs w:val="24"/>
        </w:rPr>
        <w:t>Effect of undertaking</w:t>
      </w:r>
      <w:r>
        <w:rPr>
          <w:noProof/>
        </w:rPr>
        <w:tab/>
      </w:r>
      <w:r>
        <w:rPr>
          <w:noProof/>
        </w:rPr>
        <w:fldChar w:fldCharType="begin"/>
      </w:r>
      <w:r>
        <w:rPr>
          <w:noProof/>
        </w:rPr>
        <w:instrText xml:space="preserve"> PAGEREF _Toc131410003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zCs w:val="24"/>
        </w:rPr>
        <w:t>55P.</w:t>
      </w:r>
      <w:r>
        <w:rPr>
          <w:noProof/>
          <w:sz w:val="24"/>
          <w:szCs w:val="24"/>
        </w:rPr>
        <w:tab/>
      </w:r>
      <w:r>
        <w:rPr>
          <w:noProof/>
          <w:szCs w:val="24"/>
        </w:rPr>
        <w:t>Failure to comply with undertaking</w:t>
      </w:r>
      <w:r>
        <w:rPr>
          <w:noProof/>
        </w:rPr>
        <w:tab/>
      </w:r>
      <w:r>
        <w:rPr>
          <w:noProof/>
        </w:rPr>
        <w:fldChar w:fldCharType="begin"/>
      </w:r>
      <w:r>
        <w:rPr>
          <w:noProof/>
        </w:rPr>
        <w:instrText xml:space="preserve"> PAGEREF _Toc131410004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zCs w:val="24"/>
        </w:rPr>
        <w:t>55Q.</w:t>
      </w:r>
      <w:r>
        <w:rPr>
          <w:noProof/>
          <w:sz w:val="24"/>
          <w:szCs w:val="24"/>
        </w:rPr>
        <w:tab/>
      </w:r>
      <w:r>
        <w:rPr>
          <w:noProof/>
          <w:szCs w:val="24"/>
        </w:rPr>
        <w:t>Amendment of undertaking</w:t>
      </w:r>
      <w:r>
        <w:rPr>
          <w:noProof/>
        </w:rPr>
        <w:tab/>
      </w:r>
      <w:r>
        <w:rPr>
          <w:noProof/>
        </w:rPr>
        <w:fldChar w:fldCharType="begin"/>
      </w:r>
      <w:r>
        <w:rPr>
          <w:noProof/>
        </w:rPr>
        <w:instrText xml:space="preserve"> PAGEREF _Toc131410005 \h </w:instrText>
      </w:r>
      <w:r>
        <w:rPr>
          <w:noProof/>
        </w:rPr>
      </w:r>
      <w:r>
        <w:rPr>
          <w:noProof/>
        </w:rPr>
        <w:fldChar w:fldCharType="separate"/>
      </w:r>
      <w:r>
        <w:rPr>
          <w:noProof/>
        </w:rPr>
        <w:t>126</w:t>
      </w:r>
      <w:r>
        <w:rPr>
          <w:noProof/>
        </w:rPr>
        <w:fldChar w:fldCharType="end"/>
      </w:r>
    </w:p>
    <w:p>
      <w:pPr>
        <w:pStyle w:val="TOC4"/>
        <w:tabs>
          <w:tab w:val="left" w:pos="1701"/>
        </w:tabs>
        <w:rPr>
          <w:noProof/>
          <w:sz w:val="24"/>
          <w:szCs w:val="24"/>
        </w:rPr>
      </w:pPr>
      <w:r>
        <w:rPr>
          <w:noProof/>
          <w:szCs w:val="24"/>
        </w:rPr>
        <w:t>55R.</w:t>
      </w:r>
      <w:r>
        <w:rPr>
          <w:noProof/>
          <w:sz w:val="24"/>
          <w:szCs w:val="24"/>
        </w:rPr>
        <w:tab/>
      </w:r>
      <w:r>
        <w:rPr>
          <w:noProof/>
          <w:szCs w:val="24"/>
        </w:rPr>
        <w:t>Undertaking may be published</w:t>
      </w:r>
      <w:r>
        <w:rPr>
          <w:noProof/>
        </w:rPr>
        <w:tab/>
      </w:r>
      <w:r>
        <w:rPr>
          <w:noProof/>
        </w:rPr>
        <w:fldChar w:fldCharType="begin"/>
      </w:r>
      <w:r>
        <w:rPr>
          <w:noProof/>
        </w:rPr>
        <w:instrText xml:space="preserve"> PAGEREF _Toc131410006 \h </w:instrText>
      </w:r>
      <w:r>
        <w:rPr>
          <w:noProof/>
        </w:rPr>
      </w:r>
      <w:r>
        <w:rPr>
          <w:noProof/>
        </w:rPr>
        <w:fldChar w:fldCharType="separate"/>
      </w:r>
      <w:r>
        <w:rPr>
          <w:noProof/>
        </w:rPr>
        <w:t>126</w:t>
      </w:r>
      <w:r>
        <w:rPr>
          <w:noProof/>
        </w:rPr>
        <w:fldChar w:fldCharType="end"/>
      </w:r>
    </w:p>
    <w:p>
      <w:pPr>
        <w:pStyle w:val="TOC2"/>
        <w:tabs>
          <w:tab w:val="right" w:leader="dot" w:pos="7086"/>
        </w:tabs>
        <w:rPr>
          <w:b w:val="0"/>
          <w:noProof/>
          <w:sz w:val="24"/>
          <w:szCs w:val="24"/>
        </w:rPr>
      </w:pPr>
      <w:r>
        <w:rPr>
          <w:noProof/>
          <w:szCs w:val="30"/>
        </w:rPr>
        <w:t>Part VIII — Miscellaneous</w:t>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Discrimination</w:t>
      </w:r>
      <w:r>
        <w:rPr>
          <w:noProof/>
        </w:rPr>
        <w:tab/>
      </w:r>
      <w:r>
        <w:rPr>
          <w:noProof/>
        </w:rPr>
        <w:fldChar w:fldCharType="begin"/>
      </w:r>
      <w:r>
        <w:rPr>
          <w:noProof/>
        </w:rPr>
        <w:instrText xml:space="preserve"> PAGEREF _Toc131410008 \h </w:instrText>
      </w:r>
      <w:r>
        <w:rPr>
          <w:noProof/>
        </w:rPr>
      </w:r>
      <w:r>
        <w:rPr>
          <w:noProof/>
        </w:rPr>
        <w:fldChar w:fldCharType="separate"/>
      </w:r>
      <w:r>
        <w:rPr>
          <w:noProof/>
        </w:rPr>
        <w:t>127</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Codes of practice</w:t>
      </w:r>
      <w:r>
        <w:rPr>
          <w:noProof/>
        </w:rPr>
        <w:tab/>
      </w:r>
      <w:r>
        <w:rPr>
          <w:noProof/>
        </w:rPr>
        <w:fldChar w:fldCharType="begin"/>
      </w:r>
      <w:r>
        <w:rPr>
          <w:noProof/>
        </w:rPr>
        <w:instrText xml:space="preserve"> PAGEREF _Toc131410009 \h </w:instrText>
      </w:r>
      <w:r>
        <w:rPr>
          <w:noProof/>
        </w:rPr>
      </w:r>
      <w:r>
        <w:rPr>
          <w:noProof/>
        </w:rPr>
        <w:fldChar w:fldCharType="separate"/>
      </w:r>
      <w:r>
        <w:rPr>
          <w:noProof/>
        </w:rPr>
        <w:t>128</w:t>
      </w:r>
      <w:r>
        <w:rPr>
          <w:noProof/>
        </w:rPr>
        <w:fldChar w:fldCharType="end"/>
      </w:r>
    </w:p>
    <w:p>
      <w:pPr>
        <w:pStyle w:val="TOC4"/>
        <w:tabs>
          <w:tab w:val="left" w:pos="1701"/>
        </w:tabs>
        <w:rPr>
          <w:noProof/>
          <w:sz w:val="24"/>
          <w:szCs w:val="24"/>
        </w:rPr>
      </w:pPr>
      <w:r>
        <w:rPr>
          <w:noProof/>
          <w:szCs w:val="24"/>
        </w:rPr>
        <w:t>57A.</w:t>
      </w:r>
      <w:r>
        <w:rPr>
          <w:noProof/>
          <w:sz w:val="24"/>
          <w:szCs w:val="24"/>
        </w:rPr>
        <w:tab/>
      </w:r>
      <w:r>
        <w:rPr>
          <w:noProof/>
          <w:szCs w:val="24"/>
        </w:rPr>
        <w:t>Visitors to comply with directions</w:t>
      </w:r>
      <w:r>
        <w:rPr>
          <w:noProof/>
        </w:rPr>
        <w:tab/>
      </w:r>
      <w:r>
        <w:rPr>
          <w:noProof/>
        </w:rPr>
        <w:fldChar w:fldCharType="begin"/>
      </w:r>
      <w:r>
        <w:rPr>
          <w:noProof/>
        </w:rPr>
        <w:instrText xml:space="preserve"> PAGEREF _Toc131410010 \h </w:instrText>
      </w:r>
      <w:r>
        <w:rPr>
          <w:noProof/>
        </w:rPr>
      </w:r>
      <w:r>
        <w:rPr>
          <w:noProof/>
        </w:rPr>
        <w:fldChar w:fldCharType="separate"/>
      </w:r>
      <w:r>
        <w:rPr>
          <w:noProof/>
        </w:rPr>
        <w:t>129</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Governor may transfer administration of certain laws to Minister</w:t>
      </w:r>
      <w:r>
        <w:rPr>
          <w:noProof/>
        </w:rPr>
        <w:tab/>
      </w:r>
      <w:r>
        <w:rPr>
          <w:noProof/>
        </w:rPr>
        <w:fldChar w:fldCharType="begin"/>
      </w:r>
      <w:r>
        <w:rPr>
          <w:noProof/>
        </w:rPr>
        <w:instrText xml:space="preserve"> PAGEREF _Toc131410011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Liability of members</w:t>
      </w:r>
      <w:r>
        <w:rPr>
          <w:noProof/>
        </w:rPr>
        <w:tab/>
      </w:r>
      <w:r>
        <w:rPr>
          <w:noProof/>
        </w:rPr>
        <w:fldChar w:fldCharType="begin"/>
      </w:r>
      <w:r>
        <w:rPr>
          <w:noProof/>
        </w:rPr>
        <w:instrText xml:space="preserve"> PAGEREF _Toc131410012 \h </w:instrText>
      </w:r>
      <w:r>
        <w:rPr>
          <w:noProof/>
        </w:rPr>
      </w:r>
      <w:r>
        <w:rPr>
          <w:noProof/>
        </w:rPr>
        <w:fldChar w:fldCharType="separate"/>
      </w:r>
      <w:r>
        <w:rPr>
          <w:noProof/>
        </w:rPr>
        <w:t>131</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_Toc131410013 \h </w:instrText>
      </w:r>
      <w:r>
        <w:rPr>
          <w:noProof/>
        </w:rPr>
      </w:r>
      <w:r>
        <w:rPr>
          <w:noProof/>
        </w:rPr>
        <w:fldChar w:fldCharType="separate"/>
      </w:r>
      <w:r>
        <w:rPr>
          <w:noProof/>
        </w:rPr>
        <w:t>132</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Review of Act</w:t>
      </w:r>
      <w:r>
        <w:rPr>
          <w:noProof/>
        </w:rPr>
        <w:tab/>
      </w:r>
      <w:r>
        <w:rPr>
          <w:noProof/>
        </w:rPr>
        <w:fldChar w:fldCharType="begin"/>
      </w:r>
      <w:r>
        <w:rPr>
          <w:noProof/>
        </w:rPr>
        <w:instrText xml:space="preserve"> PAGEREF _Toc131410014 \h </w:instrText>
      </w:r>
      <w:r>
        <w:rPr>
          <w:noProof/>
        </w:rPr>
      </w:r>
      <w:r>
        <w:rPr>
          <w:noProof/>
        </w:rPr>
        <w:fldChar w:fldCharType="separate"/>
      </w:r>
      <w:r>
        <w:rPr>
          <w:noProof/>
        </w:rPr>
        <w:t>134</w:t>
      </w:r>
      <w:r>
        <w:rPr>
          <w:noProof/>
        </w:rPr>
        <w:fldChar w:fldCharType="end"/>
      </w:r>
    </w:p>
    <w:p>
      <w:pPr>
        <w:pStyle w:val="TOC5"/>
        <w:rPr>
          <w:b w:val="0"/>
          <w:noProof/>
          <w:sz w:val="24"/>
          <w:szCs w:val="24"/>
        </w:rPr>
      </w:pPr>
      <w:r>
        <w:rPr>
          <w:noProof/>
          <w:szCs w:val="28"/>
        </w:rPr>
        <w:t>Schedule</w:t>
      </w:r>
      <w:r>
        <w:rPr>
          <w:noProof/>
        </w:rPr>
        <w:tab/>
      </w:r>
      <w:r>
        <w:rPr>
          <w:noProof/>
        </w:rPr>
        <w:fldChar w:fldCharType="begin"/>
      </w:r>
      <w:r>
        <w:rPr>
          <w:noProof/>
        </w:rPr>
        <w:instrText xml:space="preserve"> PAGEREF _Toc131410015 \h </w:instrText>
      </w:r>
      <w:r>
        <w:rPr>
          <w:noProof/>
        </w:rPr>
      </w:r>
      <w:r>
        <w:rPr>
          <w:noProof/>
        </w:rPr>
        <w:fldChar w:fldCharType="separate"/>
      </w:r>
      <w:r>
        <w:rPr>
          <w:noProof/>
        </w:rPr>
        <w:t>135</w:t>
      </w:r>
      <w:r>
        <w:rPr>
          <w:noProof/>
        </w:rPr>
        <w:fldChar w:fldCharType="end"/>
      </w:r>
    </w:p>
    <w:p>
      <w:pPr>
        <w:pStyle w:val="TOC7"/>
        <w:rPr>
          <w:noProof/>
          <w:sz w:val="24"/>
          <w:szCs w:val="24"/>
        </w:rPr>
      </w:pPr>
      <w:r>
        <w:rPr>
          <w:noProof/>
          <w:szCs w:val="28"/>
        </w:rPr>
        <w:t>Subject matter for regulations</w:t>
      </w:r>
      <w:r>
        <w:rPr>
          <w:noProof/>
        </w:rPr>
        <w:tab/>
      </w:r>
      <w:r>
        <w:rPr>
          <w:noProof/>
        </w:rPr>
        <w:fldChar w:fldCharType="begin"/>
      </w:r>
      <w:r>
        <w:rPr>
          <w:noProof/>
        </w:rPr>
        <w:instrText xml:space="preserve"> PAGEREF _Toc131410016 \h </w:instrText>
      </w:r>
      <w:r>
        <w:rPr>
          <w:noProof/>
        </w:rPr>
      </w:r>
      <w:r>
        <w:rPr>
          <w:noProof/>
        </w:rPr>
        <w:fldChar w:fldCharType="separate"/>
      </w:r>
      <w:r>
        <w:rPr>
          <w:noProof/>
        </w:rPr>
        <w:t>135</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_Toc131410018 \h </w:instrText>
      </w:r>
      <w:r>
        <w:rPr>
          <w:noProof/>
        </w:rPr>
      </w:r>
      <w:r>
        <w:rPr>
          <w:noProof/>
        </w:rPr>
        <w:fldChar w:fldCharType="separate"/>
      </w:r>
      <w:r>
        <w:rPr>
          <w:noProof/>
        </w:rPr>
        <w:t>139</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_Toc131410019 \h </w:instrText>
      </w:r>
      <w:r>
        <w:rPr>
          <w:noProof/>
        </w:rPr>
      </w:r>
      <w:r>
        <w:rPr>
          <w:noProof/>
        </w:rPr>
        <w:fldChar w:fldCharType="separate"/>
      </w:r>
      <w:r>
        <w:rPr>
          <w:noProof/>
        </w:rPr>
        <w:t>141</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200"/>
      </w:pPr>
      <w:r>
        <w:t xml:space="preserve">Occupational Safety and Health Act 1984 </w:t>
      </w:r>
    </w:p>
    <w:p>
      <w:pPr>
        <w:pStyle w:val="LongTitle"/>
        <w:rPr>
          <w:snapToGrid w:val="0"/>
        </w:rPr>
      </w:pPr>
      <w:r>
        <w:rPr>
          <w:snapToGrid w:val="0"/>
        </w:rPr>
        <w:t xml:space="preserve">An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 xml:space="preserve">to facilitate the coordination of the administration of the laws relating to occupational safety and health and for incidental and other purposes. </w:t>
      </w:r>
    </w:p>
    <w:p>
      <w:pPr>
        <w:pStyle w:val="Footnotelongtitle"/>
      </w:pPr>
      <w:r>
        <w:tab/>
        <w:t xml:space="preserve">[Long title amended by No. 30 of 1995 s. 4; No. 74 of 2003 s. 87(2); No. 51 of 2004 s. 62.] </w:t>
      </w:r>
    </w:p>
    <w:p>
      <w:pPr>
        <w:pStyle w:val="Heading2"/>
      </w:pPr>
      <w:bookmarkStart w:id="1" w:name="_Toc88990626"/>
      <w:bookmarkStart w:id="2" w:name="_Toc89568188"/>
      <w:bookmarkStart w:id="3" w:name="_Toc93200865"/>
      <w:bookmarkStart w:id="4" w:name="_Toc97006536"/>
      <w:bookmarkStart w:id="5" w:name="_Toc100545105"/>
      <w:bookmarkStart w:id="6" w:name="_Toc100716584"/>
      <w:bookmarkStart w:id="7" w:name="_Toc102546173"/>
      <w:bookmarkStart w:id="8" w:name="_Toc103141396"/>
      <w:bookmarkStart w:id="9" w:name="_Toc105909008"/>
      <w:bookmarkStart w:id="10" w:name="_Toc105921894"/>
      <w:bookmarkStart w:id="11" w:name="_Toc106616732"/>
      <w:bookmarkStart w:id="12" w:name="_Toc108848476"/>
      <w:bookmarkStart w:id="13" w:name="_Toc109702759"/>
      <w:bookmarkStart w:id="14" w:name="_Toc113700316"/>
      <w:bookmarkStart w:id="15" w:name="_Toc113778974"/>
      <w:bookmarkStart w:id="16" w:name="_Toc122767355"/>
      <w:bookmarkStart w:id="17" w:name="_Toc122767598"/>
      <w:bookmarkStart w:id="18" w:name="_Toc13140984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Footnoteheading"/>
        <w:rPr>
          <w:snapToGrid w:val="0"/>
        </w:rPr>
      </w:pPr>
      <w:r>
        <w:rPr>
          <w:snapToGrid w:val="0"/>
        </w:rPr>
        <w:tab/>
        <w:t xml:space="preserve">[Heading inserted by No. 43 of 1987 s. 4.] </w:t>
      </w:r>
    </w:p>
    <w:p>
      <w:pPr>
        <w:pStyle w:val="Heading5"/>
        <w:rPr>
          <w:snapToGrid w:val="0"/>
        </w:rPr>
      </w:pPr>
      <w:bookmarkStart w:id="19" w:name="_Toc402776378"/>
      <w:bookmarkStart w:id="20" w:name="_Toc403985241"/>
      <w:bookmarkStart w:id="21" w:name="_Toc59593015"/>
      <w:bookmarkStart w:id="22" w:name="_Toc109702760"/>
      <w:bookmarkStart w:id="23" w:name="_Toc131409846"/>
      <w:r>
        <w:rPr>
          <w:rStyle w:val="CharSectno"/>
        </w:rPr>
        <w:t>1</w:t>
      </w:r>
      <w:r>
        <w:rPr>
          <w:snapToGrid w:val="0"/>
        </w:rPr>
        <w:t>.</w:t>
      </w:r>
      <w:r>
        <w:rPr>
          <w:snapToGrid w:val="0"/>
        </w:rPr>
        <w:tab/>
        <w:t>Short title</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 xml:space="preserve">[Section 1 amended by No. 30 of 1995 s. 5.] </w:t>
      </w:r>
    </w:p>
    <w:p>
      <w:pPr>
        <w:pStyle w:val="Heading5"/>
        <w:spacing w:before="160"/>
        <w:rPr>
          <w:snapToGrid w:val="0"/>
        </w:rPr>
      </w:pPr>
      <w:bookmarkStart w:id="24" w:name="_Toc402776379"/>
      <w:bookmarkStart w:id="25" w:name="_Toc403985242"/>
      <w:bookmarkStart w:id="26" w:name="_Toc59593016"/>
      <w:bookmarkStart w:id="27" w:name="_Toc109702761"/>
      <w:bookmarkStart w:id="28" w:name="_Toc131409847"/>
      <w:r>
        <w:rPr>
          <w:rStyle w:val="CharSectno"/>
        </w:rPr>
        <w:t>2</w:t>
      </w:r>
      <w:r>
        <w:rPr>
          <w:snapToGrid w:val="0"/>
        </w:rPr>
        <w:t>.</w:t>
      </w:r>
      <w:r>
        <w:rPr>
          <w:snapToGrid w:val="0"/>
        </w:rPr>
        <w:tab/>
        <w:t>Commencement</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29" w:name="_Toc402776380"/>
      <w:bookmarkStart w:id="30" w:name="_Toc403985243"/>
      <w:bookmarkStart w:id="31" w:name="_Toc59593017"/>
      <w:bookmarkStart w:id="32" w:name="_Toc109702762"/>
      <w:bookmarkStart w:id="33" w:name="_Toc131409848"/>
      <w:r>
        <w:rPr>
          <w:rStyle w:val="CharSectno"/>
        </w:rPr>
        <w:t>3</w:t>
      </w:r>
      <w:r>
        <w:rPr>
          <w:snapToGrid w:val="0"/>
        </w:rPr>
        <w:t>.</w:t>
      </w:r>
      <w:r>
        <w:rPr>
          <w:snapToGrid w:val="0"/>
        </w:rPr>
        <w:tab/>
        <w:t>Interpretation</w:t>
      </w:r>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appointed member</w:t>
      </w:r>
      <w:r>
        <w:rPr>
          <w:b/>
        </w:rPr>
        <w:t>”</w:t>
      </w:r>
      <w:r>
        <w:t xml:space="preserve"> means a member of the Commission referred to in section 6(2)(a) or (d);</w:t>
      </w:r>
    </w:p>
    <w:p>
      <w:pPr>
        <w:pStyle w:val="Defstart"/>
      </w:pPr>
      <w:r>
        <w:rPr>
          <w:b/>
        </w:rPr>
        <w:tab/>
        <w:t>“</w:t>
      </w:r>
      <w:r>
        <w:rPr>
          <w:rStyle w:val="CharDefText"/>
        </w:rPr>
        <w:t>apprentice</w:t>
      </w:r>
      <w:r>
        <w:rPr>
          <w:b/>
        </w:rPr>
        <w:t>”</w:t>
      </w:r>
      <w:r>
        <w:t xml:space="preserve"> — </w:t>
      </w:r>
    </w:p>
    <w:p>
      <w:pPr>
        <w:pStyle w:val="Defpara"/>
      </w:pPr>
      <w:r>
        <w:tab/>
        <w:t>(a)</w:t>
      </w:r>
      <w:r>
        <w:tab/>
        <w:t xml:space="preserve">means an apprentice under the </w:t>
      </w:r>
      <w:r>
        <w:rPr>
          <w:i/>
          <w:iCs/>
        </w:rPr>
        <w:t>Industrial Training Act 1975</w:t>
      </w:r>
      <w:r>
        <w:t>; or</w:t>
      </w:r>
    </w:p>
    <w:p>
      <w:pPr>
        <w:pStyle w:val="Defpara"/>
      </w:pPr>
      <w:r>
        <w:tab/>
        <w:t>(b)</w:t>
      </w:r>
      <w:r>
        <w:tab/>
        <w:t xml:space="preserve">if Part 7 of the </w:t>
      </w:r>
      <w:r>
        <w:rPr>
          <w:i/>
          <w:iCs/>
        </w:rPr>
        <w:t>Vocational Education and Training Act 1996</w:t>
      </w:r>
      <w:r>
        <w:t xml:space="preserve"> comes into operation, means a person who, as an employee, has entered into an apprenticeship within the meaning of that term in section 58 of that Act;</w:t>
      </w:r>
    </w:p>
    <w:p>
      <w:pPr>
        <w:pStyle w:val="Defstart"/>
      </w:pPr>
      <w:r>
        <w:rPr>
          <w:b/>
        </w:rPr>
        <w:tab/>
        <w:t>“</w:t>
      </w:r>
      <w:r>
        <w:rPr>
          <w:rStyle w:val="CharDefText"/>
        </w:rPr>
        <w:t>Australian Standard</w:t>
      </w:r>
      <w:r>
        <w:rPr>
          <w:b/>
        </w:rPr>
        <w:t>”</w:t>
      </w:r>
      <w:r>
        <w:t xml:space="preserve"> means a document having that title published by Standards Australia International Limited (ACN 087 326 690);</w:t>
      </w:r>
    </w:p>
    <w:p>
      <w:pPr>
        <w:pStyle w:val="Defstart"/>
      </w:pPr>
      <w:r>
        <w:rPr>
          <w:b/>
        </w:rPr>
        <w:tab/>
        <w:t>“</w:t>
      </w:r>
      <w:r>
        <w:rPr>
          <w:rStyle w:val="CharDefText"/>
        </w:rPr>
        <w:t>Australian/New Zealand Standard</w:t>
      </w:r>
      <w:r>
        <w:rPr>
          <w:b/>
        </w:rPr>
        <w:t>”</w:t>
      </w:r>
      <w:r>
        <w:t xml:space="preserve"> means a document having that title published jointly by — </w:t>
      </w:r>
    </w:p>
    <w:p>
      <w:pPr>
        <w:pStyle w:val="Defpara"/>
      </w:pPr>
      <w:r>
        <w:tab/>
        <w:t>(a)</w:t>
      </w:r>
      <w:r>
        <w:tab/>
        <w:t>Standards Australia International Limited (ACN 087 326 690); and</w:t>
      </w:r>
    </w:p>
    <w:p>
      <w:pPr>
        <w:pStyle w:val="Defpara"/>
      </w:pPr>
      <w:r>
        <w:tab/>
        <w:t>(b)</w:t>
      </w:r>
      <w:r>
        <w:tab/>
        <w:t>the Standards Council of New Zealand;</w:t>
      </w:r>
    </w:p>
    <w:p>
      <w:pPr>
        <w:pStyle w:val="Defstart"/>
      </w:pPr>
      <w:r>
        <w:rPr>
          <w:b/>
        </w:rPr>
        <w:tab/>
        <w:t>“</w:t>
      </w:r>
      <w:r>
        <w:rPr>
          <w:rStyle w:val="CharDefText"/>
        </w:rPr>
        <w:t>chairperson</w:t>
      </w:r>
      <w:r>
        <w:rPr>
          <w:b/>
        </w:rPr>
        <w:t>”</w:t>
      </w:r>
      <w:r>
        <w:t xml:space="preserve"> means the chairperson of the Commission;</w:t>
      </w:r>
    </w:p>
    <w:p>
      <w:pPr>
        <w:pStyle w:val="Defstart"/>
      </w:pPr>
      <w:r>
        <w:rPr>
          <w:b/>
        </w:rPr>
        <w:tab/>
        <w:t>“</w:t>
      </w:r>
      <w:r>
        <w:rPr>
          <w:rStyle w:val="CharDefText"/>
        </w:rPr>
        <w:t>code of practice</w:t>
      </w:r>
      <w:r>
        <w:rPr>
          <w:b/>
        </w:rPr>
        <w:t>”</w:t>
      </w:r>
      <w:r>
        <w:t xml:space="preserve"> means a code of practice approved by the Minister under Part VIII;</w:t>
      </w:r>
    </w:p>
    <w:p>
      <w:pPr>
        <w:pStyle w:val="Defstart"/>
      </w:pPr>
      <w:r>
        <w:rPr>
          <w:b/>
        </w:rPr>
        <w:tab/>
        <w:t>“</w:t>
      </w:r>
      <w:r>
        <w:rPr>
          <w:rStyle w:val="CharDefText"/>
        </w:rPr>
        <w:t>Commission</w:t>
      </w:r>
      <w:r>
        <w:rPr>
          <w:b/>
        </w:rPr>
        <w:t>”</w:t>
      </w:r>
      <w:r>
        <w:t xml:space="preserve"> means the Commission for Occupational Safety and Health established under this Act;</w:t>
      </w:r>
    </w:p>
    <w:p>
      <w:pPr>
        <w:pStyle w:val="Defstart"/>
      </w:pPr>
      <w:r>
        <w:rPr>
          <w:b/>
        </w:rPr>
        <w:tab/>
        <w:t>“</w:t>
      </w:r>
      <w:r>
        <w:rPr>
          <w:rStyle w:val="CharDefText"/>
        </w:rPr>
        <w:t>Commissioner</w:t>
      </w:r>
      <w:r>
        <w:rPr>
          <w:b/>
        </w:rPr>
        <w:t>”</w:t>
      </w:r>
      <w:r>
        <w:t xml:space="preserve"> means the person holding office as WorkSafe Western Australia Commissioner under section 9;</w:t>
      </w:r>
    </w:p>
    <w:p>
      <w:pPr>
        <w:pStyle w:val="Defstart"/>
      </w:pPr>
      <w:r>
        <w:tab/>
      </w:r>
      <w:r>
        <w:rPr>
          <w:b/>
        </w:rPr>
        <w:t>“</w:t>
      </w:r>
      <w:r>
        <w:rPr>
          <w:rStyle w:val="CharDefText"/>
        </w:rPr>
        <w:t>Commissioner of Police</w:t>
      </w:r>
      <w:r>
        <w:rPr>
          <w:b/>
        </w:rPr>
        <w:t>”</w:t>
      </w:r>
      <w:r>
        <w:t xml:space="preserve"> means the person holding the office of Commissioner of Police under the </w:t>
      </w:r>
      <w:r>
        <w:rPr>
          <w:i/>
        </w:rPr>
        <w:t>Police Act 1892</w:t>
      </w:r>
      <w:r>
        <w:t>;</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employee</w:t>
      </w:r>
      <w:r>
        <w:rPr>
          <w:b/>
        </w:rPr>
        <w:t>”</w:t>
      </w:r>
      <w:r>
        <w:t xml:space="preserve"> means — </w:t>
      </w:r>
    </w:p>
    <w:p>
      <w:pPr>
        <w:pStyle w:val="Defpara"/>
        <w:spacing w:before="60"/>
      </w:pPr>
      <w:r>
        <w:tab/>
        <w:t>(a)</w:t>
      </w:r>
      <w:r>
        <w:tab/>
        <w:t>a person by whom work is done under a contract of employment; or</w:t>
      </w:r>
    </w:p>
    <w:p>
      <w:pPr>
        <w:pStyle w:val="Defpara"/>
        <w:spacing w:before="60"/>
      </w:pPr>
      <w:r>
        <w:tab/>
        <w:t>(b)</w:t>
      </w:r>
      <w:r>
        <w:tab/>
        <w:t>an apprentice or trainee;</w:t>
      </w:r>
    </w:p>
    <w:p>
      <w:pPr>
        <w:pStyle w:val="Defstart"/>
      </w:pPr>
      <w:r>
        <w:rPr>
          <w:b/>
        </w:rPr>
        <w:tab/>
        <w:t>“</w:t>
      </w:r>
      <w:r>
        <w:rPr>
          <w:rStyle w:val="CharDefText"/>
        </w:rPr>
        <w:t>employer</w:t>
      </w:r>
      <w:r>
        <w:rPr>
          <w:b/>
        </w:rPr>
        <w:t>”</w:t>
      </w:r>
      <w:r>
        <w:t xml:space="preserve"> means — </w:t>
      </w:r>
    </w:p>
    <w:p>
      <w:pPr>
        <w:pStyle w:val="Defpara"/>
      </w:pPr>
      <w:r>
        <w:tab/>
        <w:t>(a)</w:t>
      </w:r>
      <w:r>
        <w:tab/>
        <w:t>a person that employs an employee under a contract of employment; and</w:t>
      </w:r>
    </w:p>
    <w:p>
      <w:pPr>
        <w:pStyle w:val="Defpara"/>
      </w:pPr>
      <w:r>
        <w:tab/>
        <w:t>(b)</w:t>
      </w:r>
      <w:r>
        <w:tab/>
        <w:t xml:space="preserve">in relation to an apprentice or trainee, the person that employs the apprentice or trainee under an apprenticeship or traineeship scheme under the </w:t>
      </w:r>
      <w:r>
        <w:rPr>
          <w:i/>
        </w:rPr>
        <w:t>Industrial Training Act 1975</w:t>
      </w:r>
      <w:r>
        <w:t>;</w:t>
      </w:r>
    </w:p>
    <w:p>
      <w:pPr>
        <w:pStyle w:val="Defstart"/>
      </w:pPr>
      <w:r>
        <w:rPr>
          <w:b/>
        </w:rPr>
        <w:tab/>
        <w:t>“</w:t>
      </w:r>
      <w:r>
        <w:rPr>
          <w:rStyle w:val="CharDefText"/>
        </w:rPr>
        <w:t>hazard</w:t>
      </w:r>
      <w:r>
        <w:rPr>
          <w:b/>
        </w:rPr>
        <w:t>”</w:t>
      </w:r>
      <w:r>
        <w:t>, in relation to a person, means anything that may result in — </w:t>
      </w:r>
    </w:p>
    <w:p>
      <w:pPr>
        <w:pStyle w:val="Defpara"/>
      </w:pPr>
      <w:r>
        <w:tab/>
        <w:t>(a)</w:t>
      </w:r>
      <w:r>
        <w:tab/>
        <w:t>injury to the person; or</w:t>
      </w:r>
    </w:p>
    <w:p>
      <w:pPr>
        <w:pStyle w:val="Defpara"/>
      </w:pPr>
      <w:r>
        <w:tab/>
        <w:t>(b)</w:t>
      </w:r>
      <w:r>
        <w:tab/>
        <w:t>harm to the health of the person;</w:t>
      </w:r>
    </w:p>
    <w:p>
      <w:pPr>
        <w:pStyle w:val="Defstart"/>
      </w:pPr>
      <w:r>
        <w:rPr>
          <w:b/>
        </w:rPr>
        <w:tab/>
        <w:t>“</w:t>
      </w:r>
      <w:r>
        <w:rPr>
          <w:rStyle w:val="CharDefText"/>
        </w:rPr>
        <w:t>import</w:t>
      </w:r>
      <w:r>
        <w:rPr>
          <w:b/>
        </w:rPr>
        <w:t>”</w:t>
      </w:r>
      <w:r>
        <w:t xml:space="preserve"> means to bring into the State, whether from outside Australia or otherwise;</w:t>
      </w:r>
    </w:p>
    <w:p>
      <w:pPr>
        <w:pStyle w:val="Defstart"/>
      </w:pPr>
      <w:r>
        <w:rPr>
          <w:b/>
        </w:rPr>
        <w:tab/>
        <w:t>“</w:t>
      </w:r>
      <w:r>
        <w:rPr>
          <w:rStyle w:val="CharDefText"/>
        </w:rPr>
        <w:t>improvement notice</w:t>
      </w:r>
      <w:r>
        <w:rPr>
          <w:b/>
        </w:rPr>
        <w:t>”</w:t>
      </w:r>
      <w:r>
        <w:t xml:space="preserve"> means an improvement notice issued under Part VI;</w:t>
      </w:r>
    </w:p>
    <w:p>
      <w:pPr>
        <w:pStyle w:val="Defstart"/>
      </w:pPr>
      <w:r>
        <w:rPr>
          <w:b/>
        </w:rPr>
        <w:tab/>
        <w:t>“</w:t>
      </w:r>
      <w:r>
        <w:rPr>
          <w:rStyle w:val="CharDefText"/>
        </w:rPr>
        <w:t>inspector</w:t>
      </w:r>
      <w:r>
        <w:rPr>
          <w:b/>
        </w:rPr>
        <w:t>”</w:t>
      </w:r>
      <w:r>
        <w:t xml:space="preserve"> means an inspector appointed under section 42, and subject to section 42B(3), includes a restricted inspector appointed under section 42A;</w:t>
      </w:r>
    </w:p>
    <w:p>
      <w:pPr>
        <w:pStyle w:val="Defstart"/>
      </w:pPr>
      <w:r>
        <w:rPr>
          <w:b/>
        </w:rPr>
        <w:tab/>
        <w:t>“</w:t>
      </w:r>
      <w:r>
        <w:rPr>
          <w:rStyle w:val="CharDefText"/>
        </w:rPr>
        <w:t>plant</w:t>
      </w:r>
      <w:r>
        <w:rPr>
          <w:b/>
        </w:rPr>
        <w:t>”</w:t>
      </w:r>
      <w:r>
        <w:t xml:space="preserve"> includes any machinery, equipment, appliance, implement, or tool and any component or fitting thereof or accessory thereto;</w:t>
      </w:r>
    </w:p>
    <w:p>
      <w:pPr>
        <w:pStyle w:val="Defstart"/>
      </w:pPr>
      <w:r>
        <w:tab/>
      </w:r>
      <w:r>
        <w:rPr>
          <w:b/>
        </w:rPr>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 of Western Australia;</w:t>
      </w:r>
    </w:p>
    <w:p>
      <w:pPr>
        <w:pStyle w:val="Defpara"/>
      </w:pPr>
      <w:r>
        <w:tab/>
        <w:t>(b)</w:t>
      </w:r>
      <w:r>
        <w:tab/>
        <w:t xml:space="preserve">under Part III of the </w:t>
      </w:r>
      <w:r>
        <w:rPr>
          <w:i/>
        </w:rPr>
        <w:t>Police Act 1892</w:t>
      </w:r>
      <w:r>
        <w:t xml:space="preserve"> to be a special constable; or</w:t>
      </w:r>
    </w:p>
    <w:p>
      <w:pPr>
        <w:pStyle w:val="Defpara"/>
      </w:pPr>
      <w:r>
        <w:tab/>
        <w:t>(c)</w:t>
      </w:r>
      <w:r>
        <w:tab/>
        <w:t xml:space="preserve">under Part IIIA of the </w:t>
      </w:r>
      <w:r>
        <w:rPr>
          <w:i/>
        </w:rPr>
        <w:t>Police Act 1892</w:t>
      </w:r>
      <w:r>
        <w:t xml:space="preserve"> to be an aboriginal aide;</w:t>
      </w:r>
    </w:p>
    <w:p>
      <w:pPr>
        <w:pStyle w:val="Defstart"/>
      </w:pPr>
      <w:r>
        <w:rPr>
          <w:b/>
        </w:rPr>
        <w:tab/>
        <w:t>“</w:t>
      </w:r>
      <w:r>
        <w:rPr>
          <w:rStyle w:val="CharDefText"/>
        </w:rPr>
        <w:t>practicable</w:t>
      </w:r>
      <w:r>
        <w:rPr>
          <w:b/>
        </w:rPr>
        <w:t>”</w:t>
      </w:r>
      <w:r>
        <w:t xml:space="preserve"> means reasonably practicable having regard, where the context permits, to — </w:t>
      </w:r>
    </w:p>
    <w:p>
      <w:pPr>
        <w:pStyle w:val="Defpara"/>
      </w:pPr>
      <w:r>
        <w:tab/>
        <w:t>(a)</w:t>
      </w:r>
      <w:r>
        <w:tab/>
        <w:t>the severity of any potential injury or harm to health that may be involved, and the degree of risk of it occurring;</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 xml:space="preserve">means of removing or mitigating the risk or mitigating the potential injury or harm to health; </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t>“</w:t>
      </w:r>
      <w:r>
        <w:rPr>
          <w:rStyle w:val="CharDefText"/>
        </w:rPr>
        <w:t>prescribed law</w:t>
      </w:r>
      <w:r>
        <w:rPr>
          <w:b/>
        </w:rPr>
        <w:t>”</w:t>
      </w:r>
      <w:r>
        <w:t xml:space="preserve"> means a law prescribed for the purposes of section 14(1)(b);</w:t>
      </w:r>
    </w:p>
    <w:p>
      <w:pPr>
        <w:pStyle w:val="Defstart"/>
      </w:pPr>
      <w:r>
        <w:rPr>
          <w:b/>
        </w:rPr>
        <w:tab/>
        <w:t>“</w:t>
      </w:r>
      <w:r>
        <w:rPr>
          <w:rStyle w:val="CharDefText"/>
        </w:rPr>
        <w:t>prohibition notice</w:t>
      </w:r>
      <w:r>
        <w:rPr>
          <w:b/>
        </w:rPr>
        <w:t>”</w:t>
      </w:r>
      <w:r>
        <w:t xml:space="preserve"> means a prohibition notice issued under Part VI;</w:t>
      </w:r>
    </w:p>
    <w:p>
      <w:pPr>
        <w:pStyle w:val="Defstart"/>
      </w:pPr>
      <w:r>
        <w:rPr>
          <w:b/>
        </w:rPr>
        <w:tab/>
        <w:t>“</w:t>
      </w:r>
      <w:r>
        <w:rPr>
          <w:rStyle w:val="CharDefText"/>
        </w:rPr>
        <w:t>provisional improvement notice</w:t>
      </w:r>
      <w:r>
        <w:rPr>
          <w:b/>
        </w:rPr>
        <w:t>”</w:t>
      </w:r>
      <w:r>
        <w:t xml:space="preserve"> means a provisional improvement notice issued under Part VI Division 2;</w:t>
      </w:r>
    </w:p>
    <w:p>
      <w:pPr>
        <w:pStyle w:val="Defstart"/>
      </w:pPr>
      <w:r>
        <w:rPr>
          <w:b/>
        </w:rPr>
        <w:tab/>
        <w:t>“</w:t>
      </w:r>
      <w:r>
        <w:rPr>
          <w:rStyle w:val="CharDefText"/>
        </w:rPr>
        <w:t>risk</w:t>
      </w:r>
      <w:r>
        <w:rPr>
          <w:b/>
        </w:rPr>
        <w:t>”</w:t>
      </w:r>
      <w:r>
        <w:t>, in relation to any injury or harm, means the probability of that injury or harm occurring;</w:t>
      </w:r>
    </w:p>
    <w:p>
      <w:pPr>
        <w:pStyle w:val="Defstart"/>
      </w:pPr>
      <w:r>
        <w:rPr>
          <w:b/>
        </w:rPr>
        <w:tab/>
        <w:t>“</w:t>
      </w:r>
      <w:r>
        <w:rPr>
          <w:rStyle w:val="CharDefText"/>
        </w:rPr>
        <w:t>safety and health committee</w:t>
      </w:r>
      <w:r>
        <w:rPr>
          <w:b/>
        </w:rPr>
        <w:t>”</w:t>
      </w:r>
      <w:r>
        <w:t xml:space="preserve"> means a safety and health committee established under Part IV Division 2;</w:t>
      </w:r>
    </w:p>
    <w:p>
      <w:pPr>
        <w:pStyle w:val="Defstart"/>
      </w:pPr>
      <w:r>
        <w:rPr>
          <w:b/>
        </w:rPr>
        <w:tab/>
        <w:t>“</w:t>
      </w:r>
      <w:r>
        <w:rPr>
          <w:rStyle w:val="CharDefText"/>
        </w:rPr>
        <w:t>safety and health magistrate</w:t>
      </w:r>
      <w:r>
        <w:rPr>
          <w:b/>
        </w:rPr>
        <w:t>”</w:t>
      </w:r>
      <w:r>
        <w:t xml:space="preserve"> means a person holding office as a safety and health magistrate under section 51B;</w:t>
      </w:r>
    </w:p>
    <w:p>
      <w:pPr>
        <w:pStyle w:val="Defstart"/>
      </w:pPr>
      <w:r>
        <w:rPr>
          <w:b/>
        </w:rPr>
        <w:tab/>
        <w:t>“</w:t>
      </w:r>
      <w:r>
        <w:rPr>
          <w:rStyle w:val="CharDefText"/>
        </w:rPr>
        <w:t>safety and health representative</w:t>
      </w:r>
      <w:r>
        <w:rPr>
          <w:b/>
        </w:rPr>
        <w:t>”</w:t>
      </w:r>
      <w:r>
        <w:t xml:space="preserve"> means a safety and health representative elected under Part IV Division 1;</w:t>
      </w:r>
    </w:p>
    <w:p>
      <w:pPr>
        <w:pStyle w:val="Defstart"/>
      </w:pPr>
      <w:r>
        <w:rPr>
          <w:b/>
        </w:rPr>
        <w:tab/>
        <w:t>“</w:t>
      </w:r>
      <w:r>
        <w:rPr>
          <w:rStyle w:val="CharDefText"/>
        </w:rPr>
        <w:t>self</w:t>
      </w:r>
      <w:r>
        <w:rPr>
          <w:rStyle w:val="CharDefText"/>
        </w:rPr>
        <w:noBreakHyphen/>
        <w:t>employed person</w:t>
      </w:r>
      <w:r>
        <w:rPr>
          <w:b/>
        </w:rPr>
        <w:t>”</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 or trainee,</w:t>
      </w:r>
    </w:p>
    <w:p>
      <w:pPr>
        <w:pStyle w:val="Defstart"/>
      </w:pPr>
      <w:r>
        <w:tab/>
      </w:r>
      <w:r>
        <w:tab/>
        <w:t>whether or not the individual is an employer;</w:t>
      </w:r>
    </w:p>
    <w:p>
      <w:pPr>
        <w:pStyle w:val="Defstart"/>
      </w:pPr>
      <w:r>
        <w:rPr>
          <w:b/>
        </w:rPr>
        <w:tab/>
        <w:t>“</w:t>
      </w:r>
      <w:r>
        <w:rPr>
          <w:rStyle w:val="CharDefText"/>
        </w:rPr>
        <w:t>supply</w:t>
      </w:r>
      <w:r>
        <w:rPr>
          <w:b/>
        </w:rPr>
        <w:t>”</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t>“</w:t>
      </w:r>
      <w:r>
        <w:rPr>
          <w:rStyle w:val="CharDefText"/>
        </w:rPr>
        <w:t>trade union</w:t>
      </w:r>
      <w:r>
        <w:rPr>
          <w:b/>
        </w:rPr>
        <w:t>”</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t>“</w:t>
      </w:r>
      <w:r>
        <w:rPr>
          <w:rStyle w:val="CharDefText"/>
        </w:rPr>
        <w:t>trainee</w:t>
      </w:r>
      <w:r>
        <w:rPr>
          <w:b/>
        </w:rPr>
        <w:t>”</w:t>
      </w:r>
      <w:r>
        <w:t xml:space="preserve"> means a person belonging to a class of persons defined by the regulations as trainees for the purposes of this Act;</w:t>
      </w:r>
    </w:p>
    <w:p>
      <w:pPr>
        <w:pStyle w:val="Defstart"/>
      </w:pPr>
      <w:r>
        <w:rPr>
          <w:b/>
        </w:rPr>
        <w:tab/>
        <w:t>“</w:t>
      </w:r>
      <w:r>
        <w:rPr>
          <w:rStyle w:val="CharDefText"/>
        </w:rPr>
        <w:t>transferred law</w:t>
      </w:r>
      <w:r>
        <w:rPr>
          <w:b/>
        </w:rPr>
        <w:t>”</w:t>
      </w:r>
      <w:r>
        <w:t xml:space="preserve"> means a law or a provision of a law transferred to the administration of the Minister pursuant to an order under this Act;</w:t>
      </w:r>
    </w:p>
    <w:p>
      <w:pPr>
        <w:pStyle w:val="Defstart"/>
      </w:pPr>
      <w:r>
        <w:rPr>
          <w:b/>
        </w:rPr>
        <w:tab/>
        <w:t>“</w:t>
      </w:r>
      <w:r>
        <w:rPr>
          <w:rStyle w:val="CharDefText"/>
        </w:rPr>
        <w:t>Tribunal</w:t>
      </w:r>
      <w:r>
        <w:rPr>
          <w:b/>
        </w:rPr>
        <w:t>”</w:t>
      </w:r>
      <w:r>
        <w:t xml:space="preserve"> has the meaning given to that term in section 51G(2);</w:t>
      </w:r>
    </w:p>
    <w:p>
      <w:pPr>
        <w:pStyle w:val="Defstart"/>
      </w:pPr>
      <w:r>
        <w:tab/>
      </w:r>
      <w:r>
        <w:rPr>
          <w:b/>
        </w:rPr>
        <w:t>“</w:t>
      </w:r>
      <w:r>
        <w:rPr>
          <w:rStyle w:val="CharDefText"/>
        </w:rPr>
        <w:t>WA Police</w:t>
      </w:r>
      <w:r>
        <w:rPr>
          <w:b/>
        </w:rPr>
        <w:t>”</w:t>
      </w:r>
      <w:r>
        <w:t xml:space="preserve"> means the Police Force of Western Australia provided for by the </w:t>
      </w:r>
      <w:r>
        <w:rPr>
          <w:i/>
        </w:rPr>
        <w:t>Police Act 1892</w:t>
      </w:r>
      <w:r>
        <w:t>;</w:t>
      </w:r>
    </w:p>
    <w:p>
      <w:pPr>
        <w:pStyle w:val="Defstart"/>
      </w:pPr>
      <w:r>
        <w:rPr>
          <w:b/>
        </w:rPr>
        <w:tab/>
        <w:t>“</w:t>
      </w:r>
      <w:r>
        <w:rPr>
          <w:rStyle w:val="CharDefText"/>
        </w:rPr>
        <w:t>workplace</w:t>
      </w:r>
      <w:r>
        <w:rPr>
          <w:b/>
        </w:rPr>
        <w:t>”</w:t>
      </w:r>
      <w:r>
        <w:t xml:space="preserve"> means a place, whether or not in an aircraft, ship, vehicle, building, or other structure, where employees or self</w:t>
      </w:r>
      <w:r>
        <w:noBreakHyphen/>
      </w:r>
      <w:r>
        <w:soft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For the purposes of this Act, a police officer is to be treated as an employee of the Crown.</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 xml:space="preserve">[Section 3 amended by No. 43 of 1987 s. 5; No. 30 of 1995 s. 6; No. 79 of 1995 s. 67(5); No. 54 of 2002 s. 4; No. 74 of 2003 s. 87(3); No. 51 of 2004 s. 14, 38, 63, 73 and 104.] </w:t>
      </w:r>
    </w:p>
    <w:p>
      <w:pPr>
        <w:pStyle w:val="Heading5"/>
      </w:pPr>
      <w:bookmarkStart w:id="34" w:name="_Toc109702763"/>
      <w:bookmarkStart w:id="35" w:name="_Toc131409849"/>
      <w:bookmarkStart w:id="36" w:name="_Toc402776381"/>
      <w:bookmarkStart w:id="37" w:name="_Toc403985244"/>
      <w:bookmarkStart w:id="38" w:name="_Toc59593018"/>
      <w:r>
        <w:rPr>
          <w:rStyle w:val="CharSectno"/>
        </w:rPr>
        <w:t>3A</w:t>
      </w:r>
      <w:r>
        <w:t>.</w:t>
      </w:r>
      <w:r>
        <w:tab/>
        <w:t>Penalty levels defined</w:t>
      </w:r>
      <w:bookmarkEnd w:id="34"/>
      <w:bookmarkEnd w:id="35"/>
    </w:p>
    <w:p>
      <w:pPr>
        <w:pStyle w:val="Subsection"/>
        <w:outlineLvl w:val="0"/>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body corporate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outlineLvl w:val="0"/>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body corporate — </w:t>
      </w:r>
    </w:p>
    <w:p>
      <w:pPr>
        <w:pStyle w:val="Indenti"/>
      </w:pPr>
      <w:r>
        <w:tab/>
        <w:t>(i)</w:t>
      </w:r>
      <w:r>
        <w:tab/>
        <w:t>for a first offence, to a fine of $200 000; and</w:t>
      </w:r>
    </w:p>
    <w:p>
      <w:pPr>
        <w:pStyle w:val="Indenti"/>
      </w:pPr>
      <w:r>
        <w:tab/>
        <w:t>(ii)</w:t>
      </w:r>
      <w:r>
        <w:tab/>
        <w:t>for a subsequent offence, to a fine of $250 000.</w:t>
      </w:r>
    </w:p>
    <w:p>
      <w:pPr>
        <w:pStyle w:val="Subsection"/>
        <w:outlineLvl w:val="0"/>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body corporate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outlineLvl w:val="0"/>
      </w:pPr>
      <w:r>
        <w:tab/>
        <w:t>(4)</w:t>
      </w:r>
      <w:r>
        <w:tab/>
        <w:t xml:space="preserve">Where a person is liable to a level 4 penalty for an offence against this Act the person is liable — </w:t>
      </w:r>
    </w:p>
    <w:p>
      <w:pPr>
        <w:pStyle w:val="Indenta"/>
        <w:outlineLvl w:val="0"/>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 xml:space="preserve">in the case of a body corporate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3A inserted by No. 51 of 2004 s. 15.]</w:t>
      </w:r>
    </w:p>
    <w:p>
      <w:pPr>
        <w:pStyle w:val="Heading5"/>
      </w:pPr>
      <w:bookmarkStart w:id="39" w:name="_Toc109702764"/>
      <w:bookmarkStart w:id="40" w:name="_Toc131409850"/>
      <w:r>
        <w:rPr>
          <w:rStyle w:val="CharSectno"/>
        </w:rPr>
        <w:t>3B</w:t>
      </w:r>
      <w:r>
        <w:t>.</w:t>
      </w:r>
      <w:r>
        <w:tab/>
        <w:t>Meaning of “</w:t>
      </w:r>
      <w:r>
        <w:rPr>
          <w:rStyle w:val="CharDefText"/>
          <w:b/>
          <w:bCs/>
        </w:rPr>
        <w:t>first offence</w:t>
      </w:r>
      <w:r>
        <w:t>” and “</w:t>
      </w:r>
      <w:r>
        <w:rPr>
          <w:rStyle w:val="CharDefText"/>
          <w:b/>
        </w:rPr>
        <w:t>subsequent offence</w:t>
      </w:r>
      <w:r>
        <w:t>”</w:t>
      </w:r>
      <w:bookmarkEnd w:id="39"/>
      <w:bookmarkEnd w:id="40"/>
    </w:p>
    <w:p>
      <w:pPr>
        <w:pStyle w:val="Subsection"/>
        <w:outlineLvl w:val="0"/>
      </w:pPr>
      <w:r>
        <w:tab/>
        <w:t>(1)</w:t>
      </w:r>
      <w:r>
        <w:tab/>
        <w:t xml:space="preserve">In this section — </w:t>
      </w:r>
    </w:p>
    <w:p>
      <w:pPr>
        <w:pStyle w:val="Defstart"/>
      </w:pPr>
      <w:r>
        <w:rPr>
          <w:b/>
        </w:rPr>
        <w:tab/>
        <w:t>“</w:t>
      </w:r>
      <w:r>
        <w:rPr>
          <w:rStyle w:val="CharDefText"/>
        </w:rPr>
        <w:t>relevant day</w:t>
      </w:r>
      <w:r>
        <w:rPr>
          <w:b/>
        </w:rPr>
        <w:t>”</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41" w:name="_Toc109702765"/>
      <w:bookmarkStart w:id="42" w:name="_Toc131409851"/>
      <w:r>
        <w:rPr>
          <w:rStyle w:val="CharSectno"/>
        </w:rPr>
        <w:t>4</w:t>
      </w:r>
      <w:r>
        <w:rPr>
          <w:snapToGrid w:val="0"/>
        </w:rPr>
        <w:t>.</w:t>
      </w:r>
      <w:r>
        <w:rPr>
          <w:snapToGrid w:val="0"/>
        </w:rPr>
        <w:tab/>
        <w:t>Application of this Act</w:t>
      </w:r>
      <w:bookmarkEnd w:id="36"/>
      <w:bookmarkEnd w:id="37"/>
      <w:bookmarkEnd w:id="38"/>
      <w:bookmarkEnd w:id="41"/>
      <w:bookmarkEnd w:id="42"/>
      <w:r>
        <w:rPr>
          <w:snapToGrid w:val="0"/>
        </w:rPr>
        <w:t xml:space="preserve"> </w:t>
      </w:r>
    </w:p>
    <w:p>
      <w:pPr>
        <w:pStyle w:val="Subsection"/>
        <w:spacing w:before="120"/>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spacing w:before="120"/>
        <w:rPr>
          <w:snapToGrid w:val="0"/>
        </w:rPr>
      </w:pPr>
      <w:r>
        <w:rPr>
          <w:snapToGrid w:val="0"/>
        </w:rPr>
        <w:tab/>
        <w:t>(2)</w:t>
      </w:r>
      <w:r>
        <w:rPr>
          <w:snapToGrid w:val="0"/>
        </w:rPr>
        <w:tab/>
        <w:t xml:space="preserve">Subject to this section and except as may be otherwise expressly provided by Parliament, this Act does not apply to or in relation to any workplace that is, or at which work is carried out on, a mine, petroleum well or petroleum pipeline to which the </w:t>
      </w:r>
      <w:r>
        <w:rPr>
          <w:i/>
          <w:snapToGrid w:val="0"/>
        </w:rPr>
        <w:t>Mining Act 1978</w:t>
      </w:r>
      <w:r>
        <w:rPr>
          <w:snapToGrid w:val="0"/>
        </w:rPr>
        <w:t xml:space="preserve">, the </w:t>
      </w:r>
      <w:r>
        <w:rPr>
          <w:i/>
          <w:snapToGrid w:val="0"/>
        </w:rPr>
        <w:t>Mines Safety and Inspection Act 1994</w:t>
      </w:r>
      <w:r>
        <w:rPr>
          <w:snapToGrid w:val="0"/>
        </w:rPr>
        <w:t xml:space="preserve">, the </w:t>
      </w:r>
      <w:r>
        <w:rPr>
          <w:i/>
          <w:snapToGrid w:val="0"/>
        </w:rPr>
        <w:t>Petroleum Act 1967</w:t>
      </w:r>
      <w:r>
        <w:rPr>
          <w:snapToGrid w:val="0"/>
        </w:rPr>
        <w:t xml:space="preserve">, the </w:t>
      </w:r>
      <w:r>
        <w:rPr>
          <w:i/>
          <w:snapToGrid w:val="0"/>
        </w:rPr>
        <w:t>Petroleum (Submerged Lands) Act 1982</w:t>
      </w:r>
      <w:r>
        <w:rPr>
          <w:snapToGrid w:val="0"/>
        </w:rPr>
        <w:t xml:space="preserve"> or the </w:t>
      </w:r>
      <w:r>
        <w:rPr>
          <w:i/>
          <w:snapToGrid w:val="0"/>
        </w:rPr>
        <w:t>Petroleum Pipelines Act 1969</w:t>
      </w:r>
      <w:r>
        <w:rPr>
          <w:snapToGrid w:val="0"/>
        </w:rPr>
        <w:t>, applies.</w:t>
      </w:r>
    </w:p>
    <w:p>
      <w:pPr>
        <w:pStyle w:val="Subsection"/>
        <w:spacing w:before="120"/>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 xml:space="preserve">[Section 4 inserted by No. 43 of 1987 s. 7; amended by No. 84 of 1990 s. 2; No. 62 of 1994 s. 109; No. 54 of 2002 s. 5; No. 51 of 2004 s. 74; No. 68 of 2004 s. 94.] </w:t>
      </w:r>
    </w:p>
    <w:p>
      <w:pPr>
        <w:pStyle w:val="Heading5"/>
      </w:pPr>
      <w:bookmarkStart w:id="43" w:name="_Toc109702766"/>
      <w:bookmarkStart w:id="44" w:name="_Toc131409852"/>
      <w:bookmarkStart w:id="45" w:name="_Toc402776382"/>
      <w:bookmarkStart w:id="46" w:name="_Toc403985245"/>
      <w:bookmarkStart w:id="47" w:name="_Toc59593019"/>
      <w:r>
        <w:rPr>
          <w:rStyle w:val="CharSectno"/>
        </w:rPr>
        <w:t>4A</w:t>
      </w:r>
      <w:r>
        <w:t>.</w:t>
      </w:r>
      <w:r>
        <w:tab/>
      </w:r>
      <w:r>
        <w:rPr>
          <w:lang w:val="en-GB"/>
        </w:rPr>
        <w:t>Act does not operate to affect adversely certain police operations</w:t>
      </w:r>
      <w:bookmarkEnd w:id="43"/>
      <w:bookmarkEnd w:id="44"/>
    </w:p>
    <w:p>
      <w:pPr>
        <w:pStyle w:val="Subsection"/>
      </w:pPr>
      <w:r>
        <w:tab/>
        <w:t>(1)</w:t>
      </w:r>
      <w:r>
        <w:tab/>
        <w:t xml:space="preserve">In this section — </w:t>
      </w:r>
    </w:p>
    <w:p>
      <w:pPr>
        <w:pStyle w:val="Defstart"/>
      </w:pPr>
      <w:r>
        <w:tab/>
      </w:r>
      <w:r>
        <w:rPr>
          <w:b/>
        </w:rPr>
        <w:t>“</w:t>
      </w:r>
      <w:r>
        <w:rPr>
          <w:rStyle w:val="CharDefText"/>
        </w:rPr>
        <w:t>covert operation</w:t>
      </w:r>
      <w:r>
        <w:rPr>
          <w:b/>
        </w:rPr>
        <w:t>”</w:t>
      </w:r>
      <w:r>
        <w:t xml:space="preserve"> means the performance of a function of a police officer in circumstances where — </w:t>
      </w:r>
    </w:p>
    <w:p>
      <w:pPr>
        <w:pStyle w:val="Defpara"/>
      </w:pPr>
      <w:r>
        <w:tab/>
        <w:t>(a)</w:t>
      </w:r>
      <w:r>
        <w:tab/>
        <w:t>a covert operation is undertaken by WA Police for the purpose of obtaining information about criminal activity;</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pPr>
      <w:r>
        <w:tab/>
        <w:t>(c)</w:t>
      </w:r>
      <w:r>
        <w:tab/>
        <w:t xml:space="preserve">unless the performance of the function is secret or confidential, it would be likely that —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b/>
        </w:rPr>
        <w:t>“</w:t>
      </w:r>
      <w:r>
        <w:rPr>
          <w:rStyle w:val="CharDefText"/>
        </w:rPr>
        <w:t>dangerous operation</w:t>
      </w:r>
      <w:r>
        <w:rPr>
          <w:b/>
        </w:rPr>
        <w:t>”</w:t>
      </w:r>
      <w:r>
        <w:t xml:space="preserve"> means the performance of a function of a police officer in circumstances where performance of that function — </w:t>
      </w:r>
    </w:p>
    <w:p>
      <w:pPr>
        <w:pStyle w:val="Defpara"/>
      </w:pPr>
      <w:r>
        <w:tab/>
        <w:t>(a)</w:t>
      </w:r>
      <w:r>
        <w:tab/>
        <w:t xml:space="preserve">is reasonably necessary; and </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48" w:name="_Toc109702767"/>
      <w:bookmarkStart w:id="49" w:name="_Toc131409853"/>
      <w:r>
        <w:rPr>
          <w:rStyle w:val="CharSectno"/>
        </w:rPr>
        <w:t>5</w:t>
      </w:r>
      <w:r>
        <w:rPr>
          <w:snapToGrid w:val="0"/>
        </w:rPr>
        <w:t>.</w:t>
      </w:r>
      <w:r>
        <w:rPr>
          <w:snapToGrid w:val="0"/>
        </w:rPr>
        <w:tab/>
        <w:t>Objects</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 xml:space="preserve">[Section 5 amended by No. 43 of 1987 s. 8; No. 30 of 1995 s. 47.] </w:t>
      </w:r>
    </w:p>
    <w:p>
      <w:pPr>
        <w:pStyle w:val="Heading2"/>
      </w:pPr>
      <w:bookmarkStart w:id="50" w:name="_Toc88990633"/>
      <w:bookmarkStart w:id="51" w:name="_Toc89568195"/>
      <w:bookmarkStart w:id="52" w:name="_Toc93200874"/>
      <w:bookmarkStart w:id="53" w:name="_Toc97006545"/>
      <w:bookmarkStart w:id="54" w:name="_Toc100545114"/>
      <w:bookmarkStart w:id="55" w:name="_Toc100716593"/>
      <w:bookmarkStart w:id="56" w:name="_Toc102546182"/>
      <w:bookmarkStart w:id="57" w:name="_Toc103141405"/>
      <w:bookmarkStart w:id="58" w:name="_Toc105909017"/>
      <w:bookmarkStart w:id="59" w:name="_Toc105921903"/>
      <w:bookmarkStart w:id="60" w:name="_Toc106616741"/>
      <w:bookmarkStart w:id="61" w:name="_Toc108848485"/>
      <w:bookmarkStart w:id="62" w:name="_Toc109702768"/>
      <w:bookmarkStart w:id="63" w:name="_Toc113700325"/>
      <w:bookmarkStart w:id="64" w:name="_Toc113778983"/>
      <w:bookmarkStart w:id="65" w:name="_Toc122767364"/>
      <w:bookmarkStart w:id="66" w:name="_Toc122767607"/>
      <w:bookmarkStart w:id="67" w:name="_Toc131409854"/>
      <w:bookmarkStart w:id="68" w:name="_Toc402776383"/>
      <w:bookmarkStart w:id="69" w:name="_Toc403985246"/>
      <w:r>
        <w:rPr>
          <w:rStyle w:val="CharPartNo"/>
        </w:rPr>
        <w:t>Part II</w:t>
      </w:r>
      <w:r>
        <w:rPr>
          <w:rStyle w:val="CharDivNo"/>
        </w:rPr>
        <w:t> </w:t>
      </w:r>
      <w:r>
        <w:t>—</w:t>
      </w:r>
      <w:r>
        <w:rPr>
          <w:rStyle w:val="CharDivText"/>
        </w:rPr>
        <w:t> </w:t>
      </w:r>
      <w:r>
        <w:rPr>
          <w:rStyle w:val="CharPartText"/>
        </w:rPr>
        <w:t>Commission for Occupational Safety and Health</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Footnoteheading"/>
        <w:rPr>
          <w:snapToGrid w:val="0"/>
        </w:rPr>
      </w:pPr>
      <w:r>
        <w:rPr>
          <w:snapToGrid w:val="0"/>
        </w:rPr>
        <w:tab/>
        <w:t>[Heading inserted by No. 74 of 2003 s. 87(4).]</w:t>
      </w:r>
    </w:p>
    <w:p>
      <w:pPr>
        <w:pStyle w:val="Heading5"/>
        <w:rPr>
          <w:snapToGrid w:val="0"/>
        </w:rPr>
      </w:pPr>
      <w:bookmarkStart w:id="70" w:name="_Toc59593020"/>
      <w:bookmarkStart w:id="71" w:name="_Toc109702769"/>
      <w:bookmarkStart w:id="72" w:name="_Toc131409855"/>
      <w:r>
        <w:rPr>
          <w:rStyle w:val="CharSectno"/>
        </w:rPr>
        <w:t>6</w:t>
      </w:r>
      <w:r>
        <w:rPr>
          <w:snapToGrid w:val="0"/>
        </w:rPr>
        <w:t>.</w:t>
      </w:r>
      <w:r>
        <w:rPr>
          <w:snapToGrid w:val="0"/>
        </w:rPr>
        <w:tab/>
        <w:t>The Commission</w:t>
      </w:r>
      <w:bookmarkEnd w:id="68"/>
      <w:bookmarkEnd w:id="69"/>
      <w:bookmarkEnd w:id="70"/>
      <w:bookmarkEnd w:id="71"/>
      <w:bookmarkEnd w:id="72"/>
      <w:r>
        <w:rPr>
          <w:snapToGrid w:val="0"/>
        </w:rPr>
        <w:t xml:space="preserve"> </w:t>
      </w:r>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 </w:t>
      </w:r>
    </w:p>
    <w:p>
      <w:pPr>
        <w:pStyle w:val="Indenta"/>
        <w:rPr>
          <w:snapToGrid w:val="0"/>
        </w:rPr>
      </w:pPr>
      <w:r>
        <w:rPr>
          <w:snapToGrid w:val="0"/>
        </w:rPr>
        <w:tab/>
        <w:t>(a)</w:t>
      </w:r>
      <w:r>
        <w:rPr>
          <w:snapToGrid w:val="0"/>
        </w:rPr>
        <w:tab/>
        <w:t>a person nominated by the Minister and appointed by the Governor as chairperson;</w:t>
      </w:r>
    </w:p>
    <w:p>
      <w:pPr>
        <w:pStyle w:val="Indenta"/>
        <w:rPr>
          <w:snapToGrid w:val="0"/>
        </w:rPr>
      </w:pPr>
      <w:r>
        <w:rPr>
          <w:snapToGrid w:val="0"/>
        </w:rPr>
        <w:tab/>
        <w:t>(b)</w:t>
      </w:r>
      <w:r>
        <w:rPr>
          <w:snapToGrid w:val="0"/>
        </w:rPr>
        <w:tab/>
        <w:t>the Commissioner;</w:t>
      </w:r>
    </w:p>
    <w:p>
      <w:pPr>
        <w:pStyle w:val="Indenta"/>
      </w:pPr>
      <w:r>
        <w:tab/>
        <w:t>(c)</w:t>
      </w:r>
      <w:r>
        <w:tab/>
        <w:t xml:space="preserve">2 persons employed in the Public Service under Part 3 of the </w:t>
      </w:r>
      <w:r>
        <w:rPr>
          <w:i/>
        </w:rPr>
        <w:t>Public Sector Management Act 1994</w:t>
      </w:r>
      <w:r>
        <w:t xml:space="preserve">, of whom — </w:t>
      </w:r>
    </w:p>
    <w:p>
      <w:pPr>
        <w:pStyle w:val="Indenti"/>
      </w:pPr>
      <w:r>
        <w:tab/>
        <w:t>(i)</w:t>
      </w:r>
      <w:r>
        <w:tab/>
        <w:t xml:space="preserve">one shall be nominated by the Minister; and </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the body known as The Trades and Labor Council of Western Australia;</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Australia” or a similar name if that designation is given to it under section 35 of the </w:t>
      </w:r>
      <w:r>
        <w:rPr>
          <w:i/>
          <w:snapToGrid w:val="0"/>
        </w:rPr>
        <w:t>Public Sector Management Act 1994.</w:t>
      </w:r>
      <w:r>
        <w:rPr>
          <w:snapToGrid w:val="0"/>
        </w:rPr>
        <w:t xml:space="preserve"> </w:t>
      </w:r>
    </w:p>
    <w:p>
      <w:pPr>
        <w:pStyle w:val="Footnotesection"/>
      </w:pPr>
      <w:r>
        <w:tab/>
        <w:t xml:space="preserve">[Section 6 amended by No. 30 of 1995 s. 8; No. 74 of 2003 s. 87(5); No. 51 of 2004 s. 103 and 105.] </w:t>
      </w:r>
    </w:p>
    <w:p>
      <w:pPr>
        <w:pStyle w:val="Heading5"/>
        <w:rPr>
          <w:snapToGrid w:val="0"/>
        </w:rPr>
      </w:pPr>
      <w:bookmarkStart w:id="73" w:name="_Toc402776384"/>
      <w:bookmarkStart w:id="74" w:name="_Toc403985247"/>
      <w:bookmarkStart w:id="75" w:name="_Toc59593021"/>
      <w:bookmarkStart w:id="76" w:name="_Toc109702770"/>
      <w:bookmarkStart w:id="77" w:name="_Toc131409856"/>
      <w:r>
        <w:rPr>
          <w:rStyle w:val="CharSectno"/>
        </w:rPr>
        <w:t>6A</w:t>
      </w:r>
      <w:r>
        <w:rPr>
          <w:snapToGrid w:val="0"/>
        </w:rPr>
        <w:t xml:space="preserve">. </w:t>
      </w:r>
      <w:r>
        <w:rPr>
          <w:snapToGrid w:val="0"/>
        </w:rPr>
        <w:tab/>
        <w:t>Deputy chairperson</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 xml:space="preserve">[Section 6A inserted by No. 30 of 1995 s. 9.] </w:t>
      </w:r>
    </w:p>
    <w:p>
      <w:pPr>
        <w:pStyle w:val="Heading5"/>
        <w:rPr>
          <w:snapToGrid w:val="0"/>
        </w:rPr>
      </w:pPr>
      <w:bookmarkStart w:id="78" w:name="_Toc402776385"/>
      <w:bookmarkStart w:id="79" w:name="_Toc403985248"/>
      <w:bookmarkStart w:id="80" w:name="_Toc59593022"/>
      <w:bookmarkStart w:id="81" w:name="_Toc109702771"/>
      <w:bookmarkStart w:id="82" w:name="_Toc131409857"/>
      <w:r>
        <w:rPr>
          <w:rStyle w:val="CharSectno"/>
        </w:rPr>
        <w:t>7</w:t>
      </w:r>
      <w:r>
        <w:rPr>
          <w:snapToGrid w:val="0"/>
        </w:rPr>
        <w:t>.</w:t>
      </w:r>
      <w:r>
        <w:rPr>
          <w:snapToGrid w:val="0"/>
        </w:rPr>
        <w:tab/>
        <w:t>Acting members</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 xml:space="preserve">[Section 7 inserted by No. 30 of 1995 s. 10.] </w:t>
      </w:r>
    </w:p>
    <w:p>
      <w:pPr>
        <w:pStyle w:val="Heading5"/>
        <w:rPr>
          <w:snapToGrid w:val="0"/>
        </w:rPr>
      </w:pPr>
      <w:bookmarkStart w:id="83" w:name="_Toc402776386"/>
      <w:bookmarkStart w:id="84" w:name="_Toc403985249"/>
      <w:bookmarkStart w:id="85" w:name="_Toc59593023"/>
      <w:bookmarkStart w:id="86" w:name="_Toc109702772"/>
      <w:bookmarkStart w:id="87" w:name="_Toc131409858"/>
      <w:r>
        <w:rPr>
          <w:rStyle w:val="CharSectno"/>
        </w:rPr>
        <w:t>8</w:t>
      </w:r>
      <w:r>
        <w:rPr>
          <w:snapToGrid w:val="0"/>
        </w:rPr>
        <w:t>.</w:t>
      </w:r>
      <w:r>
        <w:rPr>
          <w:snapToGrid w:val="0"/>
        </w:rPr>
        <w:tab/>
        <w:t>Terms and conditions of appointed members</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 Minister for Public Sector Management</w:t>
      </w:r>
      <w:r>
        <w:rPr>
          <w:snapToGrid w:val="0"/>
          <w:vertAlign w:val="superscript"/>
        </w:rPr>
        <w:t> 3</w:t>
      </w:r>
      <w:r>
        <w:rPr>
          <w:snapToGrid w:val="0"/>
        </w:rPr>
        <w:t>.</w:t>
      </w:r>
    </w:p>
    <w:p>
      <w:pPr>
        <w:pStyle w:val="Footnotesection"/>
      </w:pPr>
      <w:r>
        <w:tab/>
        <w:t>[Section 8 amended by No. 51 of 2004 s. 75.]</w:t>
      </w:r>
    </w:p>
    <w:p>
      <w:pPr>
        <w:pStyle w:val="Heading5"/>
        <w:rPr>
          <w:snapToGrid w:val="0"/>
        </w:rPr>
      </w:pPr>
      <w:bookmarkStart w:id="88" w:name="_Toc402776387"/>
      <w:bookmarkStart w:id="89" w:name="_Toc403985250"/>
      <w:bookmarkStart w:id="90" w:name="_Toc59593024"/>
      <w:bookmarkStart w:id="91" w:name="_Toc109702773"/>
      <w:bookmarkStart w:id="92" w:name="_Toc131409859"/>
      <w:r>
        <w:rPr>
          <w:rStyle w:val="CharSectno"/>
        </w:rPr>
        <w:t>9</w:t>
      </w:r>
      <w:r>
        <w:rPr>
          <w:snapToGrid w:val="0"/>
        </w:rPr>
        <w:t>.</w:t>
      </w:r>
      <w:r>
        <w:rPr>
          <w:snapToGrid w:val="0"/>
        </w:rPr>
        <w:tab/>
        <w:t>WorkSafe Western Australia Commissioner</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 Minister for Public Sector Management</w:t>
      </w:r>
      <w:r>
        <w:rPr>
          <w:snapToGrid w:val="0"/>
          <w:vertAlign w:val="superscript"/>
        </w:rPr>
        <w:t> 3</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repealed]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 xml:space="preserve">[Section 9 amended by No. 43 of 1987 s. 10; No. 55 of 1987 s. 4; No. 32 of 1994 s. 19; No. 30 of 1995 s. 11 and 47; No. 51 of 2004 s. 76 and 102(2).] </w:t>
      </w:r>
    </w:p>
    <w:p>
      <w:pPr>
        <w:pStyle w:val="Heading5"/>
      </w:pPr>
      <w:bookmarkStart w:id="93" w:name="_Toc109702774"/>
      <w:bookmarkStart w:id="94" w:name="_Toc131409860"/>
      <w:bookmarkStart w:id="95" w:name="_Toc402776389"/>
      <w:bookmarkStart w:id="96" w:name="_Toc403985252"/>
      <w:bookmarkStart w:id="97" w:name="_Toc59593026"/>
      <w:r>
        <w:rPr>
          <w:rStyle w:val="CharSectno"/>
        </w:rPr>
        <w:t>10</w:t>
      </w:r>
      <w:r>
        <w:t>.</w:t>
      </w:r>
      <w:r>
        <w:tab/>
        <w:t>Vacation of office</w:t>
      </w:r>
      <w:bookmarkEnd w:id="93"/>
      <w:bookmarkEnd w:id="94"/>
    </w:p>
    <w:p>
      <w:pPr>
        <w:pStyle w:val="Subsection"/>
      </w:pPr>
      <w:r>
        <w:tab/>
      </w:r>
      <w:r>
        <w:tab/>
        <w:t xml:space="preserve">A person’s office as Commissioner or as an appointed member becomes vacant if — </w:t>
      </w:r>
    </w:p>
    <w:p>
      <w:pPr>
        <w:pStyle w:val="Indenta"/>
      </w:pPr>
      <w:r>
        <w:tab/>
        <w:t>(a)</w:t>
      </w:r>
      <w:r>
        <w:tab/>
        <w:t xml:space="preserve">the person’s term of office expires; or </w:t>
      </w:r>
    </w:p>
    <w:p>
      <w:pPr>
        <w:pStyle w:val="Indenta"/>
      </w:pPr>
      <w:r>
        <w:tab/>
        <w:t>(b)</w:t>
      </w:r>
      <w:r>
        <w:tab/>
        <w:t xml:space="preserve">the person — </w:t>
      </w:r>
    </w:p>
    <w:p>
      <w:pPr>
        <w:pStyle w:val="Indenti"/>
      </w:pPr>
      <w:r>
        <w:tab/>
        <w:t>(i)</w:t>
      </w:r>
      <w:r>
        <w:tab/>
        <w:t>dies;</w:t>
      </w:r>
    </w:p>
    <w:p>
      <w:pPr>
        <w:pStyle w:val="Indenti"/>
        <w:rPr>
          <w:snapToGrid w:val="0"/>
        </w:rPr>
      </w:pPr>
      <w:r>
        <w:tab/>
        <w:t>(ii)</w:t>
      </w:r>
      <w:r>
        <w:tab/>
        <w:t>becomes</w:t>
      </w:r>
      <w:r>
        <w:rPr>
          <w:snapToGrid w:val="0"/>
        </w:rPr>
        <w:t xml:space="preserve"> permanently incapable of performing the duties of the office;</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p>
    <w:p>
      <w:pPr>
        <w:pStyle w:val="Indenti"/>
        <w:rPr>
          <w:snapToGrid w:val="0"/>
        </w:rPr>
      </w:pPr>
      <w:r>
        <w:rPr>
          <w:snapToGrid w:val="0"/>
        </w:rPr>
        <w:tab/>
        <w:t>(iv)</w:t>
      </w:r>
      <w:r>
        <w:rPr>
          <w:snapToGrid w:val="0"/>
        </w:rPr>
        <w:tab/>
        <w:t xml:space="preserve">is an </w:t>
      </w:r>
      <w:r>
        <w:t>undischarged</w:t>
      </w:r>
      <w:r>
        <w:rPr>
          <w:snapToGrid w:val="0"/>
        </w:rPr>
        <w:t xml:space="preserve"> bankrupt or a person whose property is subject to an order or arrangement under the laws relating to bankruptcy;</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 xml:space="preserve">is absent without leave of the Minister from 3 consecutive meetings of the Commission; </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pPr>
      <w:r>
        <w:tab/>
        <w:t>[Section 10 inserted by No. 51 of 2004 s. 77.]</w:t>
      </w:r>
    </w:p>
    <w:p>
      <w:pPr>
        <w:pStyle w:val="Heading5"/>
        <w:spacing w:before="180"/>
        <w:rPr>
          <w:snapToGrid w:val="0"/>
        </w:rPr>
      </w:pPr>
      <w:bookmarkStart w:id="98" w:name="_Toc109702775"/>
      <w:bookmarkStart w:id="99" w:name="_Toc131409861"/>
      <w:r>
        <w:rPr>
          <w:rStyle w:val="CharSectno"/>
        </w:rPr>
        <w:t>11</w:t>
      </w:r>
      <w:r>
        <w:rPr>
          <w:snapToGrid w:val="0"/>
        </w:rPr>
        <w:t>.</w:t>
      </w:r>
      <w:r>
        <w:rPr>
          <w:snapToGrid w:val="0"/>
        </w:rPr>
        <w:tab/>
        <w:t>Leave of absence</w:t>
      </w:r>
      <w:bookmarkEnd w:id="95"/>
      <w:bookmarkEnd w:id="96"/>
      <w:bookmarkEnd w:id="97"/>
      <w:bookmarkEnd w:id="98"/>
      <w:bookmarkEnd w:id="99"/>
      <w:r>
        <w:rPr>
          <w:snapToGrid w:val="0"/>
        </w:rPr>
        <w:t xml:space="preserve"> </w:t>
      </w:r>
    </w:p>
    <w:p>
      <w:pPr>
        <w:pStyle w:val="Subsection"/>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100" w:name="_Toc402776390"/>
      <w:bookmarkStart w:id="101" w:name="_Toc403985253"/>
      <w:bookmarkStart w:id="102" w:name="_Toc59593027"/>
      <w:bookmarkStart w:id="103" w:name="_Toc109702776"/>
      <w:bookmarkStart w:id="104" w:name="_Toc131409862"/>
      <w:r>
        <w:rPr>
          <w:rStyle w:val="CharSectno"/>
        </w:rPr>
        <w:t>12</w:t>
      </w:r>
      <w:r>
        <w:rPr>
          <w:snapToGrid w:val="0"/>
        </w:rPr>
        <w:t>.</w:t>
      </w:r>
      <w:r>
        <w:rPr>
          <w:snapToGrid w:val="0"/>
        </w:rPr>
        <w:tab/>
        <w:t>Casual vacancies</w:t>
      </w:r>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pPr>
      <w:r>
        <w:tab/>
        <w:t>[Section 12 amended by No. 51 of 2004 s. 102(1).]</w:t>
      </w:r>
    </w:p>
    <w:p>
      <w:pPr>
        <w:pStyle w:val="Heading5"/>
        <w:rPr>
          <w:snapToGrid w:val="0"/>
        </w:rPr>
      </w:pPr>
      <w:bookmarkStart w:id="105" w:name="_Toc402776391"/>
      <w:bookmarkStart w:id="106" w:name="_Toc403985254"/>
      <w:bookmarkStart w:id="107" w:name="_Toc59593028"/>
      <w:bookmarkStart w:id="108" w:name="_Toc109702777"/>
      <w:bookmarkStart w:id="109" w:name="_Toc131409863"/>
      <w:r>
        <w:rPr>
          <w:rStyle w:val="CharSectno"/>
        </w:rPr>
        <w:t>13</w:t>
      </w:r>
      <w:r>
        <w:rPr>
          <w:snapToGrid w:val="0"/>
        </w:rPr>
        <w:t>.</w:t>
      </w:r>
      <w:r>
        <w:rPr>
          <w:snapToGrid w:val="0"/>
        </w:rPr>
        <w:tab/>
        <w:t>Meetings of the Commission</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rPr>
          <w:snapToGrid w:val="0"/>
        </w:rPr>
      </w:pPr>
      <w:r>
        <w:rPr>
          <w:snapToGrid w:val="0"/>
        </w:rPr>
        <w:tab/>
        <w:t>(2)</w:t>
      </w:r>
      <w:r>
        <w:rPr>
          <w:snapToGrid w:val="0"/>
        </w:rPr>
        <w:tab/>
        <w:t>The Commission shall meet at least 6 times a year at intervals of not more than 3 months.</w:t>
      </w:r>
    </w:p>
    <w:p>
      <w:pPr>
        <w:pStyle w:val="Subsection"/>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 xml:space="preserve">[Section 13 amended by No. 30 of 1995 s. 12; No. 51 of 2004 s. 102(1).] </w:t>
      </w:r>
    </w:p>
    <w:p>
      <w:pPr>
        <w:pStyle w:val="Heading5"/>
        <w:rPr>
          <w:snapToGrid w:val="0"/>
        </w:rPr>
      </w:pPr>
      <w:bookmarkStart w:id="110" w:name="_Toc402776392"/>
      <w:bookmarkStart w:id="111" w:name="_Toc403985255"/>
      <w:bookmarkStart w:id="112" w:name="_Toc59593029"/>
      <w:bookmarkStart w:id="113" w:name="_Toc109702778"/>
      <w:bookmarkStart w:id="114" w:name="_Toc131409864"/>
      <w:r>
        <w:rPr>
          <w:rStyle w:val="CharSectno"/>
        </w:rPr>
        <w:t>14</w:t>
      </w:r>
      <w:r>
        <w:rPr>
          <w:snapToGrid w:val="0"/>
        </w:rPr>
        <w:t>.</w:t>
      </w:r>
      <w:r>
        <w:rPr>
          <w:snapToGrid w:val="0"/>
        </w:rPr>
        <w:tab/>
        <w:t>Functions of the Commission</w:t>
      </w:r>
      <w:bookmarkEnd w:id="110"/>
      <w:bookmarkEnd w:id="111"/>
      <w:bookmarkEnd w:id="112"/>
      <w:bookmarkEnd w:id="113"/>
      <w:bookmarkEnd w:id="114"/>
      <w:r>
        <w:rPr>
          <w:snapToGrid w:val="0"/>
        </w:rPr>
        <w:t xml:space="preserve"> </w:t>
      </w:r>
    </w:p>
    <w:p>
      <w:pPr>
        <w:pStyle w:val="Subsection"/>
        <w:spacing w:before="120"/>
        <w:rPr>
          <w:snapToGrid w:val="0"/>
        </w:rPr>
      </w:pPr>
      <w:r>
        <w:rPr>
          <w:snapToGrid w:val="0"/>
        </w:rPr>
        <w:tab/>
        <w:t>(1)</w:t>
      </w:r>
      <w:r>
        <w:rPr>
          <w:snapToGrid w:val="0"/>
        </w:rPr>
        <w:tab/>
        <w:t>The functions of the Commission are — </w:t>
      </w:r>
    </w:p>
    <w:p>
      <w:pPr>
        <w:pStyle w:val="Indenta"/>
        <w:rPr>
          <w:snapToGrid w:val="0"/>
        </w:rPr>
      </w:pPr>
      <w:r>
        <w:rPr>
          <w:snapToGrid w:val="0"/>
        </w:rPr>
        <w:tab/>
        <w:t>(a)</w:t>
      </w:r>
      <w:r>
        <w:rPr>
          <w:snapToGrid w:val="0"/>
        </w:rPr>
        <w:tab/>
        <w:t>to inquire into and report to the Minister upon any matters referred to it by the Minister;</w:t>
      </w:r>
    </w:p>
    <w:p>
      <w:pPr>
        <w:pStyle w:val="Indenta"/>
        <w:rPr>
          <w:snapToGrid w:val="0"/>
        </w:rPr>
      </w:pPr>
      <w:r>
        <w:rPr>
          <w:snapToGrid w:val="0"/>
        </w:rPr>
        <w:tab/>
        <w:t>(b)</w:t>
      </w:r>
      <w:r>
        <w:rPr>
          <w:snapToGrid w:val="0"/>
        </w:rPr>
        <w:tab/>
        <w:t>to make recommendations to the Minister with respect to —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w:t>
      </w:r>
    </w:p>
    <w:p>
      <w:pPr>
        <w:pStyle w:val="Indenta"/>
        <w:rPr>
          <w:snapToGrid w:val="0"/>
        </w:rPr>
      </w:pPr>
      <w:r>
        <w:rPr>
          <w:snapToGrid w:val="0"/>
        </w:rPr>
        <w:tab/>
        <w:t>(f)</w:t>
      </w:r>
      <w:r>
        <w:rPr>
          <w:snapToGrid w:val="0"/>
        </w:rPr>
        <w:tab/>
        <w:t>to promote education and training in occupational safety and health as widely as possible;</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w:t>
      </w:r>
    </w:p>
    <w:p>
      <w:pPr>
        <w:pStyle w:val="Indenta"/>
        <w:rPr>
          <w:snapToGrid w:val="0"/>
        </w:rPr>
      </w:pPr>
      <w:r>
        <w:rPr>
          <w:snapToGrid w:val="0"/>
        </w:rPr>
        <w:tab/>
        <w:t>(i)</w:t>
      </w:r>
      <w:r>
        <w:rPr>
          <w:snapToGrid w:val="0"/>
        </w:rPr>
        <w:tab/>
        <w:t>to recommend to the Minister the establishment of public inquiries into any matter relating to occupational safety and health;</w:t>
      </w:r>
    </w:p>
    <w:p>
      <w:pPr>
        <w:pStyle w:val="Indenta"/>
        <w:rPr>
          <w:snapToGrid w:val="0"/>
        </w:rPr>
      </w:pPr>
      <w:r>
        <w:rPr>
          <w:snapToGrid w:val="0"/>
        </w:rPr>
        <w:tab/>
        <w:t>(j)</w:t>
      </w:r>
      <w:r>
        <w:rPr>
          <w:snapToGrid w:val="0"/>
        </w:rPr>
        <w:tab/>
        <w:t>to collect, publish and disseminate information on occupational safety and health;</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 xml:space="preserve">[Section 14 amended by No. 43 of 1987 s. 11; No. 30 of 1995 s. 47.] </w:t>
      </w:r>
    </w:p>
    <w:p>
      <w:pPr>
        <w:pStyle w:val="Heading5"/>
      </w:pPr>
      <w:bookmarkStart w:id="115" w:name="_Toc109702779"/>
      <w:bookmarkStart w:id="116" w:name="_Toc131409865"/>
      <w:bookmarkStart w:id="117" w:name="_Toc402776393"/>
      <w:bookmarkStart w:id="118" w:name="_Toc403985256"/>
      <w:bookmarkStart w:id="119" w:name="_Toc59593030"/>
      <w:r>
        <w:rPr>
          <w:rStyle w:val="CharSectno"/>
        </w:rPr>
        <w:t>14A</w:t>
      </w:r>
      <w:r>
        <w:t>.</w:t>
      </w:r>
      <w:r>
        <w:tab/>
        <w:t>Mining Industry Advisory Committee</w:t>
      </w:r>
      <w:bookmarkEnd w:id="115"/>
      <w:bookmarkEnd w:id="116"/>
    </w:p>
    <w:p>
      <w:pPr>
        <w:pStyle w:val="Subsection"/>
      </w:pPr>
      <w:r>
        <w:tab/>
        <w:t>(1)</w:t>
      </w:r>
      <w:r>
        <w:tab/>
        <w:t xml:space="preserve">In this section — </w:t>
      </w:r>
    </w:p>
    <w:p>
      <w:pPr>
        <w:pStyle w:val="Defstart"/>
      </w:pPr>
      <w:r>
        <w:rPr>
          <w:b/>
        </w:rPr>
        <w:tab/>
        <w:t>“</w:t>
      </w:r>
      <w:r>
        <w:rPr>
          <w:rStyle w:val="CharDefText"/>
        </w:rPr>
        <w:t>committee</w:t>
      </w:r>
      <w:r>
        <w:rPr>
          <w:b/>
        </w:rPr>
        <w:t>”</w:t>
      </w:r>
      <w:r>
        <w:t xml:space="preserve"> means the committee referred to in subsection (2);</w:t>
      </w:r>
    </w:p>
    <w:p>
      <w:pPr>
        <w:pStyle w:val="Defstart"/>
      </w:pPr>
      <w:r>
        <w:rPr>
          <w:b/>
        </w:rPr>
        <w:tab/>
        <w:t>“</w:t>
      </w:r>
      <w:r>
        <w:rPr>
          <w:rStyle w:val="CharDefText"/>
        </w:rPr>
        <w:t>mining industry</w:t>
      </w:r>
      <w:r>
        <w:rPr>
          <w:b/>
        </w:rPr>
        <w:t>”</w:t>
      </w:r>
      <w:r>
        <w:t xml:space="preserve"> means the mining industry in the State;</w:t>
      </w:r>
    </w:p>
    <w:p>
      <w:pPr>
        <w:pStyle w:val="Defstart"/>
        <w:outlineLvl w:val="0"/>
      </w:pPr>
      <w:r>
        <w:rPr>
          <w:b/>
        </w:rPr>
        <w:tab/>
        <w:t>“</w:t>
      </w:r>
      <w:r>
        <w:rPr>
          <w:rStyle w:val="CharDefText"/>
        </w:rPr>
        <w:t>Ministers</w:t>
      </w:r>
      <w:r>
        <w:rPr>
          <w:b/>
        </w:rPr>
        <w:t>”</w:t>
      </w:r>
      <w:r>
        <w:t xml:space="preserve"> means —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b/>
        </w:rPr>
        <w:t>“</w:t>
      </w:r>
      <w:r>
        <w:rPr>
          <w:rStyle w:val="CharDefText"/>
        </w:rPr>
        <w:t>Minister for Mines</w:t>
      </w:r>
      <w:r>
        <w:rPr>
          <w:b/>
        </w:rPr>
        <w:t>”</w:t>
      </w:r>
      <w:r>
        <w:t>),</w:t>
      </w:r>
    </w:p>
    <w:p>
      <w:pPr>
        <w:pStyle w:val="Defstart"/>
      </w:pPr>
      <w:r>
        <w:tab/>
      </w:r>
      <w:r>
        <w:tab/>
        <w:t>acting jointly.</w:t>
      </w:r>
    </w:p>
    <w:p>
      <w:pPr>
        <w:pStyle w:val="Subsection"/>
      </w:pPr>
      <w:r>
        <w:tab/>
        <w:t>(2)</w:t>
      </w:r>
      <w:r>
        <w:tab/>
        <w:t>There is to be an advisory committee called the Mining Industry Advisory Committee.</w:t>
      </w:r>
    </w:p>
    <w:p>
      <w:pPr>
        <w:pStyle w:val="Subsection"/>
      </w:pPr>
      <w:r>
        <w:tab/>
        <w:t>(3)</w:t>
      </w:r>
      <w:r>
        <w:tab/>
        <w:t xml:space="preserve">The functions of the committee are — </w:t>
      </w:r>
    </w:p>
    <w:p>
      <w:pPr>
        <w:pStyle w:val="Indenta"/>
      </w:pPr>
      <w:r>
        <w:tab/>
        <w:t>(a)</w:t>
      </w:r>
      <w:r>
        <w:tab/>
        <w:t xml:space="preserve">to advise and make recommendations to the Ministers and the Commission on occupational safety and health matters concerning the mining industry; and </w:t>
      </w:r>
    </w:p>
    <w:p>
      <w:pPr>
        <w:pStyle w:val="Indenta"/>
      </w:pPr>
      <w:r>
        <w:tab/>
        <w:t>(b)</w:t>
      </w:r>
      <w:r>
        <w:tab/>
        <w:t>to liaise with the Commission to coordinate activities on related functions and to maintain parallel standards,</w:t>
      </w:r>
    </w:p>
    <w:p>
      <w:pPr>
        <w:pStyle w:val="Subsection"/>
      </w:pPr>
      <w:r>
        <w:tab/>
      </w:r>
      <w:r>
        <w:tab/>
        <w:t xml:space="preserve">and in particular, but without limiting the generality of paragraphs (a) and (b) — </w:t>
      </w:r>
    </w:p>
    <w:p>
      <w:pPr>
        <w:pStyle w:val="Indenta"/>
      </w:pPr>
      <w:r>
        <w:tab/>
        <w:t>(c)</w:t>
      </w:r>
      <w:r>
        <w:tab/>
        <w:t xml:space="preserve">to inquire into and report to the Ministers regarding any matter referred to it by the Ministers relating to occupational safety and health in the mining industry; </w:t>
      </w:r>
    </w:p>
    <w:p>
      <w:pPr>
        <w:pStyle w:val="Indenta"/>
      </w:pPr>
      <w:r>
        <w:tab/>
        <w:t>(d)</w:t>
      </w:r>
      <w:r>
        <w:tab/>
        <w:t xml:space="preserve">to make recommendations to the Minister for Mines regarding the formulation, amendment, or repeal of laws relating to occupational safety and health for which that Minister is responsible; </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pPr>
      <w:r>
        <w:tab/>
        <w:t>(f)</w:t>
      </w:r>
      <w:r>
        <w:tab/>
        <w:t xml:space="preserve">to provide advice on — </w:t>
      </w:r>
    </w:p>
    <w:p>
      <w:pPr>
        <w:pStyle w:val="Indenti"/>
      </w:pPr>
      <w:r>
        <w:tab/>
        <w:t>(i)</w:t>
      </w:r>
      <w:r>
        <w:tab/>
        <w:t xml:space="preserve">education and publications; and </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 xml:space="preserve">may alter or reconstitute, </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 Minister for Public Sector Management.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106.]</w:t>
      </w:r>
    </w:p>
    <w:p>
      <w:pPr>
        <w:pStyle w:val="Heading5"/>
        <w:rPr>
          <w:snapToGrid w:val="0"/>
        </w:rPr>
      </w:pPr>
      <w:bookmarkStart w:id="120" w:name="_Toc109702780"/>
      <w:bookmarkStart w:id="121" w:name="_Toc131409866"/>
      <w:r>
        <w:rPr>
          <w:rStyle w:val="CharSectno"/>
        </w:rPr>
        <w:t>15</w:t>
      </w:r>
      <w:r>
        <w:rPr>
          <w:snapToGrid w:val="0"/>
        </w:rPr>
        <w:t>.</w:t>
      </w:r>
      <w:r>
        <w:rPr>
          <w:snapToGrid w:val="0"/>
        </w:rPr>
        <w:tab/>
        <w:t>Advisory committees</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The members of advisory committees are entitled to be paid such remuneration and travelling and other allowances as may be determined by the Minister on the recommendation of the Minister for Public Sector Management</w:t>
      </w:r>
      <w:r>
        <w:rPr>
          <w:snapToGrid w:val="0"/>
          <w:vertAlign w:val="superscript"/>
        </w:rPr>
        <w:t xml:space="preserve"> 3</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 xml:space="preserve">[Section 15 amended by No. 30 of 1995 s. 47.] </w:t>
      </w:r>
    </w:p>
    <w:p>
      <w:pPr>
        <w:pStyle w:val="Heading5"/>
        <w:rPr>
          <w:snapToGrid w:val="0"/>
        </w:rPr>
      </w:pPr>
      <w:bookmarkStart w:id="122" w:name="_Toc402776394"/>
      <w:bookmarkStart w:id="123" w:name="_Toc403985257"/>
      <w:bookmarkStart w:id="124" w:name="_Toc59593031"/>
      <w:bookmarkStart w:id="125" w:name="_Toc109702781"/>
      <w:bookmarkStart w:id="126" w:name="_Toc131409867"/>
      <w:r>
        <w:rPr>
          <w:rStyle w:val="CharSectno"/>
        </w:rPr>
        <w:t>16</w:t>
      </w:r>
      <w:r>
        <w:rPr>
          <w:snapToGrid w:val="0"/>
        </w:rPr>
        <w:t>.</w:t>
      </w:r>
      <w:r>
        <w:rPr>
          <w:snapToGrid w:val="0"/>
        </w:rPr>
        <w:tab/>
        <w:t>Annual report</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127" w:name="_Toc402776395"/>
      <w:bookmarkStart w:id="128" w:name="_Toc403985258"/>
      <w:bookmarkStart w:id="129" w:name="_Toc59593032"/>
      <w:bookmarkStart w:id="130" w:name="_Toc109702782"/>
      <w:bookmarkStart w:id="131" w:name="_Toc131409868"/>
      <w:r>
        <w:rPr>
          <w:rStyle w:val="CharSectno"/>
        </w:rPr>
        <w:t>17</w:t>
      </w:r>
      <w:r>
        <w:rPr>
          <w:snapToGrid w:val="0"/>
        </w:rPr>
        <w:t>.</w:t>
      </w:r>
      <w:r>
        <w:rPr>
          <w:snapToGrid w:val="0"/>
        </w:rPr>
        <w:tab/>
        <w:t>Staff to assist the Commission</w:t>
      </w:r>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 xml:space="preserve">[Section 17 amended by No. 32 of 1994 s. 19; No. 30 of 1995 s. 47.] </w:t>
      </w:r>
    </w:p>
    <w:p>
      <w:pPr>
        <w:pStyle w:val="Heading5"/>
        <w:rPr>
          <w:snapToGrid w:val="0"/>
        </w:rPr>
      </w:pPr>
      <w:bookmarkStart w:id="132" w:name="_Toc402776396"/>
      <w:bookmarkStart w:id="133" w:name="_Toc403985259"/>
      <w:bookmarkStart w:id="134" w:name="_Toc59593033"/>
      <w:bookmarkStart w:id="135" w:name="_Toc109702783"/>
      <w:bookmarkStart w:id="136" w:name="_Toc131409869"/>
      <w:r>
        <w:rPr>
          <w:rStyle w:val="CharSectno"/>
        </w:rPr>
        <w:t>18</w:t>
      </w:r>
      <w:r>
        <w:rPr>
          <w:snapToGrid w:val="0"/>
        </w:rPr>
        <w:t>.</w:t>
      </w:r>
      <w:r>
        <w:rPr>
          <w:snapToGrid w:val="0"/>
        </w:rPr>
        <w:tab/>
        <w:t>The Commissioner and the department</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 xml:space="preserve">[Section 18 amended by No. 43 of 1987 s. 12; No. 55 of 1987 s. 5; No. 32 of 1994 s. 19; No. 30 of 1995 s. 47; No. 51 of 2004 s. 102(2) and (3).] </w:t>
      </w:r>
    </w:p>
    <w:p>
      <w:pPr>
        <w:pStyle w:val="Heading2"/>
      </w:pPr>
      <w:bookmarkStart w:id="137" w:name="_Toc88990648"/>
      <w:bookmarkStart w:id="138" w:name="_Toc89568210"/>
      <w:bookmarkStart w:id="139" w:name="_Toc93200889"/>
      <w:bookmarkStart w:id="140" w:name="_Toc97006560"/>
      <w:bookmarkStart w:id="141" w:name="_Toc100545130"/>
      <w:bookmarkStart w:id="142" w:name="_Toc100716609"/>
      <w:bookmarkStart w:id="143" w:name="_Toc102546198"/>
      <w:bookmarkStart w:id="144" w:name="_Toc103141421"/>
      <w:bookmarkStart w:id="145" w:name="_Toc105909033"/>
      <w:bookmarkStart w:id="146" w:name="_Toc105921919"/>
      <w:bookmarkStart w:id="147" w:name="_Toc106616757"/>
      <w:bookmarkStart w:id="148" w:name="_Toc108848501"/>
      <w:bookmarkStart w:id="149" w:name="_Toc109702784"/>
      <w:bookmarkStart w:id="150" w:name="_Toc113700341"/>
      <w:bookmarkStart w:id="151" w:name="_Toc113778999"/>
      <w:bookmarkStart w:id="152" w:name="_Toc122767380"/>
      <w:bookmarkStart w:id="153" w:name="_Toc122767623"/>
      <w:bookmarkStart w:id="154" w:name="_Toc131409870"/>
      <w:r>
        <w:rPr>
          <w:rStyle w:val="CharPartNo"/>
        </w:rPr>
        <w:t>Part III</w:t>
      </w:r>
      <w:r>
        <w:rPr>
          <w:snapToGrid/>
          <w:sz w:val="26"/>
        </w:rPr>
        <w:t> </w:t>
      </w:r>
      <w:r>
        <w:t>—</w:t>
      </w:r>
      <w:r>
        <w:rPr>
          <w:snapToGrid/>
          <w:sz w:val="26"/>
        </w:rPr>
        <w:t> </w:t>
      </w:r>
      <w:r>
        <w:rPr>
          <w:rStyle w:val="CharPartText"/>
        </w:rPr>
        <w:t>General provisions relating to occupational safety and health</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PartText"/>
        </w:rPr>
        <w:t xml:space="preserve"> </w:t>
      </w:r>
    </w:p>
    <w:p>
      <w:pPr>
        <w:pStyle w:val="Footnoteheading"/>
        <w:ind w:left="896" w:hanging="896"/>
        <w:rPr>
          <w:snapToGrid w:val="0"/>
        </w:rPr>
      </w:pPr>
      <w:r>
        <w:rPr>
          <w:snapToGrid w:val="0"/>
        </w:rPr>
        <w:tab/>
        <w:t xml:space="preserve">[Heading inserted by No. 43 of 1987 s. 13; amended by No. 30 of 1995 s. 47.] </w:t>
      </w:r>
    </w:p>
    <w:p>
      <w:pPr>
        <w:pStyle w:val="Heading3"/>
        <w:spacing w:before="180"/>
      </w:pPr>
      <w:bookmarkStart w:id="155" w:name="_Toc93200890"/>
      <w:bookmarkStart w:id="156" w:name="_Toc97006561"/>
      <w:bookmarkStart w:id="157" w:name="_Toc100545131"/>
      <w:bookmarkStart w:id="158" w:name="_Toc100716610"/>
      <w:bookmarkStart w:id="159" w:name="_Toc102546199"/>
      <w:bookmarkStart w:id="160" w:name="_Toc103141422"/>
      <w:bookmarkStart w:id="161" w:name="_Toc105909034"/>
      <w:bookmarkStart w:id="162" w:name="_Toc105921920"/>
      <w:bookmarkStart w:id="163" w:name="_Toc106616758"/>
      <w:bookmarkStart w:id="164" w:name="_Toc108848502"/>
      <w:bookmarkStart w:id="165" w:name="_Toc109702785"/>
      <w:bookmarkStart w:id="166" w:name="_Toc113700342"/>
      <w:bookmarkStart w:id="167" w:name="_Toc113779000"/>
      <w:bookmarkStart w:id="168" w:name="_Toc122767381"/>
      <w:bookmarkStart w:id="169" w:name="_Toc122767624"/>
      <w:bookmarkStart w:id="170" w:name="_Toc131409871"/>
      <w:bookmarkStart w:id="171" w:name="_Toc402776397"/>
      <w:bookmarkStart w:id="172" w:name="_Toc403985260"/>
      <w:bookmarkStart w:id="173" w:name="_Toc59593034"/>
      <w:r>
        <w:rPr>
          <w:rStyle w:val="CharDivNo"/>
        </w:rPr>
        <w:t>Division 1</w:t>
      </w:r>
      <w:r>
        <w:t> — </w:t>
      </w:r>
      <w:r>
        <w:rPr>
          <w:rStyle w:val="CharDivText"/>
        </w:rPr>
        <w:t>Preliminary</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Footnoteheading"/>
        <w:tabs>
          <w:tab w:val="left" w:pos="851"/>
        </w:tabs>
      </w:pPr>
      <w:r>
        <w:tab/>
        <w:t>[Heading inserted by No. 51 of 2004 s. 16.]</w:t>
      </w:r>
    </w:p>
    <w:p>
      <w:pPr>
        <w:pStyle w:val="Heading5"/>
      </w:pPr>
      <w:bookmarkStart w:id="174" w:name="_Toc109702786"/>
      <w:bookmarkStart w:id="175" w:name="_Toc131409872"/>
      <w:r>
        <w:rPr>
          <w:rStyle w:val="CharSectno"/>
        </w:rPr>
        <w:t>18A</w:t>
      </w:r>
      <w:r>
        <w:t>.</w:t>
      </w:r>
      <w:r>
        <w:tab/>
        <w:t>Meaning of gross negligence in relation to certain breaches of this Part</w:t>
      </w:r>
      <w:bookmarkEnd w:id="174"/>
      <w:bookmarkEnd w:id="175"/>
    </w:p>
    <w:p>
      <w:pPr>
        <w:pStyle w:val="Subsection"/>
      </w:pPr>
      <w:r>
        <w:tab/>
        <w:t>(1)</w:t>
      </w:r>
      <w:r>
        <w:tab/>
        <w:t>This section applies to a contravention of section 19(1), 20(1) or (3), 21(1) or (2), 21B(2), 22(1), 23(1), (2), (3) or (3a), 23A or 23G(2).</w:t>
      </w:r>
    </w:p>
    <w:p>
      <w:pPr>
        <w:pStyle w:val="Subsection"/>
      </w:pPr>
      <w:r>
        <w:tab/>
        <w:t>(2)</w:t>
      </w:r>
      <w:r>
        <w:tab/>
        <w:t xml:space="preserve">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spacing w:before="180"/>
      </w:pPr>
      <w:bookmarkStart w:id="176" w:name="_Toc93200892"/>
      <w:bookmarkStart w:id="177" w:name="_Toc97006563"/>
      <w:bookmarkStart w:id="178" w:name="_Toc100545133"/>
      <w:bookmarkStart w:id="179" w:name="_Toc100716612"/>
      <w:bookmarkStart w:id="180" w:name="_Toc102546201"/>
      <w:bookmarkStart w:id="181" w:name="_Toc103141424"/>
      <w:bookmarkStart w:id="182" w:name="_Toc105909036"/>
      <w:bookmarkStart w:id="183" w:name="_Toc105921922"/>
      <w:bookmarkStart w:id="184" w:name="_Toc106616760"/>
      <w:bookmarkStart w:id="185" w:name="_Toc108848504"/>
      <w:bookmarkStart w:id="186" w:name="_Toc109702787"/>
      <w:bookmarkStart w:id="187" w:name="_Toc113700344"/>
      <w:bookmarkStart w:id="188" w:name="_Toc113779002"/>
      <w:bookmarkStart w:id="189" w:name="_Toc122767383"/>
      <w:bookmarkStart w:id="190" w:name="_Toc122767626"/>
      <w:bookmarkStart w:id="191" w:name="_Toc131409873"/>
      <w:r>
        <w:rPr>
          <w:rStyle w:val="CharDivNo"/>
        </w:rPr>
        <w:t>Division 2</w:t>
      </w:r>
      <w:r>
        <w:t> — </w:t>
      </w:r>
      <w:r>
        <w:rPr>
          <w:rStyle w:val="CharDivText"/>
        </w:rPr>
        <w:t>General workplace duties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Footnoteheading"/>
        <w:tabs>
          <w:tab w:val="left" w:pos="851"/>
        </w:tabs>
      </w:pPr>
      <w:r>
        <w:tab/>
        <w:t>[Heading inserted by No. 51 of 2004 s. 4.]</w:t>
      </w:r>
    </w:p>
    <w:p>
      <w:pPr>
        <w:pStyle w:val="Heading5"/>
        <w:spacing w:before="260"/>
        <w:rPr>
          <w:snapToGrid w:val="0"/>
        </w:rPr>
      </w:pPr>
      <w:bookmarkStart w:id="192" w:name="_Toc109702788"/>
      <w:bookmarkStart w:id="193" w:name="_Toc131409874"/>
      <w:r>
        <w:rPr>
          <w:rStyle w:val="CharSectno"/>
        </w:rPr>
        <w:t>19</w:t>
      </w:r>
      <w:r>
        <w:rPr>
          <w:snapToGrid w:val="0"/>
        </w:rPr>
        <w:t>.</w:t>
      </w:r>
      <w:r>
        <w:rPr>
          <w:snapToGrid w:val="0"/>
        </w:rPr>
        <w:tab/>
        <w:t>Duties of employers</w:t>
      </w:r>
      <w:bookmarkEnd w:id="171"/>
      <w:bookmarkEnd w:id="172"/>
      <w:bookmarkEnd w:id="173"/>
      <w:bookmarkEnd w:id="192"/>
      <w:bookmarkEnd w:id="193"/>
      <w:r>
        <w:rPr>
          <w:snapToGrid w:val="0"/>
        </w:rPr>
        <w:t xml:space="preserve"> </w:t>
      </w:r>
    </w:p>
    <w:p>
      <w:pPr>
        <w:pStyle w:val="Subsection"/>
        <w:spacing w:before="180"/>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b/>
        </w:rPr>
        <w:t>“</w:t>
      </w:r>
      <w:r>
        <w:rPr>
          <w:rStyle w:val="CharDefText"/>
        </w:rPr>
        <w:t>employees</w:t>
      </w:r>
      <w:r>
        <w:rPr>
          <w:b/>
        </w:rPr>
        <w:t>”</w:t>
      </w:r>
      <w:r>
        <w:t xml:space="preserve">) </w:t>
      </w:r>
      <w:r>
        <w:rPr>
          <w:snapToGrid w:val="0"/>
        </w:rPr>
        <w:t>are not exposed to hazards and in particular, but without limiting the generality of the foregoing, an employer shall — </w:t>
      </w:r>
    </w:p>
    <w:p>
      <w:pPr>
        <w:pStyle w:val="Indenta"/>
        <w:spacing w:before="100"/>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w:t>
      </w:r>
    </w:p>
    <w:p>
      <w:pPr>
        <w:pStyle w:val="Indenta"/>
        <w:spacing w:before="100"/>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w:t>
      </w:r>
    </w:p>
    <w:p>
      <w:pPr>
        <w:pStyle w:val="Indenta"/>
        <w:spacing w:before="100"/>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w:t>
      </w:r>
    </w:p>
    <w:p>
      <w:pPr>
        <w:pStyle w:val="Indenta"/>
        <w:spacing w:before="100"/>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spacing w:before="100"/>
        <w:rPr>
          <w:snapToGrid w:val="0"/>
        </w:rPr>
      </w:pPr>
      <w:r>
        <w:rPr>
          <w:snapToGrid w:val="0"/>
        </w:rPr>
        <w:tab/>
        <w:t>(e)</w:t>
      </w:r>
      <w:r>
        <w:rPr>
          <w:snapToGrid w:val="0"/>
        </w:rPr>
        <w:tab/>
        <w:t>make arrangements for ensuring, so far as is practicable, that — </w:t>
      </w:r>
    </w:p>
    <w:p>
      <w:pPr>
        <w:pStyle w:val="Indenti"/>
        <w:spacing w:before="100"/>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 xml:space="preserve">[Section 19 inserted by No. 43 of 1987 s. 13; amended by No. 30 of 1995 s. 13 and 47; No. 51 of 2004 s. 5, 17 and 78.] </w:t>
      </w:r>
    </w:p>
    <w:p>
      <w:pPr>
        <w:pStyle w:val="Heading5"/>
      </w:pPr>
      <w:bookmarkStart w:id="194" w:name="_Toc109702789"/>
      <w:bookmarkStart w:id="195" w:name="_Toc131409875"/>
      <w:bookmarkStart w:id="196" w:name="_Toc402776398"/>
      <w:bookmarkStart w:id="197" w:name="_Toc403985261"/>
      <w:bookmarkStart w:id="198" w:name="_Toc59593035"/>
      <w:r>
        <w:rPr>
          <w:rStyle w:val="CharSectno"/>
        </w:rPr>
        <w:t>19A</w:t>
      </w:r>
      <w:r>
        <w:t>.</w:t>
      </w:r>
      <w:r>
        <w:tab/>
        <w:t>Breaches of section 19(1)</w:t>
      </w:r>
      <w:bookmarkEnd w:id="194"/>
      <w:bookmarkEnd w:id="195"/>
    </w:p>
    <w:p>
      <w:pPr>
        <w:pStyle w:val="Subsection"/>
        <w:spacing w:before="120"/>
      </w:pPr>
      <w:r>
        <w:tab/>
        <w:t>(1)</w:t>
      </w:r>
      <w:r>
        <w:tab/>
        <w:t>If an employer contravenes section 19(1) in circumstances of gross negligence, the employer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19(1); and</w:t>
      </w:r>
    </w:p>
    <w:p>
      <w:pPr>
        <w:pStyle w:val="Indenti"/>
      </w:pPr>
      <w:r>
        <w:tab/>
        <w:t>(ii)</w:t>
      </w:r>
      <w:r>
        <w:tab/>
        <w:t>by the contravention causes the death of, or serious harm to, an employee;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spacing w:before="120"/>
      </w:pPr>
      <w:r>
        <w:tab/>
      </w:r>
      <w:r>
        <w:tab/>
        <w:t xml:space="preserve">the employer </w:t>
      </w:r>
      <w:r>
        <w:rPr>
          <w:snapToGrid w:val="0"/>
        </w:rPr>
        <w:t>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19(1); and</w:t>
      </w:r>
    </w:p>
    <w:p>
      <w:pPr>
        <w:pStyle w:val="Indenta"/>
        <w:rPr>
          <w:snapToGrid w:val="0"/>
        </w:rPr>
      </w:pPr>
      <w:r>
        <w:tab/>
        <w:t>(b)</w:t>
      </w:r>
      <w:r>
        <w:tab/>
        <w:t>neither</w:t>
      </w:r>
      <w:r>
        <w:rPr>
          <w:snapToGrid w:val="0"/>
        </w:rPr>
        <w:t xml:space="preserve"> subsection (1) nor subsection (2) applies, </w:t>
      </w:r>
    </w:p>
    <w:p>
      <w:pPr>
        <w:pStyle w:val="Subsection"/>
        <w:spacing w:before="120"/>
        <w:rPr>
          <w:snapToGrid w:val="0"/>
        </w:rPr>
      </w:pPr>
      <w:r>
        <w:rPr>
          <w:snapToGrid w:val="0"/>
        </w:rPr>
        <w:tab/>
      </w:r>
      <w:r>
        <w:rPr>
          <w:snapToGrid w:val="0"/>
        </w:rPr>
        <w:tab/>
        <w:t>the employer commits an offence and is liable to a level 2 penalty.</w:t>
      </w:r>
    </w:p>
    <w:p>
      <w:pPr>
        <w:pStyle w:val="Subsection"/>
        <w:spacing w:before="120"/>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19A inserted by No. 51 of 2004 s. 18.]</w:t>
      </w:r>
    </w:p>
    <w:p>
      <w:pPr>
        <w:pStyle w:val="Heading5"/>
        <w:rPr>
          <w:snapToGrid w:val="0"/>
        </w:rPr>
      </w:pPr>
      <w:bookmarkStart w:id="199" w:name="_Toc109702790"/>
      <w:bookmarkStart w:id="200" w:name="_Toc131409876"/>
      <w:r>
        <w:rPr>
          <w:rStyle w:val="CharSectno"/>
        </w:rPr>
        <w:t>20</w:t>
      </w:r>
      <w:r>
        <w:rPr>
          <w:snapToGrid w:val="0"/>
        </w:rPr>
        <w:t>.</w:t>
      </w:r>
      <w:r>
        <w:rPr>
          <w:snapToGrid w:val="0"/>
        </w:rPr>
        <w:tab/>
        <w:t>Duties of employees</w:t>
      </w:r>
      <w:bookmarkEnd w:id="196"/>
      <w:bookmarkEnd w:id="197"/>
      <w:bookmarkEnd w:id="198"/>
      <w:bookmarkEnd w:id="199"/>
      <w:bookmarkEnd w:id="200"/>
      <w:r>
        <w:rPr>
          <w:snapToGrid w:val="0"/>
        </w:rPr>
        <w:t xml:space="preserve"> </w:t>
      </w:r>
    </w:p>
    <w:p>
      <w:pPr>
        <w:pStyle w:val="Subsection"/>
        <w:spacing w:before="120"/>
        <w:rPr>
          <w:snapToGrid w:val="0"/>
        </w:rPr>
      </w:pPr>
      <w:r>
        <w:rPr>
          <w:snapToGrid w:val="0"/>
        </w:rPr>
        <w:tab/>
        <w:t>(1)</w:t>
      </w:r>
      <w:r>
        <w:rPr>
          <w:snapToGrid w:val="0"/>
        </w:rPr>
        <w:tab/>
        <w:t>An employee shall take reasonable care — </w:t>
      </w:r>
    </w:p>
    <w:p>
      <w:pPr>
        <w:pStyle w:val="Indenta"/>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keepNext/>
        <w:spacing w:before="120"/>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w:t>
      </w:r>
    </w:p>
    <w:p>
      <w:pPr>
        <w:pStyle w:val="Indenta"/>
        <w:spacing w:before="70"/>
        <w:rPr>
          <w:snapToGrid w:val="0"/>
        </w:rPr>
      </w:pPr>
      <w:r>
        <w:rPr>
          <w:snapToGrid w:val="0"/>
        </w:rPr>
        <w:tab/>
        <w:t>(c)</w:t>
      </w:r>
      <w:r>
        <w:rPr>
          <w:snapToGrid w:val="0"/>
        </w:rPr>
        <w:tab/>
        <w:t>misuses or damages any equipment provided in the interests of safety or health; or</w:t>
      </w:r>
    </w:p>
    <w:p>
      <w:pPr>
        <w:pStyle w:val="Indenta"/>
        <w:spacing w:before="70"/>
        <w:rPr>
          <w:snapToGrid w:val="0"/>
        </w:rPr>
      </w:pPr>
      <w:r>
        <w:rPr>
          <w:snapToGrid w:val="0"/>
        </w:rPr>
        <w:tab/>
        <w:t>(d)</w:t>
      </w:r>
      <w:r>
        <w:rPr>
          <w:snapToGrid w:val="0"/>
        </w:rPr>
        <w:tab/>
        <w:t>fails to report forthwith to</w:t>
      </w:r>
      <w:r>
        <w:t xml:space="preserve"> the employee’s employer</w:t>
      </w:r>
      <w:r>
        <w:rPr>
          <w:snapToGrid w:val="0"/>
        </w:rPr>
        <w:t> —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spacing w:before="70"/>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 xml:space="preserve">[Section 20 inserted by No. 43 of 1987 s. 13; amended by No. 30 of 1995 s. 14 and 47; No. 51 of 2004 s. 19, 79, 102(1) and (2).] </w:t>
      </w:r>
    </w:p>
    <w:p>
      <w:pPr>
        <w:pStyle w:val="Heading5"/>
      </w:pPr>
      <w:bookmarkStart w:id="201" w:name="_Toc109702791"/>
      <w:bookmarkStart w:id="202" w:name="_Toc131409877"/>
      <w:bookmarkStart w:id="203" w:name="_Toc402776399"/>
      <w:bookmarkStart w:id="204" w:name="_Toc403985262"/>
      <w:bookmarkStart w:id="205" w:name="_Toc59593036"/>
      <w:r>
        <w:rPr>
          <w:rStyle w:val="CharSectno"/>
        </w:rPr>
        <w:t>20A</w:t>
      </w:r>
      <w:r>
        <w:t>.</w:t>
      </w:r>
      <w:r>
        <w:tab/>
        <w:t>Breaches of section 20(1) or (3)</w:t>
      </w:r>
      <w:bookmarkEnd w:id="201"/>
      <w:bookmarkEnd w:id="202"/>
    </w:p>
    <w:p>
      <w:pPr>
        <w:pStyle w:val="Subsection"/>
      </w:pPr>
      <w:r>
        <w:tab/>
        <w:t>(1)</w:t>
      </w:r>
      <w:r>
        <w:tab/>
        <w:t xml:space="preserve">If an employee contravenes section 20(1)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206" w:name="_Toc109702792"/>
      <w:bookmarkStart w:id="207" w:name="_Toc131409878"/>
      <w:r>
        <w:rPr>
          <w:rStyle w:val="CharSectno"/>
        </w:rPr>
        <w:t>21</w:t>
      </w:r>
      <w:r>
        <w:rPr>
          <w:snapToGrid w:val="0"/>
        </w:rPr>
        <w:t>.</w:t>
      </w:r>
      <w:r>
        <w:rPr>
          <w:snapToGrid w:val="0"/>
        </w:rPr>
        <w:tab/>
        <w:t>Duties of employers and self</w:t>
      </w:r>
      <w:r>
        <w:rPr>
          <w:snapToGrid w:val="0"/>
        </w:rPr>
        <w:noBreakHyphen/>
        <w:t>employed persons</w:t>
      </w:r>
      <w:bookmarkEnd w:id="203"/>
      <w:bookmarkEnd w:id="204"/>
      <w:bookmarkEnd w:id="205"/>
      <w:bookmarkEnd w:id="206"/>
      <w:bookmarkEnd w:id="207"/>
      <w:r>
        <w:rPr>
          <w:snapToGrid w:val="0"/>
        </w:rPr>
        <w:t xml:space="preserve"> </w:t>
      </w:r>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 xml:space="preserve">employed person shall,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spacing w:before="90"/>
        <w:ind w:left="890" w:hanging="890"/>
      </w:pPr>
      <w:r>
        <w:tab/>
        <w:t xml:space="preserve">[Section 21 inserted by No. 43 of 1987 s. 13; amended by No. 30 of 1995 s. 15 and 47; No. 51 of 2004 s. 6 and 21.] </w:t>
      </w:r>
    </w:p>
    <w:p>
      <w:pPr>
        <w:pStyle w:val="Heading5"/>
      </w:pPr>
      <w:bookmarkStart w:id="208" w:name="_Toc109702793"/>
      <w:bookmarkStart w:id="209" w:name="_Toc131409879"/>
      <w:bookmarkStart w:id="210" w:name="_Toc402776400"/>
      <w:bookmarkStart w:id="211" w:name="_Toc403985263"/>
      <w:bookmarkStart w:id="212" w:name="_Toc59593037"/>
      <w:r>
        <w:rPr>
          <w:rStyle w:val="CharSectno"/>
        </w:rPr>
        <w:t>21A</w:t>
      </w:r>
      <w:r>
        <w:t>.</w:t>
      </w:r>
      <w:r>
        <w:tab/>
        <w:t>Breaches of section 21</w:t>
      </w:r>
      <w:bookmarkEnd w:id="208"/>
      <w:bookmarkEnd w:id="209"/>
    </w:p>
    <w:p>
      <w:pPr>
        <w:pStyle w:val="Subsection"/>
        <w:spacing w:before="120"/>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21(1)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213" w:name="_Toc109702794"/>
      <w:bookmarkStart w:id="214" w:name="_Toc131409880"/>
      <w:r>
        <w:rPr>
          <w:rStyle w:val="CharSectno"/>
        </w:rPr>
        <w:t>21B</w:t>
      </w:r>
      <w:r>
        <w:t>.</w:t>
      </w:r>
      <w:r>
        <w:tab/>
        <w:t>Duty placed on body corporate to which section 23D, 23E or 23F applies</w:t>
      </w:r>
      <w:bookmarkEnd w:id="213"/>
      <w:bookmarkEnd w:id="214"/>
    </w:p>
    <w:p>
      <w:pPr>
        <w:pStyle w:val="Subsection"/>
      </w:pPr>
      <w:r>
        <w:tab/>
        <w:t>(1)</w:t>
      </w:r>
      <w:r>
        <w:tab/>
        <w:t xml:space="preserve"> 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 xml:space="preserve">A body corporate to which this section applies shall,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215" w:name="_Toc109702795"/>
      <w:bookmarkStart w:id="216" w:name="_Toc131409881"/>
      <w:r>
        <w:rPr>
          <w:rStyle w:val="CharSectno"/>
        </w:rPr>
        <w:t>21C</w:t>
      </w:r>
      <w:r>
        <w:t>.</w:t>
      </w:r>
      <w:r>
        <w:tab/>
        <w:t>Breaches of section 21B</w:t>
      </w:r>
      <w:bookmarkEnd w:id="215"/>
      <w:bookmarkEnd w:id="216"/>
    </w:p>
    <w:p>
      <w:pPr>
        <w:pStyle w:val="Subsection"/>
        <w:spacing w:before="120"/>
      </w:pPr>
      <w:r>
        <w:tab/>
        <w:t>(1)</w:t>
      </w:r>
      <w:r>
        <w:tab/>
        <w:t>If a body corporate contravenes section 21B(2) in circumstances of gross negligence, the body corporate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body corporate — </w:t>
      </w:r>
    </w:p>
    <w:p>
      <w:pPr>
        <w:pStyle w:val="Indenti"/>
        <w:rPr>
          <w:snapToGrid w:val="0"/>
        </w:rPr>
      </w:pPr>
      <w:r>
        <w:tab/>
        <w:t>(i)</w:t>
      </w:r>
      <w:r>
        <w:tab/>
      </w:r>
      <w:r>
        <w:rPr>
          <w:snapToGrid w:val="0"/>
        </w:rPr>
        <w:t>contravenes section 21B(2);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the body corporate</w:t>
      </w:r>
      <w:r>
        <w:rPr>
          <w:snapToGrid w:val="0"/>
        </w:rPr>
        <w:t xml:space="preserve">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body corporate commits an offence and is liable to a level 2 penalty.</w:t>
      </w:r>
    </w:p>
    <w:p>
      <w:pPr>
        <w:pStyle w:val="Subsection"/>
        <w:spacing w:before="120"/>
      </w:pPr>
      <w:r>
        <w:tab/>
        <w:t>(4)</w:t>
      </w:r>
      <w:r>
        <w:tab/>
        <w:t xml:space="preserve">A body corporate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spacing w:before="160"/>
        <w:rPr>
          <w:snapToGrid w:val="0"/>
        </w:rPr>
      </w:pPr>
      <w:bookmarkStart w:id="217" w:name="_Toc109702796"/>
      <w:bookmarkStart w:id="218" w:name="_Toc131409882"/>
      <w:r>
        <w:rPr>
          <w:rStyle w:val="CharSectno"/>
        </w:rPr>
        <w:t>22</w:t>
      </w:r>
      <w:r>
        <w:rPr>
          <w:snapToGrid w:val="0"/>
        </w:rPr>
        <w:t>.</w:t>
      </w:r>
      <w:r>
        <w:rPr>
          <w:snapToGrid w:val="0"/>
        </w:rPr>
        <w:tab/>
        <w:t>Duties of persons who have control of workplaces</w:t>
      </w:r>
      <w:bookmarkEnd w:id="210"/>
      <w:bookmarkEnd w:id="211"/>
      <w:bookmarkEnd w:id="212"/>
      <w:bookmarkEnd w:id="217"/>
      <w:bookmarkEnd w:id="218"/>
      <w:r>
        <w:rPr>
          <w:snapToGrid w:val="0"/>
        </w:rPr>
        <w:t xml:space="preserve"> </w:t>
      </w:r>
    </w:p>
    <w:p>
      <w:pPr>
        <w:pStyle w:val="Subsection"/>
        <w:spacing w:before="120"/>
        <w:rPr>
          <w:snapToGrid w:val="0"/>
        </w:rPr>
      </w:pPr>
      <w:r>
        <w:rPr>
          <w:snapToGrid w:val="0"/>
        </w:rPr>
        <w:tab/>
        <w:t>(1)</w:t>
      </w:r>
      <w:r>
        <w:rPr>
          <w:snapToGrid w:val="0"/>
        </w:rPr>
        <w:tab/>
        <w:t>A person that has, to any extent, control of — </w:t>
      </w:r>
    </w:p>
    <w:p>
      <w:pPr>
        <w:pStyle w:val="Indenta"/>
        <w:spacing w:before="60"/>
        <w:rPr>
          <w:snapToGrid w:val="0"/>
        </w:rPr>
      </w:pPr>
      <w:r>
        <w:rPr>
          <w:snapToGrid w:val="0"/>
        </w:rPr>
        <w:tab/>
        <w:t>(a)</w:t>
      </w:r>
      <w:r>
        <w:rPr>
          <w:snapToGrid w:val="0"/>
        </w:rPr>
        <w:tab/>
        <w:t>a workplace where persons who are not employees of that person work or are likely to be in the course of their work; or</w:t>
      </w:r>
    </w:p>
    <w:p>
      <w:pPr>
        <w:pStyle w:val="Indenta"/>
        <w:spacing w:before="60"/>
        <w:rPr>
          <w:snapToGrid w:val="0"/>
        </w:rPr>
      </w:pPr>
      <w:r>
        <w:rPr>
          <w:snapToGrid w:val="0"/>
        </w:rPr>
        <w:tab/>
        <w:t>(b)</w:t>
      </w:r>
      <w:r>
        <w:rPr>
          <w:snapToGrid w:val="0"/>
        </w:rPr>
        <w:tab/>
        <w:t>the means of access to and egress from a workplace,</w:t>
      </w:r>
    </w:p>
    <w:p>
      <w:pPr>
        <w:pStyle w:val="Subsection"/>
        <w:spacing w:before="120"/>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spacing w:before="120"/>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spacing w:before="120"/>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pPr>
      <w:r>
        <w:tab/>
        <w:t>[(4)</w:t>
      </w:r>
      <w:r>
        <w:noBreakHyphen/>
        <w:t>(6)</w:t>
      </w:r>
      <w:r>
        <w:tab/>
        <w:t>repealed]</w:t>
      </w:r>
    </w:p>
    <w:p>
      <w:pPr>
        <w:pStyle w:val="Subsection"/>
        <w:spacing w:before="120"/>
        <w:rPr>
          <w:snapToGrid w:val="0"/>
        </w:rPr>
      </w:pPr>
      <w:r>
        <w:rPr>
          <w:snapToGrid w:val="0"/>
        </w:rPr>
        <w:tab/>
        <w:t>(7)</w:t>
      </w:r>
      <w:r>
        <w:rPr>
          <w:snapToGrid w:val="0"/>
        </w:rPr>
        <w:tab/>
        <w:t>This section does not apply to a person whose duties are set out in section 20.</w:t>
      </w:r>
    </w:p>
    <w:p>
      <w:pPr>
        <w:pStyle w:val="Footnotesection"/>
      </w:pPr>
      <w:r>
        <w:tab/>
        <w:t xml:space="preserve">[Section 22 inserted by No. 30 of 1995 s. 16; amended by No. 51 of 2004 s. 23, 80 and 103.] </w:t>
      </w:r>
    </w:p>
    <w:p>
      <w:pPr>
        <w:pStyle w:val="Heading5"/>
      </w:pPr>
      <w:bookmarkStart w:id="219" w:name="_Toc109702797"/>
      <w:bookmarkStart w:id="220" w:name="_Toc131409883"/>
      <w:bookmarkStart w:id="221" w:name="_Toc402776401"/>
      <w:bookmarkStart w:id="222" w:name="_Toc403985264"/>
      <w:bookmarkStart w:id="223" w:name="_Toc59593038"/>
      <w:r>
        <w:rPr>
          <w:rStyle w:val="CharSectno"/>
        </w:rPr>
        <w:t>22A</w:t>
      </w:r>
      <w:r>
        <w:t>.</w:t>
      </w:r>
      <w:r>
        <w:tab/>
        <w:t>Breaches of section 22(1)</w:t>
      </w:r>
      <w:bookmarkEnd w:id="219"/>
      <w:bookmarkEnd w:id="220"/>
    </w:p>
    <w:p>
      <w:pPr>
        <w:pStyle w:val="Subsection"/>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224" w:name="_Toc109702798"/>
      <w:bookmarkStart w:id="225" w:name="_Toc131409884"/>
      <w:r>
        <w:rPr>
          <w:rStyle w:val="CharSectno"/>
        </w:rPr>
        <w:t>23</w:t>
      </w:r>
      <w:r>
        <w:rPr>
          <w:snapToGrid w:val="0"/>
        </w:rPr>
        <w:t>.</w:t>
      </w:r>
      <w:r>
        <w:rPr>
          <w:snapToGrid w:val="0"/>
        </w:rPr>
        <w:tab/>
        <w:t>Duties of manufacturers, etc.</w:t>
      </w:r>
      <w:bookmarkEnd w:id="221"/>
      <w:bookmarkEnd w:id="222"/>
      <w:bookmarkEnd w:id="223"/>
      <w:bookmarkEnd w:id="224"/>
      <w:bookmarkEnd w:id="225"/>
      <w:r>
        <w:rPr>
          <w:snapToGrid w:val="0"/>
        </w:rPr>
        <w:t xml:space="preserve"> </w:t>
      </w:r>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w:t>
      </w:r>
    </w:p>
    <w:p>
      <w:pPr>
        <w:pStyle w:val="Indenti"/>
        <w:rPr>
          <w:snapToGrid w:val="0"/>
        </w:rPr>
      </w:pPr>
      <w:r>
        <w:rPr>
          <w:snapToGrid w:val="0"/>
        </w:rPr>
        <w:tab/>
        <w:t>(ii)</w:t>
      </w:r>
      <w:r>
        <w:rPr>
          <w:snapToGrid w:val="0"/>
        </w:rPr>
        <w:tab/>
        <w:t>the specifications of the plant and the data obtained on the testing of the plant as mentioned in paragraph (b);</w:t>
      </w:r>
    </w:p>
    <w:p>
      <w:pPr>
        <w:pStyle w:val="Indenti"/>
        <w:rPr>
          <w:snapToGrid w:val="0"/>
        </w:rPr>
      </w:pPr>
      <w:r>
        <w:rPr>
          <w:snapToGrid w:val="0"/>
        </w:rPr>
        <w:tab/>
        <w:t>(iii)</w:t>
      </w:r>
      <w:r>
        <w:rPr>
          <w:snapToGrid w:val="0"/>
        </w:rPr>
        <w:tab/>
        <w:t>the conditions necessary to ensure that persons properly using the plant are not, in so doing,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thereafter whenever requested.</w:t>
      </w:r>
    </w:p>
    <w:p>
      <w:pPr>
        <w:pStyle w:val="Subsection"/>
        <w:spacing w:before="120"/>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spacing w:before="180"/>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spacing w:before="180"/>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spacing w:before="180"/>
        <w:rPr>
          <w:snapToGrid w:val="0"/>
        </w:rPr>
      </w:pPr>
      <w:r>
        <w:rPr>
          <w:snapToGrid w:val="0"/>
        </w:rPr>
        <w:tab/>
      </w:r>
      <w:r>
        <w:rPr>
          <w:snapToGrid w:val="0"/>
        </w:rPr>
        <w:tab/>
        <w:t>are not, in doing so, exposed to hazards.</w:t>
      </w:r>
    </w:p>
    <w:p>
      <w:pPr>
        <w:pStyle w:val="Footnotesection"/>
        <w:spacing w:before="140"/>
        <w:ind w:left="890" w:hanging="890"/>
      </w:pPr>
      <w:r>
        <w:tab/>
        <w:t xml:space="preserve">[Section 23 inserted by No. 43 of 1987 s. 13; amended by No. 30 of 1995 s. 17; No. 51 of 2004 s. 25, 81 and 103.] </w:t>
      </w:r>
    </w:p>
    <w:p>
      <w:pPr>
        <w:pStyle w:val="Heading5"/>
      </w:pPr>
      <w:bookmarkStart w:id="226" w:name="_Toc109702799"/>
      <w:bookmarkStart w:id="227" w:name="_Toc131409885"/>
      <w:bookmarkStart w:id="228" w:name="_Toc402776402"/>
      <w:bookmarkStart w:id="229" w:name="_Toc403985265"/>
      <w:bookmarkStart w:id="230" w:name="_Toc59593039"/>
      <w:r>
        <w:rPr>
          <w:rStyle w:val="CharSectno"/>
        </w:rPr>
        <w:t>23AA</w:t>
      </w:r>
      <w:r>
        <w:t>.</w:t>
      </w:r>
      <w:r>
        <w:tab/>
        <w:t>Breaches of section 23</w:t>
      </w:r>
      <w:bookmarkEnd w:id="226"/>
      <w:bookmarkEnd w:id="227"/>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200"/>
        <w:rPr>
          <w:snapToGrid w:val="0"/>
        </w:rPr>
      </w:pPr>
      <w:bookmarkStart w:id="231" w:name="_Toc109702800"/>
      <w:bookmarkStart w:id="232" w:name="_Toc131409886"/>
      <w:r>
        <w:rPr>
          <w:rStyle w:val="CharSectno"/>
        </w:rPr>
        <w:t>23A</w:t>
      </w:r>
      <w:r>
        <w:rPr>
          <w:snapToGrid w:val="0"/>
        </w:rPr>
        <w:t xml:space="preserve">. </w:t>
      </w:r>
      <w:r>
        <w:rPr>
          <w:snapToGrid w:val="0"/>
        </w:rPr>
        <w:tab/>
        <w:t>Prohibited activities in prescribed areas</w:t>
      </w:r>
      <w:bookmarkEnd w:id="228"/>
      <w:bookmarkEnd w:id="229"/>
      <w:bookmarkEnd w:id="230"/>
      <w:bookmarkEnd w:id="231"/>
      <w:bookmarkEnd w:id="232"/>
      <w:r>
        <w:rPr>
          <w:snapToGrid w:val="0"/>
        </w:rPr>
        <w:t xml:space="preserve"> </w:t>
      </w:r>
    </w:p>
    <w:p>
      <w:pPr>
        <w:pStyle w:val="Subsection"/>
        <w:spacing w:before="14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spacing w:before="140"/>
        <w:rPr>
          <w:snapToGrid w:val="0"/>
        </w:rPr>
      </w:pPr>
      <w:r>
        <w:rPr>
          <w:snapToGrid w:val="0"/>
        </w:rPr>
        <w:tab/>
      </w:r>
      <w:r>
        <w:rPr>
          <w:snapToGrid w:val="0"/>
        </w:rPr>
        <w:tab/>
        <w:t>at a workplace in an area of the State prescribed for the purposes of this section.</w:t>
      </w:r>
    </w:p>
    <w:p>
      <w:pPr>
        <w:pStyle w:val="Ednotesubsection"/>
      </w:pPr>
      <w:r>
        <w:tab/>
        <w:t>[(2)</w:t>
      </w:r>
      <w:r>
        <w:noBreakHyphen/>
        <w:t>(4)</w:t>
      </w:r>
      <w:r>
        <w:tab/>
        <w:t>repealed]</w:t>
      </w:r>
    </w:p>
    <w:p>
      <w:pPr>
        <w:pStyle w:val="Footnotesection"/>
        <w:ind w:left="890" w:hanging="890"/>
      </w:pPr>
      <w:r>
        <w:tab/>
        <w:t xml:space="preserve">[Section 23A inserted by No. 30 of 1995 s. 18; amended by No. 51 of 2004 s. 27.] </w:t>
      </w:r>
    </w:p>
    <w:p>
      <w:pPr>
        <w:pStyle w:val="Heading5"/>
      </w:pPr>
      <w:bookmarkStart w:id="233" w:name="_Toc109702801"/>
      <w:bookmarkStart w:id="234" w:name="_Toc131409887"/>
      <w:bookmarkStart w:id="235" w:name="_Toc402776403"/>
      <w:bookmarkStart w:id="236" w:name="_Toc403985266"/>
      <w:bookmarkStart w:id="237" w:name="_Toc59593040"/>
      <w:r>
        <w:rPr>
          <w:rStyle w:val="CharSectno"/>
        </w:rPr>
        <w:t>23B</w:t>
      </w:r>
      <w:r>
        <w:t>.</w:t>
      </w:r>
      <w:r>
        <w:tab/>
        <w:t>Breaches of section 23A</w:t>
      </w:r>
      <w:bookmarkEnd w:id="233"/>
      <w:bookmarkEnd w:id="234"/>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person —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23B inserted by No. 51 of 2004 s. 28.]</w:t>
      </w:r>
    </w:p>
    <w:p>
      <w:pPr>
        <w:pStyle w:val="Heading3"/>
      </w:pPr>
      <w:bookmarkStart w:id="238" w:name="_Toc93200907"/>
      <w:bookmarkStart w:id="239" w:name="_Toc97006578"/>
      <w:bookmarkStart w:id="240" w:name="_Toc100545148"/>
      <w:bookmarkStart w:id="241" w:name="_Toc100716627"/>
      <w:bookmarkStart w:id="242" w:name="_Toc102546216"/>
      <w:bookmarkStart w:id="243" w:name="_Toc103141439"/>
      <w:bookmarkStart w:id="244" w:name="_Toc105909051"/>
      <w:bookmarkStart w:id="245" w:name="_Toc105921937"/>
      <w:bookmarkStart w:id="246" w:name="_Toc106616775"/>
      <w:bookmarkStart w:id="247" w:name="_Toc108848519"/>
      <w:bookmarkStart w:id="248" w:name="_Toc109702802"/>
      <w:bookmarkStart w:id="249" w:name="_Toc113700359"/>
      <w:bookmarkStart w:id="250" w:name="_Toc113779017"/>
      <w:bookmarkStart w:id="251" w:name="_Toc122767398"/>
      <w:bookmarkStart w:id="252" w:name="_Toc122767641"/>
      <w:bookmarkStart w:id="253" w:name="_Toc131409888"/>
      <w:bookmarkStart w:id="254" w:name="_Toc402776404"/>
      <w:bookmarkStart w:id="255" w:name="_Toc403985267"/>
      <w:bookmarkStart w:id="256" w:name="_Toc59593041"/>
      <w:bookmarkEnd w:id="235"/>
      <w:bookmarkEnd w:id="236"/>
      <w:bookmarkEnd w:id="237"/>
      <w:r>
        <w:rPr>
          <w:rStyle w:val="CharDivNo"/>
        </w:rPr>
        <w:t>Division 3</w:t>
      </w:r>
      <w:r>
        <w:t> — </w:t>
      </w:r>
      <w:r>
        <w:rPr>
          <w:rStyle w:val="CharDivText"/>
        </w:rPr>
        <w:t>Certain workplace situations to be treated as employment</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Footnoteheading"/>
        <w:tabs>
          <w:tab w:val="left" w:pos="851"/>
        </w:tabs>
      </w:pPr>
      <w:r>
        <w:tab/>
        <w:t>[Heading inserted by No. 51 of 2004 s. 8.]</w:t>
      </w:r>
    </w:p>
    <w:p>
      <w:pPr>
        <w:pStyle w:val="Heading5"/>
      </w:pPr>
      <w:bookmarkStart w:id="257" w:name="_Toc109702803"/>
      <w:bookmarkStart w:id="258" w:name="_Toc131409889"/>
      <w:r>
        <w:rPr>
          <w:rStyle w:val="CharSectno"/>
        </w:rPr>
        <w:t>23C</w:t>
      </w:r>
      <w:r>
        <w:t>.</w:t>
      </w:r>
      <w:r>
        <w:tab/>
        <w:t>Terms used in this Division</w:t>
      </w:r>
      <w:bookmarkEnd w:id="257"/>
      <w:bookmarkEnd w:id="258"/>
    </w:p>
    <w:p>
      <w:pPr>
        <w:pStyle w:val="Subsection"/>
      </w:pPr>
      <w:r>
        <w:tab/>
      </w:r>
      <w:r>
        <w:tab/>
        <w:t xml:space="preserve">In this Division — </w:t>
      </w:r>
    </w:p>
    <w:p>
      <w:pPr>
        <w:pStyle w:val="Defstart"/>
      </w:pPr>
      <w:r>
        <w:rPr>
          <w:b/>
        </w:rPr>
        <w:tab/>
        <w:t>“</w:t>
      </w:r>
      <w:r>
        <w:rPr>
          <w:rStyle w:val="CharDefText"/>
        </w:rPr>
        <w:t>business</w:t>
      </w:r>
      <w:r>
        <w:rPr>
          <w:b/>
        </w:rPr>
        <w:t>”</w:t>
      </w:r>
      <w:r>
        <w:t xml:space="preserve"> includes the operations of a public authority;</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acting in the Minister’s official capacity;</w:t>
      </w:r>
    </w:p>
    <w:p>
      <w:pPr>
        <w:pStyle w:val="Defpara"/>
      </w:pPr>
      <w:r>
        <w:tab/>
        <w:t>(b)</w:t>
      </w:r>
      <w:r>
        <w:tab/>
        <w:t>a State Government department, State trading concern, State instrumentality or State agency; or</w:t>
      </w:r>
    </w:p>
    <w:p>
      <w:pPr>
        <w:pStyle w:val="Defpara"/>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pPr>
      <w:r>
        <w:tab/>
        <w:t>[Section 23C inserted by No. 51 of 2004 s. 8.]</w:t>
      </w:r>
    </w:p>
    <w:p>
      <w:pPr>
        <w:pStyle w:val="Heading5"/>
      </w:pPr>
      <w:bookmarkStart w:id="259" w:name="_Toc109702804"/>
      <w:bookmarkStart w:id="260" w:name="_Toc131409890"/>
      <w:r>
        <w:rPr>
          <w:rStyle w:val="CharSectno"/>
        </w:rPr>
        <w:t>23D</w:t>
      </w:r>
      <w:r>
        <w:t>.</w:t>
      </w:r>
      <w:r>
        <w:tab/>
        <w:t>Contract work arrangements</w:t>
      </w:r>
      <w:bookmarkEnd w:id="259"/>
      <w:bookmarkEnd w:id="260"/>
    </w:p>
    <w:p>
      <w:pPr>
        <w:pStyle w:val="Subsection"/>
      </w:pPr>
      <w:r>
        <w:tab/>
        <w:t>(1)</w:t>
      </w:r>
      <w:r>
        <w:tab/>
        <w:t xml:space="preserve">This section applies where a person (the </w:t>
      </w:r>
      <w:r>
        <w:rPr>
          <w:b/>
        </w:rPr>
        <w:t>“</w:t>
      </w:r>
      <w:r>
        <w:rPr>
          <w:rStyle w:val="CharDefText"/>
        </w:rPr>
        <w:t>principal</w:t>
      </w:r>
      <w:r>
        <w:rPr>
          <w:b/>
        </w:rPr>
        <w:t>”</w:t>
      </w:r>
      <w:r>
        <w:t xml:space="preserve">) in the course of trade or business engages a contractor (the </w:t>
      </w:r>
      <w:r>
        <w:rPr>
          <w:b/>
        </w:rPr>
        <w:t>“</w:t>
      </w:r>
      <w:r>
        <w:rPr>
          <w:rStyle w:val="CharDefText"/>
        </w:rPr>
        <w:t>contractor</w:t>
      </w:r>
      <w:r>
        <w:rPr>
          <w:b/>
        </w:rPr>
        <w:t>”</w:t>
      </w:r>
      <w:r>
        <w:t>) to carry out work for the principal.</w:t>
      </w:r>
    </w:p>
    <w:p>
      <w:pPr>
        <w:pStyle w:val="Subsection"/>
        <w:keepNext/>
      </w:pPr>
      <w:r>
        <w:tab/>
        <w:t>(2)</w:t>
      </w:r>
      <w:r>
        <w:tab/>
        <w:t xml:space="preserve">Where this section applies, section 19 has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 xml:space="preserve">Where this section applies, the further duties referred to in subsection (4) apply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19 or 23G(2);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23D inserted by No. 51 of 2004 s. 8.]</w:t>
      </w:r>
    </w:p>
    <w:p>
      <w:pPr>
        <w:pStyle w:val="Heading5"/>
      </w:pPr>
      <w:bookmarkStart w:id="261" w:name="_Toc109702805"/>
      <w:bookmarkStart w:id="262" w:name="_Toc131409891"/>
      <w:r>
        <w:rPr>
          <w:rStyle w:val="CharSectno"/>
        </w:rPr>
        <w:t>23E</w:t>
      </w:r>
      <w:r>
        <w:t>.</w:t>
      </w:r>
      <w:r>
        <w:tab/>
        <w:t>Labour arrangements in general</w:t>
      </w:r>
      <w:bookmarkEnd w:id="261"/>
      <w:bookmarkEnd w:id="262"/>
    </w:p>
    <w:p>
      <w:pPr>
        <w:pStyle w:val="Subsection"/>
      </w:pPr>
      <w:r>
        <w:tab/>
        <w:t>(1)</w:t>
      </w:r>
      <w:r>
        <w:tab/>
        <w:t xml:space="preserve">This section applies where — </w:t>
      </w:r>
    </w:p>
    <w:p>
      <w:pPr>
        <w:pStyle w:val="Indenta"/>
      </w:pPr>
      <w:r>
        <w:tab/>
        <w:t>(a)</w:t>
      </w:r>
      <w:r>
        <w:tab/>
        <w:t xml:space="preserve">a person (the </w:t>
      </w:r>
      <w:r>
        <w:rPr>
          <w:b/>
        </w:rPr>
        <w:t>“</w:t>
      </w:r>
      <w:r>
        <w:rPr>
          <w:rStyle w:val="CharDefText"/>
        </w:rPr>
        <w:t>worker</w:t>
      </w:r>
      <w:r>
        <w:rPr>
          <w:b/>
        </w:rPr>
        <w:t>”</w:t>
      </w:r>
      <w:r>
        <w:t xml:space="preserve">) for remuneration carries out work for another person (the </w:t>
      </w:r>
      <w:r>
        <w:rPr>
          <w:b/>
        </w:rPr>
        <w:t>“</w:t>
      </w:r>
      <w:r>
        <w:rPr>
          <w:rStyle w:val="CharDefText"/>
        </w:rPr>
        <w:t>person mentioned in subsection (1)(a)</w:t>
      </w:r>
      <w:r>
        <w:rPr>
          <w:b/>
        </w:rPr>
        <w:t>”</w:t>
      </w:r>
      <w:r>
        <w:t>) in the course of trade or business;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23D nor section 23F applies.</w:t>
      </w:r>
    </w:p>
    <w:p>
      <w:pPr>
        <w:pStyle w:val="Subsection"/>
        <w:keepNext/>
      </w:pPr>
      <w:r>
        <w:tab/>
        <w:t>(2)</w:t>
      </w:r>
      <w:r>
        <w:tab/>
        <w:t xml:space="preserve">Where this section applies, section 19 has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is a matter over which that person has the capacity to exercise control.</w:t>
      </w:r>
    </w:p>
    <w:p>
      <w:pPr>
        <w:pStyle w:val="Subsection"/>
      </w:pPr>
      <w:r>
        <w:tab/>
        <w:t>(3)</w:t>
      </w:r>
      <w:r>
        <w:tab/>
        <w:t xml:space="preserve">Where this section applies, the further duties referred to in subsection (4) apply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(5)</w:t>
      </w:r>
      <w:r>
        <w:tab/>
        <w:t xml:space="preserve">An agreement or arrangement is void for the purposes of this section to the extent that it purports to give control to the worker of any matter that — </w:t>
      </w:r>
    </w:p>
    <w:p>
      <w:pPr>
        <w:pStyle w:val="Indenta"/>
      </w:pPr>
      <w:r>
        <w:tab/>
        <w:t>(a)</w:t>
      </w:r>
      <w:r>
        <w:tab/>
        <w:t>comes within section 19; and</w:t>
      </w:r>
    </w:p>
    <w:p>
      <w:pPr>
        <w:pStyle w:val="Indenta"/>
      </w:pPr>
      <w:r>
        <w:tab/>
        <w:t>(b)</w:t>
      </w:r>
      <w:r>
        <w:tab/>
        <w:t>is a matter over which the person mentioned in subsection (1)(a) has the capacity to exercise control.</w:t>
      </w:r>
    </w:p>
    <w:p>
      <w:pPr>
        <w:pStyle w:val="Subsection"/>
      </w:pPr>
      <w:r>
        <w:tab/>
        <w:t>(6)</w:t>
      </w:r>
      <w:r>
        <w:tab/>
        <w:t>This section applies despite anything to the contrary in, or any inconsistent provision of, an agreement, whether made orally or in writing.</w:t>
      </w:r>
    </w:p>
    <w:p>
      <w:pPr>
        <w:pStyle w:val="Subsection"/>
      </w:pPr>
      <w:r>
        <w:tab/>
        <w:t>(7)</w:t>
      </w:r>
      <w:r>
        <w:tab/>
        <w:t>A purported waiver by a worker of a right that arises directly or indirectly under this section is void.</w:t>
      </w:r>
    </w:p>
    <w:p>
      <w:pPr>
        <w:pStyle w:val="Footnotesection"/>
      </w:pPr>
      <w:r>
        <w:tab/>
        <w:t>[Section 23E inserted by No. 51 of 2004 s. 8.]</w:t>
      </w:r>
    </w:p>
    <w:p>
      <w:pPr>
        <w:pStyle w:val="Heading5"/>
      </w:pPr>
      <w:bookmarkStart w:id="263" w:name="_Toc109702806"/>
      <w:bookmarkStart w:id="264" w:name="_Toc131409892"/>
      <w:r>
        <w:rPr>
          <w:rStyle w:val="CharSectno"/>
        </w:rPr>
        <w:t>23F</w:t>
      </w:r>
      <w:r>
        <w:t>.</w:t>
      </w:r>
      <w:r>
        <w:tab/>
        <w:t>Labour hire arrangements</w:t>
      </w:r>
      <w:bookmarkEnd w:id="263"/>
      <w:bookmarkEnd w:id="264"/>
    </w:p>
    <w:p>
      <w:pPr>
        <w:pStyle w:val="Subsection"/>
      </w:pPr>
      <w:r>
        <w:tab/>
        <w:t>(1)</w:t>
      </w:r>
      <w:r>
        <w:tab/>
        <w:t xml:space="preserve">In this section — </w:t>
      </w:r>
    </w:p>
    <w:p>
      <w:pPr>
        <w:pStyle w:val="Defstart"/>
      </w:pPr>
      <w:r>
        <w:rPr>
          <w:b/>
        </w:rPr>
        <w:tab/>
        <w:t>“</w:t>
      </w:r>
      <w:r>
        <w:rPr>
          <w:rStyle w:val="CharDefText"/>
        </w:rPr>
        <w:t>agent</w:t>
      </w:r>
      <w:r>
        <w:rPr>
          <w:b/>
        </w:rPr>
        <w:t>”</w:t>
      </w:r>
      <w:r>
        <w:t xml:space="preserve"> — </w:t>
      </w:r>
    </w:p>
    <w:p>
      <w:pPr>
        <w:pStyle w:val="Defpara"/>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t>“</w:t>
      </w:r>
      <w:r>
        <w:rPr>
          <w:rStyle w:val="CharDefText"/>
        </w:rPr>
        <w:t>worker</w:t>
      </w:r>
      <w:r>
        <w:rPr>
          <w:b/>
        </w:rPr>
        <w:t>”</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b/>
        </w:rPr>
        <w:t>“</w:t>
      </w:r>
      <w:r>
        <w:rPr>
          <w:rStyle w:val="CharDefText"/>
        </w:rPr>
        <w:t>client</w:t>
      </w:r>
      <w:r>
        <w:rPr>
          <w:b/>
        </w:rPr>
        <w:t>”</w:t>
      </w:r>
      <w:r>
        <w:t>) in the course of the client’s trade or business.</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 19 has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20"/>
      </w:pPr>
      <w:r>
        <w:tab/>
        <w:t>(5)</w:t>
      </w:r>
      <w:r>
        <w:tab/>
        <w:t xml:space="preserve">Where this section applies, the further duties referred to in subsection (6) apply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t>(6)</w:t>
      </w:r>
      <w:r>
        <w:tab/>
        <w:t xml:space="preserve">The further duties mentioned in subsection (5) are — </w:t>
      </w:r>
    </w:p>
    <w:p>
      <w:pPr>
        <w:pStyle w:val="Indenta"/>
      </w:pPr>
      <w:r>
        <w:tab/>
        <w:t>(a)</w:t>
      </w:r>
      <w:r>
        <w:tab/>
        <w:t>the duties of an employee under section 20; and</w:t>
      </w:r>
    </w:p>
    <w:p>
      <w:pPr>
        <w:pStyle w:val="Indenta"/>
      </w:pPr>
      <w:r>
        <w:tab/>
        <w:t>(b)</w:t>
      </w:r>
      <w:r>
        <w:tab/>
        <w:t>the duties of an employer under section 23I(3).</w:t>
      </w:r>
    </w:p>
    <w:p>
      <w:pPr>
        <w:pStyle w:val="Subsection"/>
        <w:spacing w:before="120"/>
      </w:pPr>
      <w:r>
        <w:tab/>
        <w:t>(7)</w:t>
      </w:r>
      <w:r>
        <w:tab/>
        <w:t>This section applies despite anything to the contrary in, or any inconsistent provision of, an agreement, whether made orally or in writing.</w:t>
      </w:r>
    </w:p>
    <w:p>
      <w:pPr>
        <w:pStyle w:val="Subsection"/>
        <w:spacing w:before="120"/>
      </w:pPr>
      <w:r>
        <w:tab/>
        <w:t>(8)</w:t>
      </w:r>
      <w:r>
        <w:tab/>
        <w:t>A purported waiver by a worker of a right that arises directly or indirectly under this section is void.</w:t>
      </w:r>
    </w:p>
    <w:p>
      <w:pPr>
        <w:pStyle w:val="Footnotesection"/>
      </w:pPr>
      <w:r>
        <w:tab/>
        <w:t>[Section 23F inserted by No. 51 of 2004 s. 8.]</w:t>
      </w:r>
    </w:p>
    <w:p>
      <w:pPr>
        <w:pStyle w:val="Heading3"/>
      </w:pPr>
      <w:bookmarkStart w:id="265" w:name="_Toc93200912"/>
      <w:bookmarkStart w:id="266" w:name="_Toc97006583"/>
      <w:bookmarkStart w:id="267" w:name="_Toc100545153"/>
      <w:bookmarkStart w:id="268" w:name="_Toc100716632"/>
      <w:bookmarkStart w:id="269" w:name="_Toc102546221"/>
      <w:bookmarkStart w:id="270" w:name="_Toc103141444"/>
      <w:bookmarkStart w:id="271" w:name="_Toc105909056"/>
      <w:bookmarkStart w:id="272" w:name="_Toc105921942"/>
      <w:bookmarkStart w:id="273" w:name="_Toc106616780"/>
      <w:bookmarkStart w:id="274" w:name="_Toc108848524"/>
      <w:bookmarkStart w:id="275" w:name="_Toc109702807"/>
      <w:bookmarkStart w:id="276" w:name="_Toc113700364"/>
      <w:bookmarkStart w:id="277" w:name="_Toc113779022"/>
      <w:bookmarkStart w:id="278" w:name="_Toc122767403"/>
      <w:bookmarkStart w:id="279" w:name="_Toc122767646"/>
      <w:bookmarkStart w:id="280" w:name="_Toc131409893"/>
      <w:r>
        <w:rPr>
          <w:rStyle w:val="CharDivNo"/>
        </w:rPr>
        <w:t>Division 4</w:t>
      </w:r>
      <w:r>
        <w:t> — </w:t>
      </w:r>
      <w:r>
        <w:rPr>
          <w:rStyle w:val="CharDivText"/>
        </w:rPr>
        <w:t>Duty relating to certain employment accommodation</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Footnoteheading"/>
        <w:tabs>
          <w:tab w:val="left" w:pos="851"/>
        </w:tabs>
      </w:pPr>
      <w:r>
        <w:tab/>
        <w:t>[Heading inserted by No. 51 of 2004 s. 8.]</w:t>
      </w:r>
    </w:p>
    <w:p>
      <w:pPr>
        <w:pStyle w:val="Heading5"/>
      </w:pPr>
      <w:bookmarkStart w:id="281" w:name="_Toc109702808"/>
      <w:bookmarkStart w:id="282" w:name="_Toc131409894"/>
      <w:r>
        <w:rPr>
          <w:rStyle w:val="CharSectno"/>
        </w:rPr>
        <w:t>23G</w:t>
      </w:r>
      <w:r>
        <w:t>.</w:t>
      </w:r>
      <w:r>
        <w:tab/>
        <w:t>Duty of employer to maintain safe premises</w:t>
      </w:r>
      <w:bookmarkEnd w:id="281"/>
      <w:bookmarkEnd w:id="282"/>
    </w:p>
    <w:p>
      <w:pPr>
        <w:pStyle w:val="Subsection"/>
        <w:spacing w:before="120"/>
      </w:pPr>
      <w:r>
        <w:tab/>
        <w:t>(1)</w:t>
      </w:r>
      <w:r>
        <w:tab/>
        <w:t xml:space="preserve">In this section — </w:t>
      </w:r>
    </w:p>
    <w:p>
      <w:pPr>
        <w:pStyle w:val="Defstart"/>
      </w:pPr>
      <w:r>
        <w:tab/>
      </w:r>
      <w:r>
        <w:rPr>
          <w:b/>
        </w:rPr>
        <w:t>“</w:t>
      </w:r>
      <w:r>
        <w:rPr>
          <w:rStyle w:val="CharDefText"/>
        </w:rPr>
        <w:t>residential premises</w:t>
      </w:r>
      <w:r>
        <w:rPr>
          <w:b/>
        </w:rPr>
        <w:t>”</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 xml:space="preserve">Where — </w:t>
      </w:r>
    </w:p>
    <w:p>
      <w:pPr>
        <w:pStyle w:val="Indenta"/>
      </w:pPr>
      <w:r>
        <w:tab/>
        <w:t>(a)</w:t>
      </w:r>
      <w:r>
        <w:tab/>
        <w:t>an employee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283" w:name="_Toc109702809"/>
      <w:bookmarkStart w:id="284" w:name="_Toc131409895"/>
      <w:r>
        <w:rPr>
          <w:rStyle w:val="CharSectno"/>
        </w:rPr>
        <w:t>23H</w:t>
      </w:r>
      <w:r>
        <w:t>.</w:t>
      </w:r>
      <w:r>
        <w:tab/>
        <w:t>Breaches of section 23G</w:t>
      </w:r>
      <w:bookmarkEnd w:id="283"/>
      <w:bookmarkEnd w:id="284"/>
    </w:p>
    <w:p>
      <w:pPr>
        <w:pStyle w:val="Subsection"/>
      </w:pPr>
      <w:r>
        <w:tab/>
        <w:t>(1)</w:t>
      </w:r>
      <w:r>
        <w:tab/>
        <w:t>If an employer contravenes section 23G(2) in circumstances of gross negligence, the employer commits an offence and is liable to a level 4 penalty.</w:t>
      </w:r>
    </w:p>
    <w:p>
      <w:pPr>
        <w:pStyle w:val="Subsection"/>
        <w:keepNext/>
        <w:keepLines/>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23G(2);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pPr>
      <w:bookmarkStart w:id="285" w:name="_Toc93200915"/>
      <w:bookmarkStart w:id="286" w:name="_Toc97006586"/>
      <w:bookmarkStart w:id="287" w:name="_Toc100545156"/>
      <w:bookmarkStart w:id="288" w:name="_Toc100716635"/>
      <w:bookmarkStart w:id="289" w:name="_Toc102546224"/>
      <w:bookmarkStart w:id="290" w:name="_Toc103141447"/>
      <w:bookmarkStart w:id="291" w:name="_Toc105909059"/>
      <w:bookmarkStart w:id="292" w:name="_Toc105921945"/>
      <w:bookmarkStart w:id="293" w:name="_Toc106616783"/>
      <w:bookmarkStart w:id="294" w:name="_Toc108848527"/>
      <w:bookmarkStart w:id="295" w:name="_Toc109702810"/>
      <w:bookmarkStart w:id="296" w:name="_Toc113700367"/>
      <w:bookmarkStart w:id="297" w:name="_Toc113779025"/>
      <w:bookmarkStart w:id="298" w:name="_Toc122767406"/>
      <w:bookmarkStart w:id="299" w:name="_Toc122767649"/>
      <w:bookmarkStart w:id="300" w:name="_Toc131409896"/>
      <w:r>
        <w:rPr>
          <w:rStyle w:val="CharDivNo"/>
        </w:rPr>
        <w:t>Division 5</w:t>
      </w:r>
      <w:r>
        <w:t> — </w:t>
      </w:r>
      <w:r>
        <w:rPr>
          <w:rStyle w:val="CharDivText"/>
        </w:rPr>
        <w:t>Other duties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Footnoteheading"/>
        <w:keepNext/>
        <w:tabs>
          <w:tab w:val="left" w:pos="851"/>
        </w:tabs>
      </w:pPr>
      <w:r>
        <w:tab/>
        <w:t>[Heading inserted by No. 51 of 2004 s. 8.]</w:t>
      </w:r>
    </w:p>
    <w:p>
      <w:pPr>
        <w:pStyle w:val="Heading5"/>
      </w:pPr>
      <w:bookmarkStart w:id="301" w:name="_Toc109702811"/>
      <w:bookmarkStart w:id="302" w:name="_Toc131409897"/>
      <w:r>
        <w:rPr>
          <w:rStyle w:val="CharSectno"/>
        </w:rPr>
        <w:t>23I</w:t>
      </w:r>
      <w:r>
        <w:t>.</w:t>
      </w:r>
      <w:r>
        <w:tab/>
        <w:t>Notification of deaths, injuries and diseases</w:t>
      </w:r>
      <w:bookmarkEnd w:id="301"/>
      <w:bookmarkEnd w:id="302"/>
    </w:p>
    <w:p>
      <w:pPr>
        <w:pStyle w:val="Subsection"/>
      </w:pPr>
      <w:r>
        <w:tab/>
        <w:t>(1)</w:t>
      </w:r>
      <w:r>
        <w:tab/>
        <w:t xml:space="preserve">In this section — </w:t>
      </w:r>
    </w:p>
    <w:p>
      <w:pPr>
        <w:pStyle w:val="Defstart"/>
      </w:pPr>
      <w:r>
        <w:rPr>
          <w:b/>
        </w:rPr>
        <w:tab/>
        <w:t>“</w:t>
      </w:r>
      <w:r>
        <w:rPr>
          <w:rStyle w:val="CharDefText"/>
        </w:rPr>
        <w:t>business of an employer</w:t>
      </w:r>
      <w:r>
        <w:rPr>
          <w:b/>
        </w:rPr>
        <w:t>”</w:t>
      </w:r>
      <w:r>
        <w:t xml:space="preserve"> means —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t>“</w:t>
      </w:r>
      <w:r>
        <w:rPr>
          <w:rStyle w:val="CharDefText"/>
        </w:rPr>
        <w:t>business of a self</w:t>
      </w:r>
      <w:r>
        <w:rPr>
          <w:rStyle w:val="CharDefText"/>
        </w:rPr>
        <w:noBreakHyphen/>
        <w:t>employed person</w:t>
      </w:r>
      <w:r>
        <w:rPr>
          <w:b/>
        </w:rPr>
        <w:t>”</w:t>
      </w:r>
      <w:r>
        <w:t xml:space="preserve"> means — </w:t>
      </w:r>
    </w:p>
    <w:p>
      <w:pPr>
        <w:pStyle w:val="Defpara"/>
      </w:pPr>
      <w:r>
        <w:tab/>
        <w:t>(a)</w:t>
      </w:r>
      <w:r>
        <w:tab/>
        <w:t>the conduct of the undertaking or operations of a self</w:t>
      </w:r>
      <w:r>
        <w:noBreakHyphen/>
        <w:t>employed person; and</w:t>
      </w:r>
    </w:p>
    <w:p>
      <w:pPr>
        <w:pStyle w:val="Defpara"/>
      </w:pPr>
      <w:r>
        <w:tab/>
        <w:t>(b)</w:t>
      </w:r>
      <w:r>
        <w:tab/>
        <w:t>work undertaken by that person.</w:t>
      </w:r>
    </w:p>
    <w:p>
      <w:pPr>
        <w:pStyle w:val="Subsection"/>
      </w:pPr>
      <w:r>
        <w:tab/>
        <w:t>(2)</w:t>
      </w:r>
      <w:r>
        <w:tab/>
        <w:t xml:space="preserve">This section applies where — </w:t>
      </w:r>
    </w:p>
    <w:p>
      <w:pPr>
        <w:pStyle w:val="Indenta"/>
      </w:pPr>
      <w:r>
        <w:tab/>
        <w:t>(a)</w:t>
      </w:r>
      <w:r>
        <w:tab/>
        <w:t xml:space="preserve">at a workplace, or at residential premises to which section 23G(2) applies, an employee incurs an injury, or is affected by a disease, that — </w:t>
      </w:r>
    </w:p>
    <w:p>
      <w:pPr>
        <w:pStyle w:val="Indenti"/>
      </w:pPr>
      <w:r>
        <w:tab/>
        <w:t>(i)</w:t>
      </w:r>
      <w:r>
        <w:tab/>
        <w:t>results in the death of the employee; or</w:t>
      </w:r>
    </w:p>
    <w:p>
      <w:pPr>
        <w:pStyle w:val="Indenti"/>
      </w:pPr>
      <w:r>
        <w:tab/>
        <w:t>(ii)</w:t>
      </w:r>
      <w:r>
        <w:tab/>
        <w:t>is of a kind that is prescribed;</w:t>
      </w:r>
    </w:p>
    <w:p>
      <w:pPr>
        <w:pStyle w:val="Indenta"/>
      </w:pPr>
      <w:r>
        <w:tab/>
      </w:r>
      <w:r>
        <w:tab/>
        <w:t>or</w:t>
      </w:r>
    </w:p>
    <w:p>
      <w:pPr>
        <w:pStyle w:val="Indenta"/>
      </w:pPr>
      <w:r>
        <w:tab/>
        <w:t>(b)</w:t>
      </w:r>
      <w:r>
        <w:tab/>
        <w:t xml:space="preserve">at a workplace, a person who is not an employee incurs an injury in prescribed circumstances that — </w:t>
      </w:r>
    </w:p>
    <w:p>
      <w:pPr>
        <w:pStyle w:val="Indenti"/>
      </w:pPr>
      <w:r>
        <w:tab/>
        <w:t>(i)</w:t>
      </w:r>
      <w:r>
        <w:tab/>
        <w:t>results in the death of the person; or</w:t>
      </w:r>
    </w:p>
    <w:p>
      <w:pPr>
        <w:pStyle w:val="Indenti"/>
      </w:pPr>
      <w:r>
        <w:tab/>
        <w:t>(ii)</w:t>
      </w:r>
      <w:r>
        <w:tab/>
        <w:t>is of a kind that is prescribed,</w:t>
      </w:r>
    </w:p>
    <w:p>
      <w:pPr>
        <w:pStyle w:val="Indenta"/>
      </w:pPr>
      <w:r>
        <w:tab/>
      </w:r>
      <w:r>
        <w:tab/>
        <w:t xml:space="preserve">in connection with — </w:t>
      </w:r>
    </w:p>
    <w:p>
      <w:pPr>
        <w:pStyle w:val="Indenti"/>
      </w:pPr>
      <w:r>
        <w:tab/>
        <w:t>(iii)</w:t>
      </w:r>
      <w:r>
        <w:tab/>
        <w:t>the business of an employer; or</w:t>
      </w:r>
    </w:p>
    <w:p>
      <w:pPr>
        <w:pStyle w:val="Indenti"/>
      </w:pPr>
      <w:r>
        <w:tab/>
        <w:t>(iv)</w:t>
      </w:r>
      <w:r>
        <w:tab/>
        <w:t>the business of a self</w:t>
      </w:r>
      <w:r>
        <w:noBreakHyphen/>
        <w:t>employed person.</w:t>
      </w:r>
    </w:p>
    <w:p>
      <w:pPr>
        <w:pStyle w:val="Subsection"/>
      </w:pPr>
      <w:r>
        <w:tab/>
        <w:t>(3)</w:t>
      </w:r>
      <w:r>
        <w:tab/>
        <w:t xml:space="preserve">The relevant person must — </w:t>
      </w:r>
    </w:p>
    <w:p>
      <w:pPr>
        <w:pStyle w:val="Indenta"/>
      </w:pPr>
      <w:r>
        <w:tab/>
        <w:t>(a)</w:t>
      </w:r>
      <w:r>
        <w:tab/>
        <w:t>forthwith; or</w:t>
      </w:r>
    </w:p>
    <w:p>
      <w:pPr>
        <w:pStyle w:val="Indenta"/>
      </w:pPr>
      <w:r>
        <w:tab/>
        <w:t>(b)</w:t>
      </w:r>
      <w:r>
        <w:tab/>
        <w:t>as otherwise provided by the regulations,</w:t>
      </w:r>
    </w:p>
    <w:p>
      <w:pPr>
        <w:pStyle w:val="Subsection"/>
      </w:pPr>
      <w:r>
        <w:tab/>
      </w:r>
      <w:r>
        <w:tab/>
        <w:t>notify the Commissioner in the prescribed form of the injury or disease giving such particulars as may be prescribed.</w:t>
      </w:r>
    </w:p>
    <w:p>
      <w:pPr>
        <w:pStyle w:val="Subsection"/>
      </w:pPr>
      <w:r>
        <w:tab/>
        <w:t>(4)</w:t>
      </w:r>
      <w:r>
        <w:tab/>
        <w:t xml:space="preserve">The relevant person is the employer concerned where — </w:t>
      </w:r>
    </w:p>
    <w:p>
      <w:pPr>
        <w:pStyle w:val="Indenta"/>
      </w:pPr>
      <w:r>
        <w:tab/>
        <w:t>(a)</w:t>
      </w:r>
      <w:r>
        <w:tab/>
        <w:t xml:space="preserve">subsection (2)(a) applies; or </w:t>
      </w:r>
    </w:p>
    <w:p>
      <w:pPr>
        <w:pStyle w:val="Indenta"/>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pPr>
      <w:r>
        <w:tab/>
        <w:t>[Section 23I inserted by No. 51 of 2004 s. 8.]</w:t>
      </w:r>
    </w:p>
    <w:p>
      <w:pPr>
        <w:pStyle w:val="Heading5"/>
      </w:pPr>
      <w:bookmarkStart w:id="303" w:name="_Toc109702812"/>
      <w:bookmarkStart w:id="304" w:name="_Toc131409898"/>
      <w:r>
        <w:rPr>
          <w:rStyle w:val="CharSectno"/>
        </w:rPr>
        <w:t>23J</w:t>
      </w:r>
      <w:r>
        <w:t>.</w:t>
      </w:r>
      <w:r>
        <w:tab/>
        <w:t>Breaches of section 23I</w:t>
      </w:r>
      <w:bookmarkEnd w:id="303"/>
      <w:bookmarkEnd w:id="304"/>
    </w:p>
    <w:p>
      <w:pPr>
        <w:pStyle w:val="Subsection"/>
      </w:pPr>
      <w:r>
        <w:tab/>
        <w:t>(1)</w:t>
      </w:r>
      <w:r>
        <w:tab/>
        <w:t>If an employer or self</w:t>
      </w:r>
      <w:r>
        <w:noBreakHyphen/>
        <w:t>employed person contravenes section 23I(3), the employer or self</w:t>
      </w:r>
      <w:r>
        <w:noBreakHyphen/>
        <w:t>employed person commits an offence.</w:t>
      </w:r>
    </w:p>
    <w:p>
      <w:pPr>
        <w:pStyle w:val="Subsection"/>
      </w:pPr>
      <w:r>
        <w:tab/>
        <w:t>(2)</w:t>
      </w:r>
      <w:r>
        <w:tab/>
        <w:t>In proceedings for an offence under subsection (1) against a person who is taken by section 23D(2) to be an employer it is a defence if the person proves that subsection (4) applies.</w:t>
      </w:r>
    </w:p>
    <w:p>
      <w:pPr>
        <w:pStyle w:val="Subsection"/>
      </w:pPr>
      <w:r>
        <w:tab/>
        <w:t>(3)</w:t>
      </w:r>
      <w:r>
        <w:tab/>
        <w:t>In proceedings against a person for an offence under subsection (1) that relates to an injury mentioned in section 23I(2)(b) it is a defence if the person proves that subsection (4) applies.</w:t>
      </w:r>
    </w:p>
    <w:p>
      <w:pPr>
        <w:pStyle w:val="Subsection"/>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305" w:name="_Toc109702813"/>
      <w:bookmarkStart w:id="306" w:name="_Toc131409899"/>
      <w:r>
        <w:rPr>
          <w:rStyle w:val="CharSectno"/>
        </w:rPr>
        <w:t>23K</w:t>
      </w:r>
      <w:r>
        <w:t>.</w:t>
      </w:r>
      <w:r>
        <w:tab/>
        <w:t>Duty to inform employee who reports a hazard or injury</w:t>
      </w:r>
      <w:bookmarkEnd w:id="305"/>
      <w:bookmarkEnd w:id="306"/>
    </w:p>
    <w:p>
      <w:pPr>
        <w:pStyle w:val="Subsection"/>
      </w:pPr>
      <w:r>
        <w:tab/>
        <w:t>(1)</w:t>
      </w:r>
      <w:r>
        <w:tab/>
        <w:t>This section applies where an employer receives from an employee a report of a kind described in section 20(2)(d).</w:t>
      </w:r>
    </w:p>
    <w:p>
      <w:pPr>
        <w:pStyle w:val="Subsection"/>
      </w:pPr>
      <w:r>
        <w:tab/>
        <w:t>(2)</w:t>
      </w:r>
      <w:r>
        <w:tab/>
        <w:t xml:space="preserve">The employer must, within a reasonable time after receiving the report — </w:t>
      </w:r>
    </w:p>
    <w:p>
      <w:pPr>
        <w:pStyle w:val="Indenta"/>
      </w:pPr>
      <w:r>
        <w:tab/>
        <w:t>(a)</w:t>
      </w:r>
      <w:r>
        <w:tab/>
        <w:t>investigate the matter that has been reported and determine the action, if any, that the employer intends to take in respect of the matter; and</w:t>
      </w:r>
    </w:p>
    <w:p>
      <w:pPr>
        <w:pStyle w:val="Indenta"/>
      </w:pPr>
      <w:r>
        <w:tab/>
        <w:t>(b)</w:t>
      </w:r>
      <w:r>
        <w:tab/>
        <w:t>notify the employee of the determination so made.</w:t>
      </w:r>
    </w:p>
    <w:p>
      <w:pPr>
        <w:pStyle w:val="Subsection"/>
      </w:pPr>
      <w:r>
        <w:tab/>
        <w:t>(3)</w:t>
      </w:r>
      <w:r>
        <w:tab/>
        <w:t>If an employer contravenes subsection (2), the employer commits an offence.</w:t>
      </w:r>
    </w:p>
    <w:p>
      <w:pPr>
        <w:pStyle w:val="Footnotesection"/>
      </w:pPr>
      <w:r>
        <w:tab/>
        <w:t>[Section 23K inserted by No. 51 of 2004 s. 8.]</w:t>
      </w:r>
    </w:p>
    <w:p>
      <w:pPr>
        <w:pStyle w:val="Heading5"/>
      </w:pPr>
      <w:bookmarkStart w:id="307" w:name="_Toc109702814"/>
      <w:bookmarkStart w:id="308" w:name="_Toc131409900"/>
      <w:r>
        <w:rPr>
          <w:rStyle w:val="CharSectno"/>
        </w:rPr>
        <w:t>23L</w:t>
      </w:r>
      <w:r>
        <w:t>.</w:t>
      </w:r>
      <w:r>
        <w:tab/>
        <w:t>Notification of hazard to person having control of workplace</w:t>
      </w:r>
      <w:bookmarkEnd w:id="307"/>
      <w:bookmarkEnd w:id="308"/>
    </w:p>
    <w:p>
      <w:pPr>
        <w:pStyle w:val="Subsection"/>
      </w:pPr>
      <w:r>
        <w:tab/>
        <w:t>(1)</w:t>
      </w:r>
      <w:r>
        <w:tab/>
        <w:t xml:space="preserve">In this section — </w:t>
      </w:r>
    </w:p>
    <w:p>
      <w:pPr>
        <w:pStyle w:val="Defstart"/>
      </w:pPr>
      <w:r>
        <w:rPr>
          <w:b/>
        </w:rPr>
        <w:tab/>
        <w:t>“</w:t>
      </w:r>
      <w:r>
        <w:rPr>
          <w:rStyle w:val="CharDefText"/>
        </w:rPr>
        <w:t>workplace</w:t>
      </w:r>
      <w:r>
        <w:rPr>
          <w:b/>
        </w:rPr>
        <w:t>”</w:t>
      </w:r>
      <w:r>
        <w:t xml:space="preserve"> includes the means of access to and egress from the workplace.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workplace becomes of the opinion that — </w:t>
      </w:r>
    </w:p>
    <w:p>
      <w:pPr>
        <w:pStyle w:val="Indenta"/>
      </w:pPr>
      <w:r>
        <w:tab/>
        <w:t>(c)</w:t>
      </w:r>
      <w:r>
        <w:tab/>
        <w:t>a situation exists at the workplace that could constitute a hazard to any person;</w:t>
      </w:r>
    </w:p>
    <w:p>
      <w:pPr>
        <w:pStyle w:val="Indenta"/>
      </w:pPr>
      <w:r>
        <w:tab/>
        <w:t>(d)</w:t>
      </w:r>
      <w:r>
        <w:tab/>
        <w:t xml:space="preserve">the hazard is one that a person having control of the relevant part of the workplace (the </w:t>
      </w:r>
      <w:r>
        <w:rPr>
          <w:b/>
        </w:rPr>
        <w:t>“</w:t>
      </w:r>
      <w:r>
        <w:rPr>
          <w:rStyle w:val="CharDefText"/>
        </w:rPr>
        <w:t>responsible person</w:t>
      </w:r>
      <w:r>
        <w:rPr>
          <w:b/>
        </w:rPr>
        <w:t>”</w:t>
      </w:r>
      <w:r>
        <w:t>) has a duty to remedy under section 22; and</w:t>
      </w:r>
    </w:p>
    <w:p>
      <w:pPr>
        <w:pStyle w:val="Indenta"/>
      </w:pPr>
      <w:r>
        <w:tab/>
        <w:t>(e)</w:t>
      </w:r>
      <w:r>
        <w:tab/>
        <w:t>the situation has not come to the attention of that person,</w:t>
      </w:r>
    </w:p>
    <w:p>
      <w:pPr>
        <w:pStyle w:val="Subsection"/>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309" w:name="_Toc93200920"/>
      <w:bookmarkStart w:id="310" w:name="_Toc97006591"/>
      <w:bookmarkStart w:id="311" w:name="_Toc100545161"/>
      <w:bookmarkStart w:id="312" w:name="_Toc100716640"/>
      <w:bookmarkStart w:id="313" w:name="_Toc102546229"/>
      <w:bookmarkStart w:id="314" w:name="_Toc103141452"/>
      <w:bookmarkStart w:id="315" w:name="_Toc105909064"/>
      <w:bookmarkStart w:id="316" w:name="_Toc105921950"/>
      <w:bookmarkStart w:id="317" w:name="_Toc106616788"/>
      <w:bookmarkStart w:id="318" w:name="_Toc108848532"/>
      <w:bookmarkStart w:id="319" w:name="_Toc109702815"/>
      <w:bookmarkStart w:id="320" w:name="_Toc113700372"/>
      <w:bookmarkStart w:id="321" w:name="_Toc113779030"/>
      <w:bookmarkStart w:id="322" w:name="_Toc122767411"/>
      <w:bookmarkStart w:id="323" w:name="_Toc122767654"/>
      <w:bookmarkStart w:id="324" w:name="_Toc131409901"/>
      <w:r>
        <w:rPr>
          <w:rStyle w:val="CharDivNo"/>
        </w:rPr>
        <w:t>Division 6</w:t>
      </w:r>
      <w:r>
        <w:t> — </w:t>
      </w:r>
      <w:r>
        <w:rPr>
          <w:rStyle w:val="CharDivText"/>
        </w:rPr>
        <w:t>Resolution of workplace issues, and refusal to work on grounds of risk</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Footnoteheading"/>
        <w:tabs>
          <w:tab w:val="left" w:pos="851"/>
        </w:tabs>
      </w:pPr>
      <w:r>
        <w:tab/>
        <w:t>[Heading inserted by No. 51 of 2004 s. 8.]</w:t>
      </w:r>
    </w:p>
    <w:p>
      <w:pPr>
        <w:pStyle w:val="Heading5"/>
        <w:spacing w:before="200"/>
        <w:rPr>
          <w:snapToGrid w:val="0"/>
        </w:rPr>
      </w:pPr>
      <w:bookmarkStart w:id="325" w:name="_Toc109702816"/>
      <w:bookmarkStart w:id="326" w:name="_Toc131409902"/>
      <w:r>
        <w:rPr>
          <w:rStyle w:val="CharSectno"/>
        </w:rPr>
        <w:t>24</w:t>
      </w:r>
      <w:r>
        <w:rPr>
          <w:snapToGrid w:val="0"/>
        </w:rPr>
        <w:t>.</w:t>
      </w:r>
      <w:r>
        <w:rPr>
          <w:snapToGrid w:val="0"/>
        </w:rPr>
        <w:tab/>
        <w:t>Resolution of issues at the workplace</w:t>
      </w:r>
      <w:bookmarkEnd w:id="254"/>
      <w:bookmarkEnd w:id="255"/>
      <w:bookmarkEnd w:id="256"/>
      <w:bookmarkEnd w:id="325"/>
      <w:bookmarkEnd w:id="326"/>
      <w:r>
        <w:rPr>
          <w:snapToGrid w:val="0"/>
        </w:rPr>
        <w:t xml:space="preserve"> </w:t>
      </w:r>
    </w:p>
    <w:p>
      <w:pPr>
        <w:pStyle w:val="Subsection"/>
        <w:spacing w:before="140"/>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 </w:t>
      </w:r>
    </w:p>
    <w:p>
      <w:pPr>
        <w:pStyle w:val="Indenta"/>
        <w:rPr>
          <w:snapToGrid w:val="0"/>
        </w:rPr>
      </w:pPr>
      <w:r>
        <w:rPr>
          <w:snapToGrid w:val="0"/>
        </w:rPr>
        <w:tab/>
        <w:t>(a)</w:t>
      </w:r>
      <w:r>
        <w:rPr>
          <w:snapToGrid w:val="0"/>
        </w:rPr>
        <w:tab/>
        <w:t>the safety and health representative;</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w:t>
      </w:r>
    </w:p>
    <w:p>
      <w:pPr>
        <w:pStyle w:val="Subsection"/>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rPr>
          <w:b/>
          <w:snapToGrid w:val="0"/>
        </w:rPr>
        <w:t>“</w:t>
      </w:r>
      <w:r>
        <w:rPr>
          <w:rStyle w:val="CharDefText"/>
        </w:rPr>
        <w:t>the relevant procedure</w:t>
      </w:r>
      <w:r>
        <w:rPr>
          <w:b/>
          <w:snapToGrid w:val="0"/>
        </w:rPr>
        <w:t>”</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 xml:space="preserve">[Section 24 inserted by No. 43 of 1987 s. 13; amended by No. 30 of 1995 s. 47; No. 51 of 2004 s. 82.] </w:t>
      </w:r>
    </w:p>
    <w:p>
      <w:pPr>
        <w:pStyle w:val="Heading5"/>
        <w:rPr>
          <w:snapToGrid w:val="0"/>
        </w:rPr>
      </w:pPr>
      <w:bookmarkStart w:id="327" w:name="_Toc402776405"/>
      <w:bookmarkStart w:id="328" w:name="_Toc403985268"/>
      <w:bookmarkStart w:id="329" w:name="_Toc59593042"/>
      <w:bookmarkStart w:id="330" w:name="_Toc109702817"/>
      <w:bookmarkStart w:id="331" w:name="_Toc131409903"/>
      <w:r>
        <w:rPr>
          <w:rStyle w:val="CharSectno"/>
        </w:rPr>
        <w:t>25</w:t>
      </w:r>
      <w:r>
        <w:rPr>
          <w:snapToGrid w:val="0"/>
        </w:rPr>
        <w:t>.</w:t>
      </w:r>
      <w:r>
        <w:rPr>
          <w:snapToGrid w:val="0"/>
        </w:rPr>
        <w:tab/>
        <w:t>Inspector may be notified where issues unresolved</w:t>
      </w:r>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25 inserted by No. 43 of 1987 s. 13; amended by No. 30 of 1995 s. 19; No. 51 of 2004 s. 102(1).] </w:t>
      </w:r>
    </w:p>
    <w:p>
      <w:pPr>
        <w:pStyle w:val="Heading5"/>
        <w:spacing w:before="200"/>
        <w:rPr>
          <w:snapToGrid w:val="0"/>
        </w:rPr>
      </w:pPr>
      <w:bookmarkStart w:id="332" w:name="_Toc402776406"/>
      <w:bookmarkStart w:id="333" w:name="_Toc403985269"/>
      <w:bookmarkStart w:id="334" w:name="_Toc59593043"/>
      <w:bookmarkStart w:id="335" w:name="_Toc109702818"/>
      <w:bookmarkStart w:id="336" w:name="_Toc131409904"/>
      <w:r>
        <w:rPr>
          <w:rStyle w:val="CharSectno"/>
        </w:rPr>
        <w:t>26</w:t>
      </w:r>
      <w:r>
        <w:rPr>
          <w:snapToGrid w:val="0"/>
        </w:rPr>
        <w:t>.</w:t>
      </w:r>
      <w:r>
        <w:rPr>
          <w:snapToGrid w:val="0"/>
        </w:rPr>
        <w:tab/>
        <w:t>Refusal by employees to work in certain cases</w:t>
      </w:r>
      <w:bookmarkEnd w:id="332"/>
      <w:bookmarkEnd w:id="333"/>
      <w:bookmarkEnd w:id="334"/>
      <w:bookmarkEnd w:id="335"/>
      <w:bookmarkEnd w:id="336"/>
      <w:r>
        <w:rPr>
          <w:snapToGrid w:val="0"/>
        </w:rPr>
        <w:t xml:space="preserve"> </w:t>
      </w:r>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 </w:t>
      </w:r>
    </w:p>
    <w:p>
      <w:pPr>
        <w:pStyle w:val="Indenta"/>
        <w:spacing w:before="70"/>
        <w:rPr>
          <w:snapToGrid w:val="0"/>
        </w:rPr>
      </w:pPr>
      <w:r>
        <w:rPr>
          <w:snapToGrid w:val="0"/>
        </w:rPr>
        <w:tab/>
        <w:t>(a)</w:t>
      </w:r>
      <w:r>
        <w:rPr>
          <w:snapToGrid w:val="0"/>
        </w:rPr>
        <w:tab/>
        <w:t>the measures, if any, required by the inspector to be taken to remedy the matters giving rise to the risk have been taken;</w:t>
      </w:r>
    </w:p>
    <w:p>
      <w:pPr>
        <w:pStyle w:val="Indenta"/>
        <w:spacing w:before="7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70"/>
        <w:rPr>
          <w:snapToGrid w:val="0"/>
        </w:rPr>
      </w:pPr>
      <w:r>
        <w:rPr>
          <w:snapToGrid w:val="0"/>
        </w:rPr>
        <w:tab/>
        <w:t>(c)</w:t>
      </w:r>
      <w:r>
        <w:rPr>
          <w:snapToGrid w:val="0"/>
        </w:rPr>
        <w:tab/>
        <w:t>the inspector has determined that no action is required to be taken under this Act.</w:t>
      </w:r>
    </w:p>
    <w:p>
      <w:pPr>
        <w:pStyle w:val="Subsection"/>
        <w:spacing w:before="120"/>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spacing w:before="120"/>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spacing w:before="120"/>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spacing w:before="120"/>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100"/>
        <w:ind w:left="890" w:hanging="890"/>
      </w:pPr>
      <w:r>
        <w:tab/>
        <w:t xml:space="preserve">[Section 26 inserted by No. 43 of 1987 s. 13; amended by No. 30 of 1995 s. 20 and 47; No. 51 of 2004 s. 102.] </w:t>
      </w:r>
    </w:p>
    <w:p>
      <w:pPr>
        <w:pStyle w:val="Heading5"/>
        <w:rPr>
          <w:snapToGrid w:val="0"/>
        </w:rPr>
      </w:pPr>
      <w:bookmarkStart w:id="337" w:name="_Toc402776407"/>
      <w:bookmarkStart w:id="338" w:name="_Toc403985270"/>
      <w:bookmarkStart w:id="339" w:name="_Toc59593044"/>
      <w:bookmarkStart w:id="340" w:name="_Toc109702819"/>
      <w:bookmarkStart w:id="341" w:name="_Toc131409905"/>
      <w:r>
        <w:rPr>
          <w:rStyle w:val="CharSectno"/>
        </w:rPr>
        <w:t>27</w:t>
      </w:r>
      <w:r>
        <w:rPr>
          <w:snapToGrid w:val="0"/>
        </w:rPr>
        <w:t>.</w:t>
      </w:r>
      <w:r>
        <w:rPr>
          <w:snapToGrid w:val="0"/>
        </w:rPr>
        <w:tab/>
        <w:t>Assignment of other work</w:t>
      </w:r>
      <w:bookmarkEnd w:id="337"/>
      <w:bookmarkEnd w:id="338"/>
      <w:bookmarkEnd w:id="339"/>
      <w:bookmarkEnd w:id="340"/>
      <w:bookmarkEnd w:id="341"/>
      <w:r>
        <w:rPr>
          <w:snapToGrid w:val="0"/>
        </w:rPr>
        <w:t xml:space="preserve"> </w:t>
      </w:r>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 xml:space="preserve">[Section 27 inserted by No. 43 of 1987 s. 13; amended by No. 51 of 2004 s. 83 and 102(2).] </w:t>
      </w:r>
    </w:p>
    <w:p>
      <w:pPr>
        <w:pStyle w:val="Heading5"/>
        <w:rPr>
          <w:snapToGrid w:val="0"/>
        </w:rPr>
      </w:pPr>
      <w:bookmarkStart w:id="342" w:name="_Toc402776408"/>
      <w:bookmarkStart w:id="343" w:name="_Toc403985271"/>
      <w:bookmarkStart w:id="344" w:name="_Toc59593045"/>
      <w:bookmarkStart w:id="345" w:name="_Toc109702820"/>
      <w:bookmarkStart w:id="346" w:name="_Toc131409906"/>
      <w:r>
        <w:rPr>
          <w:rStyle w:val="CharSectno"/>
        </w:rPr>
        <w:t>28</w:t>
      </w:r>
      <w:r>
        <w:rPr>
          <w:snapToGrid w:val="0"/>
        </w:rPr>
        <w:t>.</w:t>
      </w:r>
      <w:r>
        <w:rPr>
          <w:snapToGrid w:val="0"/>
        </w:rPr>
        <w:tab/>
        <w:t>Entitlements to continue</w:t>
      </w:r>
      <w:bookmarkEnd w:id="342"/>
      <w:bookmarkEnd w:id="343"/>
      <w:bookmarkEnd w:id="344"/>
      <w:bookmarkEnd w:id="345"/>
      <w:bookmarkEnd w:id="346"/>
      <w:r>
        <w:rPr>
          <w:snapToGrid w:val="0"/>
        </w:rPr>
        <w:t xml:space="preserve"> </w:t>
      </w:r>
    </w:p>
    <w:p>
      <w:pPr>
        <w:pStyle w:val="Subsection"/>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28 inserted by No. 43 of 1987 s. 13; amended by No. 30 of 1995 s. 21 and 47; No. 51 of 2004 s. 69(1), 84, 102(1) and (2).] </w:t>
      </w:r>
    </w:p>
    <w:p>
      <w:pPr>
        <w:pStyle w:val="Heading5"/>
        <w:rPr>
          <w:snapToGrid w:val="0"/>
        </w:rPr>
      </w:pPr>
      <w:bookmarkStart w:id="347" w:name="_Toc402776409"/>
      <w:bookmarkStart w:id="348" w:name="_Toc403985272"/>
      <w:bookmarkStart w:id="349" w:name="_Toc59593046"/>
      <w:bookmarkStart w:id="350" w:name="_Toc109702821"/>
      <w:bookmarkStart w:id="351" w:name="_Toc131409907"/>
      <w:r>
        <w:rPr>
          <w:rStyle w:val="CharSectno"/>
        </w:rPr>
        <w:t>28A</w:t>
      </w:r>
      <w:r>
        <w:rPr>
          <w:snapToGrid w:val="0"/>
        </w:rPr>
        <w:t xml:space="preserve">. </w:t>
      </w:r>
      <w:r>
        <w:rPr>
          <w:snapToGrid w:val="0"/>
        </w:rPr>
        <w:tab/>
        <w:t>Offences — refusal to work</w:t>
      </w:r>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disentitled employee</w:t>
      </w:r>
      <w:r>
        <w:rPr>
          <w:b/>
          <w:snapToGrid w:val="0"/>
        </w:rPr>
        <w:t>”</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 xml:space="preserve">[Section 28A inserted by No. 30 of 1995 s. 22; amended by No. 51 of 2004 s. 103.] </w:t>
      </w:r>
    </w:p>
    <w:p>
      <w:pPr>
        <w:pStyle w:val="Heading2"/>
      </w:pPr>
      <w:bookmarkStart w:id="352" w:name="_Toc88990662"/>
      <w:bookmarkStart w:id="353" w:name="_Toc89568224"/>
      <w:bookmarkStart w:id="354" w:name="_Toc93200927"/>
      <w:bookmarkStart w:id="355" w:name="_Toc97006598"/>
      <w:bookmarkStart w:id="356" w:name="_Toc100545168"/>
      <w:bookmarkStart w:id="357" w:name="_Toc100716647"/>
      <w:bookmarkStart w:id="358" w:name="_Toc102546236"/>
      <w:bookmarkStart w:id="359" w:name="_Toc103141459"/>
      <w:bookmarkStart w:id="360" w:name="_Toc105909071"/>
      <w:bookmarkStart w:id="361" w:name="_Toc105921957"/>
      <w:bookmarkStart w:id="362" w:name="_Toc106616795"/>
      <w:bookmarkStart w:id="363" w:name="_Toc108848539"/>
      <w:bookmarkStart w:id="364" w:name="_Toc109702822"/>
      <w:bookmarkStart w:id="365" w:name="_Toc113700379"/>
      <w:bookmarkStart w:id="366" w:name="_Toc113779037"/>
      <w:bookmarkStart w:id="367" w:name="_Toc122767418"/>
      <w:bookmarkStart w:id="368" w:name="_Toc122767661"/>
      <w:bookmarkStart w:id="369" w:name="_Toc131409908"/>
      <w:r>
        <w:rPr>
          <w:rStyle w:val="CharPartNo"/>
        </w:rPr>
        <w:t>Part IV</w:t>
      </w:r>
      <w:r>
        <w:t> — </w:t>
      </w:r>
      <w:r>
        <w:rPr>
          <w:rStyle w:val="CharPartText"/>
        </w:rPr>
        <w:t>Safety and health representatives and committees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rStyle w:val="CharPartText"/>
        </w:rPr>
        <w:t xml:space="preserve"> </w:t>
      </w:r>
    </w:p>
    <w:p>
      <w:pPr>
        <w:pStyle w:val="Footnoteheading"/>
        <w:ind w:left="910" w:hanging="910"/>
      </w:pPr>
      <w:r>
        <w:tab/>
        <w:t xml:space="preserve">[Heading inserted by No. 43 of 1987 s. 13; amended by No. 30 of 1995 s. 47.] </w:t>
      </w:r>
    </w:p>
    <w:p>
      <w:pPr>
        <w:pStyle w:val="Heading3"/>
      </w:pPr>
      <w:bookmarkStart w:id="370" w:name="_Toc100545169"/>
      <w:bookmarkStart w:id="371" w:name="_Toc100716648"/>
      <w:bookmarkStart w:id="372" w:name="_Toc102546237"/>
      <w:bookmarkStart w:id="373" w:name="_Toc103141460"/>
      <w:bookmarkStart w:id="374" w:name="_Toc105909072"/>
      <w:bookmarkStart w:id="375" w:name="_Toc105921958"/>
      <w:bookmarkStart w:id="376" w:name="_Toc106616796"/>
      <w:bookmarkStart w:id="377" w:name="_Toc108848540"/>
      <w:bookmarkStart w:id="378" w:name="_Toc109702823"/>
      <w:bookmarkStart w:id="379" w:name="_Toc113700380"/>
      <w:bookmarkStart w:id="380" w:name="_Toc113779038"/>
      <w:bookmarkStart w:id="381" w:name="_Toc122767419"/>
      <w:bookmarkStart w:id="382" w:name="_Toc122767662"/>
      <w:bookmarkStart w:id="383" w:name="_Toc131409909"/>
      <w:bookmarkStart w:id="384" w:name="_Toc402776410"/>
      <w:bookmarkStart w:id="385" w:name="_Toc403985273"/>
      <w:bookmarkStart w:id="386" w:name="_Toc59593047"/>
      <w:r>
        <w:rPr>
          <w:rStyle w:val="CharDivNo"/>
        </w:rPr>
        <w:t>Division 1</w:t>
      </w:r>
      <w:r>
        <w:t> — </w:t>
      </w:r>
      <w:r>
        <w:rPr>
          <w:rStyle w:val="CharDivText"/>
        </w:rPr>
        <w:t>Safety and health representatives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Footnoteheading"/>
        <w:ind w:left="910" w:hanging="910"/>
      </w:pPr>
      <w:r>
        <w:tab/>
        <w:t>[Heading inserted by No. 51 of 2004 s. 39.]</w:t>
      </w:r>
    </w:p>
    <w:p>
      <w:pPr>
        <w:pStyle w:val="Heading5"/>
        <w:rPr>
          <w:snapToGrid w:val="0"/>
          <w:spacing w:val="-2"/>
        </w:rPr>
      </w:pPr>
      <w:bookmarkStart w:id="387" w:name="_Toc109702824"/>
      <w:bookmarkStart w:id="388" w:name="_Toc131409910"/>
      <w:r>
        <w:rPr>
          <w:rStyle w:val="CharSectno"/>
          <w:spacing w:val="-2"/>
        </w:rPr>
        <w:t>29</w:t>
      </w:r>
      <w:r>
        <w:rPr>
          <w:snapToGrid w:val="0"/>
          <w:spacing w:val="-2"/>
        </w:rPr>
        <w:t>.</w:t>
      </w:r>
      <w:r>
        <w:rPr>
          <w:snapToGrid w:val="0"/>
          <w:spacing w:val="-2"/>
        </w:rPr>
        <w:tab/>
        <w:t>Notices requiring election of safety and health representatives</w:t>
      </w:r>
      <w:bookmarkEnd w:id="384"/>
      <w:bookmarkEnd w:id="385"/>
      <w:bookmarkEnd w:id="386"/>
      <w:bookmarkEnd w:id="387"/>
      <w:bookmarkEnd w:id="388"/>
      <w:r>
        <w:rPr>
          <w:snapToGrid w:val="0"/>
          <w:spacing w:val="-2"/>
        </w:rPr>
        <w:t xml:space="preserve"> </w:t>
      </w:r>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 xml:space="preserve">The fact that a notice under subsection (1) requires an election for the workplace at which the employee works does not prevent —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 xml:space="preserve">[Section 29 inserted by No. 43 of 1987 s. 13; amended by No. 30 of 1995 s. 47; No. 51 of 2004 s. 40.] </w:t>
      </w:r>
    </w:p>
    <w:p>
      <w:pPr>
        <w:pStyle w:val="Heading5"/>
        <w:rPr>
          <w:snapToGrid w:val="0"/>
        </w:rPr>
      </w:pPr>
      <w:bookmarkStart w:id="389" w:name="_Toc402776411"/>
      <w:bookmarkStart w:id="390" w:name="_Toc403985274"/>
      <w:bookmarkStart w:id="391" w:name="_Toc59593048"/>
      <w:bookmarkStart w:id="392" w:name="_Toc109702825"/>
      <w:bookmarkStart w:id="393" w:name="_Toc131409911"/>
      <w:r>
        <w:rPr>
          <w:rStyle w:val="CharSectno"/>
        </w:rPr>
        <w:t>30</w:t>
      </w:r>
      <w:r>
        <w:rPr>
          <w:snapToGrid w:val="0"/>
        </w:rPr>
        <w:t>.</w:t>
      </w:r>
      <w:r>
        <w:rPr>
          <w:snapToGrid w:val="0"/>
        </w:rPr>
        <w:tab/>
        <w:t>Consultation on matters relevant to elections</w:t>
      </w:r>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 xml:space="preserve">[Section 30 inserted by No. 43 of 1987 s. 13; amended by No. 30 of 1995 s. 23 and 47; No. 51 of 2004 s. 41, 69(1) and 85.] </w:t>
      </w:r>
    </w:p>
    <w:p>
      <w:pPr>
        <w:pStyle w:val="Heading5"/>
      </w:pPr>
      <w:bookmarkStart w:id="394" w:name="_Toc109702826"/>
      <w:bookmarkStart w:id="395" w:name="_Toc131409912"/>
      <w:bookmarkStart w:id="396" w:name="_Toc402776412"/>
      <w:bookmarkStart w:id="397" w:name="_Toc403985275"/>
      <w:bookmarkStart w:id="398" w:name="_Toc59593049"/>
      <w:r>
        <w:rPr>
          <w:rStyle w:val="CharSectno"/>
        </w:rPr>
        <w:t>30A</w:t>
      </w:r>
      <w:r>
        <w:t>.</w:t>
      </w:r>
      <w:r>
        <w:tab/>
        <w:t>Election scheme may be established</w:t>
      </w:r>
      <w:bookmarkEnd w:id="394"/>
      <w:bookmarkEnd w:id="395"/>
    </w:p>
    <w:p>
      <w:pPr>
        <w:pStyle w:val="Subsection"/>
      </w:pPr>
      <w:r>
        <w:tab/>
        <w:t>(1)</w:t>
      </w:r>
      <w:r>
        <w:tab/>
        <w:t xml:space="preserve">In this section — </w:t>
      </w:r>
    </w:p>
    <w:p>
      <w:pPr>
        <w:pStyle w:val="Defstart"/>
      </w:pPr>
      <w:r>
        <w:rPr>
          <w:b/>
        </w:rPr>
        <w:tab/>
        <w:t>“</w:t>
      </w:r>
      <w:r>
        <w:rPr>
          <w:rStyle w:val="CharDefText"/>
        </w:rPr>
        <w:t>consulting parties</w:t>
      </w:r>
      <w:r>
        <w:rPr>
          <w:b/>
        </w:rPr>
        <w:t>”</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399" w:name="_Toc109702827"/>
      <w:bookmarkStart w:id="400" w:name="_Toc131409913"/>
      <w:r>
        <w:rPr>
          <w:rStyle w:val="CharSectno"/>
        </w:rPr>
        <w:t>30B</w:t>
      </w:r>
      <w:r>
        <w:t>.</w:t>
      </w:r>
      <w:r>
        <w:tab/>
        <w:t>What may be included in a scheme</w:t>
      </w:r>
      <w:bookmarkEnd w:id="399"/>
      <w:bookmarkEnd w:id="400"/>
    </w:p>
    <w:p>
      <w:pPr>
        <w:pStyle w:val="Subsection"/>
      </w:pPr>
      <w:r>
        <w:tab/>
        <w:t>(1)</w:t>
      </w:r>
      <w:r>
        <w:tab/>
        <w:t xml:space="preserve">In this section — </w:t>
      </w:r>
    </w:p>
    <w:p>
      <w:pPr>
        <w:pStyle w:val="Defstart"/>
      </w:pPr>
      <w:r>
        <w:rPr>
          <w:b/>
        </w:rPr>
        <w:tab/>
        <w:t>“</w:t>
      </w:r>
      <w:r>
        <w:rPr>
          <w:rStyle w:val="CharDefText"/>
        </w:rPr>
        <w:t>contractor</w:t>
      </w:r>
      <w:r>
        <w:rPr>
          <w:b/>
        </w:rPr>
        <w:t>”</w:t>
      </w:r>
      <w:r>
        <w:t xml:space="preserve"> and </w:t>
      </w:r>
      <w:r>
        <w:rPr>
          <w:b/>
        </w:rPr>
        <w:t>“</w:t>
      </w:r>
      <w:r>
        <w:rPr>
          <w:rStyle w:val="CharDefText"/>
        </w:rPr>
        <w:t>principal</w:t>
      </w:r>
      <w:r>
        <w:rPr>
          <w:b/>
        </w:rPr>
        <w:t>”</w:t>
      </w:r>
      <w:r>
        <w:t xml:space="preserve"> have the meanings given to those terms in section 23D(1).</w:t>
      </w:r>
    </w:p>
    <w:p>
      <w:pPr>
        <w:pStyle w:val="Subsection"/>
      </w:pPr>
      <w:r>
        <w:tab/>
        <w:t>(2)</w:t>
      </w:r>
      <w:r>
        <w:tab/>
        <w:t xml:space="preserve">A scheme under section 30A (a </w:t>
      </w:r>
      <w:r>
        <w:rPr>
          <w:b/>
        </w:rPr>
        <w:t>“</w:t>
      </w:r>
      <w:r>
        <w:rPr>
          <w:rStyle w:val="CharDefText"/>
        </w:rPr>
        <w:t>scheme</w:t>
      </w:r>
      <w:r>
        <w:rPr>
          <w:b/>
        </w:rPr>
        <w:t>”</w:t>
      </w:r>
      <w:r>
        <w:t xml:space="preserve">) may include provision for the election of one or more safety and health representatives for —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 xml:space="preserve">provide for the principal that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401" w:name="_Toc109702828"/>
      <w:bookmarkStart w:id="402" w:name="_Toc131409914"/>
      <w:r>
        <w:rPr>
          <w:rStyle w:val="CharSectno"/>
        </w:rPr>
        <w:t>30C</w:t>
      </w:r>
      <w:r>
        <w:t>.</w:t>
      </w:r>
      <w:r>
        <w:tab/>
        <w:t>Appointment of further delegates may be required</w:t>
      </w:r>
      <w:bookmarkEnd w:id="401"/>
      <w:bookmarkEnd w:id="402"/>
    </w:p>
    <w:p>
      <w:pPr>
        <w:pStyle w:val="Subsection"/>
      </w:pPr>
      <w:r>
        <w:tab/>
        <w:t>(1)</w:t>
      </w:r>
      <w:r>
        <w:tab/>
        <w:t xml:space="preserve">In this section — </w:t>
      </w:r>
    </w:p>
    <w:p>
      <w:pPr>
        <w:pStyle w:val="Defstart"/>
      </w:pPr>
      <w:r>
        <w:rPr>
          <w:b/>
        </w:rPr>
        <w:tab/>
        <w:t>“</w:t>
      </w:r>
      <w:r>
        <w:rPr>
          <w:rStyle w:val="CharDefText"/>
        </w:rPr>
        <w:t>additional employees</w:t>
      </w:r>
      <w:r>
        <w:rPr>
          <w:b/>
        </w:rPr>
        <w:t>”</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403" w:name="_Toc109702829"/>
      <w:bookmarkStart w:id="404" w:name="_Toc131409915"/>
      <w:r>
        <w:rPr>
          <w:rStyle w:val="CharSectno"/>
        </w:rPr>
        <w:t>31</w:t>
      </w:r>
      <w:r>
        <w:rPr>
          <w:snapToGrid w:val="0"/>
        </w:rPr>
        <w:t>.</w:t>
      </w:r>
      <w:r>
        <w:rPr>
          <w:snapToGrid w:val="0"/>
        </w:rPr>
        <w:tab/>
        <w:t>Election of safety and health representatives</w:t>
      </w:r>
      <w:bookmarkEnd w:id="396"/>
      <w:bookmarkEnd w:id="397"/>
      <w:bookmarkEnd w:id="398"/>
      <w:bookmarkEnd w:id="403"/>
      <w:bookmarkEnd w:id="404"/>
      <w:r>
        <w:rPr>
          <w:snapToGrid w:val="0"/>
        </w:rPr>
        <w:t xml:space="preserve"> </w:t>
      </w:r>
    </w:p>
    <w:p>
      <w:pPr>
        <w:pStyle w:val="Subsection"/>
      </w:pPr>
      <w:r>
        <w:tab/>
        <w:t>(1)</w:t>
      </w:r>
      <w:r>
        <w:tab/>
        <w:t xml:space="preserve">In this section — </w:t>
      </w:r>
    </w:p>
    <w:p>
      <w:pPr>
        <w:pStyle w:val="Defstart"/>
      </w:pPr>
      <w:r>
        <w:tab/>
      </w:r>
      <w:r>
        <w:rPr>
          <w:b/>
        </w:rPr>
        <w:t>“</w:t>
      </w:r>
      <w:r>
        <w:rPr>
          <w:rStyle w:val="CharDefText"/>
        </w:rPr>
        <w:t>election</w:t>
      </w:r>
      <w:r>
        <w:rPr>
          <w:b/>
        </w:rPr>
        <w:t>”</w:t>
      </w:r>
      <w:r>
        <w:t xml:space="preserve"> means an election required for the purpose of electing a safety and health representative following —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t>“</w:t>
      </w:r>
      <w:r>
        <w:rPr>
          <w:rStyle w:val="CharDefText"/>
        </w:rPr>
        <w:t>relevant employee</w:t>
      </w:r>
      <w:r>
        <w:rPr>
          <w:b/>
        </w:rPr>
        <w:t>”</w:t>
      </w:r>
      <w:r>
        <w:t xml:space="preserve">, in relation to an election, means — </w:t>
      </w:r>
    </w:p>
    <w:p>
      <w:pPr>
        <w:pStyle w:val="Defpara"/>
      </w:pPr>
      <w:r>
        <w:tab/>
        <w:t>(a)</w:t>
      </w:r>
      <w:r>
        <w:tab/>
        <w:t>an employee who works at the workplace to which the election relates; or</w:t>
      </w:r>
    </w:p>
    <w:p>
      <w:pPr>
        <w:pStyle w:val="Defpara"/>
      </w:pPr>
      <w:r>
        <w:tab/>
        <w:t>(b)</w:t>
      </w:r>
      <w:r>
        <w:tab/>
        <w:t xml:space="preserve">if a scheme has been established under section 30A for the election, an employee who —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repealed]</w:t>
      </w:r>
    </w:p>
    <w:p>
      <w:pPr>
        <w:pStyle w:val="Subsection"/>
        <w:spacing w:before="120"/>
      </w:pPr>
      <w:r>
        <w:tab/>
        <w:t>(6)</w:t>
      </w:r>
      <w:r>
        <w:tab/>
        <w:t xml:space="preserve">Subject to this section, an election shall be conducted and safety and health representatives shall be elected in accordance with — </w:t>
      </w:r>
    </w:p>
    <w:p>
      <w:pPr>
        <w:pStyle w:val="Indenta"/>
      </w:pPr>
      <w:r>
        <w:tab/>
        <w:t>(a)</w:t>
      </w:r>
      <w:r>
        <w:tab/>
        <w:t>any determination under section 30; and</w:t>
      </w:r>
    </w:p>
    <w:p>
      <w:pPr>
        <w:pStyle w:val="Indenta"/>
      </w:pPr>
      <w:r>
        <w:tab/>
        <w:t>(b)</w:t>
      </w:r>
      <w:r>
        <w:tab/>
        <w:t>if applicable, a scheme established under section 30A.</w:t>
      </w:r>
    </w:p>
    <w:p>
      <w:pPr>
        <w:pStyle w:val="Subsection"/>
        <w:spacing w:before="120"/>
      </w:pPr>
      <w:r>
        <w:tab/>
        <w:t>(6a)</w:t>
      </w:r>
      <w:r>
        <w:tab/>
        <w:t>If there is any inconsistency between a determination under section 30 and a scheme established under section 30A, the latter prevails.</w:t>
      </w:r>
    </w:p>
    <w:p>
      <w:pPr>
        <w:pStyle w:val="Subsection"/>
        <w:spacing w:before="120"/>
      </w:pPr>
      <w:r>
        <w:tab/>
        <w:t>(7)</w:t>
      </w:r>
      <w:r>
        <w:tab/>
        <w:t>An election shall be by secret ballot.</w:t>
      </w:r>
    </w:p>
    <w:p>
      <w:pPr>
        <w:pStyle w:val="Subsection"/>
        <w:spacing w:before="120"/>
      </w:pPr>
      <w:r>
        <w:tab/>
        <w:t>(8)</w:t>
      </w:r>
      <w:r>
        <w:tab/>
        <w:t>Every relevant employee is entitled to vote at an election.</w:t>
      </w:r>
    </w:p>
    <w:p>
      <w:pPr>
        <w:pStyle w:val="Subsection"/>
        <w:spacing w:before="120"/>
      </w:pPr>
      <w:r>
        <w:tab/>
        <w:t>(8a)</w:t>
      </w:r>
      <w:r>
        <w:tab/>
        <w:t>Only a relevant employee is eligible to be elected as a safety and health representative at an election.</w:t>
      </w:r>
    </w:p>
    <w:p>
      <w:pPr>
        <w:pStyle w:val="Subsection"/>
        <w:spacing w:before="120"/>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spacing w:before="120"/>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spacing w:before="120"/>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 xml:space="preserve">[Section 31 inserted by No. 43 of 1987 s. 13; amended by No. 30 of 1995 s. 24 and 47; No. 51 of 2004 s. 43, 69(1) and 102(1).] </w:t>
      </w:r>
    </w:p>
    <w:p>
      <w:pPr>
        <w:pStyle w:val="Heading5"/>
        <w:rPr>
          <w:snapToGrid w:val="0"/>
        </w:rPr>
      </w:pPr>
      <w:bookmarkStart w:id="405" w:name="_Toc402776413"/>
      <w:bookmarkStart w:id="406" w:name="_Toc403985276"/>
      <w:bookmarkStart w:id="407" w:name="_Toc59593050"/>
      <w:bookmarkStart w:id="408" w:name="_Toc109702830"/>
      <w:bookmarkStart w:id="409" w:name="_Toc131409916"/>
      <w:r>
        <w:rPr>
          <w:rStyle w:val="CharSectno"/>
        </w:rPr>
        <w:t>32</w:t>
      </w:r>
      <w:r>
        <w:rPr>
          <w:snapToGrid w:val="0"/>
        </w:rPr>
        <w:t>.</w:t>
      </w:r>
      <w:r>
        <w:rPr>
          <w:snapToGrid w:val="0"/>
        </w:rPr>
        <w:tab/>
        <w:t>Terms of office</w:t>
      </w:r>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p>
    <w:p>
      <w:pPr>
        <w:pStyle w:val="Subsection"/>
        <w:rPr>
          <w:snapToGrid w:val="0"/>
        </w:rPr>
      </w:pPr>
      <w:r>
        <w:rPr>
          <w:snapToGrid w:val="0"/>
        </w:rPr>
        <w:tab/>
        <w:t>(2)</w:t>
      </w:r>
      <w:r>
        <w:rPr>
          <w:snapToGrid w:val="0"/>
        </w:rPr>
        <w:tab/>
        <w:t>A person ceases to hold office as a safety and health representative if — </w:t>
      </w:r>
    </w:p>
    <w:p>
      <w:pPr>
        <w:pStyle w:val="Indenta"/>
      </w:pPr>
      <w:r>
        <w:tab/>
        <w:t>(a)</w:t>
      </w:r>
      <w:r>
        <w:tab/>
        <w:t>the person’s term of office expires and the person is not re</w:t>
      </w:r>
      <w:r>
        <w:noBreakHyphen/>
        <w:t>elected;</w:t>
      </w:r>
    </w:p>
    <w:p>
      <w:pPr>
        <w:pStyle w:val="Indenta"/>
      </w:pPr>
      <w:r>
        <w:tab/>
        <w:t>(b)</w:t>
      </w:r>
      <w:r>
        <w:tab/>
        <w:t xml:space="preserve">the person ceases to be an employee who works at a workplace for which the person was elected; </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 xml:space="preserve">[Section 32 inserted by No. 43 of 1987 s. 13; amended by No. 30 of 1995 s. 47; No. 51 of 2004 s. 45, 86 and 102(1).] </w:t>
      </w:r>
    </w:p>
    <w:p>
      <w:pPr>
        <w:pStyle w:val="Heading5"/>
        <w:rPr>
          <w:snapToGrid w:val="0"/>
        </w:rPr>
      </w:pPr>
      <w:bookmarkStart w:id="410" w:name="_Toc402776414"/>
      <w:bookmarkStart w:id="411" w:name="_Toc403985277"/>
      <w:bookmarkStart w:id="412" w:name="_Toc59593051"/>
      <w:bookmarkStart w:id="413" w:name="_Toc109702831"/>
      <w:bookmarkStart w:id="414" w:name="_Toc131409917"/>
      <w:r>
        <w:rPr>
          <w:rStyle w:val="CharSectno"/>
        </w:rPr>
        <w:t>33</w:t>
      </w:r>
      <w:r>
        <w:rPr>
          <w:snapToGrid w:val="0"/>
        </w:rPr>
        <w:t>.</w:t>
      </w:r>
      <w:r>
        <w:rPr>
          <w:snapToGrid w:val="0"/>
        </w:rPr>
        <w:tab/>
        <w:t>Functions of safety and health representatives</w:t>
      </w:r>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 </w:t>
      </w:r>
    </w:p>
    <w:p>
      <w:pPr>
        <w:pStyle w:val="Indenta"/>
        <w:rPr>
          <w:snapToGrid w:val="0"/>
        </w:rPr>
      </w:pPr>
      <w:r>
        <w:rPr>
          <w:snapToGrid w:val="0"/>
        </w:rPr>
        <w:tab/>
        <w:t>(a)</w:t>
      </w:r>
      <w:r>
        <w:rPr>
          <w:snapToGrid w:val="0"/>
        </w:rPr>
        <w:tab/>
        <w:t>to inspect that workplace or any part of it —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spacing w:before="60"/>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spacing w:before="60"/>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spacing w:before="60"/>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spacing w:before="60"/>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spacing w:before="60"/>
        <w:rPr>
          <w:snapToGrid w:val="0"/>
        </w:rPr>
      </w:pPr>
      <w:r>
        <w:rPr>
          <w:snapToGrid w:val="0"/>
        </w:rPr>
        <w:tab/>
        <w:t>(g)</w:t>
      </w:r>
      <w:r>
        <w:rPr>
          <w:snapToGrid w:val="0"/>
        </w:rPr>
        <w:tab/>
        <w:t>liaise with the employees regarding matters concerning the safety or health of persons in the workplace.</w:t>
      </w:r>
    </w:p>
    <w:p>
      <w:pPr>
        <w:pStyle w:val="Subsection"/>
        <w:spacing w:before="120"/>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Part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spacing w:before="120"/>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b/>
        </w:rPr>
        <w:t>“</w:t>
      </w:r>
      <w:r>
        <w:rPr>
          <w:rStyle w:val="CharDefText"/>
        </w:rPr>
        <w:t>the workplace</w:t>
      </w:r>
      <w:r>
        <w:rPr>
          <w:b/>
        </w:rPr>
        <w:t>”</w:t>
      </w:r>
      <w:r>
        <w:t xml:space="preserve">, </w:t>
      </w:r>
      <w:r>
        <w:rPr>
          <w:b/>
        </w:rPr>
        <w:t>“</w:t>
      </w:r>
      <w:r>
        <w:rPr>
          <w:rStyle w:val="CharDefText"/>
        </w:rPr>
        <w:t>that workplace</w:t>
      </w:r>
      <w:r>
        <w:rPr>
          <w:b/>
        </w:rPr>
        <w:t>”</w:t>
      </w:r>
      <w:r>
        <w:t xml:space="preserve"> and </w:t>
      </w:r>
      <w:r>
        <w:rPr>
          <w:b/>
        </w:rPr>
        <w:t>“</w:t>
      </w:r>
      <w:r>
        <w:rPr>
          <w:rStyle w:val="CharDefText"/>
        </w:rPr>
        <w:t>a workplace</w:t>
      </w:r>
      <w:r>
        <w:rPr>
          <w:b/>
        </w:rPr>
        <w:t>”</w:t>
      </w:r>
      <w:r>
        <w:t xml:space="preserve"> include — </w:t>
      </w:r>
    </w:p>
    <w:p>
      <w:pPr>
        <w:pStyle w:val="Indenta"/>
      </w:pPr>
      <w:r>
        <w:tab/>
        <w:t>(a)</w:t>
      </w:r>
      <w:r>
        <w:tab/>
        <w:t xml:space="preserve">if the scheme applies to more than one workplace, each workplace to which the scheme applies; and </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 xml:space="preserve">[Section 33 inserted by No. 43 of 1987 s. 13; amended by No. 30 of 1995 s. 25 and 47; No. 51 of 2004 s. 46, 87, 102(1) and (2).] </w:t>
      </w:r>
    </w:p>
    <w:p>
      <w:pPr>
        <w:pStyle w:val="Heading5"/>
        <w:rPr>
          <w:snapToGrid w:val="0"/>
        </w:rPr>
      </w:pPr>
      <w:bookmarkStart w:id="415" w:name="_Toc402776415"/>
      <w:bookmarkStart w:id="416" w:name="_Toc403985278"/>
      <w:bookmarkStart w:id="417" w:name="_Toc59593052"/>
      <w:bookmarkStart w:id="418" w:name="_Toc109702832"/>
      <w:bookmarkStart w:id="419" w:name="_Toc131409918"/>
      <w:r>
        <w:rPr>
          <w:rStyle w:val="CharSectno"/>
        </w:rPr>
        <w:t>34</w:t>
      </w:r>
      <w:r>
        <w:rPr>
          <w:snapToGrid w:val="0"/>
        </w:rPr>
        <w:t>.</w:t>
      </w:r>
      <w:r>
        <w:rPr>
          <w:snapToGrid w:val="0"/>
        </w:rPr>
        <w:tab/>
        <w:t>Disqualification of safety and health representatives</w:t>
      </w:r>
      <w:bookmarkEnd w:id="415"/>
      <w:bookmarkEnd w:id="416"/>
      <w:bookmarkEnd w:id="417"/>
      <w:bookmarkEnd w:id="418"/>
      <w:bookmarkEnd w:id="419"/>
      <w:r>
        <w:rPr>
          <w:snapToGrid w:val="0"/>
        </w:rPr>
        <w:t xml:space="preserve"> </w:t>
      </w:r>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spacing w:before="110"/>
        <w:rPr>
          <w:snapToGrid w:val="0"/>
        </w:rPr>
      </w:pPr>
      <w:r>
        <w:rPr>
          <w:snapToGrid w:val="0"/>
        </w:rPr>
        <w:tab/>
        <w:t>(2)</w:t>
      </w:r>
      <w:r>
        <w:rPr>
          <w:snapToGrid w:val="0"/>
        </w:rPr>
        <w:tab/>
        <w:t>A reference under subsection (1) relating to the disqualification of a safety and health representative may be made by — </w:t>
      </w:r>
    </w:p>
    <w:p>
      <w:pPr>
        <w:pStyle w:val="Indenta"/>
        <w:spacing w:before="60"/>
        <w:rPr>
          <w:snapToGrid w:val="0"/>
        </w:rPr>
      </w:pPr>
      <w:r>
        <w:rPr>
          <w:snapToGrid w:val="0"/>
        </w:rPr>
        <w:tab/>
        <w:t>(a)</w:t>
      </w:r>
      <w:r>
        <w:rPr>
          <w:snapToGrid w:val="0"/>
        </w:rPr>
        <w:tab/>
        <w:t>his</w:t>
      </w:r>
      <w:r>
        <w:t xml:space="preserve"> or her</w:t>
      </w:r>
      <w:r>
        <w:rPr>
          <w:snapToGrid w:val="0"/>
        </w:rPr>
        <w:t xml:space="preserve"> employer;</w:t>
      </w:r>
    </w:p>
    <w:p>
      <w:pPr>
        <w:pStyle w:val="Indenta"/>
      </w:pPr>
      <w:r>
        <w:tab/>
        <w:t>(b)</w:t>
      </w:r>
      <w:r>
        <w:tab/>
        <w:t>a relevant employee; or</w:t>
      </w:r>
    </w:p>
    <w:p>
      <w:pPr>
        <w:pStyle w:val="Indenta"/>
        <w:spacing w:before="60"/>
        <w:rPr>
          <w:snapToGrid w:val="0"/>
        </w:rPr>
      </w:pPr>
      <w:r>
        <w:rPr>
          <w:snapToGrid w:val="0"/>
        </w:rPr>
        <w:tab/>
        <w:t>(c)</w:t>
      </w:r>
      <w:r>
        <w:rPr>
          <w:snapToGrid w:val="0"/>
        </w:rPr>
        <w:tab/>
        <w:t>the Commissioner.</w:t>
      </w:r>
    </w:p>
    <w:p>
      <w:pPr>
        <w:pStyle w:val="Subsection"/>
        <w:spacing w:before="110"/>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spacing w:before="110"/>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 </w:t>
      </w:r>
    </w:p>
    <w:p>
      <w:pPr>
        <w:pStyle w:val="Indenta"/>
        <w:spacing w:before="60"/>
        <w:rPr>
          <w:snapToGrid w:val="0"/>
        </w:rPr>
      </w:pPr>
      <w:r>
        <w:rPr>
          <w:snapToGrid w:val="0"/>
        </w:rPr>
        <w:tab/>
        <w:t>(a)</w:t>
      </w:r>
      <w:r>
        <w:rPr>
          <w:snapToGrid w:val="0"/>
        </w:rPr>
        <w:tab/>
        <w:t>the harm, if any, caused to the employer or a commercial or business undertaking of the employer;</w:t>
      </w:r>
    </w:p>
    <w:p>
      <w:pPr>
        <w:pStyle w:val="Indenta"/>
        <w:spacing w:before="60"/>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spacing w:before="110"/>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t>“</w:t>
      </w:r>
      <w:r>
        <w:rPr>
          <w:rStyle w:val="CharDefText"/>
        </w:rPr>
        <w:t>relevant employee</w:t>
      </w:r>
      <w:r>
        <w:rPr>
          <w:b/>
        </w:rPr>
        <w:t>”</w:t>
      </w:r>
      <w:r>
        <w:t xml:space="preserve"> means — </w:t>
      </w:r>
    </w:p>
    <w:p>
      <w:pPr>
        <w:pStyle w:val="Defpara"/>
      </w:pPr>
      <w:r>
        <w:tab/>
        <w:t>(a)</w:t>
      </w:r>
      <w:r>
        <w:tab/>
        <w:t xml:space="preserve">an employee who works at the workplace concerned; </w:t>
      </w:r>
    </w:p>
    <w:p>
      <w:pPr>
        <w:pStyle w:val="Defpara"/>
      </w:pPr>
      <w:r>
        <w:tab/>
        <w:t>(b)</w:t>
      </w:r>
      <w:r>
        <w:tab/>
        <w:t>if the safety and health representative was elected for more than one workplace pursuant to a scheme established under section 30A, an employee who works at any such workplace; or</w:t>
      </w:r>
    </w:p>
    <w:p>
      <w:pPr>
        <w:pStyle w:val="Defpara"/>
      </w:pPr>
      <w:r>
        <w:tab/>
        <w:t>(c)</w:t>
      </w:r>
      <w:r>
        <w:tab/>
        <w:t>if under a scheme referred to in paragraph (b) the safety and health representative was elected for a group of employees, an employee who is a member of the group.</w:t>
      </w:r>
    </w:p>
    <w:p>
      <w:pPr>
        <w:pStyle w:val="Footnotesection"/>
        <w:spacing w:before="100"/>
        <w:ind w:left="890" w:hanging="890"/>
      </w:pPr>
      <w:r>
        <w:tab/>
        <w:t xml:space="preserve">[Section 34 inserted by No. 43 of 1987 s. 13; amended by No. 30 of 1995 s. 26 and 47; No. 51 of 2004 s. 47, 69(1), (2), 88 and 102.] </w:t>
      </w:r>
    </w:p>
    <w:p>
      <w:pPr>
        <w:pStyle w:val="Heading5"/>
        <w:rPr>
          <w:snapToGrid w:val="0"/>
        </w:rPr>
      </w:pPr>
      <w:bookmarkStart w:id="420" w:name="_Toc402776416"/>
      <w:bookmarkStart w:id="421" w:name="_Toc403985279"/>
      <w:bookmarkStart w:id="422" w:name="_Toc59593053"/>
      <w:bookmarkStart w:id="423" w:name="_Toc109702833"/>
      <w:bookmarkStart w:id="424" w:name="_Toc131409919"/>
      <w:r>
        <w:rPr>
          <w:rStyle w:val="CharSectno"/>
        </w:rPr>
        <w:t>35</w:t>
      </w:r>
      <w:r>
        <w:rPr>
          <w:snapToGrid w:val="0"/>
        </w:rPr>
        <w:t>.</w:t>
      </w:r>
      <w:r>
        <w:rPr>
          <w:snapToGrid w:val="0"/>
        </w:rPr>
        <w:tab/>
        <w:t>Certain duties of employers in relation to safety and health representatives</w:t>
      </w:r>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Where there is any safety and health representative for a workplace the employer shall —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 </w:t>
      </w:r>
    </w:p>
    <w:p>
      <w:pPr>
        <w:pStyle w:val="Indenti"/>
        <w:rPr>
          <w:snapToGrid w:val="0"/>
        </w:rPr>
      </w:pPr>
      <w:r>
        <w:rPr>
          <w:snapToGrid w:val="0"/>
        </w:rPr>
        <w:tab/>
        <w:t>(i)</w:t>
      </w:r>
      <w:r>
        <w:rPr>
          <w:snapToGrid w:val="0"/>
        </w:rPr>
        <w:tab/>
        <w:t>hazards to persons that arise or may arise at the workplace;</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w:t>
      </w:r>
    </w:p>
    <w:p>
      <w:pPr>
        <w:pStyle w:val="Indenta"/>
      </w:pPr>
      <w:r>
        <w:tab/>
        <w:t>(d)</w:t>
      </w:r>
      <w:r>
        <w:tab/>
        <w:t>ensure that a safety and health representative receives any entitlement that becomes due to him or her under subsection (1b) or (3);</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Part.</w:t>
      </w:r>
    </w:p>
    <w:p>
      <w:pPr>
        <w:pStyle w:val="Subsection"/>
      </w:pPr>
      <w:r>
        <w:tab/>
        <w:t>(1a)</w:t>
      </w:r>
      <w:r>
        <w:tab/>
        <w:t xml:space="preserve">If, pursuant to a scheme under section 30A, a safety and health representative has been elected for a group of employees, the references in subsection (1) to </w:t>
      </w:r>
      <w:r>
        <w:rPr>
          <w:b/>
        </w:rPr>
        <w:t>“</w:t>
      </w:r>
      <w:r>
        <w:rPr>
          <w:rStyle w:val="CharDefText"/>
        </w:rPr>
        <w:t>a workplace</w:t>
      </w:r>
      <w:r>
        <w:rPr>
          <w:b/>
        </w:rPr>
        <w:t>”</w:t>
      </w:r>
      <w:r>
        <w:t xml:space="preserve"> and </w:t>
      </w:r>
      <w:r>
        <w:rPr>
          <w:b/>
        </w:rPr>
        <w:t>“</w:t>
      </w:r>
      <w:r>
        <w:rPr>
          <w:rStyle w:val="CharDefText"/>
        </w:rPr>
        <w:t>the workplace</w:t>
      </w:r>
      <w:r>
        <w:rPr>
          <w:b/>
        </w:rPr>
        <w:t>”</w:t>
      </w:r>
      <w:r>
        <w:t xml:space="preserve"> include any workplace at which any member of the group works.</w:t>
      </w:r>
    </w:p>
    <w:p>
      <w:pPr>
        <w:pStyle w:val="Subsection"/>
      </w:pPr>
      <w:r>
        <w:tab/>
        <w:t>(1b)</w:t>
      </w:r>
      <w:r>
        <w:tab/>
        <w:t xml:space="preserve">Where a safety and health representative attends a course of training —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 </w:t>
      </w:r>
    </w:p>
    <w:p>
      <w:pPr>
        <w:pStyle w:val="Indenta"/>
        <w:rPr>
          <w:snapToGrid w:val="0"/>
        </w:rPr>
      </w:pPr>
      <w:r>
        <w:rPr>
          <w:snapToGrid w:val="0"/>
        </w:rPr>
        <w:tab/>
        <w:t>(a)</w:t>
      </w:r>
      <w:r>
        <w:rPr>
          <w:snapToGrid w:val="0"/>
        </w:rPr>
        <w:tab/>
        <w:t>shall not make available to a safety and health representative any medical information concerning an employee unless —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 xml:space="preserve">In subsection (3) — </w:t>
      </w:r>
    </w:p>
    <w:p>
      <w:pPr>
        <w:pStyle w:val="Defstart"/>
      </w:pPr>
      <w:r>
        <w:rPr>
          <w:b/>
        </w:rPr>
        <w:tab/>
        <w:t>“</w:t>
      </w:r>
      <w:r>
        <w:rPr>
          <w:rStyle w:val="CharDefText"/>
        </w:rPr>
        <w:t>entitlements</w:t>
      </w:r>
      <w:r>
        <w:rPr>
          <w:b/>
        </w:rPr>
        <w:t>”</w:t>
      </w:r>
      <w:r>
        <w:t xml:space="preserve"> means —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 xml:space="preserve">[Section 35 inserted by No. 43 of 1987 s. 13; amended by No. 30 of 1995 s. 27 and 47; No. 51 of 2004 s. 48, 69(1) and (2), 89 and 102(2).] </w:t>
      </w:r>
    </w:p>
    <w:p>
      <w:pPr>
        <w:pStyle w:val="Heading5"/>
      </w:pPr>
      <w:bookmarkStart w:id="425" w:name="_Toc109702834"/>
      <w:bookmarkStart w:id="426" w:name="_Toc131409920"/>
      <w:bookmarkStart w:id="427" w:name="_Toc402776417"/>
      <w:bookmarkStart w:id="428" w:name="_Toc403985280"/>
      <w:bookmarkStart w:id="429" w:name="_Toc59593054"/>
      <w:r>
        <w:rPr>
          <w:rStyle w:val="CharSectno"/>
        </w:rPr>
        <w:t>35A</w:t>
      </w:r>
      <w:r>
        <w:t>.</w:t>
      </w:r>
      <w:r>
        <w:tab/>
        <w:t>Discrimination against safety and health representative in relation to employment</w:t>
      </w:r>
      <w:bookmarkEnd w:id="425"/>
      <w:bookmarkEnd w:id="426"/>
    </w:p>
    <w:p>
      <w:pPr>
        <w:pStyle w:val="Subsection"/>
      </w:pPr>
      <w:r>
        <w:tab/>
        <w:t>(1)</w:t>
      </w:r>
      <w:r>
        <w:tab/>
        <w:t xml:space="preserve">An employer or a prospective employer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430" w:name="_Toc109702835"/>
      <w:bookmarkStart w:id="431" w:name="_Toc131409921"/>
      <w:r>
        <w:rPr>
          <w:rStyle w:val="CharSectno"/>
        </w:rPr>
        <w:t>35B</w:t>
      </w:r>
      <w:r>
        <w:t>.</w:t>
      </w:r>
      <w:r>
        <w:tab/>
        <w:t>Discrimination against safety and health representative in relation to contract for services</w:t>
      </w:r>
      <w:bookmarkEnd w:id="430"/>
      <w:bookmarkEnd w:id="431"/>
    </w:p>
    <w:p>
      <w:pPr>
        <w:pStyle w:val="Subsection"/>
        <w:outlineLvl w:val="0"/>
      </w:pPr>
      <w:r>
        <w:tab/>
        <w:t>(1)</w:t>
      </w:r>
      <w:r>
        <w:tab/>
        <w:t xml:space="preserve">In this section — </w:t>
      </w:r>
    </w:p>
    <w:p>
      <w:pPr>
        <w:pStyle w:val="Defstart"/>
      </w:pPr>
      <w:r>
        <w:rPr>
          <w:b/>
        </w:rPr>
        <w:tab/>
        <w:t>“</w:t>
      </w:r>
      <w:r>
        <w:rPr>
          <w:rStyle w:val="CharDefText"/>
        </w:rPr>
        <w:t>contractor</w:t>
      </w:r>
      <w:r>
        <w:rPr>
          <w:b/>
        </w:rPr>
        <w:t>”</w:t>
      </w:r>
      <w:r>
        <w:t xml:space="preserve"> and </w:t>
      </w:r>
      <w:r>
        <w:rPr>
          <w:b/>
        </w:rPr>
        <w:t>“</w:t>
      </w:r>
      <w:r>
        <w:rPr>
          <w:rStyle w:val="CharDefText"/>
        </w:rPr>
        <w:t>principal</w:t>
      </w:r>
      <w:r>
        <w:rPr>
          <w:b/>
        </w:rPr>
        <w:t>”</w:t>
      </w:r>
      <w:r>
        <w:t xml:space="preserve"> have the meanings given to those terms in section 23D(1).</w:t>
      </w:r>
    </w:p>
    <w:p>
      <w:pPr>
        <w:pStyle w:val="Subsection"/>
        <w:outlineLvl w:val="0"/>
      </w:pPr>
      <w:r>
        <w:tab/>
        <w:t>(2)</w:t>
      </w:r>
      <w:r>
        <w:tab/>
        <w:t xml:space="preserve">Where a scheme under section 30A makes provision of the kind described in section 30B(3),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keepNext/>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432" w:name="_Toc109702836"/>
      <w:bookmarkStart w:id="433" w:name="_Toc131409922"/>
      <w:r>
        <w:rPr>
          <w:rStyle w:val="CharSectno"/>
        </w:rPr>
        <w:t>35C</w:t>
      </w:r>
      <w:r>
        <w:t>.</w:t>
      </w:r>
      <w:r>
        <w:tab/>
        <w:t>Claim may be referred to the Tribunal</w:t>
      </w:r>
      <w:bookmarkEnd w:id="432"/>
      <w:bookmarkEnd w:id="433"/>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35A(4); or </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434" w:name="_Toc109702837"/>
      <w:bookmarkStart w:id="435" w:name="_Toc131409923"/>
      <w:r>
        <w:rPr>
          <w:rStyle w:val="CharSectno"/>
        </w:rPr>
        <w:t>35D</w:t>
      </w:r>
      <w:r>
        <w:t>.</w:t>
      </w:r>
      <w:r>
        <w:tab/>
        <w:t>Remedies that may be granted</w:t>
      </w:r>
      <w:bookmarkEnd w:id="434"/>
      <w:bookmarkEnd w:id="435"/>
    </w:p>
    <w:p>
      <w:pPr>
        <w:pStyle w:val="Subsection"/>
        <w:spacing w:before="120"/>
      </w:pPr>
      <w:r>
        <w:tab/>
        <w:t>(1)</w:t>
      </w:r>
      <w:r>
        <w:tab/>
        <w:t xml:space="preserve">If, on the hearing of a claim under section 35C(1)(a)(i), the Tribunal is satisfied that an employer or a prospective employer has contravened section 35A,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spacing w:before="120"/>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spacing w:before="120"/>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436" w:name="_Toc100545184"/>
      <w:bookmarkStart w:id="437" w:name="_Toc100716663"/>
      <w:bookmarkStart w:id="438" w:name="_Toc102546252"/>
      <w:bookmarkStart w:id="439" w:name="_Toc103141475"/>
      <w:bookmarkStart w:id="440" w:name="_Toc105909087"/>
      <w:bookmarkStart w:id="441" w:name="_Toc105921973"/>
      <w:bookmarkStart w:id="442" w:name="_Toc106616811"/>
      <w:bookmarkStart w:id="443" w:name="_Toc108848555"/>
      <w:bookmarkStart w:id="444" w:name="_Toc109702838"/>
      <w:bookmarkStart w:id="445" w:name="_Toc113700395"/>
      <w:bookmarkStart w:id="446" w:name="_Toc113779053"/>
      <w:bookmarkStart w:id="447" w:name="_Toc122767434"/>
      <w:bookmarkStart w:id="448" w:name="_Toc122767677"/>
      <w:bookmarkStart w:id="449" w:name="_Toc131409924"/>
      <w:bookmarkStart w:id="450" w:name="_Toc402776421"/>
      <w:bookmarkStart w:id="451" w:name="_Toc403985284"/>
      <w:bookmarkStart w:id="452" w:name="_Toc59593058"/>
      <w:bookmarkEnd w:id="427"/>
      <w:bookmarkEnd w:id="428"/>
      <w:bookmarkEnd w:id="429"/>
      <w:r>
        <w:rPr>
          <w:rStyle w:val="CharDivNo"/>
        </w:rPr>
        <w:t>Division 2</w:t>
      </w:r>
      <w:r>
        <w:t> — </w:t>
      </w:r>
      <w:r>
        <w:rPr>
          <w:rStyle w:val="CharDivText"/>
        </w:rPr>
        <w:t>Safety and health committees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Footnoteheading"/>
        <w:keepNext/>
      </w:pPr>
      <w:r>
        <w:tab/>
        <w:t>[Heading inserted by No. 51 of 2004 s. 50.]</w:t>
      </w:r>
    </w:p>
    <w:p>
      <w:pPr>
        <w:pStyle w:val="Heading5"/>
      </w:pPr>
      <w:bookmarkStart w:id="453" w:name="_Toc109702839"/>
      <w:bookmarkStart w:id="454" w:name="_Toc131409925"/>
      <w:r>
        <w:rPr>
          <w:rStyle w:val="CharSectno"/>
        </w:rPr>
        <w:t>36</w:t>
      </w:r>
      <w:r>
        <w:t>.</w:t>
      </w:r>
      <w:r>
        <w:tab/>
        <w:t>Interpretation</w:t>
      </w:r>
      <w:bookmarkEnd w:id="453"/>
      <w:bookmarkEnd w:id="454"/>
    </w:p>
    <w:p>
      <w:pPr>
        <w:pStyle w:val="Subsection"/>
      </w:pPr>
      <w:r>
        <w:tab/>
        <w:t>(1)</w:t>
      </w:r>
      <w:r>
        <w:tab/>
        <w:t xml:space="preserve">In this Division — </w:t>
      </w:r>
    </w:p>
    <w:p>
      <w:pPr>
        <w:pStyle w:val="Defstart"/>
      </w:pPr>
      <w:r>
        <w:rPr>
          <w:b/>
        </w:rPr>
        <w:tab/>
        <w:t>“</w:t>
      </w:r>
      <w:r>
        <w:rPr>
          <w:rStyle w:val="CharDefText"/>
        </w:rPr>
        <w:t>allowed period</w:t>
      </w:r>
      <w:r>
        <w:rPr>
          <w:b/>
        </w:rPr>
        <w:t>”</w:t>
      </w:r>
      <w:r>
        <w:t xml:space="preserve"> means —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t>“</w:t>
      </w:r>
      <w:r>
        <w:rPr>
          <w:rStyle w:val="CharDefText"/>
        </w:rPr>
        <w:t>consultation party</w:t>
      </w:r>
      <w:r>
        <w:rPr>
          <w:b/>
        </w:rPr>
        <w:t>”</w:t>
      </w:r>
      <w:r>
        <w:t xml:space="preserve"> means a person that comes within section 39C(2)(a), (b) or (c);</w:t>
      </w:r>
    </w:p>
    <w:p>
      <w:pPr>
        <w:pStyle w:val="Defstart"/>
      </w:pPr>
      <w:r>
        <w:rPr>
          <w:b/>
        </w:rPr>
        <w:tab/>
        <w:t>“</w:t>
      </w:r>
      <w:r>
        <w:rPr>
          <w:rStyle w:val="CharDefText"/>
        </w:rPr>
        <w:t>prescribed requirements</w:t>
      </w:r>
      <w:r>
        <w:rPr>
          <w:b/>
        </w:rPr>
        <w:t>”</w:t>
      </w:r>
      <w:r>
        <w:t xml:space="preserve"> means — </w:t>
      </w:r>
    </w:p>
    <w:p>
      <w:pPr>
        <w:pStyle w:val="Defpara"/>
      </w:pPr>
      <w:r>
        <w:tab/>
        <w:t>(a)</w:t>
      </w:r>
      <w:r>
        <w:tab/>
        <w:t xml:space="preserve">the provisions of — </w:t>
      </w:r>
    </w:p>
    <w:p>
      <w:pPr>
        <w:pStyle w:val="Defsubpara"/>
      </w:pPr>
      <w:r>
        <w:tab/>
        <w:t>(i)</w:t>
      </w:r>
      <w:r>
        <w:tab/>
        <w:t>an agreement under section 39C(2); and</w:t>
      </w:r>
    </w:p>
    <w:p>
      <w:pPr>
        <w:pStyle w:val="Defsubpara"/>
      </w:pPr>
      <w:r>
        <w:tab/>
        <w:t>(ii)</w:t>
      </w:r>
      <w:r>
        <w:tab/>
        <w:t>section 39C(3);</w:t>
      </w:r>
    </w:p>
    <w:p>
      <w:pPr>
        <w:pStyle w:val="Defpara"/>
      </w:pPr>
      <w:r>
        <w:tab/>
        <w:t>(b)</w:t>
      </w:r>
      <w:r>
        <w:tab/>
        <w:t xml:space="preserve">the terms of a determination of — </w:t>
      </w:r>
    </w:p>
    <w:p>
      <w:pPr>
        <w:pStyle w:val="Defsubpara"/>
      </w:pPr>
      <w:r>
        <w:tab/>
        <w:t>(i)</w:t>
      </w:r>
      <w:r>
        <w:tab/>
        <w:t xml:space="preserve">the Commissioner, under section 39D; or </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b/>
        </w:rPr>
        <w:t>“</w:t>
      </w:r>
      <w:r>
        <w:rPr>
          <w:rStyle w:val="CharDefText"/>
        </w:rPr>
        <w:t>safety and health representative for the workplace</w:t>
      </w:r>
      <w:r>
        <w:rPr>
          <w:b/>
        </w:rPr>
        <w:t>”</w:t>
      </w:r>
      <w:r>
        <w:t xml:space="preserve"> or a </w:t>
      </w:r>
      <w:r>
        <w:rPr>
          <w:b/>
        </w:rPr>
        <w:t>“</w:t>
      </w:r>
      <w:r>
        <w:rPr>
          <w:rStyle w:val="CharDefText"/>
        </w:rPr>
        <w:t>safety and health representative for a workplace</w:t>
      </w:r>
      <w:r>
        <w:rPr>
          <w:b/>
        </w:rPr>
        <w:t>”</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455" w:name="_Toc109702840"/>
      <w:bookmarkStart w:id="456" w:name="_Toc131409926"/>
      <w:r>
        <w:rPr>
          <w:rStyle w:val="CharSectno"/>
        </w:rPr>
        <w:t>37</w:t>
      </w:r>
      <w:r>
        <w:t>.</w:t>
      </w:r>
      <w:r>
        <w:tab/>
        <w:t>Employees to appoint representatives</w:t>
      </w:r>
      <w:bookmarkEnd w:id="455"/>
      <w:bookmarkEnd w:id="456"/>
    </w:p>
    <w:p>
      <w:pPr>
        <w:pStyle w:val="Subsection"/>
      </w:pPr>
      <w:r>
        <w:tab/>
      </w:r>
      <w:r>
        <w:tab/>
        <w:t xml:space="preserve">Whenever required for the purpose of making an agreement under section 39C(2) or 39E(1) in respect of a workplace, the employees who work at the workplace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457" w:name="_Toc109702841"/>
      <w:bookmarkStart w:id="458" w:name="_Toc131409927"/>
      <w:r>
        <w:rPr>
          <w:rStyle w:val="CharSectno"/>
        </w:rPr>
        <w:t>38</w:t>
      </w:r>
      <w:r>
        <w:t>.</w:t>
      </w:r>
      <w:r>
        <w:tab/>
        <w:t>Obligation of employer to establish a safety and health committee</w:t>
      </w:r>
      <w:bookmarkEnd w:id="457"/>
      <w:bookmarkEnd w:id="458"/>
      <w:r>
        <w:t xml:space="preserve"> </w:t>
      </w:r>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459" w:name="_Toc109702842"/>
      <w:bookmarkStart w:id="460" w:name="_Toc131409928"/>
      <w:r>
        <w:rPr>
          <w:rStyle w:val="CharSectno"/>
        </w:rPr>
        <w:t>39</w:t>
      </w:r>
      <w:r>
        <w:t>.</w:t>
      </w:r>
      <w:r>
        <w:tab/>
        <w:t>Request for establishment of safety and health committee</w:t>
      </w:r>
      <w:bookmarkEnd w:id="459"/>
      <w:bookmarkEnd w:id="460"/>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461" w:name="_Toc109702843"/>
      <w:bookmarkStart w:id="462" w:name="_Toc131409929"/>
      <w:r>
        <w:rPr>
          <w:rStyle w:val="CharSectno"/>
        </w:rPr>
        <w:t>39A</w:t>
      </w:r>
      <w:r>
        <w:t>.</w:t>
      </w:r>
      <w:r>
        <w:tab/>
        <w:t>Referral of question to Commissioner</w:t>
      </w:r>
      <w:bookmarkEnd w:id="461"/>
      <w:bookmarkEnd w:id="462"/>
    </w:p>
    <w:p>
      <w:pPr>
        <w:pStyle w:val="Subsection"/>
        <w:outlineLvl w:val="0"/>
      </w:pPr>
      <w:r>
        <w:tab/>
        <w:t>(1)</w:t>
      </w:r>
      <w:r>
        <w:tab/>
        <w:t xml:space="preserve">If —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 xml:space="preserve">the employee concerned; and </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 xml:space="preserve">The Commissioner is to — </w:t>
      </w:r>
    </w:p>
    <w:p>
      <w:pPr>
        <w:pStyle w:val="Indenta"/>
        <w:rPr>
          <w:snapToGrid w:val="0"/>
        </w:rPr>
      </w:pPr>
      <w:r>
        <w:rPr>
          <w:snapToGrid w:val="0"/>
        </w:rPr>
        <w:tab/>
        <w:t>(a)</w:t>
      </w:r>
      <w:r>
        <w:rPr>
          <w:snapToGrid w:val="0"/>
        </w:rPr>
        <w:tab/>
        <w:t xml:space="preserve">decide a question referred to the Commissioner under subsection (1); and </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pPr>
      <w:bookmarkStart w:id="463" w:name="_Toc109702844"/>
      <w:bookmarkStart w:id="464" w:name="_Toc131409930"/>
      <w:r>
        <w:rPr>
          <w:rStyle w:val="CharSectno"/>
        </w:rPr>
        <w:t>39B</w:t>
      </w:r>
      <w:r>
        <w:t>.</w:t>
      </w:r>
      <w:r>
        <w:tab/>
        <w:t>Employer may establish a safety and health committee</w:t>
      </w:r>
      <w:bookmarkEnd w:id="463"/>
      <w:bookmarkEnd w:id="464"/>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 </w:t>
      </w:r>
    </w:p>
    <w:p>
      <w:pPr>
        <w:pStyle w:val="Indenta"/>
      </w:pPr>
      <w:r>
        <w:tab/>
        <w:t>(a)</w:t>
      </w:r>
      <w:r>
        <w:tab/>
        <w:t>a regulation referred to in section 38(1)(a) has not come into operation;</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pPr>
      <w:bookmarkStart w:id="465" w:name="_Toc109702845"/>
      <w:bookmarkStart w:id="466" w:name="_Toc131409931"/>
      <w:r>
        <w:rPr>
          <w:rStyle w:val="CharSectno"/>
        </w:rPr>
        <w:t>39C</w:t>
      </w:r>
      <w:r>
        <w:t>.</w:t>
      </w:r>
      <w:r>
        <w:tab/>
        <w:t>How safety and health committee to be constituted</w:t>
      </w:r>
      <w:bookmarkEnd w:id="465"/>
      <w:bookmarkEnd w:id="466"/>
    </w:p>
    <w:p>
      <w:pPr>
        <w:pStyle w:val="Subsection"/>
      </w:pPr>
      <w:r>
        <w:tab/>
        <w:t>(1)</w:t>
      </w:r>
      <w:r>
        <w:tab/>
        <w:t xml:space="preserve">In this section — </w:t>
      </w:r>
    </w:p>
    <w:p>
      <w:pPr>
        <w:pStyle w:val="Defstart"/>
      </w:pPr>
      <w:r>
        <w:rPr>
          <w:b/>
        </w:rPr>
        <w:tab/>
        <w:t>“</w:t>
      </w:r>
      <w:r>
        <w:rPr>
          <w:rStyle w:val="CharDefText"/>
        </w:rPr>
        <w:t>workplace</w:t>
      </w:r>
      <w:r>
        <w:rPr>
          <w:b/>
        </w:rPr>
        <w:t>”</w:t>
      </w:r>
      <w:r>
        <w:t>, where an agreement under section 39E applies, includes 2 or more workplaces.</w:t>
      </w:r>
    </w:p>
    <w:p>
      <w:pPr>
        <w:pStyle w:val="Subsection"/>
      </w:pPr>
      <w:r>
        <w:tab/>
        <w:t>(2)</w:t>
      </w:r>
      <w:r>
        <w:tab/>
        <w:t xml:space="preserve">Subject to subsection (3), the composition, and the manner in which persons become members, of a safety and health committee for a workplace are to be determined by agreement in writing between — </w:t>
      </w:r>
    </w:p>
    <w:p>
      <w:pPr>
        <w:pStyle w:val="Indenta"/>
      </w:pPr>
      <w:r>
        <w:tab/>
        <w:t>(a)</w:t>
      </w:r>
      <w:r>
        <w:tab/>
        <w:t>the employer;</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 xml:space="preserve">At least one half of the members of a safety and health committee for a workplace must be persons each of whom is —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467" w:name="_Toc109702846"/>
      <w:bookmarkStart w:id="468" w:name="_Toc131409932"/>
      <w:r>
        <w:rPr>
          <w:rStyle w:val="CharSectno"/>
        </w:rPr>
        <w:t>39D</w:t>
      </w:r>
      <w:r>
        <w:t>.</w:t>
      </w:r>
      <w:r>
        <w:tab/>
        <w:t>Commissioner may make determination in certain cases</w:t>
      </w:r>
      <w:bookmarkEnd w:id="467"/>
      <w:bookmarkEnd w:id="468"/>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39C — </w:t>
      </w:r>
    </w:p>
    <w:p>
      <w:pPr>
        <w:pStyle w:val="Indenti"/>
      </w:pPr>
      <w:r>
        <w:tab/>
        <w:t>(i)</w:t>
      </w:r>
      <w:r>
        <w:tab/>
        <w:t>cannot commence or continue because there are no employees appointed under section 37 in respect of the workplace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 xml:space="preserve">The employer or other consultation party may refer to the Commissioner for determination — </w:t>
      </w:r>
    </w:p>
    <w:p>
      <w:pPr>
        <w:pStyle w:val="Indenta"/>
      </w:pPr>
      <w:r>
        <w:tab/>
        <w:t>(a)</w:t>
      </w:r>
      <w:r>
        <w:tab/>
        <w:t xml:space="preserve">the matters that are required to be settled by agreement under section 39C;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469" w:name="_Toc109702847"/>
      <w:bookmarkStart w:id="470" w:name="_Toc131409933"/>
      <w:r>
        <w:rPr>
          <w:rStyle w:val="CharSectno"/>
        </w:rPr>
        <w:t>39E</w:t>
      </w:r>
      <w:r>
        <w:t>.</w:t>
      </w:r>
      <w:r>
        <w:tab/>
        <w:t>Functions of committee may cover more than one workplace</w:t>
      </w:r>
      <w:bookmarkEnd w:id="469"/>
      <w:bookmarkEnd w:id="470"/>
    </w:p>
    <w:p>
      <w:pPr>
        <w:pStyle w:val="Subsection"/>
      </w:pPr>
      <w:r>
        <w:tab/>
        <w:t>(1)</w:t>
      </w:r>
      <w:r>
        <w:tab/>
        <w:t xml:space="preserve">If — </w:t>
      </w:r>
    </w:p>
    <w:p>
      <w:pPr>
        <w:pStyle w:val="Indenta"/>
      </w:pPr>
      <w:r>
        <w:tab/>
        <w:t>(a)</w:t>
      </w:r>
      <w:r>
        <w:tab/>
        <w:t>an employer —</w:t>
      </w:r>
    </w:p>
    <w:p>
      <w:pPr>
        <w:pStyle w:val="Indenti"/>
      </w:pPr>
      <w:r>
        <w:tab/>
        <w:t>(i)</w:t>
      </w:r>
      <w:r>
        <w:tab/>
        <w:t>is under an obligation by operation of section 38(1); or</w:t>
      </w:r>
    </w:p>
    <w:p>
      <w:pPr>
        <w:pStyle w:val="Indenti"/>
      </w:pPr>
      <w:r>
        <w:tab/>
        <w:t>(ii)</w:t>
      </w:r>
      <w:r>
        <w:tab/>
        <w:t>wishes to take action for the purposes of section 39B,</w:t>
      </w:r>
    </w:p>
    <w:p>
      <w:pPr>
        <w:pStyle w:val="Indenta"/>
      </w:pPr>
      <w:r>
        <w:tab/>
      </w:r>
      <w:r>
        <w:tab/>
        <w:t>in respect of more than one workplace of the employer; and</w:t>
      </w:r>
    </w:p>
    <w:p>
      <w:pPr>
        <w:pStyle w:val="Indenta"/>
      </w:pPr>
      <w:r>
        <w:tab/>
        <w:t>(b)</w:t>
      </w:r>
      <w:r>
        <w:tab/>
        <w:t>a safety and health committee has not been established for one or more of those workplaces,</w:t>
      </w:r>
    </w:p>
    <w:p>
      <w:pPr>
        <w:pStyle w:val="Subsection"/>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 xml:space="preserve">For the purposes of subsection (1) the parties concerned are — </w:t>
      </w:r>
    </w:p>
    <w:p>
      <w:pPr>
        <w:pStyle w:val="Indenta"/>
      </w:pPr>
      <w:r>
        <w:tab/>
        <w:t>(a)</w:t>
      </w:r>
      <w:r>
        <w:tab/>
        <w:t>the employer;</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pPr>
      <w:r>
        <w:tab/>
        <w:t>(3)</w:t>
      </w:r>
      <w:r>
        <w:tab/>
        <w:t xml:space="preserve">An agreement under subsection (1) may provide — </w:t>
      </w:r>
    </w:p>
    <w:p>
      <w:pPr>
        <w:pStyle w:val="Indenta"/>
      </w:pPr>
      <w:r>
        <w:tab/>
        <w:t>(a)</w:t>
      </w:r>
      <w:r>
        <w:tab/>
        <w:t>for the establishment of a safety and health committee to exercise functions in relation to more than one workplace; and</w:t>
      </w:r>
    </w:p>
    <w:p>
      <w:pPr>
        <w:pStyle w:val="Indenta"/>
      </w:pPr>
      <w:r>
        <w:tab/>
        <w:t>(b)</w:t>
      </w:r>
      <w:r>
        <w:tab/>
        <w:t xml:space="preserve">for that committee to have subcommittees for each workplace — </w:t>
      </w:r>
    </w:p>
    <w:p>
      <w:pPr>
        <w:pStyle w:val="Indenti"/>
      </w:pPr>
      <w:r>
        <w:tab/>
        <w:t>(i)</w:t>
      </w:r>
      <w:r>
        <w:tab/>
        <w:t xml:space="preserve">to advise the committee on the exercise of its functions in relation to that workplace; and </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471" w:name="_Toc109702848"/>
      <w:bookmarkStart w:id="472" w:name="_Toc131409934"/>
      <w:r>
        <w:rPr>
          <w:rStyle w:val="CharSectno"/>
        </w:rPr>
        <w:t>39F</w:t>
      </w:r>
      <w:r>
        <w:t>.</w:t>
      </w:r>
      <w:r>
        <w:tab/>
        <w:t>Amendment of agreement and abolition of committee</w:t>
      </w:r>
      <w:bookmarkEnd w:id="471"/>
      <w:bookmarkEnd w:id="472"/>
    </w:p>
    <w:p>
      <w:pPr>
        <w:pStyle w:val="Subsection"/>
      </w:pPr>
      <w:r>
        <w:tab/>
        <w:t>(1)</w:t>
      </w:r>
      <w:r>
        <w:tab/>
        <w:t xml:space="preserve">In this section — </w:t>
      </w:r>
    </w:p>
    <w:p>
      <w:pPr>
        <w:pStyle w:val="Defstart"/>
      </w:pPr>
      <w:r>
        <w:rPr>
          <w:b/>
        </w:rPr>
        <w:tab/>
        <w:t>“</w:t>
      </w:r>
      <w:r>
        <w:rPr>
          <w:rStyle w:val="CharDefText"/>
        </w:rPr>
        <w:t>relevant parties</w:t>
      </w:r>
      <w:r>
        <w:rPr>
          <w:b/>
        </w:rPr>
        <w:t>”</w:t>
      </w:r>
      <w:r>
        <w:t xml:space="preserve">, in respect of a workplace, means —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 xml:space="preserve">Where —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 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workplace,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Commissioner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473" w:name="_Toc109702849"/>
      <w:bookmarkStart w:id="474" w:name="_Toc131409935"/>
      <w:r>
        <w:rPr>
          <w:rStyle w:val="CharSectno"/>
        </w:rPr>
        <w:t>39G</w:t>
      </w:r>
      <w:r>
        <w:t>.</w:t>
      </w:r>
      <w:r>
        <w:tab/>
        <w:t>Review of Commissioner’s decision</w:t>
      </w:r>
      <w:bookmarkEnd w:id="473"/>
      <w:bookmarkEnd w:id="474"/>
    </w:p>
    <w:p>
      <w:pPr>
        <w:pStyle w:val="Subsection"/>
      </w:pPr>
      <w:r>
        <w:tab/>
        <w:t>(1)</w:t>
      </w:r>
      <w:r>
        <w:tab/>
        <w:t xml:space="preserve">Where the Commissioner has made a decision under section 39A(3) in respect of a workplace — </w:t>
      </w:r>
    </w:p>
    <w:p>
      <w:pPr>
        <w:pStyle w:val="Indenta"/>
      </w:pPr>
      <w:r>
        <w:tab/>
        <w:t>(a)</w:t>
      </w:r>
      <w:r>
        <w:tab/>
        <w:t xml:space="preserve">the employer; </w:t>
      </w:r>
    </w:p>
    <w:p>
      <w:pPr>
        <w:pStyle w:val="Indenta"/>
      </w:pPr>
      <w:r>
        <w:tab/>
        <w:t>(b)</w:t>
      </w:r>
      <w:r>
        <w:tab/>
        <w:t xml:space="preserve">a safety and health representative for the workplace; or </w:t>
      </w:r>
    </w:p>
    <w:p>
      <w:pPr>
        <w:pStyle w:val="Indenta"/>
      </w:pPr>
      <w:r>
        <w:tab/>
        <w:t>(c)</w:t>
      </w:r>
      <w:r>
        <w:tab/>
        <w:t xml:space="preserve">an employee who works at the workplace, </w:t>
      </w:r>
    </w:p>
    <w:p>
      <w:pPr>
        <w:pStyle w:val="Subsection"/>
      </w:pPr>
      <w:r>
        <w:tab/>
      </w:r>
      <w:r>
        <w:tab/>
        <w:t>may refer the decision to the Tribunal for review.</w:t>
      </w:r>
    </w:p>
    <w:p>
      <w:pPr>
        <w:pStyle w:val="Subsection"/>
      </w:pPr>
      <w:r>
        <w:tab/>
        <w:t>(2)</w:t>
      </w:r>
      <w:r>
        <w:tab/>
        <w:t xml:space="preserve">Where the Commissioner has made a determination under section 39D(3) in respect of one or more workplaces — </w:t>
      </w:r>
    </w:p>
    <w:p>
      <w:pPr>
        <w:pStyle w:val="Indenta"/>
      </w:pPr>
      <w:r>
        <w:tab/>
        <w:t>(a)</w:t>
      </w:r>
      <w:r>
        <w:tab/>
        <w:t xml:space="preserve">the employer; </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pPr>
      <w:r>
        <w:tab/>
      </w:r>
      <w:r>
        <w:tab/>
        <w:t xml:space="preserve">may refer the determination to the Tribunal for review. </w:t>
      </w:r>
    </w:p>
    <w:p>
      <w:pPr>
        <w:pStyle w:val="Subsection"/>
      </w:pPr>
      <w:r>
        <w:tab/>
        <w:t>(3)</w:t>
      </w:r>
      <w:r>
        <w:tab/>
        <w:t xml:space="preserve">Where the Commissioner has made a determination under section 39F(5)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workplace concerned may refer the determination to the Tribunal for review. </w:t>
      </w:r>
    </w:p>
    <w:p>
      <w:pPr>
        <w:pStyle w:val="Subsection"/>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475" w:name="_Toc109702850"/>
      <w:bookmarkStart w:id="476" w:name="_Toc131409936"/>
      <w:r>
        <w:rPr>
          <w:rStyle w:val="CharSectno"/>
        </w:rPr>
        <w:t>40</w:t>
      </w:r>
      <w:r>
        <w:rPr>
          <w:snapToGrid w:val="0"/>
        </w:rPr>
        <w:t>.</w:t>
      </w:r>
      <w:r>
        <w:rPr>
          <w:snapToGrid w:val="0"/>
        </w:rPr>
        <w:tab/>
        <w:t>Functions of safety and health committees</w:t>
      </w:r>
      <w:bookmarkEnd w:id="450"/>
      <w:bookmarkEnd w:id="451"/>
      <w:bookmarkEnd w:id="452"/>
      <w:bookmarkEnd w:id="475"/>
      <w:bookmarkEnd w:id="476"/>
      <w:r>
        <w:rPr>
          <w:snapToGrid w:val="0"/>
        </w:rPr>
        <w:t xml:space="preserve"> </w:t>
      </w:r>
    </w:p>
    <w:p>
      <w:pPr>
        <w:pStyle w:val="Subsection"/>
      </w:pPr>
      <w:r>
        <w:tab/>
        <w:t>(1)</w:t>
      </w:r>
      <w:r>
        <w:tab/>
        <w:t xml:space="preserve">In this section — </w:t>
      </w:r>
    </w:p>
    <w:p>
      <w:pPr>
        <w:pStyle w:val="Defstart"/>
      </w:pPr>
      <w:r>
        <w:rPr>
          <w:b/>
        </w:rPr>
        <w:tab/>
        <w:t>“</w:t>
      </w:r>
      <w:r>
        <w:rPr>
          <w:rStyle w:val="CharDefText"/>
        </w:rPr>
        <w:t>workplace</w:t>
      </w:r>
      <w:r>
        <w:rPr>
          <w:b/>
        </w:rPr>
        <w:t>”</w:t>
      </w:r>
      <w:r>
        <w:t>, where an agreement under section 39E applies to the establishment of a safety and health committee, means any workplace in relation to which the committee may exercise functions.</w:t>
      </w:r>
    </w:p>
    <w:p>
      <w:pPr>
        <w:pStyle w:val="Subsection"/>
        <w:spacing w:before="120"/>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 xml:space="preserve">[Section 40 inserted by No. 43 of 1987 s. 13; amended by No. 30 of 1995 s. 47; No. 51 of 2004 s. 52 and 90.] </w:t>
      </w:r>
    </w:p>
    <w:p>
      <w:pPr>
        <w:pStyle w:val="Heading5"/>
        <w:rPr>
          <w:snapToGrid w:val="0"/>
        </w:rPr>
      </w:pPr>
      <w:bookmarkStart w:id="477" w:name="_Toc109702851"/>
      <w:bookmarkStart w:id="478" w:name="_Toc131409937"/>
      <w:r>
        <w:rPr>
          <w:rStyle w:val="CharSectno"/>
        </w:rPr>
        <w:t>41</w:t>
      </w:r>
      <w:r>
        <w:rPr>
          <w:snapToGrid w:val="0"/>
        </w:rPr>
        <w:t>.</w:t>
      </w:r>
      <w:r>
        <w:rPr>
          <w:snapToGrid w:val="0"/>
        </w:rPr>
        <w:tab/>
        <w:t>Procedures</w:t>
      </w:r>
      <w:bookmarkEnd w:id="477"/>
      <w:bookmarkEnd w:id="478"/>
      <w:r>
        <w:rPr>
          <w:snapToGrid w:val="0"/>
        </w:rPr>
        <w:t xml:space="preserve"> </w:t>
      </w:r>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repealed]</w:t>
      </w:r>
    </w:p>
    <w:p>
      <w:pPr>
        <w:pStyle w:val="Footnotesection"/>
      </w:pPr>
      <w:r>
        <w:tab/>
        <w:t xml:space="preserve">[Section 41 inserted by No. 43 of 1987 s. 13; amended by No. 30 of 1995 s. 47; No. 51 of 2004 s. 53.] </w:t>
      </w:r>
    </w:p>
    <w:p>
      <w:pPr>
        <w:pStyle w:val="Heading2"/>
      </w:pPr>
      <w:bookmarkStart w:id="479" w:name="_Toc88990676"/>
      <w:bookmarkStart w:id="480" w:name="_Toc89568238"/>
      <w:bookmarkStart w:id="481" w:name="_Toc93200941"/>
      <w:bookmarkStart w:id="482" w:name="_Toc97006612"/>
      <w:bookmarkStart w:id="483" w:name="_Toc100545198"/>
      <w:bookmarkStart w:id="484" w:name="_Toc100716677"/>
      <w:bookmarkStart w:id="485" w:name="_Toc102546266"/>
      <w:bookmarkStart w:id="486" w:name="_Toc103141489"/>
      <w:bookmarkStart w:id="487" w:name="_Toc105909101"/>
      <w:bookmarkStart w:id="488" w:name="_Toc105921987"/>
      <w:bookmarkStart w:id="489" w:name="_Toc106616825"/>
      <w:bookmarkStart w:id="490" w:name="_Toc108848569"/>
      <w:bookmarkStart w:id="491" w:name="_Toc109702852"/>
      <w:bookmarkStart w:id="492" w:name="_Toc113700409"/>
      <w:bookmarkStart w:id="493" w:name="_Toc113779067"/>
      <w:bookmarkStart w:id="494" w:name="_Toc122767448"/>
      <w:bookmarkStart w:id="495" w:name="_Toc122767691"/>
      <w:bookmarkStart w:id="496" w:name="_Toc131409938"/>
      <w:r>
        <w:rPr>
          <w:rStyle w:val="CharPartNo"/>
        </w:rPr>
        <w:t>Part V</w:t>
      </w:r>
      <w:r>
        <w:rPr>
          <w:rStyle w:val="CharDivNo"/>
        </w:rPr>
        <w:t> </w:t>
      </w:r>
      <w:r>
        <w:t>—</w:t>
      </w:r>
      <w:r>
        <w:rPr>
          <w:rStyle w:val="CharDivText"/>
        </w:rPr>
        <w:t> </w:t>
      </w:r>
      <w:r>
        <w:rPr>
          <w:rStyle w:val="CharPartText"/>
        </w:rPr>
        <w:t>Inspectors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Footnoteheading"/>
        <w:spacing w:before="80"/>
        <w:rPr>
          <w:snapToGrid w:val="0"/>
        </w:rPr>
      </w:pPr>
      <w:r>
        <w:rPr>
          <w:snapToGrid w:val="0"/>
        </w:rPr>
        <w:tab/>
        <w:t xml:space="preserve">[Heading inserted by No. 43 of 1987 s. 13.] </w:t>
      </w:r>
    </w:p>
    <w:p>
      <w:pPr>
        <w:pStyle w:val="Heading5"/>
        <w:spacing w:before="180"/>
      </w:pPr>
      <w:bookmarkStart w:id="497" w:name="_Toc109702853"/>
      <w:bookmarkStart w:id="498" w:name="_Toc131409939"/>
      <w:bookmarkStart w:id="499" w:name="_Toc402776423"/>
      <w:bookmarkStart w:id="500" w:name="_Toc403985286"/>
      <w:bookmarkStart w:id="501" w:name="_Toc59593060"/>
      <w:r>
        <w:rPr>
          <w:rStyle w:val="CharSectno"/>
        </w:rPr>
        <w:t>41A</w:t>
      </w:r>
      <w:r>
        <w:t>.</w:t>
      </w:r>
      <w:r>
        <w:tab/>
        <w:t>Extended meaning of “employer” and “employee”</w:t>
      </w:r>
      <w:bookmarkEnd w:id="497"/>
      <w:bookmarkEnd w:id="498"/>
    </w:p>
    <w:p>
      <w:pPr>
        <w:pStyle w:val="Subsection"/>
        <w:spacing w:before="120"/>
      </w:pPr>
      <w:r>
        <w:tab/>
      </w:r>
      <w:r>
        <w:tab/>
        <w:t xml:space="preserve">In this Part — </w:t>
      </w:r>
    </w:p>
    <w:p>
      <w:pPr>
        <w:pStyle w:val="Defstart"/>
        <w:rPr>
          <w:rFonts w:ascii="Times" w:hAnsi="Times"/>
          <w:spacing w:val="-2"/>
        </w:rPr>
      </w:pPr>
      <w:r>
        <w:rPr>
          <w:b/>
        </w:rPr>
        <w:tab/>
        <w:t>“</w:t>
      </w:r>
      <w:r>
        <w:rPr>
          <w:rStyle w:val="CharDefText"/>
        </w:rPr>
        <w:t>employer</w:t>
      </w:r>
      <w:r>
        <w:rPr>
          <w:b/>
        </w:rPr>
        <w:t>”</w:t>
      </w:r>
      <w:r>
        <w:t xml:space="preserve"> and </w:t>
      </w:r>
      <w:r>
        <w:rPr>
          <w:b/>
        </w:rPr>
        <w:t>“</w:t>
      </w:r>
      <w:r>
        <w:rPr>
          <w:rStyle w:val="CharDefText"/>
        </w:rPr>
        <w:t>employee</w:t>
      </w:r>
      <w:r>
        <w:rPr>
          <w:b/>
        </w:rPr>
        <w:t>”</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pPr>
      <w:r>
        <w:tab/>
        <w:t>[Section 41A inserted by No. 51 of 2004 s. 9.]</w:t>
      </w:r>
    </w:p>
    <w:p>
      <w:pPr>
        <w:pStyle w:val="Heading5"/>
        <w:spacing w:before="180"/>
      </w:pPr>
      <w:bookmarkStart w:id="502" w:name="_Toc109702854"/>
      <w:bookmarkStart w:id="503" w:name="_Toc131409940"/>
      <w:bookmarkStart w:id="504" w:name="_Toc402776424"/>
      <w:bookmarkStart w:id="505" w:name="_Toc403985287"/>
      <w:bookmarkStart w:id="506" w:name="_Toc59593061"/>
      <w:bookmarkEnd w:id="499"/>
      <w:bookmarkEnd w:id="500"/>
      <w:bookmarkEnd w:id="501"/>
      <w:r>
        <w:rPr>
          <w:rStyle w:val="CharSectno"/>
        </w:rPr>
        <w:t>42</w:t>
      </w:r>
      <w:r>
        <w:t>.</w:t>
      </w:r>
      <w:r>
        <w:tab/>
        <w:t>Appointment of inspectors</w:t>
      </w:r>
      <w:bookmarkEnd w:id="502"/>
      <w:bookmarkEnd w:id="503"/>
    </w:p>
    <w:p>
      <w:pPr>
        <w:pStyle w:val="Subsection"/>
        <w:spacing w:before="120"/>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pPr>
      <w:r>
        <w:tab/>
        <w:t>[Section 42 inserted by No. 51 of 2004 s. 58.]</w:t>
      </w:r>
    </w:p>
    <w:p>
      <w:pPr>
        <w:pStyle w:val="Heading5"/>
        <w:spacing w:before="180"/>
      </w:pPr>
      <w:bookmarkStart w:id="507" w:name="_Toc109702855"/>
      <w:bookmarkStart w:id="508" w:name="_Toc131409941"/>
      <w:r>
        <w:rPr>
          <w:rStyle w:val="CharSectno"/>
        </w:rPr>
        <w:t>42A</w:t>
      </w:r>
      <w:r>
        <w:t>.</w:t>
      </w:r>
      <w:r>
        <w:tab/>
        <w:t>Appointment of restricted inspectors</w:t>
      </w:r>
      <w:bookmarkEnd w:id="507"/>
      <w:bookmarkEnd w:id="508"/>
    </w:p>
    <w:p>
      <w:pPr>
        <w:pStyle w:val="Subsection"/>
        <w:spacing w:before="120"/>
      </w:pPr>
      <w:r>
        <w:tab/>
        <w:t>(1)</w:t>
      </w:r>
      <w:r>
        <w:tab/>
        <w:t xml:space="preserve">The Commissioner may, by instrument in writing, appoint any person employed in the Public Service under Part 3 of the </w:t>
      </w:r>
      <w:r>
        <w:rPr>
          <w:i/>
        </w:rPr>
        <w:t xml:space="preserve">Public Sector Management Act 1994 </w:t>
      </w:r>
      <w:r>
        <w:t xml:space="preserve">to be a restricted inspector for — </w:t>
      </w:r>
    </w:p>
    <w:p>
      <w:pPr>
        <w:pStyle w:val="Indenta"/>
      </w:pPr>
      <w:r>
        <w:tab/>
        <w:t>(a)</w:t>
      </w:r>
      <w:r>
        <w:tab/>
        <w:t>the State; or</w:t>
      </w:r>
    </w:p>
    <w:p>
      <w:pPr>
        <w:pStyle w:val="Indenta"/>
      </w:pPr>
      <w:r>
        <w:tab/>
        <w:t>(b)</w:t>
      </w:r>
      <w:r>
        <w:tab/>
        <w:t>any specified area of the State,</w:t>
      </w:r>
    </w:p>
    <w:p>
      <w:pPr>
        <w:pStyle w:val="Subsection"/>
        <w:spacing w:before="120"/>
      </w:pPr>
      <w:r>
        <w:tab/>
      </w:r>
      <w:r>
        <w:tab/>
        <w:t>during the period specified in the instrument.</w:t>
      </w:r>
    </w:p>
    <w:p>
      <w:pPr>
        <w:pStyle w:val="Subsection"/>
        <w:spacing w:before="120"/>
      </w:pPr>
      <w:r>
        <w:tab/>
        <w:t>(2)</w:t>
      </w:r>
      <w:r>
        <w:tab/>
        <w:t xml:space="preserve">A person ceases to be a restricted inspector —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spacing w:before="120"/>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pPr>
      <w:bookmarkStart w:id="509" w:name="_Toc109702856"/>
      <w:bookmarkStart w:id="510" w:name="_Toc131409942"/>
      <w:r>
        <w:rPr>
          <w:rStyle w:val="CharSectno"/>
        </w:rPr>
        <w:t>42B</w:t>
      </w:r>
      <w:r>
        <w:t>.</w:t>
      </w:r>
      <w:r>
        <w:tab/>
        <w:t>Powers of restricted inspector</w:t>
      </w:r>
      <w:bookmarkEnd w:id="509"/>
      <w:bookmarkEnd w:id="510"/>
    </w:p>
    <w:p>
      <w:pPr>
        <w:pStyle w:val="Subsection"/>
        <w:spacing w:before="120"/>
      </w:pPr>
      <w:r>
        <w:tab/>
        <w:t>(1)</w:t>
      </w:r>
      <w:r>
        <w:tab/>
        <w:t xml:space="preserve">A restricted inspector has, in respect of — </w:t>
      </w:r>
    </w:p>
    <w:p>
      <w:pPr>
        <w:pStyle w:val="Indenta"/>
      </w:pPr>
      <w:r>
        <w:tab/>
        <w:t>(a)</w:t>
      </w:r>
      <w:r>
        <w:tab/>
        <w:t xml:space="preserve">the State; or </w:t>
      </w:r>
    </w:p>
    <w:p>
      <w:pPr>
        <w:pStyle w:val="Indenta"/>
      </w:pPr>
      <w:r>
        <w:tab/>
        <w:t>(b)</w:t>
      </w:r>
      <w:r>
        <w:tab/>
        <w:t xml:space="preserve">the area of the State for which the restricted inspector is appointed, </w:t>
      </w:r>
    </w:p>
    <w:p>
      <w:pPr>
        <w:pStyle w:val="Subsection"/>
        <w:spacing w:before="120"/>
      </w:pPr>
      <w:r>
        <w:tab/>
      </w:r>
      <w:r>
        <w:tab/>
        <w:t>such of the functions of an inspector under this Act as are specified in the instrument of appointment.</w:t>
      </w:r>
    </w:p>
    <w:p>
      <w:pPr>
        <w:pStyle w:val="Subsection"/>
        <w:spacing w:before="120"/>
      </w:pPr>
      <w:r>
        <w:tab/>
        <w:t>(2)</w:t>
      </w:r>
      <w:r>
        <w:tab/>
        <w:t>The performance of a function by a restricted inspector may be made subject to any condition or limitation.</w:t>
      </w:r>
    </w:p>
    <w:p>
      <w:pPr>
        <w:pStyle w:val="Subsection"/>
        <w:spacing w:before="120"/>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pPr>
      <w:bookmarkStart w:id="511" w:name="_Toc109702857"/>
      <w:bookmarkStart w:id="512" w:name="_Toc131409943"/>
      <w:r>
        <w:rPr>
          <w:rStyle w:val="CharSectno"/>
        </w:rPr>
        <w:t>42C</w:t>
      </w:r>
      <w:r>
        <w:t>.</w:t>
      </w:r>
      <w:r>
        <w:tab/>
        <w:t>Certificate of appointment</w:t>
      </w:r>
      <w:bookmarkEnd w:id="511"/>
      <w:bookmarkEnd w:id="512"/>
    </w:p>
    <w:p>
      <w:pPr>
        <w:pStyle w:val="Subsection"/>
        <w:spacing w:before="120"/>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spacing w:before="120"/>
        <w:rPr>
          <w:snapToGrid w:val="0"/>
        </w:rPr>
      </w:pPr>
      <w:r>
        <w:rPr>
          <w:snapToGrid w:val="0"/>
        </w:rPr>
        <w:tab/>
        <w:t>(2)</w:t>
      </w:r>
      <w:r>
        <w:rPr>
          <w:snapToGrid w:val="0"/>
        </w:rPr>
        <w:tab/>
        <w:t xml:space="preserve">An inspector or a restricted inspector must produce the certificate to a person if —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spacing w:before="120"/>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513" w:name="_Toc109702858"/>
      <w:bookmarkStart w:id="514" w:name="_Toc131409944"/>
      <w:r>
        <w:rPr>
          <w:rStyle w:val="CharSectno"/>
        </w:rPr>
        <w:t>43</w:t>
      </w:r>
      <w:r>
        <w:rPr>
          <w:snapToGrid w:val="0"/>
        </w:rPr>
        <w:t>.</w:t>
      </w:r>
      <w:r>
        <w:rPr>
          <w:snapToGrid w:val="0"/>
        </w:rPr>
        <w:tab/>
        <w:t>Powers</w:t>
      </w:r>
      <w:bookmarkEnd w:id="504"/>
      <w:bookmarkEnd w:id="505"/>
      <w:bookmarkEnd w:id="506"/>
      <w:bookmarkEnd w:id="513"/>
      <w:bookmarkEnd w:id="514"/>
      <w:r>
        <w:rPr>
          <w:snapToGrid w:val="0"/>
        </w:rPr>
        <w:t xml:space="preserve"> </w:t>
      </w:r>
    </w:p>
    <w:p>
      <w:pPr>
        <w:pStyle w:val="Subsection"/>
        <w:rPr>
          <w:snapToGrid w:val="0"/>
        </w:rPr>
      </w:pPr>
      <w:r>
        <w:rPr>
          <w:snapToGrid w:val="0"/>
        </w:rPr>
        <w:tab/>
        <w:t>(1)</w:t>
      </w:r>
      <w:r>
        <w:rPr>
          <w:snapToGrid w:val="0"/>
        </w:rPr>
        <w:tab/>
        <w:t>An inspector may, for the purposes of this Act —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 xml:space="preserve">in accordance with subsections (1b) and (1c), interview any person who the inspector has reasonable grounds to believe — </w:t>
      </w:r>
    </w:p>
    <w:p>
      <w:pPr>
        <w:pStyle w:val="Indenti"/>
      </w:pPr>
      <w:r>
        <w:tab/>
        <w:t>(i)</w:t>
      </w:r>
      <w:r>
        <w:tab/>
        <w:t xml:space="preserve">is, or was at any time during the preceding 3 years — </w:t>
      </w:r>
    </w:p>
    <w:p>
      <w:pPr>
        <w:pStyle w:val="IndentI0"/>
      </w:pPr>
      <w:r>
        <w:tab/>
        <w:t>(I)</w:t>
      </w:r>
      <w:r>
        <w:tab/>
        <w:t>an employee working at a workplace; or</w:t>
      </w:r>
    </w:p>
    <w:p>
      <w:pPr>
        <w:pStyle w:val="IndentI0"/>
      </w:pPr>
      <w:r>
        <w:tab/>
        <w:t>(II)</w:t>
      </w:r>
      <w:r>
        <w:tab/>
        <w:t>an employee occupying residential premises mentioned in section 39G(2),</w:t>
      </w:r>
    </w:p>
    <w:p>
      <w:pPr>
        <w:pStyle w:val="Indenti"/>
      </w:pPr>
      <w:r>
        <w:tab/>
      </w:r>
      <w:r>
        <w:tab/>
        <w:t>in relation to which the inspector is inquiring;</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 xml:space="preserve">In subsection (1) — </w:t>
      </w:r>
    </w:p>
    <w:p>
      <w:pPr>
        <w:pStyle w:val="Defstart"/>
      </w:pPr>
      <w:r>
        <w:rPr>
          <w:b/>
        </w:rPr>
        <w:tab/>
        <w:t>“</w:t>
      </w:r>
      <w:r>
        <w:rPr>
          <w:rStyle w:val="CharDefText"/>
        </w:rPr>
        <w:t>workplace</w:t>
      </w:r>
      <w:r>
        <w:rPr>
          <w:b/>
        </w:rPr>
        <w:t>”</w:t>
      </w:r>
      <w:r>
        <w:t xml:space="preserve"> includes residential premises that an employer is or was under a duty to maintain by virtue of section 23G(2).</w:t>
      </w:r>
    </w:p>
    <w:p>
      <w:pPr>
        <w:pStyle w:val="Subsection"/>
      </w:pPr>
      <w:r>
        <w:tab/>
        <w:t>(1b)</w:t>
      </w:r>
      <w:r>
        <w:tab/>
        <w:t xml:space="preserve">An interview referred to in subsection (1)(k)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 xml:space="preserve">Subsection (1b)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 xml:space="preserve">[Section 43 inserted by No. 43 of 1987 s. 13; amended by No. 30 of 1995 s. 32; No. 54 of 2002 s. 7; No. 51 of 2004 s. 10, 59, 91, 102.] </w:t>
      </w:r>
    </w:p>
    <w:p>
      <w:pPr>
        <w:pStyle w:val="Heading5"/>
        <w:rPr>
          <w:snapToGrid w:val="0"/>
        </w:rPr>
      </w:pPr>
      <w:bookmarkStart w:id="515" w:name="_Toc402776425"/>
      <w:bookmarkStart w:id="516" w:name="_Toc403985288"/>
      <w:bookmarkStart w:id="517" w:name="_Toc59593062"/>
      <w:bookmarkStart w:id="518" w:name="_Toc109702859"/>
      <w:bookmarkStart w:id="519" w:name="_Toc131409945"/>
      <w:r>
        <w:rPr>
          <w:rStyle w:val="CharSectno"/>
        </w:rPr>
        <w:t>44</w:t>
      </w:r>
      <w:r>
        <w:rPr>
          <w:snapToGrid w:val="0"/>
        </w:rPr>
        <w:t>.</w:t>
      </w:r>
      <w:r>
        <w:rPr>
          <w:snapToGrid w:val="0"/>
        </w:rPr>
        <w:tab/>
        <w:t>Interpreters</w:t>
      </w:r>
      <w:bookmarkEnd w:id="515"/>
      <w:bookmarkEnd w:id="516"/>
      <w:bookmarkEnd w:id="517"/>
      <w:bookmarkEnd w:id="518"/>
      <w:bookmarkEnd w:id="519"/>
      <w:r>
        <w:rPr>
          <w:snapToGrid w:val="0"/>
        </w:rPr>
        <w:t xml:space="preserve"> </w:t>
      </w:r>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 xml:space="preserve">[Section 44 inserted by No. 43 of 1987 s. 13; amended by No. 51 of 2004 s. 102(1) and (2).] </w:t>
      </w:r>
    </w:p>
    <w:p>
      <w:pPr>
        <w:pStyle w:val="Heading5"/>
        <w:rPr>
          <w:snapToGrid w:val="0"/>
        </w:rPr>
      </w:pPr>
      <w:bookmarkStart w:id="520" w:name="_Toc402776426"/>
      <w:bookmarkStart w:id="521" w:name="_Toc403985289"/>
      <w:bookmarkStart w:id="522" w:name="_Toc59593063"/>
      <w:bookmarkStart w:id="523" w:name="_Toc109702860"/>
      <w:bookmarkStart w:id="524" w:name="_Toc131409946"/>
      <w:r>
        <w:rPr>
          <w:rStyle w:val="CharSectno"/>
        </w:rPr>
        <w:t>45</w:t>
      </w:r>
      <w:r>
        <w:rPr>
          <w:snapToGrid w:val="0"/>
        </w:rPr>
        <w:t>.</w:t>
      </w:r>
      <w:r>
        <w:rPr>
          <w:snapToGrid w:val="0"/>
        </w:rPr>
        <w:tab/>
        <w:t>Notification by inspector</w:t>
      </w:r>
      <w:bookmarkEnd w:id="520"/>
      <w:bookmarkEnd w:id="521"/>
      <w:bookmarkEnd w:id="522"/>
      <w:bookmarkEnd w:id="523"/>
      <w:bookmarkEnd w:id="524"/>
      <w:r>
        <w:rPr>
          <w:snapToGrid w:val="0"/>
        </w:rPr>
        <w:t xml:space="preserve"> </w:t>
      </w:r>
    </w:p>
    <w:p>
      <w:pPr>
        <w:pStyle w:val="Subsection"/>
        <w:keepNext/>
      </w:pPr>
      <w:r>
        <w:tab/>
        <w:t>(1)</w:t>
      </w:r>
      <w:r>
        <w:tab/>
        <w:t xml:space="preserve">In this section — </w:t>
      </w:r>
    </w:p>
    <w:p>
      <w:pPr>
        <w:pStyle w:val="Defstart"/>
      </w:pPr>
      <w:r>
        <w:rPr>
          <w:b/>
        </w:rPr>
        <w:tab/>
        <w:t>“</w:t>
      </w:r>
      <w:r>
        <w:rPr>
          <w:rStyle w:val="CharDefText"/>
        </w:rPr>
        <w:t>relevant</w:t>
      </w:r>
      <w:r>
        <w:rPr>
          <w:b/>
        </w:rPr>
        <w:t>”</w:t>
      </w:r>
      <w:r>
        <w:t xml:space="preserve"> — </w:t>
      </w:r>
    </w:p>
    <w:p>
      <w:pPr>
        <w:pStyle w:val="Defpara"/>
      </w:pPr>
      <w:r>
        <w:tab/>
        <w:t>(a)</w:t>
      </w:r>
      <w:r>
        <w:tab/>
        <w:t xml:space="preserve">in relation to an employer, means an employer whose employees — </w:t>
      </w:r>
    </w:p>
    <w:p>
      <w:pPr>
        <w:pStyle w:val="Defsubpara"/>
      </w:pPr>
      <w:r>
        <w:tab/>
        <w:t>(i)</w:t>
      </w:r>
      <w:r>
        <w:tab/>
        <w:t xml:space="preserve">carry out, in a workplace, work of a kind; or </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 xml:space="preserve">in relation to — </w:t>
      </w:r>
    </w:p>
    <w:p>
      <w:pPr>
        <w:pStyle w:val="Defsubpara"/>
      </w:pPr>
      <w:r>
        <w:tab/>
        <w:t>(i)</w:t>
      </w:r>
      <w:r>
        <w:tab/>
        <w:t xml:space="preserve">a safety and health representative; or </w:t>
      </w:r>
    </w:p>
    <w:p>
      <w:pPr>
        <w:pStyle w:val="Defsubpara"/>
      </w:pPr>
      <w:r>
        <w:tab/>
        <w:t>(ii)</w:t>
      </w:r>
      <w:r>
        <w:tab/>
        <w:t xml:space="preserve">a safety and health committee, </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 xml:space="preserve">[Section 45 inserted by No. 43 of 1987 s. 13; amended by No. 30 of 1995 s. 47; No. 51 of 2004 s. 60, 92 and 102(1).] </w:t>
      </w:r>
    </w:p>
    <w:p>
      <w:pPr>
        <w:pStyle w:val="Heading5"/>
        <w:rPr>
          <w:snapToGrid w:val="0"/>
        </w:rPr>
      </w:pPr>
      <w:bookmarkStart w:id="525" w:name="_Toc402776427"/>
      <w:bookmarkStart w:id="526" w:name="_Toc403985290"/>
      <w:bookmarkStart w:id="527" w:name="_Toc59593064"/>
      <w:bookmarkStart w:id="528" w:name="_Toc109702861"/>
      <w:bookmarkStart w:id="529" w:name="_Toc131409947"/>
      <w:r>
        <w:rPr>
          <w:rStyle w:val="CharSectno"/>
        </w:rPr>
        <w:t>46</w:t>
      </w:r>
      <w:r>
        <w:rPr>
          <w:snapToGrid w:val="0"/>
        </w:rPr>
        <w:t>.</w:t>
      </w:r>
      <w:r>
        <w:rPr>
          <w:snapToGrid w:val="0"/>
        </w:rPr>
        <w:tab/>
        <w:t>Samples</w:t>
      </w:r>
      <w:bookmarkEnd w:id="525"/>
      <w:bookmarkEnd w:id="526"/>
      <w:bookmarkEnd w:id="527"/>
      <w:bookmarkEnd w:id="528"/>
      <w:bookmarkEnd w:id="529"/>
      <w:r>
        <w:rPr>
          <w:snapToGrid w:val="0"/>
        </w:rPr>
        <w:t xml:space="preserve"> </w:t>
      </w:r>
    </w:p>
    <w:p>
      <w:pPr>
        <w:pStyle w:val="Subsection"/>
        <w:spacing w:before="120"/>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spacing w:before="120"/>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spacing w:before="120"/>
        <w:rPr>
          <w:snapToGrid w:val="0"/>
        </w:rPr>
      </w:pPr>
      <w:r>
        <w:rPr>
          <w:snapToGrid w:val="0"/>
        </w:rPr>
        <w:tab/>
        <w:t>(3)</w:t>
      </w:r>
      <w:r>
        <w:rPr>
          <w:snapToGrid w:val="0"/>
        </w:rPr>
        <w:tab/>
        <w:t>Subsection (2) does not apply in respect of the results of the analysis of a personal biological sample provided by an employee unless —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pPr>
      <w:r>
        <w:tab/>
        <w:t xml:space="preserve">[Section 46 inserted by No. 43 of 1987 s. 13; amended by No. 30 of 1995 s. 33 and 47; No. 51 of 2004 s. 102(1).] </w:t>
      </w:r>
    </w:p>
    <w:p>
      <w:pPr>
        <w:pStyle w:val="Heading5"/>
        <w:rPr>
          <w:snapToGrid w:val="0"/>
        </w:rPr>
      </w:pPr>
      <w:bookmarkStart w:id="530" w:name="_Toc402776428"/>
      <w:bookmarkStart w:id="531" w:name="_Toc403985291"/>
      <w:bookmarkStart w:id="532" w:name="_Toc59593065"/>
      <w:bookmarkStart w:id="533" w:name="_Toc109702862"/>
      <w:bookmarkStart w:id="534" w:name="_Toc131409948"/>
      <w:r>
        <w:rPr>
          <w:rStyle w:val="CharSectno"/>
        </w:rPr>
        <w:t>47</w:t>
      </w:r>
      <w:r>
        <w:rPr>
          <w:snapToGrid w:val="0"/>
        </w:rPr>
        <w:t>.</w:t>
      </w:r>
      <w:r>
        <w:rPr>
          <w:snapToGrid w:val="0"/>
        </w:rPr>
        <w:tab/>
        <w:t>Offences</w:t>
      </w:r>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r>
      <w:r>
        <w:t>If a person</w:t>
      </w:r>
      <w:r>
        <w:rPr>
          <w:snapToGrid w:val="0"/>
        </w:rPr>
        <w:t> — </w:t>
      </w:r>
    </w:p>
    <w:p>
      <w:pPr>
        <w:pStyle w:val="Indenta"/>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rPr>
          <w:snapToGrid w:val="0"/>
        </w:rPr>
      </w:pPr>
      <w:r>
        <w:rPr>
          <w:snapToGrid w:val="0"/>
        </w:rPr>
        <w:tab/>
        <w:t>(c)</w:t>
      </w:r>
      <w:r>
        <w:rPr>
          <w:snapToGrid w:val="0"/>
        </w:rPr>
        <w:tab/>
        <w:t>contravenes any requirement of an inspector made under this Act;</w:t>
      </w:r>
    </w:p>
    <w:p>
      <w:pPr>
        <w:pStyle w:val="Indenta"/>
        <w:rPr>
          <w:snapToGrid w:val="0"/>
        </w:rPr>
      </w:pPr>
      <w:r>
        <w:rPr>
          <w:snapToGrid w:val="0"/>
        </w:rPr>
        <w:tab/>
        <w:t>(d)</w:t>
      </w:r>
      <w:r>
        <w:rPr>
          <w:snapToGrid w:val="0"/>
        </w:rPr>
        <w:tab/>
        <w:t>provides to an inspector an answer or information that is false or misleading in any material particular;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r>
      <w:r>
        <w:t>the person</w:t>
      </w:r>
      <w:r>
        <w:rPr>
          <w:snapToGrid w:val="0"/>
        </w:rPr>
        <w:t xml:space="preserve"> commits an offence.</w:t>
      </w:r>
    </w:p>
    <w:p>
      <w:pPr>
        <w:pStyle w:val="Subsection"/>
      </w:pPr>
      <w:r>
        <w:tab/>
        <w:t>(2)</w:t>
      </w:r>
      <w:r>
        <w:tab/>
        <w:t xml:space="preserve">A person is not excused from complying with a requirement under this Act to — </w:t>
      </w:r>
    </w:p>
    <w:p>
      <w:pPr>
        <w:pStyle w:val="Indenta"/>
      </w:pPr>
      <w:r>
        <w:tab/>
        <w:t>(a)</w:t>
      </w:r>
      <w:r>
        <w:tab/>
        <w:t xml:space="preserve">answer a question; </w:t>
      </w:r>
    </w:p>
    <w:p>
      <w:pPr>
        <w:pStyle w:val="Indenta"/>
      </w:pPr>
      <w:r>
        <w:tab/>
        <w:t>(b)</w:t>
      </w:r>
      <w:r>
        <w:tab/>
        <w:t>provide information; or</w:t>
      </w:r>
    </w:p>
    <w:p>
      <w:pPr>
        <w:pStyle w:val="Indenta"/>
      </w:pPr>
      <w:r>
        <w:tab/>
        <w:t>(c)</w:t>
      </w:r>
      <w:r>
        <w:tab/>
        <w:t>produce a document,</w:t>
      </w:r>
    </w:p>
    <w:p>
      <w:pPr>
        <w:pStyle w:val="Subsection"/>
      </w:pPr>
      <w:r>
        <w:tab/>
      </w:r>
      <w:r>
        <w:tab/>
        <w:t>on the ground that to do so might tend to incriminate the person or make the person liable to a penalty.</w:t>
      </w:r>
    </w:p>
    <w:p>
      <w:pPr>
        <w:pStyle w:val="Subsection"/>
      </w:pPr>
      <w:r>
        <w:tab/>
        <w:t>(3)</w:t>
      </w:r>
      <w:r>
        <w:tab/>
        <w:t xml:space="preserve">However —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 xml:space="preserve">Subsection (3) does not apply — </w:t>
      </w:r>
    </w:p>
    <w:p>
      <w:pPr>
        <w:pStyle w:val="Indenta"/>
      </w:pPr>
      <w:r>
        <w:tab/>
        <w:t>(a)</w:t>
      </w:r>
      <w:r>
        <w:tab/>
        <w:t xml:space="preserve">to —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 xml:space="preserve">to —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 xml:space="preserve">[Section 47 inserted by No. 43 of 1987 s. 13; amended by No. 30 of 1995 s. 34; No. 51 of 2004 s. 61, 93 and 102(2).] </w:t>
      </w:r>
    </w:p>
    <w:p>
      <w:pPr>
        <w:pStyle w:val="Heading2"/>
      </w:pPr>
      <w:bookmarkStart w:id="535" w:name="_Toc88990683"/>
      <w:bookmarkStart w:id="536" w:name="_Toc89568245"/>
      <w:bookmarkStart w:id="537" w:name="_Toc93200952"/>
      <w:bookmarkStart w:id="538" w:name="_Toc97006623"/>
      <w:bookmarkStart w:id="539" w:name="_Toc100545209"/>
      <w:bookmarkStart w:id="540" w:name="_Toc100716688"/>
      <w:bookmarkStart w:id="541" w:name="_Toc102546277"/>
      <w:bookmarkStart w:id="542" w:name="_Toc103141500"/>
      <w:bookmarkStart w:id="543" w:name="_Toc105909112"/>
      <w:bookmarkStart w:id="544" w:name="_Toc105921998"/>
      <w:bookmarkStart w:id="545" w:name="_Toc106616836"/>
      <w:bookmarkStart w:id="546" w:name="_Toc108848580"/>
      <w:bookmarkStart w:id="547" w:name="_Toc109702863"/>
      <w:bookmarkStart w:id="548" w:name="_Toc113700420"/>
      <w:bookmarkStart w:id="549" w:name="_Toc113779078"/>
      <w:bookmarkStart w:id="550" w:name="_Toc122767459"/>
      <w:bookmarkStart w:id="551" w:name="_Toc122767702"/>
      <w:bookmarkStart w:id="552" w:name="_Toc131409949"/>
      <w:r>
        <w:rPr>
          <w:rStyle w:val="CharPartNo"/>
        </w:rPr>
        <w:t>Part VI</w:t>
      </w:r>
      <w:r>
        <w:t> — </w:t>
      </w:r>
      <w:r>
        <w:rPr>
          <w:rStyle w:val="CharPartText"/>
        </w:rPr>
        <w:t>Improvement and prohibition notices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553" w:name="_Toc100545210"/>
      <w:bookmarkStart w:id="554" w:name="_Toc100716689"/>
      <w:bookmarkStart w:id="555" w:name="_Toc102546278"/>
      <w:bookmarkStart w:id="556" w:name="_Toc103141501"/>
      <w:bookmarkStart w:id="557" w:name="_Toc105909113"/>
      <w:bookmarkStart w:id="558" w:name="_Toc105921999"/>
      <w:bookmarkStart w:id="559" w:name="_Toc106616837"/>
      <w:bookmarkStart w:id="560" w:name="_Toc108848581"/>
      <w:bookmarkStart w:id="561" w:name="_Toc109702864"/>
      <w:bookmarkStart w:id="562" w:name="_Toc113700421"/>
      <w:bookmarkStart w:id="563" w:name="_Toc113779079"/>
      <w:bookmarkStart w:id="564" w:name="_Toc122767460"/>
      <w:bookmarkStart w:id="565" w:name="_Toc122767703"/>
      <w:bookmarkStart w:id="566" w:name="_Toc131409950"/>
      <w:bookmarkStart w:id="567" w:name="_Toc402776429"/>
      <w:bookmarkStart w:id="568" w:name="_Toc403985292"/>
      <w:bookmarkStart w:id="569" w:name="_Toc59593066"/>
      <w:r>
        <w:rPr>
          <w:rStyle w:val="CharDivNo"/>
        </w:rPr>
        <w:t>Division 1</w:t>
      </w:r>
      <w:r>
        <w:t> — </w:t>
      </w:r>
      <w:r>
        <w:rPr>
          <w:rStyle w:val="CharDivText"/>
        </w:rPr>
        <w:t>Issue of notices by inspector</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Footnoteheading"/>
        <w:rPr>
          <w:snapToGrid w:val="0"/>
        </w:rPr>
      </w:pPr>
      <w:r>
        <w:rPr>
          <w:snapToGrid w:val="0"/>
        </w:rPr>
        <w:tab/>
        <w:t xml:space="preserve">[Heading inserted by No. 51 of 2004 s. 54.] </w:t>
      </w:r>
    </w:p>
    <w:p>
      <w:pPr>
        <w:pStyle w:val="Heading5"/>
      </w:pPr>
      <w:bookmarkStart w:id="570" w:name="_Toc109702865"/>
      <w:bookmarkStart w:id="571" w:name="_Toc131409951"/>
      <w:r>
        <w:rPr>
          <w:rStyle w:val="CharSectno"/>
        </w:rPr>
        <w:t>47A</w:t>
      </w:r>
      <w:r>
        <w:t>.</w:t>
      </w:r>
      <w:r>
        <w:tab/>
        <w:t>Extended meaning of “employer” and “employee”</w:t>
      </w:r>
      <w:bookmarkEnd w:id="570"/>
      <w:bookmarkEnd w:id="571"/>
    </w:p>
    <w:p>
      <w:pPr>
        <w:pStyle w:val="Subsection"/>
      </w:pPr>
      <w:r>
        <w:tab/>
      </w:r>
      <w:r>
        <w:tab/>
        <w:t xml:space="preserve">In this Part — </w:t>
      </w:r>
    </w:p>
    <w:p>
      <w:pPr>
        <w:pStyle w:val="Defstart"/>
      </w:pPr>
      <w:r>
        <w:rPr>
          <w:b/>
        </w:rPr>
        <w:tab/>
        <w:t>“</w:t>
      </w:r>
      <w:r>
        <w:rPr>
          <w:rStyle w:val="CharDefText"/>
        </w:rPr>
        <w:t>employer</w:t>
      </w:r>
      <w:r>
        <w:rPr>
          <w:b/>
        </w:rPr>
        <w:t>”</w:t>
      </w:r>
      <w:r>
        <w:t xml:space="preserve"> and </w:t>
      </w:r>
      <w:r>
        <w:rPr>
          <w:b/>
        </w:rPr>
        <w:t>“</w:t>
      </w:r>
      <w:r>
        <w:rPr>
          <w:rStyle w:val="CharDefText"/>
        </w:rPr>
        <w:t>employee</w:t>
      </w:r>
      <w:r>
        <w:rPr>
          <w:b/>
        </w:rPr>
        <w:t>”</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572" w:name="_Toc109702866"/>
      <w:bookmarkStart w:id="573" w:name="_Toc131409952"/>
      <w:r>
        <w:rPr>
          <w:rStyle w:val="CharSectno"/>
        </w:rPr>
        <w:t>48</w:t>
      </w:r>
      <w:r>
        <w:rPr>
          <w:snapToGrid w:val="0"/>
        </w:rPr>
        <w:t>.</w:t>
      </w:r>
      <w:r>
        <w:rPr>
          <w:snapToGrid w:val="0"/>
        </w:rPr>
        <w:tab/>
        <w:t>Inspectors may issue improvement notices</w:t>
      </w:r>
      <w:bookmarkEnd w:id="567"/>
      <w:bookmarkEnd w:id="568"/>
      <w:bookmarkEnd w:id="569"/>
      <w:bookmarkEnd w:id="572"/>
      <w:bookmarkEnd w:id="573"/>
      <w:r>
        <w:rPr>
          <w:snapToGrid w:val="0"/>
        </w:rPr>
        <w:t xml:space="preserve"> </w:t>
      </w:r>
    </w:p>
    <w:p>
      <w:pPr>
        <w:pStyle w:val="Subsection"/>
        <w:rPr>
          <w:snapToGrid w:val="0"/>
        </w:rPr>
      </w:pPr>
      <w:r>
        <w:rPr>
          <w:snapToGrid w:val="0"/>
        </w:rPr>
        <w:tab/>
        <w:t>(1)</w:t>
      </w:r>
      <w:r>
        <w:rPr>
          <w:snapToGrid w:val="0"/>
        </w:rPr>
        <w:tab/>
        <w:t>Where an inspector is of the opinion that any person —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 </w:t>
      </w:r>
    </w:p>
    <w:p>
      <w:pPr>
        <w:pStyle w:val="Indenta"/>
        <w:spacing w:before="100"/>
        <w:rPr>
          <w:snapToGrid w:val="0"/>
        </w:rPr>
      </w:pPr>
      <w:r>
        <w:rPr>
          <w:snapToGrid w:val="0"/>
        </w:rPr>
        <w:tab/>
        <w:t>(a)</w:t>
      </w:r>
      <w:r>
        <w:rPr>
          <w:snapToGrid w:val="0"/>
        </w:rPr>
        <w:tab/>
        <w:t>state that the inspector is of the opinion that the person — </w:t>
      </w:r>
    </w:p>
    <w:p>
      <w:pPr>
        <w:pStyle w:val="Indenti"/>
        <w:spacing w:before="100"/>
        <w:rPr>
          <w:snapToGrid w:val="0"/>
        </w:rPr>
      </w:pPr>
      <w:r>
        <w:rPr>
          <w:snapToGrid w:val="0"/>
        </w:rPr>
        <w:tab/>
        <w:t>(i)</w:t>
      </w:r>
      <w:r>
        <w:rPr>
          <w:snapToGrid w:val="0"/>
        </w:rPr>
        <w:tab/>
        <w:t>is contravening a provision of this Act; or</w:t>
      </w:r>
    </w:p>
    <w:p>
      <w:pPr>
        <w:pStyle w:val="Indenti"/>
        <w:spacing w:before="100"/>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provision of this Act in respect of which that opinion is held;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 xml:space="preserve">If an improvement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 xml:space="preserve">Subject to sections 51 and 51A, 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 xml:space="preserve">[Section 48 inserted by No. 43 of 1987 s. 13; amended by No. 30 of 1995 s. 35; No. 51 of 2004 s. 94 and 107.] </w:t>
      </w:r>
    </w:p>
    <w:p>
      <w:pPr>
        <w:pStyle w:val="Heading5"/>
        <w:rPr>
          <w:snapToGrid w:val="0"/>
        </w:rPr>
      </w:pPr>
      <w:bookmarkStart w:id="574" w:name="_Toc402776430"/>
      <w:bookmarkStart w:id="575" w:name="_Toc403985293"/>
      <w:bookmarkStart w:id="576" w:name="_Toc59593067"/>
      <w:bookmarkStart w:id="577" w:name="_Toc109702867"/>
      <w:bookmarkStart w:id="578" w:name="_Toc131409953"/>
      <w:r>
        <w:rPr>
          <w:rStyle w:val="CharSectno"/>
        </w:rPr>
        <w:t>49</w:t>
      </w:r>
      <w:r>
        <w:rPr>
          <w:snapToGrid w:val="0"/>
        </w:rPr>
        <w:t>.</w:t>
      </w:r>
      <w:r>
        <w:rPr>
          <w:snapToGrid w:val="0"/>
        </w:rPr>
        <w:tab/>
        <w:t>Inspectors may issue prohibition notices</w:t>
      </w:r>
      <w:bookmarkEnd w:id="574"/>
      <w:bookmarkEnd w:id="575"/>
      <w:bookmarkEnd w:id="576"/>
      <w:bookmarkEnd w:id="577"/>
      <w:bookmarkEnd w:id="578"/>
      <w:r>
        <w:rPr>
          <w:snapToGrid w:val="0"/>
        </w:rPr>
        <w:t xml:space="preserve"> </w:t>
      </w:r>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 xml:space="preserve">If a prohibition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pPr>
      <w:r>
        <w:tab/>
        <w:t>(7)</w:t>
      </w:r>
      <w:r>
        <w:tab/>
        <w:t xml:space="preserve">The application of this section extends to residential premises that are being or may be occupied by an employee as mentioned in section 23G(2), and for that purpose — </w:t>
      </w:r>
    </w:p>
    <w:p>
      <w:pPr>
        <w:pStyle w:val="Indenta"/>
      </w:pPr>
      <w:r>
        <w:tab/>
        <w:t>(a)</w:t>
      </w:r>
      <w:r>
        <w:tab/>
        <w:t xml:space="preserve">in this section — </w:t>
      </w:r>
    </w:p>
    <w:p>
      <w:pPr>
        <w:pStyle w:val="Indenti"/>
      </w:pPr>
      <w:r>
        <w:tab/>
        <w:t>(i)</w:t>
      </w:r>
      <w:r>
        <w:tab/>
      </w:r>
      <w:r>
        <w:rPr>
          <w:b/>
        </w:rPr>
        <w:t>“</w:t>
      </w:r>
      <w:r>
        <w:rPr>
          <w:rStyle w:val="CharDefText"/>
        </w:rPr>
        <w:t>workplace</w:t>
      </w:r>
      <w:r>
        <w:rPr>
          <w:b/>
        </w:rPr>
        <w:t>”</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b/>
        </w:rPr>
        <w:t>“</w:t>
      </w:r>
      <w:r>
        <w:rPr>
          <w:rStyle w:val="CharDefText"/>
        </w:rPr>
        <w:t>activity</w:t>
      </w:r>
      <w:r>
        <w:rPr>
          <w:b/>
        </w:rPr>
        <w:t>”</w:t>
      </w:r>
      <w:r>
        <w:t xml:space="preserve"> includes the occupation of such premises.</w:t>
      </w:r>
    </w:p>
    <w:p>
      <w:pPr>
        <w:pStyle w:val="Footnotesection"/>
        <w:spacing w:before="140"/>
        <w:ind w:left="890" w:hanging="890"/>
      </w:pPr>
      <w:r>
        <w:tab/>
        <w:t xml:space="preserve">[Section 49 inserted by No. 43 of 1987 s. 13; amended by No. 30 of 1995 s. 36; No. 51 of 2004 s. 12, 95 and 108.] </w:t>
      </w:r>
    </w:p>
    <w:p>
      <w:pPr>
        <w:pStyle w:val="Heading5"/>
        <w:rPr>
          <w:snapToGrid w:val="0"/>
        </w:rPr>
      </w:pPr>
      <w:bookmarkStart w:id="579" w:name="_Toc402776431"/>
      <w:bookmarkStart w:id="580" w:name="_Toc403985294"/>
      <w:bookmarkStart w:id="581" w:name="_Toc59593068"/>
      <w:bookmarkStart w:id="582" w:name="_Toc109702868"/>
      <w:bookmarkStart w:id="583" w:name="_Toc131409954"/>
      <w:r>
        <w:rPr>
          <w:rStyle w:val="CharSectno"/>
        </w:rPr>
        <w:t>50</w:t>
      </w:r>
      <w:r>
        <w:rPr>
          <w:snapToGrid w:val="0"/>
        </w:rPr>
        <w:t>.</w:t>
      </w:r>
      <w:r>
        <w:rPr>
          <w:snapToGrid w:val="0"/>
        </w:rPr>
        <w:tab/>
        <w:t>Notices may include directions</w:t>
      </w:r>
      <w:bookmarkEnd w:id="579"/>
      <w:bookmarkEnd w:id="580"/>
      <w:bookmarkEnd w:id="581"/>
      <w:bookmarkEnd w:id="582"/>
      <w:bookmarkEnd w:id="583"/>
      <w:r>
        <w:rPr>
          <w:snapToGrid w:val="0"/>
        </w:rPr>
        <w:t xml:space="preserve"> </w:t>
      </w:r>
    </w:p>
    <w:p>
      <w:pPr>
        <w:pStyle w:val="Subsection"/>
        <w:spacing w:before="180"/>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spacing w:before="140"/>
        <w:rPr>
          <w:snapToGrid w:val="0"/>
        </w:rPr>
      </w:pPr>
      <w:r>
        <w:rPr>
          <w:snapToGrid w:val="0"/>
        </w:rPr>
        <w:tab/>
        <w:t>(2)</w:t>
      </w:r>
      <w:r>
        <w:rPr>
          <w:snapToGrid w:val="0"/>
        </w:rPr>
        <w:tab/>
        <w:t>Any direction under subsection (1) may —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 xml:space="preserve">[Section 50 inserted by No. 43 of 1987 s. 13; amended by No. 51 of 2004 s. 96.] </w:t>
      </w:r>
    </w:p>
    <w:p>
      <w:pPr>
        <w:pStyle w:val="Heading5"/>
      </w:pPr>
      <w:bookmarkStart w:id="584" w:name="_Toc109702869"/>
      <w:bookmarkStart w:id="585" w:name="_Toc131409955"/>
      <w:bookmarkStart w:id="586" w:name="_Toc402776432"/>
      <w:bookmarkStart w:id="587" w:name="_Toc403985295"/>
      <w:bookmarkStart w:id="588" w:name="_Toc59593069"/>
      <w:r>
        <w:rPr>
          <w:rStyle w:val="CharSectno"/>
        </w:rPr>
        <w:t>50A</w:t>
      </w:r>
      <w:r>
        <w:t>.</w:t>
      </w:r>
      <w:r>
        <w:tab/>
        <w:t>Notices may be issued to the Crown</w:t>
      </w:r>
      <w:bookmarkEnd w:id="584"/>
      <w:bookmarkEnd w:id="585"/>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 xml:space="preserve">In the case of any other contravention or activity that relates to the Crown, the notice — </w:t>
      </w:r>
    </w:p>
    <w:p>
      <w:pPr>
        <w:pStyle w:val="Indenta"/>
      </w:pPr>
      <w:r>
        <w:tab/>
        <w:t>(a)</w:t>
      </w:r>
      <w:r>
        <w:tab/>
        <w:t xml:space="preserve">is to be issued to the Crown under the title “State of Western Australia”; and </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 xml:space="preserve">It is sufficient for the purposes of subsection (3) or (4)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589" w:name="_Toc109702870"/>
      <w:bookmarkStart w:id="590" w:name="_Toc131409956"/>
      <w:r>
        <w:rPr>
          <w:rStyle w:val="CharSectno"/>
        </w:rPr>
        <w:t>51</w:t>
      </w:r>
      <w:r>
        <w:rPr>
          <w:snapToGrid w:val="0"/>
        </w:rPr>
        <w:t>.</w:t>
      </w:r>
      <w:r>
        <w:rPr>
          <w:snapToGrid w:val="0"/>
        </w:rPr>
        <w:tab/>
        <w:t>Review of notices</w:t>
      </w:r>
      <w:bookmarkEnd w:id="586"/>
      <w:bookmarkEnd w:id="587"/>
      <w:bookmarkEnd w:id="588"/>
      <w:bookmarkEnd w:id="589"/>
      <w:bookmarkEnd w:id="590"/>
      <w:r>
        <w:rPr>
          <w:snapToGrid w:val="0"/>
        </w:rPr>
        <w:t xml:space="preserve"> </w:t>
      </w:r>
    </w:p>
    <w:p>
      <w:pPr>
        <w:pStyle w:val="Subsection"/>
        <w:spacing w:before="140"/>
        <w:rPr>
          <w:snapToGrid w:val="0"/>
        </w:rPr>
      </w:pPr>
      <w:r>
        <w:rPr>
          <w:snapToGrid w:val="0"/>
        </w:rPr>
        <w:tab/>
        <w:t>(1)</w:t>
      </w:r>
      <w:r>
        <w:rPr>
          <w:snapToGrid w:val="0"/>
        </w:rPr>
        <w:tab/>
        <w:t>An improvement notice or prohibition notice may, in accordance with this section, be referred for review to the Commissioner by — </w:t>
      </w:r>
    </w:p>
    <w:p>
      <w:pPr>
        <w:pStyle w:val="Indenta"/>
      </w:pPr>
      <w:r>
        <w:tab/>
        <w:t>(a)</w:t>
      </w:r>
      <w:r>
        <w:tab/>
        <w:t>the person issued with the notice; or</w:t>
      </w:r>
    </w:p>
    <w:p>
      <w:pPr>
        <w:pStyle w:val="Indenta"/>
      </w:pPr>
      <w:r>
        <w:tab/>
        <w:t>(b)</w:t>
      </w:r>
      <w:r>
        <w:tab/>
        <w:t>the employer (if any) of the person issued with the notice.</w:t>
      </w:r>
    </w:p>
    <w:p>
      <w:pPr>
        <w:pStyle w:val="Subsection"/>
        <w:spacing w:before="140"/>
        <w:rPr>
          <w:snapToGrid w:val="0"/>
        </w:rPr>
      </w:pPr>
      <w:r>
        <w:rPr>
          <w:snapToGrid w:val="0"/>
        </w:rPr>
        <w:tab/>
        <w:t>(2)</w:t>
      </w:r>
      <w:r>
        <w:rPr>
          <w:snapToGrid w:val="0"/>
        </w:rPr>
        <w:tab/>
        <w:t>A reference under subsection (1) may be made in the prescribed form —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tabs>
          <w:tab w:val="clear" w:pos="595"/>
          <w:tab w:val="clear" w:pos="879"/>
          <w:tab w:val="left" w:pos="0"/>
          <w:tab w:val="left" w:pos="284"/>
        </w:tabs>
        <w:spacing w:before="140"/>
        <w:ind w:left="0" w:firstLine="0"/>
      </w:pPr>
      <w:r>
        <w:tab/>
        <w:t>[(3) and (4)</w:t>
      </w:r>
      <w:r>
        <w:tab/>
        <w:t xml:space="preserve"> repealed]</w:t>
      </w:r>
    </w:p>
    <w:p>
      <w:pPr>
        <w:pStyle w:val="Subsection"/>
        <w:spacing w:before="140"/>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 </w:t>
      </w:r>
    </w:p>
    <w:p>
      <w:pPr>
        <w:pStyle w:val="Indenta"/>
        <w:spacing w:before="60"/>
        <w:rPr>
          <w:snapToGrid w:val="0"/>
        </w:rPr>
      </w:pPr>
      <w:r>
        <w:rPr>
          <w:snapToGrid w:val="0"/>
        </w:rPr>
        <w:tab/>
        <w:t>(a)</w:t>
      </w:r>
      <w:r>
        <w:rPr>
          <w:snapToGrid w:val="0"/>
        </w:rPr>
        <w:tab/>
        <w:t>affirm the notice;</w:t>
      </w:r>
    </w:p>
    <w:p>
      <w:pPr>
        <w:pStyle w:val="Indenta"/>
        <w:spacing w:before="60"/>
        <w:rPr>
          <w:snapToGrid w:val="0"/>
        </w:rPr>
      </w:pPr>
      <w:r>
        <w:rPr>
          <w:snapToGrid w:val="0"/>
        </w:rPr>
        <w:tab/>
        <w:t>(b)</w:t>
      </w:r>
      <w:r>
        <w:rPr>
          <w:snapToGrid w:val="0"/>
        </w:rPr>
        <w:tab/>
        <w:t>affirm the notice with such modifications as seem appropriate; or</w:t>
      </w:r>
    </w:p>
    <w:p>
      <w:pPr>
        <w:pStyle w:val="Indenta"/>
        <w:rPr>
          <w:snapToGrid w:val="0"/>
        </w:rPr>
      </w:pPr>
      <w:r>
        <w:rPr>
          <w:snapToGrid w:val="0"/>
        </w:rPr>
        <w:tab/>
        <w:t>(c)</w:t>
      </w:r>
      <w:r>
        <w:rPr>
          <w:snapToGrid w:val="0"/>
        </w:rPr>
        <w:tab/>
        <w:t>cancel the notice,</w:t>
      </w:r>
    </w:p>
    <w:p>
      <w:pPr>
        <w:pStyle w:val="Subsection"/>
        <w:spacing w:before="140"/>
        <w:rPr>
          <w:snapToGrid w:val="0"/>
        </w:rPr>
      </w:pPr>
      <w:r>
        <w:rPr>
          <w:snapToGrid w:val="0"/>
        </w:rPr>
        <w:tab/>
      </w:r>
      <w:r>
        <w:rPr>
          <w:snapToGrid w:val="0"/>
        </w:rPr>
        <w:tab/>
        <w:t>and, subject to section 51A, the notice shall have effect or, as the case may be, cease to have effect, accordingly.</w:t>
      </w:r>
    </w:p>
    <w:p>
      <w:pPr>
        <w:pStyle w:val="Subsection"/>
        <w:spacing w:before="140"/>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spacing w:before="140"/>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spacing w:before="140"/>
        <w:rPr>
          <w:snapToGrid w:val="0"/>
        </w:rPr>
      </w:pPr>
      <w:r>
        <w:rPr>
          <w:snapToGrid w:val="0"/>
        </w:rPr>
        <w:tab/>
        <w:t>(7)</w:t>
      </w:r>
      <w:r>
        <w:rPr>
          <w:snapToGrid w:val="0"/>
        </w:rPr>
        <w:tab/>
        <w:t>Pending the decision on a reference under this section for the review of a notice, the operation of the notice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 xml:space="preserve">[Section 51 inserted by No. 43 of 1987 s. 13; amended by No. 30 of 1995 s. 37; No. 51 of 2004 s. 97 and 103.] </w:t>
      </w:r>
    </w:p>
    <w:p>
      <w:pPr>
        <w:pStyle w:val="Heading5"/>
      </w:pPr>
      <w:bookmarkStart w:id="591" w:name="_Toc109702871"/>
      <w:bookmarkStart w:id="592" w:name="_Toc131409957"/>
      <w:bookmarkStart w:id="593" w:name="_Toc402776433"/>
      <w:bookmarkStart w:id="594" w:name="_Toc403985296"/>
      <w:bookmarkStart w:id="595" w:name="_Toc59593070"/>
      <w:r>
        <w:rPr>
          <w:rStyle w:val="CharSectno"/>
        </w:rPr>
        <w:t>51AA</w:t>
      </w:r>
      <w:r>
        <w:t>.</w:t>
      </w:r>
      <w:r>
        <w:tab/>
        <w:t>Further power of Commissioner to cancel notice</w:t>
      </w:r>
      <w:bookmarkEnd w:id="591"/>
      <w:bookmarkEnd w:id="592"/>
    </w:p>
    <w:p>
      <w:pPr>
        <w:pStyle w:val="Subsection"/>
      </w:pPr>
      <w:r>
        <w:tab/>
        <w:t>(1)</w:t>
      </w:r>
      <w:r>
        <w:tab/>
        <w:t xml:space="preserve">The Commissioner, on his or her own initiative, may cancel an improvement notice or a prohibition notice by giving notice in writing of the cancellation, and the reasons for it — </w:t>
      </w:r>
    </w:p>
    <w:p>
      <w:pPr>
        <w:pStyle w:val="Indenta"/>
      </w:pPr>
      <w:r>
        <w:tab/>
        <w:t>(a)</w:t>
      </w:r>
      <w:r>
        <w:tab/>
        <w:t>to the person issued with the notice; and</w:t>
      </w:r>
    </w:p>
    <w:p>
      <w:pPr>
        <w:pStyle w:val="Indenta"/>
      </w:pPr>
      <w:r>
        <w:tab/>
        <w:t>(b)</w:t>
      </w:r>
      <w:r>
        <w:tab/>
        <w:t>if that person is an employee, to the employee’s employer.</w:t>
      </w:r>
    </w:p>
    <w:p>
      <w:pPr>
        <w:pStyle w:val="Subsection"/>
      </w:pPr>
      <w:r>
        <w:tab/>
        <w:t>(2)</w:t>
      </w:r>
      <w:r>
        <w:tab/>
        <w:t xml:space="preserve">The power conferred by subsection (1) is not to be exercised in respect of a notice —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596" w:name="_Toc109702872"/>
      <w:bookmarkStart w:id="597" w:name="_Toc131409958"/>
      <w:r>
        <w:rPr>
          <w:rStyle w:val="CharSectno"/>
        </w:rPr>
        <w:t>51A</w:t>
      </w:r>
      <w:r>
        <w:rPr>
          <w:snapToGrid w:val="0"/>
        </w:rPr>
        <w:t xml:space="preserve">. </w:t>
      </w:r>
      <w:r>
        <w:rPr>
          <w:snapToGrid w:val="0"/>
        </w:rPr>
        <w:tab/>
        <w:t>Further review of notices</w:t>
      </w:r>
      <w:bookmarkEnd w:id="593"/>
      <w:bookmarkEnd w:id="594"/>
      <w:bookmarkEnd w:id="595"/>
      <w:bookmarkEnd w:id="596"/>
      <w:bookmarkEnd w:id="597"/>
      <w:r>
        <w:rPr>
          <w:snapToGrid w:val="0"/>
        </w:rPr>
        <w:t xml:space="preserve"> </w:t>
      </w:r>
    </w:p>
    <w:p>
      <w:pPr>
        <w:pStyle w:val="Subsection"/>
        <w:spacing w:before="140"/>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spacing w:before="140"/>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in the prescribed form within 7 days of the issue of the notice under section 51(6).</w:t>
      </w:r>
    </w:p>
    <w:p>
      <w:pPr>
        <w:pStyle w:val="Subsection"/>
        <w:spacing w:before="140"/>
        <w:rPr>
          <w:snapToGrid w:val="0"/>
        </w:rPr>
      </w:pPr>
      <w:r>
        <w:rPr>
          <w:snapToGrid w:val="0"/>
        </w:rPr>
        <w:tab/>
        <w:t>(3)</w:t>
      </w:r>
      <w:r>
        <w:rPr>
          <w:snapToGrid w:val="0"/>
        </w:rPr>
        <w:tab/>
        <w:t>A review of a decision made under section 51 shall be in the nature of a rehearing.</w:t>
      </w:r>
    </w:p>
    <w:p>
      <w:pPr>
        <w:pStyle w:val="Subsection"/>
        <w:spacing w:before="140"/>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spacing w:before="140"/>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 </w:t>
      </w:r>
    </w:p>
    <w:p>
      <w:pPr>
        <w:pStyle w:val="Indenta"/>
        <w:rPr>
          <w:snapToGrid w:val="0"/>
        </w:rPr>
      </w:pPr>
      <w:r>
        <w:rPr>
          <w:snapToGrid w:val="0"/>
        </w:rPr>
        <w:tab/>
        <w:t>(a)</w:t>
      </w:r>
      <w:r>
        <w:rPr>
          <w:snapToGrid w:val="0"/>
        </w:rPr>
        <w:tab/>
        <w:t>affirm the decision of the Commissioner;</w:t>
      </w:r>
    </w:p>
    <w:p>
      <w:pPr>
        <w:pStyle w:val="Indenta"/>
        <w:rPr>
          <w:snapToGrid w:val="0"/>
        </w:rPr>
      </w:pPr>
      <w:r>
        <w:rPr>
          <w:snapToGrid w:val="0"/>
        </w:rPr>
        <w:tab/>
        <w:t>(b)</w:t>
      </w:r>
      <w:r>
        <w:rPr>
          <w:snapToGrid w:val="0"/>
        </w:rPr>
        <w:tab/>
        <w:t>affirm the decision of the Commissioner with such modifications as seem appropriate; or</w:t>
      </w:r>
    </w:p>
    <w:p>
      <w:pPr>
        <w:pStyle w:val="Indenta"/>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repealed]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 xml:space="preserve">(3) and 98.] </w:t>
      </w:r>
    </w:p>
    <w:p>
      <w:pPr>
        <w:pStyle w:val="Heading3"/>
      </w:pPr>
      <w:bookmarkStart w:id="598" w:name="_Toc100545219"/>
      <w:bookmarkStart w:id="599" w:name="_Toc100716698"/>
      <w:bookmarkStart w:id="600" w:name="_Toc102546287"/>
      <w:bookmarkStart w:id="601" w:name="_Toc103141510"/>
      <w:bookmarkStart w:id="602" w:name="_Toc105909122"/>
      <w:bookmarkStart w:id="603" w:name="_Toc105922008"/>
      <w:bookmarkStart w:id="604" w:name="_Toc106616846"/>
      <w:bookmarkStart w:id="605" w:name="_Toc108848590"/>
      <w:bookmarkStart w:id="606" w:name="_Toc109702873"/>
      <w:bookmarkStart w:id="607" w:name="_Toc113700430"/>
      <w:bookmarkStart w:id="608" w:name="_Toc113779088"/>
      <w:bookmarkStart w:id="609" w:name="_Toc122767469"/>
      <w:bookmarkStart w:id="610" w:name="_Toc122767712"/>
      <w:bookmarkStart w:id="611" w:name="_Toc131409959"/>
      <w:bookmarkStart w:id="612" w:name="_Toc88990689"/>
      <w:bookmarkStart w:id="613" w:name="_Toc89568251"/>
      <w:bookmarkStart w:id="614" w:name="_Toc93200961"/>
      <w:bookmarkStart w:id="615" w:name="_Toc97006632"/>
      <w:r>
        <w:rPr>
          <w:rStyle w:val="CharDivNo"/>
        </w:rPr>
        <w:t>Division 2</w:t>
      </w:r>
      <w:r>
        <w:t> — </w:t>
      </w:r>
      <w:r>
        <w:rPr>
          <w:rStyle w:val="CharDivText"/>
        </w:rPr>
        <w:t>Issue of provisional improvement notices by safety and health representative</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Footnoteheading"/>
        <w:rPr>
          <w:snapToGrid w:val="0"/>
        </w:rPr>
      </w:pPr>
      <w:r>
        <w:rPr>
          <w:snapToGrid w:val="0"/>
        </w:rPr>
        <w:tab/>
        <w:t xml:space="preserve">[Heading inserted by No. 51 of 2004 s. 55.] </w:t>
      </w:r>
    </w:p>
    <w:p>
      <w:pPr>
        <w:pStyle w:val="Heading5"/>
      </w:pPr>
      <w:bookmarkStart w:id="616" w:name="_Toc109702874"/>
      <w:bookmarkStart w:id="617" w:name="_Toc131409960"/>
      <w:r>
        <w:rPr>
          <w:rStyle w:val="CharSectno"/>
        </w:rPr>
        <w:t>51AB</w:t>
      </w:r>
      <w:r>
        <w:t>.</w:t>
      </w:r>
      <w:r>
        <w:tab/>
        <w:t>Definition</w:t>
      </w:r>
      <w:bookmarkEnd w:id="616"/>
      <w:bookmarkEnd w:id="617"/>
    </w:p>
    <w:p>
      <w:pPr>
        <w:pStyle w:val="Subsection"/>
      </w:pPr>
      <w:r>
        <w:tab/>
      </w:r>
      <w:r>
        <w:tab/>
        <w:t xml:space="preserve">In this Division — </w:t>
      </w:r>
    </w:p>
    <w:p>
      <w:pPr>
        <w:pStyle w:val="Defstart"/>
      </w:pPr>
      <w:r>
        <w:rPr>
          <w:b/>
        </w:rPr>
        <w:tab/>
        <w:t>“</w:t>
      </w:r>
      <w:r>
        <w:rPr>
          <w:rStyle w:val="CharDefText"/>
        </w:rPr>
        <w:t>qualified representative</w:t>
      </w:r>
      <w:r>
        <w:rPr>
          <w:b/>
        </w:rPr>
        <w:t>”</w:t>
      </w:r>
      <w:r>
        <w:t xml:space="preserve"> means a safety and health representative who has completed a course of training prescribed for the purposes of this definition.</w:t>
      </w:r>
    </w:p>
    <w:p>
      <w:pPr>
        <w:pStyle w:val="Footnotesection"/>
      </w:pPr>
      <w:r>
        <w:tab/>
        <w:t xml:space="preserve">[Section 51AB inserted by No. 51 of 2004 s. 55.] </w:t>
      </w:r>
    </w:p>
    <w:p>
      <w:pPr>
        <w:pStyle w:val="Heading5"/>
      </w:pPr>
      <w:bookmarkStart w:id="618" w:name="_Toc109702875"/>
      <w:bookmarkStart w:id="619" w:name="_Toc131409961"/>
      <w:r>
        <w:rPr>
          <w:rStyle w:val="CharSectno"/>
        </w:rPr>
        <w:t>51AC</w:t>
      </w:r>
      <w:r>
        <w:t>.</w:t>
      </w:r>
      <w:r>
        <w:tab/>
        <w:t>Issue of provisional improvement notices</w:t>
      </w:r>
      <w:bookmarkEnd w:id="618"/>
      <w:bookmarkEnd w:id="619"/>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 xml:space="preserve">[Section 51AC inserted by No. 51 of 2004 s. 55.] </w:t>
      </w:r>
    </w:p>
    <w:p>
      <w:pPr>
        <w:pStyle w:val="Heading5"/>
      </w:pPr>
      <w:bookmarkStart w:id="620" w:name="_Toc109702876"/>
      <w:bookmarkStart w:id="621" w:name="_Toc131409962"/>
      <w:r>
        <w:rPr>
          <w:rStyle w:val="CharSectno"/>
        </w:rPr>
        <w:t>51AD</w:t>
      </w:r>
      <w:r>
        <w:t>.</w:t>
      </w:r>
      <w:r>
        <w:tab/>
        <w:t>Consultation required before issue</w:t>
      </w:r>
      <w:bookmarkEnd w:id="620"/>
      <w:bookmarkEnd w:id="621"/>
    </w:p>
    <w:p>
      <w:pPr>
        <w:pStyle w:val="Subsection"/>
      </w:pPr>
      <w:r>
        <w:tab/>
        <w:t>(1)</w:t>
      </w:r>
      <w:r>
        <w:tab/>
        <w:t xml:space="preserve">In this section — </w:t>
      </w:r>
    </w:p>
    <w:p>
      <w:pPr>
        <w:pStyle w:val="Defstart"/>
      </w:pPr>
      <w:r>
        <w:rPr>
          <w:b/>
        </w:rPr>
        <w:tab/>
        <w:t>“</w:t>
      </w:r>
      <w:r>
        <w:rPr>
          <w:rStyle w:val="CharDefText"/>
        </w:rPr>
        <w:t>consult</w:t>
      </w:r>
      <w:r>
        <w:rPr>
          <w:b/>
        </w:rPr>
        <w: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that is to be issued with the notice; and </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 xml:space="preserve">[Section 51AD inserted by No. 51 of 2004 s. 55.] </w:t>
      </w:r>
    </w:p>
    <w:p>
      <w:pPr>
        <w:pStyle w:val="Heading5"/>
      </w:pPr>
      <w:bookmarkStart w:id="622" w:name="_Toc109702877"/>
      <w:bookmarkStart w:id="623" w:name="_Toc131409963"/>
      <w:r>
        <w:rPr>
          <w:rStyle w:val="CharSectno"/>
        </w:rPr>
        <w:t>51AE</w:t>
      </w:r>
      <w:r>
        <w:t>.</w:t>
      </w:r>
      <w:r>
        <w:tab/>
        <w:t>Contents of notice</w:t>
      </w:r>
      <w:bookmarkEnd w:id="622"/>
      <w:bookmarkEnd w:id="623"/>
    </w:p>
    <w:p>
      <w:pPr>
        <w:pStyle w:val="Subsection"/>
        <w:outlineLvl w:val="0"/>
      </w:pPr>
      <w:r>
        <w:tab/>
        <w:t>(1)</w:t>
      </w:r>
      <w:r>
        <w:tab/>
        <w:t xml:space="preserve">A provisional improvement notice must — </w:t>
      </w:r>
    </w:p>
    <w:p>
      <w:pPr>
        <w:pStyle w:val="Indenta"/>
      </w:pPr>
      <w:r>
        <w:tab/>
        <w:t>(a)</w:t>
      </w:r>
      <w:r>
        <w:tab/>
        <w:t xml:space="preserve">state that the qualified representative is of the opinion that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t>(b)</w:t>
      </w:r>
      <w:r>
        <w:tab/>
        <w:t>state reasonable grounds for the representative being of that opinion;</w:t>
      </w:r>
    </w:p>
    <w:p>
      <w:pPr>
        <w:pStyle w:val="Indenta"/>
      </w:pPr>
      <w:r>
        <w:tab/>
        <w:t>(c)</w:t>
      </w:r>
      <w:r>
        <w:tab/>
        <w:t>specify the provision of this Act in respect of which the opinion is held;</w:t>
      </w:r>
    </w:p>
    <w:p>
      <w:pPr>
        <w:pStyle w:val="Indenta"/>
      </w:pPr>
      <w:r>
        <w:tab/>
        <w:t>(d)</w:t>
      </w:r>
      <w:r>
        <w:tab/>
        <w:t xml:space="preserve">specify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 xml:space="preserve">[Section 51AE inserted by No. 51 of 2004 s. 55.] </w:t>
      </w:r>
    </w:p>
    <w:p>
      <w:pPr>
        <w:pStyle w:val="Heading5"/>
        <w:spacing w:before="180"/>
      </w:pPr>
      <w:bookmarkStart w:id="624" w:name="_Toc109702878"/>
      <w:bookmarkStart w:id="625" w:name="_Toc131409964"/>
      <w:r>
        <w:rPr>
          <w:rStyle w:val="CharSectno"/>
        </w:rPr>
        <w:t>51AF</w:t>
      </w:r>
      <w:r>
        <w:t>.</w:t>
      </w:r>
      <w:r>
        <w:tab/>
        <w:t>Provisional notices may include directions</w:t>
      </w:r>
      <w:bookmarkEnd w:id="624"/>
      <w:bookmarkEnd w:id="625"/>
    </w:p>
    <w:p>
      <w:pPr>
        <w:pStyle w:val="Subsection"/>
        <w:spacing w:before="120"/>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spacing w:before="120"/>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 xml:space="preserve">[Section 51AF inserted by No. 51 of 2004 s. 55.] </w:t>
      </w:r>
    </w:p>
    <w:p>
      <w:pPr>
        <w:pStyle w:val="Heading5"/>
        <w:spacing w:before="180"/>
      </w:pPr>
      <w:bookmarkStart w:id="626" w:name="_Toc109702879"/>
      <w:bookmarkStart w:id="627" w:name="_Toc131409965"/>
      <w:r>
        <w:rPr>
          <w:rStyle w:val="CharSectno"/>
        </w:rPr>
        <w:t>51AG</w:t>
      </w:r>
      <w:r>
        <w:t>.</w:t>
      </w:r>
      <w:r>
        <w:tab/>
        <w:t>Failure to comply with notice</w:t>
      </w:r>
      <w:bookmarkEnd w:id="626"/>
      <w:bookmarkEnd w:id="627"/>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 xml:space="preserve">[Section 51AG inserted by No. 51 of 2004 s. 55.] </w:t>
      </w:r>
    </w:p>
    <w:p>
      <w:pPr>
        <w:pStyle w:val="Heading5"/>
      </w:pPr>
      <w:bookmarkStart w:id="628" w:name="_Toc109702880"/>
      <w:bookmarkStart w:id="629" w:name="_Toc131409966"/>
      <w:r>
        <w:rPr>
          <w:rStyle w:val="CharSectno"/>
        </w:rPr>
        <w:t>51AH</w:t>
      </w:r>
      <w:r>
        <w:t>.</w:t>
      </w:r>
      <w:r>
        <w:tab/>
        <w:t>Review of notice by an inspector</w:t>
      </w:r>
      <w:bookmarkEnd w:id="628"/>
      <w:bookmarkEnd w:id="629"/>
    </w:p>
    <w:p>
      <w:pPr>
        <w:pStyle w:val="Subsection"/>
        <w:spacing w:before="120"/>
      </w:pPr>
      <w:r>
        <w:tab/>
        <w:t>(1)</w:t>
      </w:r>
      <w:r>
        <w:tab/>
        <w:t xml:space="preserve">In this section — </w:t>
      </w:r>
    </w:p>
    <w:p>
      <w:pPr>
        <w:pStyle w:val="Defstart"/>
      </w:pPr>
      <w:r>
        <w:rPr>
          <w:b/>
        </w:rPr>
        <w:tab/>
        <w:t>“</w:t>
      </w:r>
      <w:r>
        <w:rPr>
          <w:rStyle w:val="CharDefText"/>
        </w:rPr>
        <w:t>affected person</w:t>
      </w:r>
      <w:r>
        <w:rPr>
          <w:b/>
        </w:rPr>
        <w:t>”</w:t>
      </w:r>
      <w:r>
        <w:t xml:space="preserve"> means — </w:t>
      </w:r>
    </w:p>
    <w:p>
      <w:pPr>
        <w:pStyle w:val="Defpara"/>
      </w:pPr>
      <w:r>
        <w:tab/>
        <w:t>(a)</w:t>
      </w:r>
      <w:r>
        <w:tab/>
        <w:t>the person issued with a provisional improvement notice; or</w:t>
      </w:r>
    </w:p>
    <w:p>
      <w:pPr>
        <w:pStyle w:val="Defpara"/>
      </w:pPr>
      <w:r>
        <w:tab/>
        <w:t>(b)</w:t>
      </w:r>
      <w:r>
        <w:tab/>
        <w:t xml:space="preserve">in the case of a notice issued to an employee — </w:t>
      </w:r>
    </w:p>
    <w:p>
      <w:pPr>
        <w:pStyle w:val="Defsubpara"/>
      </w:pPr>
      <w:r>
        <w:tab/>
        <w:t>(i)</w:t>
      </w:r>
      <w:r>
        <w:tab/>
        <w:t>the employee; and</w:t>
      </w:r>
    </w:p>
    <w:p>
      <w:pPr>
        <w:pStyle w:val="Defsubpara"/>
      </w:pPr>
      <w:r>
        <w:tab/>
        <w:t>(ii)</w:t>
      </w:r>
      <w:r>
        <w:tab/>
        <w:t>the employer of the employee.</w:t>
      </w:r>
    </w:p>
    <w:p>
      <w:pPr>
        <w:pStyle w:val="Subsection"/>
      </w:pPr>
      <w:r>
        <w:tab/>
        <w:t>(2)</w:t>
      </w:r>
      <w:r>
        <w:tab/>
        <w:t xml:space="preserve">An affected person may, in writing delivered or sent to the department (a </w:t>
      </w:r>
      <w:r>
        <w:rPr>
          <w:b/>
        </w:rPr>
        <w:t>“</w:t>
      </w:r>
      <w:r>
        <w:rPr>
          <w:rStyle w:val="CharDefText"/>
        </w:rPr>
        <w:t>review notice</w:t>
      </w:r>
      <w:r>
        <w:rPr>
          <w:b/>
        </w:rPr>
        <w:t>”</w:t>
      </w:r>
      <w:r>
        <w:t>),</w:t>
      </w:r>
      <w:r>
        <w:rPr>
          <w:b/>
          <w:i/>
          <w:sz w:val="20"/>
        </w:rPr>
        <w:t xml:space="preserve"> </w:t>
      </w:r>
      <w:r>
        <w:t>require that an inspector review a provisional improvement notice.</w:t>
      </w:r>
    </w:p>
    <w:p>
      <w:pPr>
        <w:pStyle w:val="Subsection"/>
      </w:pPr>
      <w:r>
        <w:tab/>
        <w:t>(3)</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 xml:space="preserve">Where a review notice is received by the department in accordance with this section, an inspector must as soon as is practicable — </w:t>
      </w:r>
    </w:p>
    <w:p>
      <w:pPr>
        <w:pStyle w:val="Indenta"/>
      </w:pPr>
      <w:r>
        <w:tab/>
        <w:t>(a)</w:t>
      </w:r>
      <w:r>
        <w:tab/>
        <w:t xml:space="preserve">attend at the workplace; and </w:t>
      </w:r>
    </w:p>
    <w:p>
      <w:pPr>
        <w:pStyle w:val="Indenta"/>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 xml:space="preserve">[Section 51AH inserted by No. 51 of 2004 s. 55.] </w:t>
      </w:r>
    </w:p>
    <w:p>
      <w:pPr>
        <w:pStyle w:val="Heading2"/>
      </w:pPr>
      <w:bookmarkStart w:id="630" w:name="_Toc100545227"/>
      <w:bookmarkStart w:id="631" w:name="_Toc100716706"/>
      <w:bookmarkStart w:id="632" w:name="_Toc102546295"/>
      <w:bookmarkStart w:id="633" w:name="_Toc103141518"/>
      <w:bookmarkStart w:id="634" w:name="_Toc105909130"/>
      <w:bookmarkStart w:id="635" w:name="_Toc105922016"/>
      <w:bookmarkStart w:id="636" w:name="_Toc106616854"/>
      <w:bookmarkStart w:id="637" w:name="_Toc108848598"/>
      <w:bookmarkStart w:id="638" w:name="_Toc109702881"/>
      <w:bookmarkStart w:id="639" w:name="_Toc113700438"/>
      <w:bookmarkStart w:id="640" w:name="_Toc113779096"/>
      <w:bookmarkStart w:id="641" w:name="_Toc122767477"/>
      <w:bookmarkStart w:id="642" w:name="_Toc122767720"/>
      <w:bookmarkStart w:id="643" w:name="_Toc131409967"/>
      <w:r>
        <w:rPr>
          <w:rStyle w:val="CharPartNo"/>
        </w:rPr>
        <w:t>Part VIA</w:t>
      </w:r>
      <w:r>
        <w:rPr>
          <w:rStyle w:val="CharDivNo"/>
        </w:rPr>
        <w:t> </w:t>
      </w:r>
      <w:r>
        <w:t>—</w:t>
      </w:r>
      <w:r>
        <w:rPr>
          <w:rStyle w:val="CharDivText"/>
        </w:rPr>
        <w:t> </w:t>
      </w:r>
      <w:r>
        <w:rPr>
          <w:rStyle w:val="CharPartText"/>
        </w:rPr>
        <w:t>Safety and health magistrates</w:t>
      </w:r>
      <w:bookmarkEnd w:id="612"/>
      <w:bookmarkEnd w:id="613"/>
      <w:bookmarkEnd w:id="614"/>
      <w:bookmarkEnd w:id="615"/>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r>
        <w:rPr>
          <w:rStyle w:val="CharPartText"/>
        </w:rPr>
        <w:t xml:space="preserve"> </w:t>
      </w:r>
    </w:p>
    <w:p>
      <w:pPr>
        <w:pStyle w:val="Footnoteheading"/>
        <w:spacing w:before="100"/>
      </w:pPr>
      <w:r>
        <w:tab/>
        <w:t>[Heading inserted by No. 30 of 1995 s. 39.]</w:t>
      </w:r>
    </w:p>
    <w:p>
      <w:pPr>
        <w:pStyle w:val="Heading5"/>
        <w:spacing w:before="180"/>
        <w:rPr>
          <w:snapToGrid w:val="0"/>
        </w:rPr>
      </w:pPr>
      <w:bookmarkStart w:id="644" w:name="_Toc402776434"/>
      <w:bookmarkStart w:id="645" w:name="_Toc403985297"/>
      <w:bookmarkStart w:id="646" w:name="_Toc59593071"/>
      <w:bookmarkStart w:id="647" w:name="_Toc109702882"/>
      <w:bookmarkStart w:id="648" w:name="_Toc131409968"/>
      <w:r>
        <w:rPr>
          <w:rStyle w:val="CharSectno"/>
        </w:rPr>
        <w:t>51B</w:t>
      </w:r>
      <w:r>
        <w:rPr>
          <w:snapToGrid w:val="0"/>
        </w:rPr>
        <w:t xml:space="preserve">. </w:t>
      </w:r>
      <w:r>
        <w:rPr>
          <w:snapToGrid w:val="0"/>
        </w:rPr>
        <w:tab/>
        <w:t>Safety and health magistrates</w:t>
      </w:r>
      <w:bookmarkEnd w:id="644"/>
      <w:bookmarkEnd w:id="645"/>
      <w:bookmarkEnd w:id="646"/>
      <w:bookmarkEnd w:id="647"/>
      <w:bookmarkEnd w:id="648"/>
      <w:r>
        <w:rPr>
          <w:snapToGrid w:val="0"/>
        </w:rPr>
        <w:t xml:space="preserve"> </w:t>
      </w:r>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spacing w:before="100"/>
        <w:ind w:left="890" w:hanging="890"/>
      </w:pPr>
      <w:r>
        <w:tab/>
        <w:t xml:space="preserve">[Section 51B inserted by No. 30 of 1995 s. 39.] </w:t>
      </w:r>
    </w:p>
    <w:p>
      <w:pPr>
        <w:pStyle w:val="Heading5"/>
        <w:spacing w:before="180"/>
        <w:rPr>
          <w:snapToGrid w:val="0"/>
        </w:rPr>
      </w:pPr>
      <w:bookmarkStart w:id="649" w:name="_Toc402776435"/>
      <w:bookmarkStart w:id="650" w:name="_Toc403985298"/>
      <w:bookmarkStart w:id="651" w:name="_Toc59593072"/>
      <w:bookmarkStart w:id="652" w:name="_Toc109702883"/>
      <w:bookmarkStart w:id="653" w:name="_Toc131409969"/>
      <w:r>
        <w:rPr>
          <w:rStyle w:val="CharSectno"/>
        </w:rPr>
        <w:t>51C</w:t>
      </w:r>
      <w:r>
        <w:rPr>
          <w:snapToGrid w:val="0"/>
        </w:rPr>
        <w:t xml:space="preserve">. </w:t>
      </w:r>
      <w:r>
        <w:rPr>
          <w:snapToGrid w:val="0"/>
        </w:rPr>
        <w:tab/>
        <w:t>Jurisdiction of safety and health magistrate</w:t>
      </w:r>
      <w:bookmarkEnd w:id="649"/>
      <w:bookmarkEnd w:id="650"/>
      <w:bookmarkEnd w:id="651"/>
      <w:bookmarkEnd w:id="652"/>
      <w:bookmarkEnd w:id="653"/>
      <w:r>
        <w:rPr>
          <w:snapToGrid w:val="0"/>
        </w:rPr>
        <w:t xml:space="preserve"> </w:t>
      </w:r>
    </w:p>
    <w:p>
      <w:pPr>
        <w:pStyle w:val="Subsection"/>
        <w:spacing w:before="140"/>
        <w:rPr>
          <w:snapToGrid w:val="0"/>
        </w:rPr>
      </w:pPr>
      <w:r>
        <w:rPr>
          <w:snapToGrid w:val="0"/>
        </w:rPr>
        <w:tab/>
        <w:t>(1)</w:t>
      </w:r>
      <w:r>
        <w:rPr>
          <w:snapToGrid w:val="0"/>
        </w:rPr>
        <w:tab/>
        <w:t xml:space="preserve">A </w:t>
      </w:r>
      <w:r>
        <w:rPr>
          <w:snapToGrid w:val="0"/>
          <w:spacing w:val="-2"/>
        </w:rPr>
        <w:t>safety</w:t>
      </w:r>
      <w:r>
        <w:rPr>
          <w:snapToGrid w:val="0"/>
        </w:rPr>
        <w:t xml:space="preserve"> and health magistrate has jurisdiction to — </w:t>
      </w:r>
    </w:p>
    <w:p>
      <w:pPr>
        <w:pStyle w:val="Indenta"/>
        <w:spacing w:before="60"/>
        <w:rPr>
          <w:snapToGrid w:val="0"/>
        </w:rPr>
      </w:pPr>
      <w:r>
        <w:rPr>
          <w:snapToGrid w:val="0"/>
        </w:rPr>
        <w:tab/>
        <w:t>(a)</w:t>
      </w:r>
      <w:r>
        <w:rPr>
          <w:snapToGrid w:val="0"/>
        </w:rPr>
        <w:tab/>
        <w:t>hear and determine any matter referred to a safety and health magistrate under this Act; and</w:t>
      </w:r>
    </w:p>
    <w:p>
      <w:pPr>
        <w:pStyle w:val="Indenta"/>
        <w:spacing w:before="60"/>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Subsection"/>
        <w:spacing w:before="140"/>
        <w:rPr>
          <w:snapToGrid w:val="0"/>
        </w:rPr>
      </w:pPr>
      <w:r>
        <w:rPr>
          <w:snapToGrid w:val="0"/>
        </w:rPr>
        <w:tab/>
        <w:t>(2)</w:t>
      </w:r>
      <w:r>
        <w:rPr>
          <w:snapToGrid w:val="0"/>
        </w:rPr>
        <w:tab/>
        <w:t xml:space="preserve">A </w:t>
      </w:r>
      <w:r>
        <w:rPr>
          <w:snapToGrid w:val="0"/>
          <w:spacing w:val="-2"/>
        </w:rPr>
        <w:t>decision</w:t>
      </w:r>
      <w:r>
        <w:rPr>
          <w:snapToGrid w:val="0"/>
        </w:rPr>
        <w:t xml:space="preserve"> by a safety and health magistrate on a matter referred under this Act has effect according to its substance.</w:t>
      </w:r>
    </w:p>
    <w:p>
      <w:pPr>
        <w:pStyle w:val="Subsection"/>
        <w:spacing w:before="140"/>
        <w:rPr>
          <w:snapToGrid w:val="0"/>
        </w:rPr>
      </w:pPr>
      <w:r>
        <w:rPr>
          <w:snapToGrid w:val="0"/>
        </w:rPr>
        <w:tab/>
        <w:t>(3)</w:t>
      </w:r>
      <w:r>
        <w:rPr>
          <w:snapToGrid w:val="0"/>
        </w:rPr>
        <w:tab/>
      </w:r>
      <w:r>
        <w:rPr>
          <w:snapToGrid w:val="0"/>
          <w:spacing w:val="-2"/>
        </w:rPr>
        <w:t>Except</w:t>
      </w:r>
      <w:r>
        <w:rPr>
          <w:snapToGrid w:val="0"/>
        </w:rPr>
        <w:t xml:space="preserve"> as otherwise prescribed by or under this Act — </w:t>
      </w:r>
    </w:p>
    <w:p>
      <w:pPr>
        <w:pStyle w:val="Indenta"/>
        <w:spacing w:before="60"/>
        <w:rPr>
          <w:snapToGrid w:val="0"/>
        </w:rPr>
      </w:pPr>
      <w:r>
        <w:rPr>
          <w:snapToGrid w:val="0"/>
        </w:rPr>
        <w:tab/>
        <w:t>(a)</w:t>
      </w:r>
      <w:r>
        <w:rPr>
          <w:snapToGrid w:val="0"/>
        </w:rPr>
        <w:tab/>
        <w:t>the powers of a safety and health magistrate; and</w:t>
      </w:r>
    </w:p>
    <w:p>
      <w:pPr>
        <w:pStyle w:val="Indenta"/>
        <w:spacing w:before="60"/>
        <w:rPr>
          <w:snapToGrid w:val="0"/>
        </w:rPr>
      </w:pPr>
      <w:r>
        <w:rPr>
          <w:snapToGrid w:val="0"/>
        </w:rPr>
        <w:tab/>
        <w:t>(b)</w:t>
      </w:r>
      <w:r>
        <w:rPr>
          <w:snapToGrid w:val="0"/>
        </w:rPr>
        <w:tab/>
        <w:t>the practice and procedure to be observed by a safety and health magistrate,</w:t>
      </w:r>
    </w:p>
    <w:p>
      <w:pPr>
        <w:pStyle w:val="Subsection"/>
        <w:spacing w:before="120"/>
        <w:rPr>
          <w:snapToGrid w:val="0"/>
        </w:rPr>
      </w:pPr>
      <w:r>
        <w:rPr>
          <w:snapToGrid w:val="0"/>
        </w:rPr>
        <w:tab/>
      </w:r>
      <w:r>
        <w:rPr>
          <w:snapToGrid w:val="0"/>
        </w:rPr>
        <w:tab/>
        <w:t xml:space="preserve">when </w:t>
      </w:r>
      <w:r>
        <w:rPr>
          <w:snapToGrid w:val="0"/>
          <w:spacing w:val="-2"/>
        </w:rPr>
        <w:t>exercising</w:t>
      </w:r>
      <w:r>
        <w:rPr>
          <w:snapToGrid w:val="0"/>
        </w:rPr>
        <w:t xml:space="preserve"> jurisdiction under subsection (1)(a) are those provided for by the </w:t>
      </w:r>
      <w:r>
        <w:rPr>
          <w:i/>
        </w:rPr>
        <w:t>Magistrates Court (Civil Proceedings) Act 2004</w:t>
      </w:r>
      <w:r>
        <w:t xml:space="preserve"> </w:t>
      </w:r>
      <w:r>
        <w:rPr>
          <w:snapToGrid w:val="0"/>
        </w:rPr>
        <w:t xml:space="preserve">and when exercising that jurisdiction a safety and health magistrate is taken to be </w:t>
      </w:r>
      <w:r>
        <w:t>the Magistrates Court.</w:t>
      </w:r>
    </w:p>
    <w:p>
      <w:pPr>
        <w:pStyle w:val="Subsection"/>
        <w:spacing w:before="140"/>
        <w:rPr>
          <w:snapToGrid w:val="0"/>
        </w:rPr>
      </w:pPr>
      <w:r>
        <w:rPr>
          <w:snapToGrid w:val="0"/>
        </w:rPr>
        <w:tab/>
        <w:t>(4)</w:t>
      </w:r>
      <w:r>
        <w:rPr>
          <w:snapToGrid w:val="0"/>
        </w:rPr>
        <w:tab/>
        <w:t xml:space="preserve">If, in </w:t>
      </w:r>
      <w:r>
        <w:rPr>
          <w:snapToGrid w:val="0"/>
          <w:spacing w:val="-2"/>
        </w:rPr>
        <w:t>relation</w:t>
      </w:r>
      <w:r>
        <w:rPr>
          <w:snapToGrid w:val="0"/>
        </w:rPr>
        <w:t xml:space="preserve"> to a matter referred to a safety and health magistrate under this Act, no provision of the </w:t>
      </w:r>
      <w:r>
        <w:rPr>
          <w:i/>
        </w:rPr>
        <w:t>Magistrates Court (Civil Proceedings) Act 2004</w:t>
      </w:r>
      <w:r>
        <w:t xml:space="preserve"> </w:t>
      </w:r>
      <w:r>
        <w:rPr>
          <w:snapToGrid w:val="0"/>
        </w:rPr>
        <w:t xml:space="preserve">or this Act is applicable the matter shall be dealt with in such manner as the safety and health magistrate may direct. </w:t>
      </w:r>
    </w:p>
    <w:p>
      <w:pPr>
        <w:pStyle w:val="Subsection"/>
        <w:spacing w:before="120"/>
        <w:rPr>
          <w:snapToGrid w:val="0"/>
          <w:spacing w:val="-2"/>
        </w:rPr>
      </w:pPr>
      <w:r>
        <w:rPr>
          <w:snapToGrid w:val="0"/>
          <w:spacing w:val="-2"/>
        </w:rPr>
        <w:tab/>
        <w:t>(5)</w:t>
      </w:r>
      <w:r>
        <w:rPr>
          <w:snapToGrid w:val="0"/>
          <w:spacing w:val="-2"/>
        </w:rPr>
        <w:tab/>
        <w:t>When exercising jurisdiction under subsection (1)(b) a safety and health magistrate constitutes a court of summary jurisdiction.</w:t>
      </w:r>
    </w:p>
    <w:p>
      <w:pPr>
        <w:pStyle w:val="Subsection"/>
        <w:spacing w:before="120"/>
        <w:rPr>
          <w:snapToGrid w:val="0"/>
          <w:spacing w:val="-2"/>
        </w:rPr>
      </w:pPr>
      <w:r>
        <w:tab/>
        <w:t>(6)</w:t>
      </w:r>
      <w:r>
        <w:tab/>
        <w:t xml:space="preserve">Sections 15, 16, 35 and 36 and Part 3 Division 2 of the </w:t>
      </w:r>
      <w:r>
        <w:rPr>
          <w:i/>
        </w:rPr>
        <w:t xml:space="preserve">Magistrates Court Act 2004 </w:t>
      </w:r>
      <w:r>
        <w:t>apply to and in relation to a safety and health magistrate in the same way as they apply to and in relation to the Magistrates Court and its officers.</w:t>
      </w:r>
    </w:p>
    <w:p>
      <w:pPr>
        <w:pStyle w:val="Footnotesection"/>
        <w:spacing w:before="100"/>
        <w:ind w:left="890" w:hanging="890"/>
      </w:pPr>
      <w:r>
        <w:tab/>
        <w:t xml:space="preserve">[Section 51C inserted by No. 30 of 1995 s. 39; amended by No. 59 of 2004 s. 141; No. 84 of 2004 s. 78.] </w:t>
      </w:r>
    </w:p>
    <w:p>
      <w:pPr>
        <w:pStyle w:val="Heading5"/>
        <w:rPr>
          <w:snapToGrid w:val="0"/>
        </w:rPr>
      </w:pPr>
      <w:bookmarkStart w:id="654" w:name="_Toc402776436"/>
      <w:bookmarkStart w:id="655" w:name="_Toc403985299"/>
      <w:bookmarkStart w:id="656" w:name="_Toc59593073"/>
      <w:bookmarkStart w:id="657" w:name="_Toc109702884"/>
      <w:bookmarkStart w:id="658" w:name="_Toc131409970"/>
      <w:r>
        <w:rPr>
          <w:rStyle w:val="CharSectno"/>
        </w:rPr>
        <w:t>51D</w:t>
      </w:r>
      <w:r>
        <w:rPr>
          <w:snapToGrid w:val="0"/>
        </w:rPr>
        <w:t xml:space="preserve">. </w:t>
      </w:r>
      <w:r>
        <w:rPr>
          <w:snapToGrid w:val="0"/>
        </w:rPr>
        <w:tab/>
        <w:t>Representation</w:t>
      </w:r>
      <w:bookmarkEnd w:id="654"/>
      <w:bookmarkEnd w:id="655"/>
      <w:bookmarkEnd w:id="656"/>
      <w:bookmarkEnd w:id="657"/>
      <w:bookmarkEnd w:id="658"/>
      <w:r>
        <w:rPr>
          <w:snapToGrid w:val="0"/>
        </w:rPr>
        <w:t xml:space="preserve"> </w:t>
      </w:r>
    </w:p>
    <w:p>
      <w:pPr>
        <w:pStyle w:val="Subsection"/>
        <w:rPr>
          <w:snapToGrid w:val="0"/>
        </w:rPr>
      </w:pPr>
      <w:r>
        <w:rPr>
          <w:snapToGrid w:val="0"/>
        </w:rPr>
        <w:tab/>
      </w:r>
      <w:r>
        <w:rPr>
          <w:snapToGrid w:val="0"/>
        </w:rPr>
        <w:tab/>
        <w:t>In the hearing and determination of a matter under section 51C(1)(a) before a safety and health magistrate a party may appear personally or be represented by any agent, including a legal practitioner.</w:t>
      </w:r>
    </w:p>
    <w:p>
      <w:pPr>
        <w:pStyle w:val="Footnotesection"/>
      </w:pPr>
      <w:r>
        <w:tab/>
        <w:t xml:space="preserve">[Section 51D inserted by No. 30 of 1995 s. 39.] </w:t>
      </w:r>
    </w:p>
    <w:p>
      <w:pPr>
        <w:pStyle w:val="Heading5"/>
        <w:rPr>
          <w:snapToGrid w:val="0"/>
        </w:rPr>
      </w:pPr>
      <w:bookmarkStart w:id="659" w:name="_Toc402776437"/>
      <w:bookmarkStart w:id="660" w:name="_Toc403985300"/>
      <w:bookmarkStart w:id="661" w:name="_Toc59593074"/>
      <w:bookmarkStart w:id="662" w:name="_Toc109702885"/>
      <w:bookmarkStart w:id="663" w:name="_Toc131409971"/>
      <w:r>
        <w:rPr>
          <w:rStyle w:val="CharSectno"/>
        </w:rPr>
        <w:t>51E</w:t>
      </w:r>
      <w:r>
        <w:rPr>
          <w:snapToGrid w:val="0"/>
        </w:rPr>
        <w:t xml:space="preserve">. </w:t>
      </w:r>
      <w:r>
        <w:rPr>
          <w:snapToGrid w:val="0"/>
        </w:rPr>
        <w:tab/>
        <w:t>Administrative arrangements</w:t>
      </w:r>
      <w:bookmarkEnd w:id="659"/>
      <w:bookmarkEnd w:id="660"/>
      <w:bookmarkEnd w:id="661"/>
      <w:bookmarkEnd w:id="662"/>
      <w:bookmarkEnd w:id="663"/>
      <w:r>
        <w:rPr>
          <w:snapToGrid w:val="0"/>
        </w:rPr>
        <w:t xml:space="preserve"> </w:t>
      </w:r>
    </w:p>
    <w:p>
      <w:pPr>
        <w:pStyle w:val="Subsection"/>
        <w:rPr>
          <w:snapToGrid w:val="0"/>
        </w:rPr>
      </w:pPr>
      <w:r>
        <w:rPr>
          <w:snapToGrid w:val="0"/>
        </w:rPr>
        <w:tab/>
      </w:r>
      <w:r>
        <w:rPr>
          <w:snapToGrid w:val="0"/>
        </w:rPr>
        <w:tab/>
        <w:t xml:space="preserve">The </w:t>
      </w:r>
      <w:r>
        <w:t xml:space="preserve">Chief Magistrate of the Magistrates Court </w:t>
      </w:r>
      <w:r>
        <w:rPr>
          <w:snapToGrid w:val="0"/>
        </w:rPr>
        <w:t>shall make such administrative arrangements as are necessary to enable a safety and health magistrate to carry out functions under this Act.</w:t>
      </w:r>
    </w:p>
    <w:p>
      <w:pPr>
        <w:pStyle w:val="Footnotesection"/>
      </w:pPr>
      <w:r>
        <w:tab/>
        <w:t xml:space="preserve">[Section 51E inserted by No. 30 of 1995 s. 39; amended by No. 59 of 2004 s. 141.] </w:t>
      </w:r>
    </w:p>
    <w:p>
      <w:pPr>
        <w:pStyle w:val="Heading2"/>
      </w:pPr>
      <w:bookmarkStart w:id="664" w:name="_Toc100545232"/>
      <w:bookmarkStart w:id="665" w:name="_Toc100716711"/>
      <w:bookmarkStart w:id="666" w:name="_Toc102546300"/>
      <w:bookmarkStart w:id="667" w:name="_Toc103141523"/>
      <w:bookmarkStart w:id="668" w:name="_Toc105909135"/>
      <w:bookmarkStart w:id="669" w:name="_Toc105922021"/>
      <w:bookmarkStart w:id="670" w:name="_Toc106616859"/>
      <w:bookmarkStart w:id="671" w:name="_Toc108848603"/>
      <w:bookmarkStart w:id="672" w:name="_Toc109702886"/>
      <w:bookmarkStart w:id="673" w:name="_Toc113700443"/>
      <w:bookmarkStart w:id="674" w:name="_Toc113779101"/>
      <w:bookmarkStart w:id="675" w:name="_Toc122767482"/>
      <w:bookmarkStart w:id="676" w:name="_Toc122767725"/>
      <w:bookmarkStart w:id="677" w:name="_Toc131409972"/>
      <w:bookmarkStart w:id="678" w:name="_Toc88990694"/>
      <w:bookmarkStart w:id="679" w:name="_Toc89568256"/>
      <w:bookmarkStart w:id="680" w:name="_Toc93200966"/>
      <w:bookmarkStart w:id="681" w:name="_Toc97006637"/>
      <w:r>
        <w:rPr>
          <w:rStyle w:val="CharPartNo"/>
        </w:rPr>
        <w:t>Part VIB</w:t>
      </w:r>
      <w:r>
        <w:t> — </w:t>
      </w:r>
      <w:r>
        <w:rPr>
          <w:rStyle w:val="CharPartText"/>
        </w:rPr>
        <w:t>Occupational Safety and Health Tribunal</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Footnoteheading"/>
        <w:rPr>
          <w:snapToGrid w:val="0"/>
        </w:rPr>
      </w:pPr>
      <w:r>
        <w:rPr>
          <w:snapToGrid w:val="0"/>
        </w:rPr>
        <w:tab/>
        <w:t xml:space="preserve">[Heading inserted by No. 51 of 2004 s. 67.] </w:t>
      </w:r>
    </w:p>
    <w:p>
      <w:pPr>
        <w:pStyle w:val="Heading5"/>
      </w:pPr>
      <w:bookmarkStart w:id="682" w:name="_Toc109702887"/>
      <w:bookmarkStart w:id="683" w:name="_Toc131409973"/>
      <w:r>
        <w:rPr>
          <w:rStyle w:val="CharSectno"/>
        </w:rPr>
        <w:t>51F</w:t>
      </w:r>
      <w:r>
        <w:t>.</w:t>
      </w:r>
      <w:r>
        <w:tab/>
        <w:t>Interpretation</w:t>
      </w:r>
      <w:bookmarkEnd w:id="682"/>
      <w:bookmarkEnd w:id="683"/>
    </w:p>
    <w:p>
      <w:pPr>
        <w:pStyle w:val="Subsection"/>
      </w:pPr>
      <w:r>
        <w:tab/>
      </w:r>
      <w:r>
        <w:tab/>
        <w:t xml:space="preserve">In this Part — </w:t>
      </w:r>
    </w:p>
    <w:p>
      <w:pPr>
        <w:pStyle w:val="Defstart"/>
      </w:pPr>
      <w:r>
        <w:rPr>
          <w:b/>
        </w:rPr>
        <w:tab/>
        <w:t>“</w:t>
      </w:r>
      <w:r>
        <w:rPr>
          <w:rStyle w:val="CharDefText"/>
        </w:rPr>
        <w:t>Commission</w:t>
      </w:r>
      <w:r>
        <w:rPr>
          <w:b/>
        </w:rPr>
        <w:t>”</w:t>
      </w:r>
      <w:r>
        <w:t xml:space="preserve"> and </w:t>
      </w:r>
      <w:r>
        <w:rPr>
          <w:b/>
        </w:rPr>
        <w:t>“</w:t>
      </w:r>
      <w:r>
        <w:rPr>
          <w:rStyle w:val="CharDefText"/>
        </w:rPr>
        <w:t>Chief Commissioner</w:t>
      </w:r>
      <w:r>
        <w:rPr>
          <w:b/>
        </w:rPr>
        <w:t>”</w:t>
      </w:r>
      <w:r>
        <w:t xml:space="preserve"> have the meanings given to those terms in section 7(1) of the </w:t>
      </w:r>
      <w:r>
        <w:rPr>
          <w:i/>
        </w:rPr>
        <w:t>Industrial Relations Act 1979</w:t>
      </w:r>
      <w:r>
        <w:t>;</w:t>
      </w:r>
    </w:p>
    <w:p>
      <w:pPr>
        <w:pStyle w:val="Defstart"/>
      </w:pPr>
      <w:r>
        <w:rPr>
          <w:b/>
        </w:rPr>
        <w:tab/>
        <w:t>“</w:t>
      </w:r>
      <w:r>
        <w:rPr>
          <w:rStyle w:val="CharDefText"/>
        </w:rPr>
        <w:t>matter</w:t>
      </w:r>
      <w:r>
        <w:rPr>
          <w:b/>
        </w:rPr>
        <w:t>”</w:t>
      </w:r>
      <w:r>
        <w:t xml:space="preserve"> includes a claim under section 35C.</w:t>
      </w:r>
    </w:p>
    <w:p>
      <w:pPr>
        <w:pStyle w:val="Footnotesection"/>
      </w:pPr>
      <w:r>
        <w:tab/>
        <w:t xml:space="preserve">[Section 51F inserted by No. 51 of 2004 s. 67.] </w:t>
      </w:r>
    </w:p>
    <w:p>
      <w:pPr>
        <w:pStyle w:val="Heading5"/>
      </w:pPr>
      <w:bookmarkStart w:id="684" w:name="_Toc109702888"/>
      <w:bookmarkStart w:id="685" w:name="_Toc131409974"/>
      <w:r>
        <w:rPr>
          <w:rStyle w:val="CharSectno"/>
        </w:rPr>
        <w:t>51G</w:t>
      </w:r>
      <w:r>
        <w:t>.</w:t>
      </w:r>
      <w:r>
        <w:tab/>
        <w:t>Industrial Relations Commission sitting as the Occupational Safety and Health Tribunal</w:t>
      </w:r>
      <w:bookmarkEnd w:id="684"/>
      <w:bookmarkEnd w:id="685"/>
      <w:r>
        <w:t xml:space="preserve"> </w:t>
      </w:r>
    </w:p>
    <w:p>
      <w:pPr>
        <w:pStyle w:val="Subsection"/>
      </w:pPr>
      <w:r>
        <w:tab/>
        <w:t>(1)</w:t>
      </w:r>
      <w:r>
        <w:tab/>
        <w:t>By this subsection the Commission has jurisdiction to hear and determine matters that may be referred for determination under sections 28(2), 30(6), 30A(4), 31(11), 34(1), 35(3), 35C, 39G(1), (2) and (3) and 51A(1).</w:t>
      </w:r>
    </w:p>
    <w:p>
      <w:pPr>
        <w:pStyle w:val="Subsection"/>
      </w:pPr>
      <w:r>
        <w:tab/>
        <w:t>(2)</w:t>
      </w:r>
      <w:r>
        <w:tab/>
        <w:t xml:space="preserve">When sitting in exercise of the jurisdiction conferred by subsection (1) the Commission is to be known as the Occupational Safety and Health Tribunal (the </w:t>
      </w:r>
      <w:r>
        <w:rPr>
          <w:b/>
        </w:rPr>
        <w:t>“</w:t>
      </w:r>
      <w:r>
        <w:rPr>
          <w:rStyle w:val="CharDefText"/>
        </w:rPr>
        <w:t>Tribunal</w:t>
      </w:r>
      <w:r>
        <w:rPr>
          <w:b/>
        </w:rPr>
        <w:t>”</w:t>
      </w:r>
      <w:r>
        <w:t>).</w:t>
      </w:r>
    </w:p>
    <w:p>
      <w:pPr>
        <w:pStyle w:val="Subsection"/>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pPr>
      <w:r>
        <w:tab/>
        <w:t xml:space="preserve">[Section 51G inserted by No. 51 of 2004 s. 67.] </w:t>
      </w:r>
    </w:p>
    <w:p>
      <w:pPr>
        <w:pStyle w:val="Heading5"/>
      </w:pPr>
      <w:bookmarkStart w:id="686" w:name="_Toc109702889"/>
      <w:bookmarkStart w:id="687" w:name="_Toc131409975"/>
      <w:r>
        <w:rPr>
          <w:rStyle w:val="CharSectno"/>
        </w:rPr>
        <w:t>51H</w:t>
      </w:r>
      <w:r>
        <w:t>.</w:t>
      </w:r>
      <w:r>
        <w:tab/>
        <w:t>Jurisdiction to be exercised by Commissioner with requisite qualifications</w:t>
      </w:r>
      <w:bookmarkEnd w:id="686"/>
      <w:bookmarkEnd w:id="687"/>
    </w:p>
    <w:p>
      <w:pPr>
        <w:pStyle w:val="Subsection"/>
      </w:pPr>
      <w:r>
        <w:tab/>
        <w:t>(1)</w:t>
      </w:r>
      <w:r>
        <w:tab/>
        <w:t xml:space="preserve">The jurisdiction conferred by section 51G in respect of any matter is to be exercised — </w:t>
      </w:r>
    </w:p>
    <w:p>
      <w:pPr>
        <w:pStyle w:val="Indenta"/>
      </w:pPr>
      <w:r>
        <w:tab/>
        <w:t>(a)</w:t>
      </w:r>
      <w:r>
        <w:tab/>
        <w:t xml:space="preserve">by the Commissioner appointed for the purposes of section 8(2a) of the </w:t>
      </w:r>
      <w:r>
        <w:rPr>
          <w:i/>
        </w:rPr>
        <w:t>Industrial Relations Act 1979</w:t>
      </w:r>
      <w:r>
        <w:t>; or</w:t>
      </w:r>
    </w:p>
    <w:p>
      <w:pPr>
        <w:pStyle w:val="Indenta"/>
      </w:pPr>
      <w:r>
        <w:tab/>
        <w:t>(b)</w:t>
      </w:r>
      <w:r>
        <w:tab/>
        <w:t xml:space="preserve">if that Commissioner is unable to act by reason of sickness, absence or other cause —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Footnotesection"/>
      </w:pPr>
      <w:r>
        <w:tab/>
        <w:t xml:space="preserve">[Section 51H inserted by No. 51 of 2004 s. 67.] </w:t>
      </w:r>
    </w:p>
    <w:p>
      <w:pPr>
        <w:pStyle w:val="Heading5"/>
      </w:pPr>
      <w:bookmarkStart w:id="688" w:name="_Toc109702890"/>
      <w:bookmarkStart w:id="689" w:name="_Toc131409976"/>
      <w:r>
        <w:rPr>
          <w:rStyle w:val="CharSectno"/>
        </w:rPr>
        <w:t>51I</w:t>
      </w:r>
      <w:r>
        <w:t>.</w:t>
      </w:r>
      <w:r>
        <w:tab/>
        <w:t>Practice, procedure and appeals</w:t>
      </w:r>
      <w:bookmarkEnd w:id="688"/>
      <w:bookmarkEnd w:id="689"/>
    </w:p>
    <w:p>
      <w:pPr>
        <w:pStyle w:val="Subsection"/>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 </w:t>
      </w:r>
    </w:p>
    <w:p>
      <w:pPr>
        <w:pStyle w:val="Indenta"/>
      </w:pPr>
      <w:r>
        <w:tab/>
        <w:t>(a)</w:t>
      </w:r>
      <w:r>
        <w:tab/>
        <w:t xml:space="preserve">with such modifications as are prescribed under section 113 of that Act; and </w:t>
      </w:r>
    </w:p>
    <w:p>
      <w:pPr>
        <w:pStyle w:val="Indenta"/>
      </w:pPr>
      <w:r>
        <w:tab/>
        <w:t>(b)</w:t>
      </w:r>
      <w:r>
        <w:tab/>
        <w:t>with such other modifications as may be necessary or appropriate.</w:t>
      </w:r>
    </w:p>
    <w:p>
      <w:pPr>
        <w:pStyle w:val="Subsection"/>
      </w:pPr>
      <w:r>
        <w:tab/>
        <w:t>(2)</w:t>
      </w:r>
      <w:r>
        <w:tab/>
        <w:t xml:space="preserve">For the purposes of subsection (1), section 31(1) of the </w:t>
      </w:r>
      <w:r>
        <w:rPr>
          <w:i/>
        </w:rPr>
        <w:t>Industrial Relations Act 1979</w:t>
      </w:r>
      <w:r>
        <w:t xml:space="preserve"> applies as if paragraph (c) were deleted and the following paragraph were inserted instead — </w:t>
      </w:r>
    </w:p>
    <w:p>
      <w:pPr>
        <w:pStyle w:val="MiscOpen"/>
      </w:pPr>
      <w:r>
        <w:tab/>
        <w:t xml:space="preserve">“    </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 xml:space="preserve">[Section 51I inserted by No. 51 of 2004 s. 67.] </w:t>
      </w:r>
    </w:p>
    <w:p>
      <w:pPr>
        <w:pStyle w:val="Heading5"/>
      </w:pPr>
      <w:bookmarkStart w:id="690" w:name="_Toc109702891"/>
      <w:bookmarkStart w:id="691" w:name="_Toc131409977"/>
      <w:r>
        <w:rPr>
          <w:rStyle w:val="CharSectno"/>
        </w:rPr>
        <w:t>51J</w:t>
      </w:r>
      <w:r>
        <w:t>.</w:t>
      </w:r>
      <w:r>
        <w:tab/>
        <w:t>Conciliation</w:t>
      </w:r>
      <w:bookmarkEnd w:id="690"/>
      <w:bookmarkEnd w:id="691"/>
    </w:p>
    <w:p>
      <w:pPr>
        <w:pStyle w:val="Subsection"/>
      </w:pPr>
      <w:r>
        <w:tab/>
        <w:t>(1)</w:t>
      </w:r>
      <w:r>
        <w:tab/>
        <w:t>This section applies where a matter has been referred to the Tribunal for determination under section 28(2), 30(6), 30A(4), 31(11), 35(3) or 39G.</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 xml:space="preserve">If the Tribunal —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 xml:space="preserve">In making a determination mentioned in subsection (6) the Tribunal is to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 xml:space="preserve">[Section 51J inserted by No. 51 of 2004 s. 67.] </w:t>
      </w:r>
    </w:p>
    <w:p>
      <w:pPr>
        <w:pStyle w:val="Heading5"/>
      </w:pPr>
      <w:bookmarkStart w:id="692" w:name="_Toc109702892"/>
      <w:bookmarkStart w:id="693" w:name="_Toc131409978"/>
      <w:r>
        <w:rPr>
          <w:rStyle w:val="CharSectno"/>
        </w:rPr>
        <w:t>51K</w:t>
      </w:r>
      <w:r>
        <w:t>.</w:t>
      </w:r>
      <w:r>
        <w:tab/>
        <w:t>Certain matters to be heard together</w:t>
      </w:r>
      <w:bookmarkEnd w:id="692"/>
      <w:bookmarkEnd w:id="693"/>
    </w:p>
    <w:p>
      <w:pPr>
        <w:pStyle w:val="Subsection"/>
      </w:pPr>
      <w:r>
        <w:tab/>
        <w:t>(1)</w:t>
      </w:r>
      <w:r>
        <w:tab/>
        <w:t xml:space="preserve">The section applies if —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 xml:space="preserve">a matter —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 xml:space="preserve">If —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 xml:space="preserve">[Section 51K inserted by No. 51 of 2004 s. 67.] </w:t>
      </w:r>
    </w:p>
    <w:p>
      <w:pPr>
        <w:pStyle w:val="Heading2"/>
      </w:pPr>
      <w:bookmarkStart w:id="694" w:name="_Toc100545239"/>
      <w:bookmarkStart w:id="695" w:name="_Toc100716718"/>
      <w:bookmarkStart w:id="696" w:name="_Toc102546307"/>
      <w:bookmarkStart w:id="697" w:name="_Toc103141530"/>
      <w:bookmarkStart w:id="698" w:name="_Toc105909142"/>
      <w:bookmarkStart w:id="699" w:name="_Toc105922028"/>
      <w:bookmarkStart w:id="700" w:name="_Toc106616866"/>
      <w:bookmarkStart w:id="701" w:name="_Toc108848610"/>
      <w:bookmarkStart w:id="702" w:name="_Toc109702893"/>
      <w:bookmarkStart w:id="703" w:name="_Toc113700450"/>
      <w:bookmarkStart w:id="704" w:name="_Toc113779108"/>
      <w:bookmarkStart w:id="705" w:name="_Toc122767489"/>
      <w:bookmarkStart w:id="706" w:name="_Toc122767732"/>
      <w:bookmarkStart w:id="707" w:name="_Toc131409979"/>
      <w:r>
        <w:rPr>
          <w:rStyle w:val="CharPartNo"/>
        </w:rPr>
        <w:t>Part VII</w:t>
      </w:r>
      <w:r>
        <w:t> — </w:t>
      </w:r>
      <w:r>
        <w:rPr>
          <w:rStyle w:val="CharPartText"/>
        </w:rPr>
        <w:t>Legal proceedings</w:t>
      </w:r>
      <w:bookmarkEnd w:id="678"/>
      <w:bookmarkEnd w:id="679"/>
      <w:bookmarkEnd w:id="680"/>
      <w:bookmarkEnd w:id="681"/>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708" w:name="_Toc93200967"/>
      <w:bookmarkStart w:id="709" w:name="_Toc97006638"/>
      <w:bookmarkStart w:id="710" w:name="_Toc100545240"/>
      <w:bookmarkStart w:id="711" w:name="_Toc100716719"/>
      <w:bookmarkStart w:id="712" w:name="_Toc102546308"/>
      <w:bookmarkStart w:id="713" w:name="_Toc103141531"/>
      <w:bookmarkStart w:id="714" w:name="_Toc105909143"/>
      <w:bookmarkStart w:id="715" w:name="_Toc105922029"/>
      <w:bookmarkStart w:id="716" w:name="_Toc106616867"/>
      <w:bookmarkStart w:id="717" w:name="_Toc108848611"/>
      <w:bookmarkStart w:id="718" w:name="_Toc109702894"/>
      <w:bookmarkStart w:id="719" w:name="_Toc113700451"/>
      <w:bookmarkStart w:id="720" w:name="_Toc113779109"/>
      <w:bookmarkStart w:id="721" w:name="_Toc122767490"/>
      <w:bookmarkStart w:id="722" w:name="_Toc122767733"/>
      <w:bookmarkStart w:id="723" w:name="_Toc131409980"/>
      <w:bookmarkStart w:id="724" w:name="_Toc402776438"/>
      <w:bookmarkStart w:id="725" w:name="_Toc403985301"/>
      <w:bookmarkStart w:id="726" w:name="_Toc59593075"/>
      <w:r>
        <w:rPr>
          <w:rStyle w:val="CharDivNo"/>
        </w:rPr>
        <w:t>Division 1</w:t>
      </w:r>
      <w:r>
        <w:t> — </w:t>
      </w:r>
      <w:r>
        <w:rPr>
          <w:rStyle w:val="CharDivText"/>
        </w:rPr>
        <w:t>General provisions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Footnoteheading"/>
        <w:tabs>
          <w:tab w:val="left" w:pos="851"/>
        </w:tabs>
      </w:pPr>
      <w:r>
        <w:tab/>
        <w:t>[Heading inserted by No. 51 of 2004 s. 30.]</w:t>
      </w:r>
    </w:p>
    <w:p>
      <w:pPr>
        <w:pStyle w:val="Heading5"/>
        <w:rPr>
          <w:snapToGrid w:val="0"/>
        </w:rPr>
      </w:pPr>
      <w:bookmarkStart w:id="727" w:name="_Toc109702895"/>
      <w:bookmarkStart w:id="728" w:name="_Toc131409981"/>
      <w:r>
        <w:rPr>
          <w:rStyle w:val="CharSectno"/>
        </w:rPr>
        <w:t>52</w:t>
      </w:r>
      <w:r>
        <w:rPr>
          <w:snapToGrid w:val="0"/>
        </w:rPr>
        <w:t>.</w:t>
      </w:r>
      <w:r>
        <w:rPr>
          <w:snapToGrid w:val="0"/>
        </w:rPr>
        <w:tab/>
        <w:t>Prosecutions</w:t>
      </w:r>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 xml:space="preserve">[Section 52 inserted by No. 43 of 1987 s. 13; amended by No. 30 of 1995 s. 40; No. 63 of 1998 s. 5(1); No. 59 of 2004 s. 141.] </w:t>
      </w:r>
    </w:p>
    <w:p>
      <w:pPr>
        <w:pStyle w:val="Heading5"/>
        <w:rPr>
          <w:snapToGrid w:val="0"/>
        </w:rPr>
      </w:pPr>
      <w:bookmarkStart w:id="729" w:name="_Toc402776439"/>
      <w:bookmarkStart w:id="730" w:name="_Toc403985302"/>
      <w:bookmarkStart w:id="731" w:name="_Toc59593076"/>
      <w:bookmarkStart w:id="732" w:name="_Toc109702896"/>
      <w:bookmarkStart w:id="733" w:name="_Toc131409982"/>
      <w:r>
        <w:rPr>
          <w:rStyle w:val="CharSectno"/>
        </w:rPr>
        <w:t>53</w:t>
      </w:r>
      <w:r>
        <w:rPr>
          <w:snapToGrid w:val="0"/>
        </w:rPr>
        <w:t>.</w:t>
      </w:r>
      <w:r>
        <w:rPr>
          <w:snapToGrid w:val="0"/>
        </w:rPr>
        <w:tab/>
        <w:t>Evidentiary provisions</w:t>
      </w:r>
      <w:bookmarkEnd w:id="729"/>
      <w:bookmarkEnd w:id="730"/>
      <w:bookmarkEnd w:id="731"/>
      <w:bookmarkEnd w:id="732"/>
      <w:bookmarkEnd w:id="733"/>
      <w:r>
        <w:rPr>
          <w:snapToGrid w:val="0"/>
        </w:rPr>
        <w:t xml:space="preserve"> </w:t>
      </w:r>
    </w:p>
    <w:p>
      <w:pPr>
        <w:pStyle w:val="Subsection"/>
        <w:rPr>
          <w:snapToGrid w:val="0"/>
        </w:rPr>
      </w:pPr>
      <w:r>
        <w:rPr>
          <w:snapToGrid w:val="0"/>
        </w:rPr>
        <w:tab/>
        <w:t>(1)</w:t>
      </w:r>
      <w:r>
        <w:rPr>
          <w:snapToGrid w:val="0"/>
        </w:rPr>
        <w:tab/>
        <w:t>In proceedings for an offence against this Act an averment in the charge that at a particular time —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 xml:space="preserve">a particular person had — </w:t>
      </w:r>
    </w:p>
    <w:p>
      <w:pPr>
        <w:pStyle w:val="Indenti"/>
        <w:rPr>
          <w:snapToGrid w:val="0"/>
        </w:rPr>
      </w:pPr>
      <w:r>
        <w:rPr>
          <w:snapToGrid w:val="0"/>
        </w:rPr>
        <w:tab/>
        <w:t>(i)</w:t>
      </w:r>
      <w:r>
        <w:rPr>
          <w:snapToGrid w:val="0"/>
        </w:rPr>
        <w:tab/>
        <w:t>control of a particular workplace; or</w:t>
      </w:r>
    </w:p>
    <w:p>
      <w:pPr>
        <w:pStyle w:val="Indenti"/>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 xml:space="preserve">[Section 53 inserted by No. 43 of 1987 s. 13; amended by No. 30 of 1995 s. 41; No. 10 of 1998 s. 56; No. 51 of 2004 s. 111; No. 84 of 2004 s. 80.] </w:t>
      </w:r>
    </w:p>
    <w:p>
      <w:pPr>
        <w:pStyle w:val="Heading5"/>
      </w:pPr>
      <w:bookmarkStart w:id="734" w:name="_Toc109702897"/>
      <w:bookmarkStart w:id="735" w:name="_Toc131409983"/>
      <w:bookmarkStart w:id="736" w:name="_Toc402776442"/>
      <w:bookmarkStart w:id="737" w:name="_Toc403985304"/>
      <w:bookmarkStart w:id="738" w:name="_Toc59593078"/>
      <w:r>
        <w:rPr>
          <w:rStyle w:val="CharSectno"/>
        </w:rPr>
        <w:t>54</w:t>
      </w:r>
      <w:r>
        <w:t>.</w:t>
      </w:r>
      <w:r>
        <w:tab/>
        <w:t>General penalty</w:t>
      </w:r>
      <w:bookmarkEnd w:id="734"/>
      <w:bookmarkEnd w:id="735"/>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736"/>
    <w:bookmarkEnd w:id="737"/>
    <w:bookmarkEnd w:id="738"/>
    <w:p>
      <w:pPr>
        <w:pStyle w:val="Ednotesection"/>
      </w:pPr>
      <w:r>
        <w:t>[</w:t>
      </w:r>
      <w:r>
        <w:rPr>
          <w:b/>
        </w:rPr>
        <w:t>54AA.</w:t>
      </w:r>
      <w:r>
        <w:tab/>
        <w:t>Repealed by No. 51 of 2004 s. 32.]</w:t>
      </w:r>
    </w:p>
    <w:p>
      <w:pPr>
        <w:pStyle w:val="Heading5"/>
        <w:spacing w:before="180"/>
        <w:rPr>
          <w:snapToGrid w:val="0"/>
        </w:rPr>
      </w:pPr>
      <w:bookmarkStart w:id="739" w:name="_Toc402776441"/>
      <w:bookmarkStart w:id="740" w:name="_Toc403985305"/>
      <w:bookmarkStart w:id="741" w:name="_Toc59593079"/>
      <w:bookmarkStart w:id="742" w:name="_Toc109702898"/>
      <w:bookmarkStart w:id="743" w:name="_Toc131409984"/>
      <w:r>
        <w:rPr>
          <w:rStyle w:val="CharSectno"/>
        </w:rPr>
        <w:t>54A</w:t>
      </w:r>
      <w:r>
        <w:rPr>
          <w:snapToGrid w:val="0"/>
        </w:rPr>
        <w:t xml:space="preserve">. </w:t>
      </w:r>
      <w:r>
        <w:rPr>
          <w:snapToGrid w:val="0"/>
        </w:rPr>
        <w:tab/>
        <w:t>Continuing offences</w:t>
      </w:r>
      <w:bookmarkEnd w:id="739"/>
      <w:bookmarkEnd w:id="740"/>
      <w:bookmarkEnd w:id="741"/>
      <w:bookmarkEnd w:id="742"/>
      <w:bookmarkEnd w:id="743"/>
      <w:r>
        <w:rPr>
          <w:snapToGrid w:val="0"/>
        </w:rPr>
        <w:t xml:space="preserve"> </w:t>
      </w:r>
    </w:p>
    <w:p>
      <w:pPr>
        <w:pStyle w:val="Subsection"/>
        <w:spacing w:before="120"/>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 xml:space="preserve">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spacing w:before="120"/>
        <w:rPr>
          <w:snapToGrid w:val="0"/>
        </w:rPr>
      </w:pPr>
      <w:r>
        <w:tab/>
      </w:r>
      <w:r>
        <w:tab/>
        <w:t>for every day on which the offence is so continued</w:t>
      </w:r>
      <w:r>
        <w:rPr>
          <w:snapToGrid w:val="0"/>
        </w:rPr>
        <w:t>.</w:t>
      </w:r>
    </w:p>
    <w:p>
      <w:pPr>
        <w:pStyle w:val="Footnotesection"/>
        <w:spacing w:before="100"/>
        <w:ind w:left="890" w:hanging="890"/>
      </w:pPr>
      <w:r>
        <w:tab/>
        <w:t xml:space="preserve">[Section 54A inserted by No. 30 of 1995 s. 42; amended by No. 51 of 2004 s. 33 and 103.] </w:t>
      </w:r>
    </w:p>
    <w:p>
      <w:pPr>
        <w:pStyle w:val="Heading5"/>
        <w:spacing w:before="120"/>
        <w:rPr>
          <w:snapToGrid w:val="0"/>
        </w:rPr>
      </w:pPr>
      <w:bookmarkStart w:id="744" w:name="_Toc402776443"/>
      <w:bookmarkStart w:id="745" w:name="_Toc403985306"/>
      <w:bookmarkStart w:id="746" w:name="_Toc59593080"/>
      <w:bookmarkStart w:id="747" w:name="_Toc109702899"/>
      <w:bookmarkStart w:id="748" w:name="_Toc131409985"/>
      <w:r>
        <w:rPr>
          <w:rStyle w:val="CharSectno"/>
        </w:rPr>
        <w:t>54B</w:t>
      </w:r>
      <w:r>
        <w:rPr>
          <w:snapToGrid w:val="0"/>
        </w:rPr>
        <w:t xml:space="preserve">. </w:t>
      </w:r>
      <w:r>
        <w:rPr>
          <w:snapToGrid w:val="0"/>
        </w:rPr>
        <w:tab/>
        <w:t>Appeals</w:t>
      </w:r>
      <w:bookmarkEnd w:id="744"/>
      <w:bookmarkEnd w:id="745"/>
      <w:bookmarkEnd w:id="746"/>
      <w:bookmarkEnd w:id="747"/>
      <w:bookmarkEnd w:id="748"/>
      <w:r>
        <w:rPr>
          <w:snapToGrid w:val="0"/>
        </w:rPr>
        <w:t xml:space="preserve"> </w:t>
      </w:r>
    </w:p>
    <w:p>
      <w:pPr>
        <w:pStyle w:val="Subsection"/>
        <w:spacing w:before="100"/>
      </w:pPr>
      <w:r>
        <w:tab/>
        <w:t>(1)</w:t>
      </w:r>
      <w:r>
        <w:tab/>
        <w:t xml:space="preserve">Part 2 of the </w:t>
      </w:r>
      <w:r>
        <w:rPr>
          <w:i/>
        </w:rPr>
        <w:t xml:space="preserve">Criminal Appeals Act 2004 </w:t>
      </w:r>
      <w:r>
        <w:t>applies in respect of decisions of a safety and health magistrate made under section 52.</w:t>
      </w:r>
    </w:p>
    <w:p>
      <w:pPr>
        <w:pStyle w:val="Subsection"/>
        <w:spacing w:before="100"/>
        <w:rPr>
          <w:snapToGrid w:val="0"/>
        </w:rPr>
      </w:pPr>
      <w:r>
        <w:rPr>
          <w:snapToGrid w:val="0"/>
        </w:rPr>
        <w:tab/>
        <w:t>(2)</w:t>
      </w:r>
      <w:r>
        <w:rPr>
          <w:snapToGrid w:val="0"/>
        </w:rPr>
        <w:tab/>
        <w:t xml:space="preserve">A party to </w:t>
      </w:r>
      <w:r>
        <w:t>proceedings</w:t>
      </w:r>
      <w:r>
        <w:rPr>
          <w:snapToGrid w:val="0"/>
        </w:rPr>
        <w:t xml:space="preserve"> before a safety and health magistrate, other than proceedings referred to in section 52, may, by leave of the Supreme Court, appeal to the Supreme Court on a question of law against a determination or decision of the safety and health magistrate.</w:t>
      </w:r>
    </w:p>
    <w:p>
      <w:pPr>
        <w:pStyle w:val="Subsection"/>
        <w:rPr>
          <w:snapToGrid w:val="0"/>
        </w:rPr>
      </w:pPr>
      <w:r>
        <w:rPr>
          <w:snapToGrid w:val="0"/>
        </w:rPr>
        <w:tab/>
        <w:t>(3)</w:t>
      </w:r>
      <w:r>
        <w:rPr>
          <w:snapToGrid w:val="0"/>
        </w:rPr>
        <w:tab/>
        <w:t>An appeal or an application for leave to appeal to the Supreme Court under subsection (2) shall be brought in the manner and in the time prescribed by rules made by the Supreme Court and shall be heard and determined by a single judge of the Supreme Court.</w:t>
      </w:r>
    </w:p>
    <w:p>
      <w:pPr>
        <w:pStyle w:val="Subsection"/>
        <w:rPr>
          <w:snapToGrid w:val="0"/>
        </w:rPr>
      </w:pPr>
      <w:r>
        <w:rPr>
          <w:snapToGrid w:val="0"/>
        </w:rPr>
        <w:tab/>
        <w:t>(4)</w:t>
      </w:r>
      <w:r>
        <w:rPr>
          <w:snapToGrid w:val="0"/>
        </w:rPr>
        <w:tab/>
        <w:t>Without limiting the rules of the Supreme Court, where an appeal under subsection (2) has commenced, the court — </w:t>
      </w:r>
    </w:p>
    <w:p>
      <w:pPr>
        <w:pStyle w:val="Indenta"/>
        <w:rPr>
          <w:snapToGrid w:val="0"/>
        </w:rPr>
      </w:pPr>
      <w:r>
        <w:rPr>
          <w:snapToGrid w:val="0"/>
        </w:rPr>
        <w:tab/>
        <w:t>(a)</w:t>
      </w:r>
      <w:r>
        <w:rPr>
          <w:snapToGrid w:val="0"/>
        </w:rPr>
        <w:tab/>
        <w:t>may suspend the operation or effect of the determination or decision appealed against until the appeal is determined or is withdrawn; and</w:t>
      </w:r>
    </w:p>
    <w:p>
      <w:pPr>
        <w:pStyle w:val="Indenta"/>
        <w:rPr>
          <w:snapToGrid w:val="0"/>
        </w:rPr>
      </w:pPr>
      <w:r>
        <w:rPr>
          <w:snapToGrid w:val="0"/>
        </w:rPr>
        <w:tab/>
        <w:t>(b)</w:t>
      </w:r>
      <w:r>
        <w:rPr>
          <w:snapToGrid w:val="0"/>
        </w:rPr>
        <w:tab/>
        <w:t>may revoke any such suspension.</w:t>
      </w:r>
    </w:p>
    <w:p>
      <w:pPr>
        <w:pStyle w:val="Footnotesection"/>
      </w:pPr>
      <w:r>
        <w:tab/>
        <w:t xml:space="preserve">[Section 54B inserted by No. 30 of 1995 s. 42; amended by No. 59 of 2004 s. 141; No. 84 of 2004 s. 78.] </w:t>
      </w:r>
    </w:p>
    <w:p>
      <w:pPr>
        <w:pStyle w:val="Heading5"/>
        <w:rPr>
          <w:snapToGrid w:val="0"/>
        </w:rPr>
      </w:pPr>
      <w:bookmarkStart w:id="749" w:name="_Toc402776444"/>
      <w:bookmarkStart w:id="750" w:name="_Toc403985307"/>
      <w:bookmarkStart w:id="751" w:name="_Toc59593081"/>
      <w:bookmarkStart w:id="752" w:name="_Toc109702900"/>
      <w:bookmarkStart w:id="753" w:name="_Toc131409986"/>
      <w:r>
        <w:rPr>
          <w:rStyle w:val="CharSectno"/>
        </w:rPr>
        <w:t>55</w:t>
      </w:r>
      <w:r>
        <w:rPr>
          <w:snapToGrid w:val="0"/>
        </w:rPr>
        <w:t>.</w:t>
      </w:r>
      <w:r>
        <w:rPr>
          <w:snapToGrid w:val="0"/>
        </w:rPr>
        <w:tab/>
        <w:t>Offences by bodies corporate</w:t>
      </w:r>
      <w:bookmarkEnd w:id="749"/>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 xml:space="preserve">Despite subsection (1), if a body corporate is guilty of an offence under section 19A(1), 21A(1), 21C(1), 22A(1), 23AA(1), 23B(1) or 23H(1) the following provisions apply — </w:t>
      </w:r>
    </w:p>
    <w:p>
      <w:pPr>
        <w:pStyle w:val="Indenta"/>
      </w:pPr>
      <w:r>
        <w:tab/>
        <w:t>(a)</w:t>
      </w:r>
      <w:r>
        <w:tab/>
        <w:t xml:space="preserve">a person referred to in subsection (1) is guilty of that offence if it is proved that — </w:t>
      </w:r>
    </w:p>
    <w:p>
      <w:pPr>
        <w:pStyle w:val="Indenti"/>
      </w:pPr>
      <w:r>
        <w:tab/>
        <w:t>(i)</w:t>
      </w:r>
      <w:r>
        <w:tab/>
        <w:t>the offence was attributable to any neglect on the part of the person; or</w:t>
      </w:r>
    </w:p>
    <w:p>
      <w:pPr>
        <w:pStyle w:val="Indenti"/>
      </w:pPr>
      <w:r>
        <w:tab/>
        <w:t>(ii)</w:t>
      </w:r>
      <w:r>
        <w:tab/>
        <w:t>the person consented to or connived in the acts or omissions to which section 18A(2)(a)(ii) applied that were proved against the body corporate,</w:t>
      </w:r>
    </w:p>
    <w:p>
      <w:pPr>
        <w:pStyle w:val="Indenta"/>
      </w:pPr>
      <w:r>
        <w:tab/>
      </w:r>
      <w:r>
        <w:tab/>
        <w:t xml:space="preserve">in circumstances where the person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 person referred to in subsection (1) is guilty of an offence under section 19A(2), 21A(2), 21C(2), 22A(2), 23AA(2), 23B(2) or 23H(2), as the case may require, if it is proved that the offence of the body corporate — </w:t>
      </w:r>
    </w:p>
    <w:p>
      <w:pPr>
        <w:pStyle w:val="Indenti"/>
      </w:pPr>
      <w:r>
        <w:tab/>
        <w:t>(i)</w:t>
      </w:r>
      <w:r>
        <w:tab/>
        <w:t xml:space="preserve">occurred with the consent or connivance of the person; or </w:t>
      </w:r>
    </w:p>
    <w:p>
      <w:pPr>
        <w:pStyle w:val="Indenti"/>
      </w:pPr>
      <w:r>
        <w:tab/>
        <w:t>(ii)</w:t>
      </w:r>
      <w:r>
        <w:tab/>
        <w:t>was attributable to any neglect on the part of the person.</w:t>
      </w:r>
    </w:p>
    <w:p>
      <w:pPr>
        <w:pStyle w:val="Subsection"/>
      </w:pPr>
      <w:r>
        <w:tab/>
        <w:t>(1b)</w:t>
      </w:r>
      <w:r>
        <w:tab/>
        <w:t>A person convicted of an offence by virtue of subsection (1) or (1a) is liable to the penalty to which an individual who is convicted of that offence is liable.</w:t>
      </w:r>
    </w:p>
    <w:p>
      <w:pPr>
        <w:pStyle w:val="Subsection"/>
        <w:keepNext/>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pPr>
      <w:r>
        <w:tab/>
        <w:t xml:space="preserve">[Section 55 inserted by No. 43 of 1987 s. 13; amended by No. 51 of 2004 s. 34, 102(1) and (2).] </w:t>
      </w:r>
    </w:p>
    <w:p>
      <w:pPr>
        <w:pStyle w:val="Heading5"/>
      </w:pPr>
      <w:bookmarkStart w:id="754" w:name="_Toc109702901"/>
      <w:bookmarkStart w:id="755" w:name="_Toc131409987"/>
      <w:bookmarkStart w:id="756" w:name="_Toc88990702"/>
      <w:bookmarkStart w:id="757" w:name="_Toc89568264"/>
      <w:r>
        <w:rPr>
          <w:rStyle w:val="CharSectno"/>
        </w:rPr>
        <w:t>55A</w:t>
      </w:r>
      <w:r>
        <w:t>.</w:t>
      </w:r>
      <w:r>
        <w:tab/>
        <w:t>No double jeopardy</w:t>
      </w:r>
      <w:bookmarkEnd w:id="754"/>
      <w:bookmarkEnd w:id="755"/>
    </w:p>
    <w:p>
      <w:pPr>
        <w:pStyle w:val="Subsection"/>
      </w:pPr>
      <w:r>
        <w:tab/>
      </w:r>
      <w:r>
        <w:tab/>
        <w:t>A person is not liable to be punished twice under this Act in respect of any act or omission.</w:t>
      </w:r>
    </w:p>
    <w:p>
      <w:pPr>
        <w:pStyle w:val="Footnotesection"/>
      </w:pPr>
      <w:r>
        <w:tab/>
        <w:t>[Section 55A inserted by No. 51 of 2004 s. 35.]</w:t>
      </w:r>
    </w:p>
    <w:p>
      <w:pPr>
        <w:pStyle w:val="Heading3"/>
      </w:pPr>
      <w:bookmarkStart w:id="758" w:name="_Toc93200975"/>
      <w:bookmarkStart w:id="759" w:name="_Toc97006646"/>
      <w:bookmarkStart w:id="760" w:name="_Toc100545248"/>
      <w:bookmarkStart w:id="761" w:name="_Toc100716727"/>
      <w:bookmarkStart w:id="762" w:name="_Toc102546316"/>
      <w:bookmarkStart w:id="763" w:name="_Toc103141539"/>
      <w:bookmarkStart w:id="764" w:name="_Toc105909151"/>
      <w:bookmarkStart w:id="765" w:name="_Toc105922037"/>
      <w:bookmarkStart w:id="766" w:name="_Toc106616875"/>
      <w:bookmarkStart w:id="767" w:name="_Toc108848619"/>
      <w:bookmarkStart w:id="768" w:name="_Toc109702902"/>
      <w:bookmarkStart w:id="769" w:name="_Toc113700459"/>
      <w:bookmarkStart w:id="770" w:name="_Toc113779117"/>
      <w:bookmarkStart w:id="771" w:name="_Toc122767498"/>
      <w:bookmarkStart w:id="772" w:name="_Toc122767741"/>
      <w:bookmarkStart w:id="773" w:name="_Toc131409988"/>
      <w:r>
        <w:rPr>
          <w:rStyle w:val="CharDivNo"/>
        </w:rPr>
        <w:t>Division 2</w:t>
      </w:r>
      <w:r>
        <w:t> — </w:t>
      </w:r>
      <w:r>
        <w:rPr>
          <w:rStyle w:val="CharDivText"/>
        </w:rPr>
        <w:t>Criminal proceedings against the Crown</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Footnoteheading"/>
        <w:keepNext/>
        <w:tabs>
          <w:tab w:val="left" w:pos="851"/>
        </w:tabs>
      </w:pPr>
      <w:r>
        <w:tab/>
        <w:t>[Heading inserted by No. 51 of 2004 s. 36.]</w:t>
      </w:r>
    </w:p>
    <w:p>
      <w:pPr>
        <w:pStyle w:val="Heading5"/>
      </w:pPr>
      <w:bookmarkStart w:id="774" w:name="_Toc109702903"/>
      <w:bookmarkStart w:id="775" w:name="_Toc131409989"/>
      <w:r>
        <w:rPr>
          <w:rStyle w:val="CharSectno"/>
        </w:rPr>
        <w:t>55B</w:t>
      </w:r>
      <w:r>
        <w:t>.</w:t>
      </w:r>
      <w:r>
        <w:tab/>
        <w:t>Crown may be prosecuted</w:t>
      </w:r>
      <w:bookmarkEnd w:id="774"/>
      <w:bookmarkEnd w:id="775"/>
    </w:p>
    <w:p>
      <w:pPr>
        <w:pStyle w:val="Subsection"/>
      </w:pPr>
      <w:r>
        <w:tab/>
      </w:r>
      <w:r>
        <w:tab/>
        <w:t>The Crown in any capacity may, in accordance with this Division, be prosecuted for an offence against this Act.</w:t>
      </w:r>
    </w:p>
    <w:p>
      <w:pPr>
        <w:pStyle w:val="Footnotesection"/>
      </w:pPr>
      <w:r>
        <w:tab/>
        <w:t>[Section 55B inserted by No. 51 of 2004 s. 36.]</w:t>
      </w:r>
    </w:p>
    <w:p>
      <w:pPr>
        <w:pStyle w:val="Heading5"/>
      </w:pPr>
      <w:bookmarkStart w:id="776" w:name="_Toc109702904"/>
      <w:bookmarkStart w:id="777" w:name="_Toc131409990"/>
      <w:r>
        <w:rPr>
          <w:rStyle w:val="CharSectno"/>
        </w:rPr>
        <w:t>55C</w:t>
      </w:r>
      <w:r>
        <w:t>.</w:t>
      </w:r>
      <w:r>
        <w:tab/>
        <w:t>Prosecution against body corporate</w:t>
      </w:r>
      <w:bookmarkEnd w:id="776"/>
      <w:bookmarkEnd w:id="777"/>
    </w:p>
    <w:p>
      <w:pPr>
        <w:pStyle w:val="Subsection"/>
      </w:pPr>
      <w:r>
        <w:tab/>
        <w:t>(1)</w:t>
      </w:r>
      <w:r>
        <w:tab/>
        <w:t>Where the act or omission constituting the offence is alleged against a body corporate that is an agent of the Crown, the prosecution proceedings are to be taken against the body corporate.</w:t>
      </w:r>
    </w:p>
    <w:p>
      <w:pPr>
        <w:pStyle w:val="Subsection"/>
      </w:pPr>
      <w:r>
        <w:tab/>
        <w:t>(2)</w:t>
      </w:r>
      <w:r>
        <w:tab/>
        <w:t xml:space="preserve">Subsection (1) includes a case where — </w:t>
      </w:r>
    </w:p>
    <w:p>
      <w:pPr>
        <w:pStyle w:val="Indenta"/>
      </w:pPr>
      <w:r>
        <w:tab/>
        <w:t>(a)</w:t>
      </w:r>
      <w:r>
        <w:tab/>
        <w:t>a body corporate is the successor in law, as defined in section 55F(1), of an agency or department; or</w:t>
      </w:r>
    </w:p>
    <w:p>
      <w:pPr>
        <w:pStyle w:val="Indenta"/>
      </w:pPr>
      <w:r>
        <w:tab/>
        <w:t>(b)</w:t>
      </w:r>
      <w:r>
        <w:tab/>
        <w:t>a body corporate is determined under section 55F(3).</w:t>
      </w:r>
    </w:p>
    <w:p>
      <w:pPr>
        <w:pStyle w:val="Footnotesection"/>
      </w:pPr>
      <w:r>
        <w:tab/>
        <w:t>[Section 55C inserted by No. 51 of 2004 s. 36.]</w:t>
      </w:r>
    </w:p>
    <w:p>
      <w:pPr>
        <w:pStyle w:val="Heading5"/>
      </w:pPr>
      <w:bookmarkStart w:id="778" w:name="_Toc109702905"/>
      <w:bookmarkStart w:id="779" w:name="_Toc131409991"/>
      <w:r>
        <w:rPr>
          <w:rStyle w:val="CharSectno"/>
        </w:rPr>
        <w:t>55D</w:t>
      </w:r>
      <w:r>
        <w:t>.</w:t>
      </w:r>
      <w:r>
        <w:tab/>
        <w:t>Prosecution in other cases</w:t>
      </w:r>
      <w:bookmarkEnd w:id="778"/>
      <w:bookmarkEnd w:id="779"/>
    </w:p>
    <w:p>
      <w:pPr>
        <w:pStyle w:val="Subsection"/>
      </w:pPr>
      <w:r>
        <w:tab/>
        <w:t>(1)</w:t>
      </w:r>
      <w:r>
        <w:tab/>
        <w:t xml:space="preserve">Where — </w:t>
      </w:r>
    </w:p>
    <w:p>
      <w:pPr>
        <w:pStyle w:val="Indenta"/>
      </w:pPr>
      <w:r>
        <w:tab/>
        <w:t>(a)</w:t>
      </w:r>
      <w:r>
        <w:tab/>
        <w:t xml:space="preserve">the act or omission constituting the offence is alleged against an agency or department that is an agent of the Crown (the </w:t>
      </w:r>
      <w:r>
        <w:rPr>
          <w:b/>
        </w:rPr>
        <w:t>“</w:t>
      </w:r>
      <w:r>
        <w:rPr>
          <w:rStyle w:val="CharDefText"/>
        </w:rPr>
        <w:t>responsible agency</w:t>
      </w:r>
      <w:r>
        <w:rPr>
          <w:b/>
        </w:rPr>
        <w:t>”</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780" w:name="_Toc109702906"/>
      <w:bookmarkStart w:id="781" w:name="_Toc131409992"/>
      <w:r>
        <w:rPr>
          <w:rStyle w:val="CharSectno"/>
        </w:rPr>
        <w:t>55E</w:t>
      </w:r>
      <w:r>
        <w:t>.</w:t>
      </w:r>
      <w:r>
        <w:tab/>
        <w:t>Provisions applicable to responsible agency</w:t>
      </w:r>
      <w:bookmarkEnd w:id="780"/>
      <w:bookmarkEnd w:id="781"/>
    </w:p>
    <w:p>
      <w:pPr>
        <w:pStyle w:val="Subsection"/>
      </w:pPr>
      <w:r>
        <w:tab/>
        <w:t>(1)</w:t>
      </w:r>
      <w:r>
        <w:tab/>
        <w:t xml:space="preserve">In this section — </w:t>
      </w:r>
    </w:p>
    <w:p>
      <w:pPr>
        <w:pStyle w:val="Defstart"/>
      </w:pPr>
      <w:r>
        <w:rPr>
          <w:b/>
        </w:rPr>
        <w:tab/>
        <w:t>“</w:t>
      </w:r>
      <w:r>
        <w:rPr>
          <w:rStyle w:val="CharDefText"/>
        </w:rPr>
        <w:t>chief executive</w:t>
      </w:r>
      <w:r>
        <w:rPr>
          <w:b/>
        </w:rPr>
        <w:t>”</w:t>
      </w:r>
      <w:r>
        <w:t xml:space="preserve"> means the person who is for the time being responsible for the day to day administration of a responsible agency;</w:t>
      </w:r>
    </w:p>
    <w:p>
      <w:pPr>
        <w:pStyle w:val="Defstart"/>
      </w:pPr>
      <w:r>
        <w:rPr>
          <w:b/>
        </w:rPr>
        <w:tab/>
        <w:t>“</w:t>
      </w:r>
      <w:r>
        <w:rPr>
          <w:rStyle w:val="CharDefText"/>
        </w:rPr>
        <w:t>prosecution proceedings</w:t>
      </w:r>
      <w:r>
        <w:rPr>
          <w:b/>
        </w:rPr>
        <w:t>”</w:t>
      </w:r>
      <w:r>
        <w:t xml:space="preserve"> means proceedings referred to in section 55D(1).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is to be specified in the charge for the offence;</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782" w:name="_Toc109702907"/>
      <w:bookmarkStart w:id="783" w:name="_Toc131409993"/>
      <w:r>
        <w:rPr>
          <w:rStyle w:val="CharSectno"/>
        </w:rPr>
        <w:t>55F</w:t>
      </w:r>
      <w:r>
        <w:t>.</w:t>
      </w:r>
      <w:r>
        <w:tab/>
        <w:t>Proceedings where agency has ceased to exist</w:t>
      </w:r>
      <w:bookmarkEnd w:id="782"/>
      <w:bookmarkEnd w:id="783"/>
    </w:p>
    <w:p>
      <w:pPr>
        <w:pStyle w:val="Subsection"/>
        <w:outlineLvl w:val="0"/>
      </w:pPr>
      <w:r>
        <w:tab/>
        <w:t>(1)</w:t>
      </w:r>
      <w:r>
        <w:tab/>
        <w:t xml:space="preserve">In this section — </w:t>
      </w:r>
    </w:p>
    <w:p>
      <w:pPr>
        <w:pStyle w:val="Defstart"/>
      </w:pPr>
      <w:r>
        <w:rPr>
          <w:b/>
        </w:rPr>
        <w:tab/>
        <w:t>“</w:t>
      </w:r>
      <w:r>
        <w:rPr>
          <w:rStyle w:val="CharDefText"/>
        </w:rPr>
        <w:t>successor in law</w:t>
      </w:r>
      <w:r>
        <w:rPr>
          <w:b/>
        </w:rPr>
        <w:t>”</w:t>
      </w:r>
      <w:r>
        <w:t xml:space="preserve">, in relation to an agency or department, means — </w:t>
      </w:r>
    </w:p>
    <w:p>
      <w:pPr>
        <w:pStyle w:val="Defpara"/>
      </w:pPr>
      <w:r>
        <w:tab/>
        <w:t>(a)</w:t>
      </w:r>
      <w:r>
        <w:tab/>
        <w:t>the sole successor; or</w:t>
      </w:r>
    </w:p>
    <w:p>
      <w:pPr>
        <w:pStyle w:val="Defpara"/>
      </w:pPr>
      <w:r>
        <w:tab/>
        <w:t>(b)</w:t>
      </w:r>
      <w:r>
        <w:tab/>
        <w:t>if there is more than one successor, the one that has the relevant functions formerly vested in the agency or department.</w:t>
      </w:r>
    </w:p>
    <w:p>
      <w:pPr>
        <w:pStyle w:val="Subsection"/>
        <w:outlineLvl w:val="0"/>
      </w:pPr>
      <w:r>
        <w:tab/>
        <w:t>(2)</w:t>
      </w:r>
      <w:r>
        <w:tab/>
        <w:t xml:space="preserve">If an agency or department referred to in section 55D(1)(a) — </w:t>
      </w:r>
    </w:p>
    <w:p>
      <w:pPr>
        <w:pStyle w:val="Indenta"/>
      </w:pPr>
      <w:r>
        <w:tab/>
        <w:t>(a)</w:t>
      </w:r>
      <w:r>
        <w:tab/>
        <w:t>has ceased to exist; but</w:t>
      </w:r>
    </w:p>
    <w:p>
      <w:pPr>
        <w:pStyle w:val="Indenta"/>
      </w:pPr>
      <w:r>
        <w:tab/>
        <w:t>(b)</w:t>
      </w:r>
      <w:r>
        <w:tab/>
        <w:t>has a successor in law to which section 55C(2) does not apply,</w:t>
      </w:r>
    </w:p>
    <w:p>
      <w:pPr>
        <w:pStyle w:val="Subsection"/>
      </w:pPr>
      <w:r>
        <w:tab/>
      </w:r>
      <w:r>
        <w:tab/>
        <w:t>the successor in law is the responsible agency for the purposes of section 55D(1).</w:t>
      </w:r>
    </w:p>
    <w:p>
      <w:pPr>
        <w:pStyle w:val="Subsection"/>
        <w:outlineLvl w:val="0"/>
      </w:pPr>
      <w:r>
        <w:tab/>
        <w:t>(3)</w:t>
      </w:r>
      <w:r>
        <w:tab/>
        <w:t xml:space="preserve">If an agency or department referred to in section 55D(1)(a) — </w:t>
      </w:r>
    </w:p>
    <w:p>
      <w:pPr>
        <w:pStyle w:val="Indenta"/>
      </w:pPr>
      <w:r>
        <w:tab/>
        <w:t>(a)</w:t>
      </w:r>
      <w:r>
        <w:tab/>
        <w:t xml:space="preserve">has ceased to exist; and </w:t>
      </w:r>
    </w:p>
    <w:p>
      <w:pPr>
        <w:pStyle w:val="Indenta"/>
      </w:pPr>
      <w:r>
        <w:tab/>
        <w:t>(b)</w:t>
      </w:r>
      <w:r>
        <w:tab/>
        <w:t xml:space="preserve">either — </w:t>
      </w:r>
    </w:p>
    <w:p>
      <w:pPr>
        <w:pStyle w:val="Indenti"/>
      </w:pPr>
      <w:r>
        <w:tab/>
        <w:t>(i)</w:t>
      </w:r>
      <w:r>
        <w:tab/>
        <w:t>it has no apparent successor in law; or</w:t>
      </w:r>
    </w:p>
    <w:p>
      <w:pPr>
        <w:pStyle w:val="Indenti"/>
      </w:pPr>
      <w:r>
        <w:tab/>
        <w:t>(ii)</w:t>
      </w:r>
      <w:r>
        <w:tab/>
        <w:t xml:space="preserve">there is doubt as to which agency or department has the relevant functions, </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784" w:name="_Toc109702908"/>
      <w:bookmarkStart w:id="785" w:name="_Toc131409994"/>
      <w:r>
        <w:rPr>
          <w:rStyle w:val="CharSectno"/>
        </w:rPr>
        <w:t>55G</w:t>
      </w:r>
      <w:r>
        <w:t>.</w:t>
      </w:r>
      <w:r>
        <w:tab/>
        <w:t>Penalties in proceedings against the Crown</w:t>
      </w:r>
      <w:bookmarkEnd w:id="784"/>
      <w:bookmarkEnd w:id="785"/>
    </w:p>
    <w:p>
      <w:pPr>
        <w:pStyle w:val="Subsection"/>
        <w:keepNext/>
      </w:pPr>
      <w:r>
        <w:tab/>
        <w:t>(1)</w:t>
      </w:r>
      <w:r>
        <w:tab/>
        <w:t xml:space="preserve">In subsection (3)(b) — </w:t>
      </w:r>
    </w:p>
    <w:p>
      <w:pPr>
        <w:pStyle w:val="Defstart"/>
      </w:pPr>
      <w:r>
        <w:rPr>
          <w:b/>
        </w:rPr>
        <w:tab/>
        <w:t>“</w:t>
      </w:r>
      <w:r>
        <w:rPr>
          <w:rStyle w:val="CharDefText"/>
        </w:rPr>
        <w:t>successor in law</w:t>
      </w:r>
      <w:r>
        <w:rPr>
          <w:b/>
        </w:rPr>
        <w:t>”</w:t>
      </w:r>
      <w:r>
        <w:t xml:space="preserve">, in relation to an agency or department, means —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 xml:space="preserve">In proceedings referred to in section 55D(1), a higher penalty may be imposed for an offence involving a responsible agency on the ground that it is a subsequent offence, only if the acts or omissions constituting the previous offence or offences were those of — </w:t>
      </w:r>
    </w:p>
    <w:p>
      <w:pPr>
        <w:pStyle w:val="Indenta"/>
      </w:pPr>
      <w:r>
        <w:tab/>
        <w:t>(a)</w:t>
      </w:r>
      <w:r>
        <w:tab/>
        <w:t xml:space="preserve">the same responsible agency; or </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786" w:name="_Toc93200982"/>
      <w:bookmarkStart w:id="787" w:name="_Toc97006653"/>
      <w:bookmarkStart w:id="788" w:name="_Toc100545255"/>
      <w:bookmarkStart w:id="789" w:name="_Toc100716734"/>
      <w:bookmarkStart w:id="790" w:name="_Toc102546323"/>
      <w:bookmarkStart w:id="791" w:name="_Toc103141546"/>
      <w:bookmarkStart w:id="792" w:name="_Toc105909158"/>
      <w:bookmarkStart w:id="793" w:name="_Toc105922044"/>
      <w:bookmarkStart w:id="794" w:name="_Toc106616882"/>
      <w:bookmarkStart w:id="795" w:name="_Toc108848626"/>
      <w:bookmarkStart w:id="796" w:name="_Toc109702909"/>
      <w:bookmarkStart w:id="797" w:name="_Toc113700466"/>
      <w:bookmarkStart w:id="798" w:name="_Toc113779124"/>
      <w:bookmarkStart w:id="799" w:name="_Toc122767505"/>
      <w:bookmarkStart w:id="800" w:name="_Toc122767748"/>
      <w:bookmarkStart w:id="801" w:name="_Toc131409995"/>
      <w:r>
        <w:rPr>
          <w:rStyle w:val="CharDivNo"/>
        </w:rPr>
        <w:t>Division 3</w:t>
      </w:r>
      <w:r>
        <w:t> — </w:t>
      </w:r>
      <w:r>
        <w:rPr>
          <w:rStyle w:val="CharDivText"/>
        </w:rPr>
        <w:t>Undertaking by offender in lieu of payment of fine</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Footnoteheading"/>
        <w:tabs>
          <w:tab w:val="left" w:pos="851"/>
        </w:tabs>
      </w:pPr>
      <w:r>
        <w:tab/>
        <w:t>[Heading inserted by No. 51 of 2004 s. 36.]</w:t>
      </w:r>
    </w:p>
    <w:p>
      <w:pPr>
        <w:pStyle w:val="Heading5"/>
      </w:pPr>
      <w:bookmarkStart w:id="802" w:name="_Toc109702910"/>
      <w:bookmarkStart w:id="803" w:name="_Toc131409996"/>
      <w:r>
        <w:rPr>
          <w:rStyle w:val="CharSectno"/>
        </w:rPr>
        <w:t>55H</w:t>
      </w:r>
      <w:r>
        <w:t>.</w:t>
      </w:r>
      <w:r>
        <w:tab/>
        <w:t>Terms used in this Division</w:t>
      </w:r>
      <w:bookmarkEnd w:id="802"/>
      <w:bookmarkEnd w:id="803"/>
    </w:p>
    <w:p>
      <w:pPr>
        <w:pStyle w:val="Subsection"/>
      </w:pPr>
      <w:r>
        <w:tab/>
      </w:r>
      <w:r>
        <w:tab/>
        <w:t xml:space="preserve">In this Division — </w:t>
      </w:r>
    </w:p>
    <w:p>
      <w:pPr>
        <w:pStyle w:val="Defstart"/>
      </w:pPr>
      <w:r>
        <w:rPr>
          <w:b/>
        </w:rPr>
        <w:tab/>
        <w:t>“</w:t>
      </w:r>
      <w:r>
        <w:rPr>
          <w:rStyle w:val="CharDefText"/>
        </w:rPr>
        <w:t>convicted</w:t>
      </w:r>
      <w:r>
        <w:rPr>
          <w:b/>
        </w:rPr>
        <w:t>”</w:t>
      </w:r>
      <w:r>
        <w:t xml:space="preserve"> means found guilty of an offence, whether after a plea of guilty or otherwise;</w:t>
      </w:r>
    </w:p>
    <w:p>
      <w:pPr>
        <w:pStyle w:val="Defstart"/>
      </w:pPr>
      <w:r>
        <w:rPr>
          <w:b/>
        </w:rPr>
        <w:tab/>
        <w:t>“</w:t>
      </w:r>
      <w:r>
        <w:rPr>
          <w:rStyle w:val="CharDefText"/>
        </w:rPr>
        <w:t>court</w:t>
      </w:r>
      <w:r>
        <w:rPr>
          <w:b/>
        </w:rPr>
        <w:t>”</w:t>
      </w:r>
      <w:r>
        <w:t xml:space="preserve"> means a safety and health magistrate exercising jurisdiction under section 51C(1)(b);</w:t>
      </w:r>
    </w:p>
    <w:p>
      <w:pPr>
        <w:pStyle w:val="Defstart"/>
      </w:pPr>
      <w:r>
        <w:rPr>
          <w:b/>
        </w:rPr>
        <w:tab/>
        <w:t>“</w:t>
      </w:r>
      <w:r>
        <w:rPr>
          <w:rStyle w:val="CharDefText"/>
        </w:rPr>
        <w:t>relevant offence</w:t>
      </w:r>
      <w:r>
        <w:rPr>
          <w:b/>
        </w:rPr>
        <w:t>”</w:t>
      </w:r>
      <w:r>
        <w:t xml:space="preserve"> means an offence against —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804" w:name="_Toc109702911"/>
      <w:bookmarkStart w:id="805" w:name="_Toc131409997"/>
      <w:r>
        <w:rPr>
          <w:rStyle w:val="CharSectno"/>
        </w:rPr>
        <w:t>55I</w:t>
      </w:r>
      <w:r>
        <w:t>.</w:t>
      </w:r>
      <w:r>
        <w:tab/>
        <w:t>Court may allow offender to make election</w:t>
      </w:r>
      <w:bookmarkEnd w:id="804"/>
      <w:bookmarkEnd w:id="805"/>
    </w:p>
    <w:p>
      <w:pPr>
        <w:pStyle w:val="Subsection"/>
        <w:outlineLvl w:val="0"/>
      </w:pPr>
      <w:r>
        <w:tab/>
        <w:t>(1)</w:t>
      </w:r>
      <w:r>
        <w:tab/>
        <w:t xml:space="preserve">Where — </w:t>
      </w:r>
    </w:p>
    <w:p>
      <w:pPr>
        <w:pStyle w:val="Indenta"/>
      </w:pPr>
      <w:r>
        <w:tab/>
        <w:t>(a)</w:t>
      </w:r>
      <w:r>
        <w:tab/>
        <w:t xml:space="preserve">a person (the </w:t>
      </w:r>
      <w:r>
        <w:rPr>
          <w:b/>
        </w:rPr>
        <w:t>“</w:t>
      </w:r>
      <w:r>
        <w:rPr>
          <w:rStyle w:val="CharDefText"/>
        </w:rPr>
        <w:t>offender</w:t>
      </w:r>
      <w:r>
        <w:rPr>
          <w:b/>
        </w:rPr>
        <w:t>”</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complainant does not oppose that being done;</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outlineLvl w:val="0"/>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pPr>
      <w:bookmarkStart w:id="806" w:name="_Toc109702912"/>
      <w:bookmarkStart w:id="807" w:name="_Toc131409998"/>
      <w:r>
        <w:rPr>
          <w:rStyle w:val="CharSectno"/>
        </w:rPr>
        <w:t>55J</w:t>
      </w:r>
      <w:r>
        <w:t>.</w:t>
      </w:r>
      <w:r>
        <w:tab/>
        <w:t>Making of election</w:t>
      </w:r>
      <w:bookmarkEnd w:id="806"/>
      <w:bookmarkEnd w:id="807"/>
    </w:p>
    <w:p>
      <w:pPr>
        <w:pStyle w:val="Subsection"/>
        <w:outlineLvl w:val="0"/>
      </w:pPr>
      <w:r>
        <w:tab/>
        <w:t>(1)</w:t>
      </w:r>
      <w:r>
        <w:tab/>
        <w:t xml:space="preserve">An election is made, pursuant to an order under section 55I(1), by the offender — </w:t>
      </w:r>
    </w:p>
    <w:p>
      <w:pPr>
        <w:pStyle w:val="Indenta"/>
      </w:pPr>
      <w:r>
        <w:tab/>
        <w:t>(a)</w:t>
      </w:r>
      <w:r>
        <w:tab/>
        <w:t xml:space="preserve">lodging an election in writing with the clerk of the court in which the order was made; and </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outlineLvl w:val="0"/>
      </w:pPr>
      <w:r>
        <w:tab/>
        <w:t>(2)</w:t>
      </w:r>
      <w:r>
        <w:tab/>
        <w:t xml:space="preserve">If — </w:t>
      </w:r>
    </w:p>
    <w:p>
      <w:pPr>
        <w:pStyle w:val="Indenta"/>
      </w:pPr>
      <w:r>
        <w:tab/>
        <w:t>(a)</w:t>
      </w:r>
      <w:r>
        <w:tab/>
        <w:t>an order is made under section 55I(1); but</w:t>
      </w:r>
    </w:p>
    <w:p>
      <w:pPr>
        <w:pStyle w:val="Indenta"/>
      </w:pPr>
      <w:r>
        <w:tab/>
        <w:t>(b)</w:t>
      </w:r>
      <w:r>
        <w:tab/>
        <w:t>the offender fails to make an election in accordance with subsection (1),</w:t>
      </w:r>
    </w:p>
    <w:p>
      <w:pPr>
        <w:pStyle w:val="Subsection"/>
        <w:spacing w:before="120"/>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pPr>
      <w:bookmarkStart w:id="808" w:name="_Toc109702913"/>
      <w:bookmarkStart w:id="809" w:name="_Toc131409999"/>
      <w:r>
        <w:rPr>
          <w:rStyle w:val="CharSectno"/>
        </w:rPr>
        <w:t>55K</w:t>
      </w:r>
      <w:r>
        <w:t>.</w:t>
      </w:r>
      <w:r>
        <w:tab/>
        <w:t>Failure to enter into undertaking</w:t>
      </w:r>
      <w:bookmarkEnd w:id="808"/>
      <w:bookmarkEnd w:id="809"/>
    </w:p>
    <w:p>
      <w:pPr>
        <w:pStyle w:val="Subsection"/>
        <w:spacing w:before="120"/>
      </w:pPr>
      <w:r>
        <w:tab/>
      </w:r>
      <w:r>
        <w:tab/>
        <w:t>An election under section 55J to enter into an undertaking lapses if the undertaking is for any reason not entered into before the time allowed under section 55I(1)(d).</w:t>
      </w:r>
    </w:p>
    <w:p>
      <w:pPr>
        <w:pStyle w:val="Footnotesection"/>
      </w:pPr>
      <w:r>
        <w:tab/>
        <w:t>[Section 55K inserted by No. 51 of 2004 s. 36.]</w:t>
      </w:r>
    </w:p>
    <w:p>
      <w:pPr>
        <w:pStyle w:val="Heading5"/>
      </w:pPr>
      <w:bookmarkStart w:id="810" w:name="_Toc109702914"/>
      <w:bookmarkStart w:id="811" w:name="_Toc131410000"/>
      <w:r>
        <w:rPr>
          <w:rStyle w:val="CharSectno"/>
        </w:rPr>
        <w:t>55L</w:t>
      </w:r>
      <w:r>
        <w:t>.</w:t>
      </w:r>
      <w:r>
        <w:tab/>
        <w:t>Time for payment of fines</w:t>
      </w:r>
      <w:bookmarkEnd w:id="810"/>
      <w:bookmarkEnd w:id="811"/>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812" w:name="_Toc109702915"/>
      <w:bookmarkStart w:id="813" w:name="_Toc131410001"/>
      <w:r>
        <w:rPr>
          <w:rStyle w:val="CharSectno"/>
        </w:rPr>
        <w:t>55M</w:t>
      </w:r>
      <w:r>
        <w:t>.</w:t>
      </w:r>
      <w:r>
        <w:tab/>
        <w:t>Nature and terms of undertaking</w:t>
      </w:r>
      <w:bookmarkEnd w:id="812"/>
      <w:bookmarkEnd w:id="813"/>
    </w:p>
    <w:p>
      <w:pPr>
        <w:pStyle w:val="Subsection"/>
      </w:pPr>
      <w:r>
        <w:tab/>
        <w:t>(1)</w:t>
      </w:r>
      <w:r>
        <w:tab/>
        <w:t xml:space="preserve">An undertaking for the purposes of this Division is a document by which the offender gives undertakings to the Commissioner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814" w:name="_Toc109702916"/>
      <w:bookmarkStart w:id="815" w:name="_Toc131410002"/>
      <w:r>
        <w:rPr>
          <w:rStyle w:val="CharSectno"/>
        </w:rPr>
        <w:t>55N</w:t>
      </w:r>
      <w:r>
        <w:t>.</w:t>
      </w:r>
      <w:r>
        <w:tab/>
        <w:t>What may be included in undertaking</w:t>
      </w:r>
      <w:bookmarkEnd w:id="814"/>
      <w:bookmarkEnd w:id="815"/>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a specified workplace; or </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Commissioner may require that an undertaking contain any incidental or supplementary provision that the Commissioner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Commissioner.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816" w:name="_Toc109702917"/>
      <w:bookmarkStart w:id="817" w:name="_Toc131410003"/>
      <w:r>
        <w:rPr>
          <w:rStyle w:val="CharSectno"/>
        </w:rPr>
        <w:t>55O</w:t>
      </w:r>
      <w:r>
        <w:t>.</w:t>
      </w:r>
      <w:r>
        <w:tab/>
        <w:t>Effect of undertaking</w:t>
      </w:r>
      <w:bookmarkEnd w:id="816"/>
      <w:bookmarkEnd w:id="817"/>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818" w:name="_Toc109702918"/>
      <w:bookmarkStart w:id="819" w:name="_Toc131410004"/>
      <w:r>
        <w:rPr>
          <w:rStyle w:val="CharSectno"/>
        </w:rPr>
        <w:t>55P</w:t>
      </w:r>
      <w:r>
        <w:t>.</w:t>
      </w:r>
      <w:r>
        <w:tab/>
        <w:t>Failure to comply with undertaking</w:t>
      </w:r>
      <w:bookmarkEnd w:id="818"/>
      <w:bookmarkEnd w:id="819"/>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820" w:name="_Toc109702919"/>
      <w:bookmarkStart w:id="821" w:name="_Toc131410005"/>
      <w:r>
        <w:rPr>
          <w:rStyle w:val="CharSectno"/>
        </w:rPr>
        <w:t>55Q</w:t>
      </w:r>
      <w:r>
        <w:t>.</w:t>
      </w:r>
      <w:r>
        <w:tab/>
        <w:t>Amendment of undertaking</w:t>
      </w:r>
      <w:bookmarkEnd w:id="820"/>
      <w:bookmarkEnd w:id="821"/>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822" w:name="_Toc109702920"/>
      <w:bookmarkStart w:id="823" w:name="_Toc131410006"/>
      <w:r>
        <w:rPr>
          <w:rStyle w:val="CharSectno"/>
        </w:rPr>
        <w:t>55R</w:t>
      </w:r>
      <w:r>
        <w:t>.</w:t>
      </w:r>
      <w:r>
        <w:tab/>
        <w:t>Undertaking may be published</w:t>
      </w:r>
      <w:bookmarkEnd w:id="822"/>
      <w:bookmarkEnd w:id="823"/>
    </w:p>
    <w:p>
      <w:pPr>
        <w:pStyle w:val="Subsection"/>
      </w:pPr>
      <w:r>
        <w:tab/>
      </w:r>
      <w:r>
        <w:tab/>
        <w:t xml:space="preserve">The Commissioner may cause an undertaking to be published in any manner the Commissioner thinks fit including —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824" w:name="_Toc93200994"/>
      <w:bookmarkStart w:id="825" w:name="_Toc97006665"/>
      <w:bookmarkStart w:id="826" w:name="_Toc100545267"/>
      <w:bookmarkStart w:id="827" w:name="_Toc100716746"/>
      <w:bookmarkStart w:id="828" w:name="_Toc102546335"/>
      <w:bookmarkStart w:id="829" w:name="_Toc103141558"/>
      <w:bookmarkStart w:id="830" w:name="_Toc105909170"/>
      <w:bookmarkStart w:id="831" w:name="_Toc105922056"/>
      <w:bookmarkStart w:id="832" w:name="_Toc106616894"/>
      <w:bookmarkStart w:id="833" w:name="_Toc108848638"/>
      <w:bookmarkStart w:id="834" w:name="_Toc109702921"/>
      <w:bookmarkStart w:id="835" w:name="_Toc113700478"/>
      <w:bookmarkStart w:id="836" w:name="_Toc113779136"/>
      <w:bookmarkStart w:id="837" w:name="_Toc122767517"/>
      <w:bookmarkStart w:id="838" w:name="_Toc122767760"/>
      <w:bookmarkStart w:id="839" w:name="_Toc131410007"/>
      <w:r>
        <w:rPr>
          <w:rStyle w:val="CharPartNo"/>
        </w:rPr>
        <w:t>Part VIII</w:t>
      </w:r>
      <w:r>
        <w:rPr>
          <w:rStyle w:val="CharDivNo"/>
        </w:rPr>
        <w:t> </w:t>
      </w:r>
      <w:r>
        <w:t>—</w:t>
      </w:r>
      <w:r>
        <w:rPr>
          <w:rStyle w:val="CharDivText"/>
        </w:rPr>
        <w:t> </w:t>
      </w:r>
      <w:r>
        <w:rPr>
          <w:rStyle w:val="CharPartText"/>
        </w:rPr>
        <w:t>Miscellaneous</w:t>
      </w:r>
      <w:bookmarkEnd w:id="756"/>
      <w:bookmarkEnd w:id="757"/>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r>
        <w:rPr>
          <w:rStyle w:val="CharPartText"/>
        </w:rPr>
        <w:t xml:space="preserve"> </w:t>
      </w:r>
    </w:p>
    <w:p>
      <w:pPr>
        <w:pStyle w:val="Footnoteheading"/>
        <w:rPr>
          <w:snapToGrid w:val="0"/>
        </w:rPr>
      </w:pPr>
      <w:r>
        <w:rPr>
          <w:snapToGrid w:val="0"/>
        </w:rPr>
        <w:tab/>
        <w:t xml:space="preserve">[Heading inserted by No. 43 of 1987 s. 13.] </w:t>
      </w:r>
    </w:p>
    <w:p>
      <w:pPr>
        <w:pStyle w:val="Heading5"/>
        <w:spacing w:before="180"/>
        <w:rPr>
          <w:snapToGrid w:val="0"/>
        </w:rPr>
      </w:pPr>
      <w:bookmarkStart w:id="840" w:name="_Toc402776445"/>
      <w:bookmarkStart w:id="841" w:name="_Toc403985308"/>
      <w:bookmarkStart w:id="842" w:name="_Toc59593082"/>
      <w:bookmarkStart w:id="843" w:name="_Toc109702922"/>
      <w:bookmarkStart w:id="844" w:name="_Toc131410008"/>
      <w:r>
        <w:rPr>
          <w:rStyle w:val="CharSectno"/>
        </w:rPr>
        <w:t>56</w:t>
      </w:r>
      <w:r>
        <w:rPr>
          <w:snapToGrid w:val="0"/>
        </w:rPr>
        <w:t>.</w:t>
      </w:r>
      <w:r>
        <w:rPr>
          <w:snapToGrid w:val="0"/>
        </w:rPr>
        <w:tab/>
        <w:t>Discrimination</w:t>
      </w:r>
      <w:bookmarkEnd w:id="840"/>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 </w:t>
      </w:r>
    </w:p>
    <w:p>
      <w:pPr>
        <w:pStyle w:val="Indenta"/>
        <w:rPr>
          <w:snapToGrid w:val="0"/>
        </w:rPr>
      </w:pPr>
      <w:r>
        <w:rPr>
          <w:snapToGrid w:val="0"/>
        </w:rPr>
        <w:tab/>
        <w:t>(a)</w:t>
      </w:r>
      <w:r>
        <w:rPr>
          <w:snapToGrid w:val="0"/>
        </w:rPr>
        <w:tab/>
        <w:t>is or has been a member of a safety and health committee;</w:t>
      </w:r>
    </w:p>
    <w:p>
      <w:pPr>
        <w:pStyle w:val="Indenta"/>
        <w:rPr>
          <w:snapToGrid w:val="0"/>
        </w:rPr>
      </w:pPr>
      <w:r>
        <w:rPr>
          <w:snapToGrid w:val="0"/>
        </w:rPr>
        <w:tab/>
        <w:t>(b)</w:t>
      </w:r>
      <w:r>
        <w:rPr>
          <w:snapToGrid w:val="0"/>
        </w:rPr>
        <w:tab/>
        <w:t>performs or has performed any function as a member of a safety and health committee;</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 xml:space="preserve">makes or has made a complaint in relation to safety or health to — </w:t>
      </w:r>
    </w:p>
    <w:p>
      <w:pPr>
        <w:pStyle w:val="Indenti"/>
      </w:pPr>
      <w:r>
        <w:tab/>
        <w:t>(i)</w:t>
      </w:r>
      <w:r>
        <w:tab/>
        <w:t>the Commissioner;</w:t>
      </w:r>
    </w:p>
    <w:p>
      <w:pPr>
        <w:pStyle w:val="Indenti"/>
      </w:pPr>
      <w:r>
        <w:tab/>
        <w:t>(ii)</w:t>
      </w:r>
      <w:r>
        <w:tab/>
        <w:t>an inspector;</w:t>
      </w:r>
    </w:p>
    <w:p>
      <w:pPr>
        <w:pStyle w:val="Indenti"/>
      </w:pPr>
      <w:r>
        <w:tab/>
        <w:t>(iii)</w:t>
      </w:r>
      <w:r>
        <w:tab/>
        <w:t>a person who is or was his or her employer or fellow employee;</w:t>
      </w:r>
    </w:p>
    <w:p>
      <w:pPr>
        <w:pStyle w:val="Indenti"/>
      </w:pPr>
      <w:r>
        <w:tab/>
        <w:t>(iv)</w:t>
      </w:r>
      <w:r>
        <w:tab/>
        <w:t xml:space="preserve">a safety and health representative; or </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 xml:space="preserve">[Section 56 inserted by No. 43 of 1987 s. 13; amended by No. 30 of 1995 s. 43 and 47; No. 51 of 2004 s. 56, 99, 102(1) and 112.] </w:t>
      </w:r>
    </w:p>
    <w:p>
      <w:pPr>
        <w:pStyle w:val="Heading5"/>
        <w:spacing w:before="180"/>
        <w:rPr>
          <w:snapToGrid w:val="0"/>
        </w:rPr>
      </w:pPr>
      <w:bookmarkStart w:id="845" w:name="_Toc402776446"/>
      <w:bookmarkStart w:id="846" w:name="_Toc403985309"/>
      <w:bookmarkStart w:id="847" w:name="_Toc59593083"/>
      <w:bookmarkStart w:id="848" w:name="_Toc109702923"/>
      <w:bookmarkStart w:id="849" w:name="_Toc131410009"/>
      <w:r>
        <w:rPr>
          <w:rStyle w:val="CharSectno"/>
        </w:rPr>
        <w:t>57</w:t>
      </w:r>
      <w:r>
        <w:rPr>
          <w:snapToGrid w:val="0"/>
        </w:rPr>
        <w:t>.</w:t>
      </w:r>
      <w:r>
        <w:rPr>
          <w:snapToGrid w:val="0"/>
        </w:rPr>
        <w:tab/>
        <w:t>Codes of practice</w:t>
      </w:r>
      <w:bookmarkEnd w:id="845"/>
      <w:bookmarkEnd w:id="846"/>
      <w:bookmarkEnd w:id="847"/>
      <w:bookmarkEnd w:id="848"/>
      <w:bookmarkEnd w:id="849"/>
      <w:r>
        <w:rPr>
          <w:snapToGrid w:val="0"/>
        </w:rPr>
        <w:t xml:space="preserve"> </w:t>
      </w:r>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spacing w:before="140"/>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spacing w:before="140"/>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spacing w:before="140"/>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spacing w:before="140"/>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spacing w:before="140"/>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spacing w:before="140"/>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spacing w:before="140"/>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 xml:space="preserve">[Section 57 inserted by No. 43 of 1987 s. 13; amended by No. 30 of 1995 s. 44 and 47; No. 51 of 2004 s. 100.] </w:t>
      </w:r>
    </w:p>
    <w:p>
      <w:pPr>
        <w:pStyle w:val="Heading5"/>
      </w:pPr>
      <w:bookmarkStart w:id="850" w:name="_Toc109702924"/>
      <w:bookmarkStart w:id="851" w:name="_Toc131410010"/>
      <w:bookmarkStart w:id="852" w:name="_Toc402776447"/>
      <w:bookmarkStart w:id="853" w:name="_Toc403985310"/>
      <w:bookmarkStart w:id="854" w:name="_Toc59593084"/>
      <w:r>
        <w:rPr>
          <w:rStyle w:val="CharSectno"/>
        </w:rPr>
        <w:t>57A</w:t>
      </w:r>
      <w:r>
        <w:t>.</w:t>
      </w:r>
      <w:r>
        <w:tab/>
        <w:t>Visitors to comply with directions</w:t>
      </w:r>
      <w:bookmarkEnd w:id="850"/>
      <w:bookmarkEnd w:id="851"/>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in relation to a workplace, means — </w:t>
      </w:r>
    </w:p>
    <w:p>
      <w:pPr>
        <w:pStyle w:val="Defpara"/>
      </w:pPr>
      <w:r>
        <w:tab/>
        <w:t>(a)</w:t>
      </w:r>
      <w:r>
        <w:tab/>
        <w:t>an employer of any employee at the workplace, including a person that is an employer by operation of section 23D, 23E or 23F;</w:t>
      </w:r>
    </w:p>
    <w:p>
      <w:pPr>
        <w:pStyle w:val="Defpara"/>
      </w:pPr>
      <w:r>
        <w:tab/>
        <w:t>(b)</w:t>
      </w:r>
      <w:r>
        <w:tab/>
        <w:t>any self</w:t>
      </w:r>
      <w:r>
        <w:noBreakHyphen/>
        <w:t>employed person carrying out work at the workplace; and</w:t>
      </w:r>
    </w:p>
    <w:p>
      <w:pPr>
        <w:pStyle w:val="Defpara"/>
      </w:pPr>
      <w:r>
        <w:tab/>
        <w:t>(c)</w:t>
      </w:r>
      <w:r>
        <w:tab/>
        <w:t xml:space="preserve">a person at the workplace who has the management and control of — </w:t>
      </w:r>
    </w:p>
    <w:p>
      <w:pPr>
        <w:pStyle w:val="Defsubpara"/>
      </w:pPr>
      <w:r>
        <w:tab/>
        <w:t>(i)</w:t>
      </w:r>
      <w:r>
        <w:tab/>
        <w:t xml:space="preserve">the workplace; or </w:t>
      </w:r>
    </w:p>
    <w:p>
      <w:pPr>
        <w:pStyle w:val="Defsubpara"/>
      </w:pPr>
      <w:r>
        <w:tab/>
        <w:t>(ii)</w:t>
      </w:r>
      <w:r>
        <w:tab/>
        <w:t>the work being carried out at the workplace;</w:t>
      </w:r>
    </w:p>
    <w:p>
      <w:pPr>
        <w:pStyle w:val="Defstart"/>
      </w:pPr>
      <w:r>
        <w:rPr>
          <w:b/>
        </w:rPr>
        <w:tab/>
        <w:t>“</w:t>
      </w:r>
      <w:r>
        <w:rPr>
          <w:rStyle w:val="CharDefText"/>
        </w:rPr>
        <w:t>conduct</w:t>
      </w:r>
      <w:r>
        <w:rPr>
          <w:b/>
        </w:rPr>
        <w:t>”</w:t>
      </w:r>
      <w:r>
        <w:t xml:space="preserve"> includes a failure to do a particular act or thing;</w:t>
      </w:r>
    </w:p>
    <w:p>
      <w:pPr>
        <w:pStyle w:val="Defstart"/>
      </w:pPr>
      <w:r>
        <w:rPr>
          <w:b/>
        </w:rPr>
        <w:tab/>
        <w:t>“</w:t>
      </w:r>
      <w:r>
        <w:rPr>
          <w:rStyle w:val="CharDefText"/>
        </w:rPr>
        <w:t>employee</w:t>
      </w:r>
      <w:r>
        <w:rPr>
          <w:b/>
        </w:rPr>
        <w:t>”</w:t>
      </w:r>
      <w:r>
        <w:t xml:space="preserve"> includes a person who is an employee by operation of section 23D, 23E or 23F.</w:t>
      </w:r>
    </w:p>
    <w:p>
      <w:pPr>
        <w:pStyle w:val="Subsection"/>
      </w:pPr>
      <w:r>
        <w:tab/>
        <w:t>(2)</w:t>
      </w:r>
      <w:r>
        <w:tab/>
        <w:t xml:space="preserve">Subsection (3) applies if — </w:t>
      </w:r>
    </w:p>
    <w:p>
      <w:pPr>
        <w:pStyle w:val="Indenta"/>
      </w:pPr>
      <w:r>
        <w:tab/>
        <w:t>(a)</w:t>
      </w:r>
      <w:r>
        <w:tab/>
        <w:t xml:space="preserve">a person (a </w:t>
      </w:r>
      <w:r>
        <w:rPr>
          <w:b/>
        </w:rPr>
        <w:t>“</w:t>
      </w:r>
      <w:r>
        <w:rPr>
          <w:rStyle w:val="CharDefText"/>
        </w:rPr>
        <w:t>visitor</w:t>
      </w:r>
      <w:r>
        <w:rPr>
          <w:b/>
        </w:rPr>
        <w:t>”</w:t>
      </w:r>
      <w:r>
        <w:t xml:space="preserve">) is at a workplace otherwise than in the capacity of — </w:t>
      </w:r>
    </w:p>
    <w:p>
      <w:pPr>
        <w:pStyle w:val="Indenti"/>
      </w:pPr>
      <w:r>
        <w:tab/>
        <w:t>(i)</w:t>
      </w:r>
      <w:r>
        <w:tab/>
        <w:t xml:space="preserve">an employer; </w:t>
      </w:r>
    </w:p>
    <w:p>
      <w:pPr>
        <w:pStyle w:val="Indenti"/>
      </w:pPr>
      <w:r>
        <w:tab/>
        <w:t>(ii)</w:t>
      </w:r>
      <w:r>
        <w:tab/>
        <w:t xml:space="preserve">an employee; </w:t>
      </w:r>
    </w:p>
    <w:p>
      <w:pPr>
        <w:pStyle w:val="Indenti"/>
      </w:pPr>
      <w:r>
        <w:tab/>
        <w:t>(iii)</w:t>
      </w:r>
      <w:r>
        <w:tab/>
        <w:t>a self</w:t>
      </w:r>
      <w:r>
        <w:noBreakHyphen/>
        <w:t xml:space="preserve">employed person; or </w:t>
      </w:r>
    </w:p>
    <w:p>
      <w:pPr>
        <w:pStyle w:val="Indenti"/>
      </w:pPr>
      <w:r>
        <w:tab/>
        <w:t>(iv)</w:t>
      </w:r>
      <w:r>
        <w:tab/>
        <w:t>a person having control, to any extent, of the workplace;</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workplace; or </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855" w:name="_Toc109702925"/>
      <w:bookmarkStart w:id="856" w:name="_Toc131410011"/>
      <w:r>
        <w:rPr>
          <w:rStyle w:val="CharSectno"/>
        </w:rPr>
        <w:t>58</w:t>
      </w:r>
      <w:r>
        <w:rPr>
          <w:snapToGrid w:val="0"/>
        </w:rPr>
        <w:t>.</w:t>
      </w:r>
      <w:r>
        <w:rPr>
          <w:snapToGrid w:val="0"/>
        </w:rPr>
        <w:tab/>
        <w:t>Governor may transfer administration of certain laws to Minister</w:t>
      </w:r>
      <w:bookmarkEnd w:id="852"/>
      <w:bookmarkEnd w:id="853"/>
      <w:bookmarkEnd w:id="854"/>
      <w:bookmarkEnd w:id="855"/>
      <w:bookmarkEnd w:id="856"/>
      <w:r>
        <w:rPr>
          <w:snapToGrid w:val="0"/>
        </w:rPr>
        <w:t xml:space="preserve"> </w:t>
      </w:r>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spacing w:before="120"/>
        <w:rPr>
          <w:snapToGrid w:val="0"/>
        </w:rPr>
      </w:pPr>
      <w:r>
        <w:rPr>
          <w:snapToGrid w:val="0"/>
        </w:rPr>
        <w:tab/>
      </w:r>
      <w:r>
        <w:rPr>
          <w:snapToGrid w:val="0"/>
        </w:rPr>
        <w:tab/>
        <w:t>and any such order shall have effect accordingly.</w:t>
      </w:r>
    </w:p>
    <w:p>
      <w:pPr>
        <w:pStyle w:val="Subsection"/>
        <w:spacing w:before="120"/>
        <w:rPr>
          <w:snapToGrid w:val="0"/>
        </w:rPr>
      </w:pPr>
      <w:r>
        <w:rPr>
          <w:snapToGrid w:val="0"/>
        </w:rPr>
        <w:tab/>
        <w:t>(2)</w:t>
      </w:r>
      <w:r>
        <w:rPr>
          <w:snapToGrid w:val="0"/>
        </w:rPr>
        <w:tab/>
        <w:t>An order made under subsection (1) may be amended or revoked by the Governor.</w:t>
      </w:r>
    </w:p>
    <w:p>
      <w:pPr>
        <w:pStyle w:val="Subsection"/>
        <w:spacing w:before="120"/>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spacing w:before="120"/>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 xml:space="preserve">[Section 58, formerly section 19, renumbered as section 58 by No. 43 of 1987 s. 14; amended by No. 30 of 1995 s. 47.] </w:t>
      </w:r>
    </w:p>
    <w:p>
      <w:pPr>
        <w:pStyle w:val="Heading5"/>
        <w:rPr>
          <w:snapToGrid w:val="0"/>
        </w:rPr>
      </w:pPr>
      <w:bookmarkStart w:id="857" w:name="_Toc402776448"/>
      <w:bookmarkStart w:id="858" w:name="_Toc403985311"/>
      <w:bookmarkStart w:id="859" w:name="_Toc59593085"/>
      <w:bookmarkStart w:id="860" w:name="_Toc109702926"/>
      <w:bookmarkStart w:id="861" w:name="_Toc131410012"/>
      <w:r>
        <w:rPr>
          <w:rStyle w:val="CharSectno"/>
        </w:rPr>
        <w:t>59</w:t>
      </w:r>
      <w:r>
        <w:rPr>
          <w:snapToGrid w:val="0"/>
        </w:rPr>
        <w:t>.</w:t>
      </w:r>
      <w:r>
        <w:rPr>
          <w:snapToGrid w:val="0"/>
        </w:rPr>
        <w:tab/>
        <w:t>Liability of members</w:t>
      </w:r>
      <w:bookmarkEnd w:id="857"/>
      <w:bookmarkEnd w:id="858"/>
      <w:bookmarkEnd w:id="859"/>
      <w:bookmarkEnd w:id="860"/>
      <w:bookmarkEnd w:id="861"/>
      <w:r>
        <w:rPr>
          <w:snapToGrid w:val="0"/>
        </w:rPr>
        <w:t xml:space="preserve"> </w:t>
      </w:r>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pPr>
      <w:r>
        <w:tab/>
        <w:t xml:space="preserve">[Section 59, formerly section 20, renumbered as section 59 and amended by No. 43 of 1987 s. 15.] </w:t>
      </w:r>
    </w:p>
    <w:p>
      <w:pPr>
        <w:pStyle w:val="Heading5"/>
        <w:rPr>
          <w:snapToGrid w:val="0"/>
        </w:rPr>
      </w:pPr>
      <w:bookmarkStart w:id="862" w:name="_Toc402776449"/>
      <w:bookmarkStart w:id="863" w:name="_Toc403985312"/>
      <w:bookmarkStart w:id="864" w:name="_Toc59593086"/>
      <w:bookmarkStart w:id="865" w:name="_Toc109702927"/>
      <w:bookmarkStart w:id="866" w:name="_Toc131410013"/>
      <w:r>
        <w:rPr>
          <w:rStyle w:val="CharSectno"/>
        </w:rPr>
        <w:t>60</w:t>
      </w:r>
      <w:r>
        <w:rPr>
          <w:snapToGrid w:val="0"/>
        </w:rPr>
        <w:t>.</w:t>
      </w:r>
      <w:r>
        <w:rPr>
          <w:snapToGrid w:val="0"/>
        </w:rPr>
        <w:tab/>
        <w:t>Regulations</w:t>
      </w:r>
      <w:bookmarkEnd w:id="862"/>
      <w:bookmarkEnd w:id="863"/>
      <w:bookmarkEnd w:id="864"/>
      <w:bookmarkEnd w:id="865"/>
      <w:bookmarkEnd w:id="866"/>
      <w:r>
        <w:rPr>
          <w:snapToGrid w:val="0"/>
        </w:rPr>
        <w:t xml:space="preserve"> </w:t>
      </w:r>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spacing w:before="180"/>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spacing w:before="180"/>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spacing w:before="180"/>
        <w:rPr>
          <w:snapToGrid w:val="0"/>
        </w:rPr>
      </w:pPr>
      <w:r>
        <w:rPr>
          <w:snapToGrid w:val="0"/>
        </w:rPr>
        <w:tab/>
        <w:t>(5)</w:t>
      </w:r>
      <w:r>
        <w:rPr>
          <w:snapToGrid w:val="0"/>
        </w:rPr>
        <w:tab/>
        <w:t>Without affecting the generality of subsection (1) regulations may be made with respect to any of the matters specified in the Schedule.</w:t>
      </w:r>
    </w:p>
    <w:p>
      <w:pPr>
        <w:pStyle w:val="Subsection"/>
      </w:pPr>
      <w:r>
        <w:tab/>
        <w:t>(6)</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body corporate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 xml:space="preserve">[Section 60, formerly section 21, renumbered as section 60 and amended by No. 43 of 1987 s. 16; No. 30 of 1995 s. 45; No. 51 of 2004 s. 37.] </w:t>
      </w:r>
    </w:p>
    <w:p>
      <w:pPr>
        <w:pStyle w:val="Heading5"/>
        <w:rPr>
          <w:snapToGrid w:val="0"/>
        </w:rPr>
      </w:pPr>
      <w:bookmarkStart w:id="867" w:name="_Toc402776450"/>
      <w:bookmarkStart w:id="868" w:name="_Toc403985313"/>
      <w:bookmarkStart w:id="869" w:name="_Toc59593087"/>
      <w:bookmarkStart w:id="870" w:name="_Toc109702928"/>
      <w:bookmarkStart w:id="871" w:name="_Toc131410014"/>
      <w:r>
        <w:rPr>
          <w:rStyle w:val="CharSectno"/>
        </w:rPr>
        <w:t>61</w:t>
      </w:r>
      <w:r>
        <w:rPr>
          <w:snapToGrid w:val="0"/>
        </w:rPr>
        <w:t>.</w:t>
      </w:r>
      <w:r>
        <w:rPr>
          <w:snapToGrid w:val="0"/>
        </w:rPr>
        <w:tab/>
        <w:t>Review of Act</w:t>
      </w:r>
      <w:bookmarkEnd w:id="867"/>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 xml:space="preserve">[Section 61, formerly section 22, renumbered as section 61 by No. 43 of 1987 s. 17; amended by No. 30 of 1995 s. 47; No. 51 of 2004 s. 102(2) and (3).]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rPr>
          <w:snapToGrid/>
        </w:rPr>
      </w:pPr>
      <w:bookmarkStart w:id="872" w:name="_Toc109702929"/>
      <w:bookmarkStart w:id="873" w:name="_Toc122767768"/>
      <w:bookmarkStart w:id="874" w:name="_Toc131410015"/>
      <w:r>
        <w:rPr>
          <w:rStyle w:val="CharSchNo"/>
        </w:rPr>
        <w:t>Schedule</w:t>
      </w:r>
      <w:bookmarkEnd w:id="872"/>
      <w:bookmarkEnd w:id="873"/>
      <w:bookmarkEnd w:id="874"/>
    </w:p>
    <w:p>
      <w:pPr>
        <w:pStyle w:val="yHeading2"/>
        <w:outlineLvl w:val="9"/>
      </w:pPr>
      <w:bookmarkStart w:id="875" w:name="_Toc109702930"/>
      <w:bookmarkStart w:id="876" w:name="_Toc131410016"/>
      <w:r>
        <w:rPr>
          <w:rStyle w:val="CharSchText"/>
        </w:rPr>
        <w:t>Subject matter for regulations</w:t>
      </w:r>
      <w:bookmarkEnd w:id="875"/>
      <w:bookmarkEnd w:id="876"/>
    </w:p>
    <w:p>
      <w:pPr>
        <w:pStyle w:val="ySubsection"/>
        <w:rPr>
          <w:snapToGrid w:val="0"/>
        </w:rPr>
      </w:pPr>
      <w:r>
        <w:rPr>
          <w:snapToGrid w:val="0"/>
        </w:rPr>
        <w:tab/>
        <w:t>1.</w:t>
      </w:r>
      <w:r>
        <w:rPr>
          <w:snapToGrid w:val="0"/>
        </w:rPr>
        <w:tab/>
        <w:t>Safety and health standards or procedures to be complied with — </w:t>
      </w:r>
    </w:p>
    <w:p>
      <w:pPr>
        <w:pStyle w:val="yIndenta"/>
        <w:spacing w:before="100"/>
        <w:rPr>
          <w:snapToGrid w:val="0"/>
        </w:rPr>
      </w:pPr>
      <w:r>
        <w:rPr>
          <w:snapToGrid w:val="0"/>
        </w:rPr>
        <w:tab/>
        <w:t>(a)</w:t>
      </w:r>
      <w:r>
        <w:rPr>
          <w:snapToGrid w:val="0"/>
        </w:rPr>
        <w:tab/>
        <w:t>at any workplace;</w:t>
      </w:r>
    </w:p>
    <w:p>
      <w:pPr>
        <w:pStyle w:val="yIndenta"/>
        <w:spacing w:before="100"/>
        <w:rPr>
          <w:snapToGrid w:val="0"/>
        </w:rPr>
      </w:pPr>
      <w:r>
        <w:rPr>
          <w:snapToGrid w:val="0"/>
        </w:rPr>
        <w:tab/>
        <w:t>(b)</w:t>
      </w:r>
      <w:r>
        <w:rPr>
          <w:snapToGrid w:val="0"/>
        </w:rPr>
        <w:tab/>
        <w:t>in the performance of any work;</w:t>
      </w:r>
    </w:p>
    <w:p>
      <w:pPr>
        <w:pStyle w:val="yIndenta"/>
        <w:spacing w:before="100"/>
        <w:rPr>
          <w:snapToGrid w:val="0"/>
        </w:rPr>
      </w:pPr>
      <w:r>
        <w:rPr>
          <w:snapToGrid w:val="0"/>
        </w:rPr>
        <w:tab/>
        <w:t>(c)</w:t>
      </w:r>
      <w:r>
        <w:rPr>
          <w:snapToGrid w:val="0"/>
        </w:rPr>
        <w:tab/>
        <w:t>in the use, cleaning, maintenance, disposal or transportation of any plant;</w:t>
      </w:r>
    </w:p>
    <w:p>
      <w:pPr>
        <w:pStyle w:val="yIndenta"/>
        <w:spacing w:before="100"/>
        <w:rPr>
          <w:snapToGrid w:val="0"/>
        </w:rPr>
      </w:pPr>
      <w:r>
        <w:rPr>
          <w:snapToGrid w:val="0"/>
        </w:rPr>
        <w:tab/>
        <w:t>(d)</w:t>
      </w:r>
      <w:r>
        <w:rPr>
          <w:snapToGrid w:val="0"/>
        </w:rPr>
        <w:tab/>
        <w:t>in the use, handling, treatment, removal, processing, storing, transport or disposal of any substance;</w:t>
      </w:r>
    </w:p>
    <w:p>
      <w:pPr>
        <w:pStyle w:val="yIndenta"/>
        <w:spacing w:before="100"/>
        <w:rPr>
          <w:snapToGrid w:val="0"/>
        </w:rPr>
      </w:pPr>
      <w:r>
        <w:rPr>
          <w:snapToGrid w:val="0"/>
        </w:rPr>
        <w:tab/>
        <w:t>(e)</w:t>
      </w:r>
      <w:r>
        <w:rPr>
          <w:snapToGrid w:val="0"/>
        </w:rPr>
        <w:tab/>
        <w:t>in the design, manufacture, importing or supplying of any plant;</w:t>
      </w:r>
    </w:p>
    <w:p>
      <w:pPr>
        <w:pStyle w:val="yIndenta"/>
        <w:spacing w:before="100"/>
        <w:rPr>
          <w:snapToGrid w:val="0"/>
        </w:rPr>
      </w:pPr>
      <w:r>
        <w:rPr>
          <w:snapToGrid w:val="0"/>
        </w:rPr>
        <w:tab/>
        <w:t>(f)</w:t>
      </w:r>
      <w:r>
        <w:rPr>
          <w:snapToGrid w:val="0"/>
        </w:rPr>
        <w:tab/>
        <w:t>in the design, manufacture, importing or supplying of any substance; or</w:t>
      </w:r>
    </w:p>
    <w:p>
      <w:pPr>
        <w:pStyle w:val="yIndenta"/>
        <w:spacing w:before="100"/>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 xml:space="preserve">The imposition of duties on persons in relation to — </w:t>
      </w:r>
    </w:p>
    <w:p>
      <w:pPr>
        <w:pStyle w:val="yIndenta"/>
      </w:pPr>
      <w:r>
        <w:tab/>
        <w:t>(a)</w:t>
      </w:r>
      <w:r>
        <w:tab/>
        <w:t>the identification of hazards at workplaces;</w:t>
      </w:r>
    </w:p>
    <w:p>
      <w:pPr>
        <w:pStyle w:val="yIndenta"/>
      </w:pPr>
      <w:r>
        <w:tab/>
        <w:t>(b)</w:t>
      </w:r>
      <w:r>
        <w:tab/>
        <w:t xml:space="preserve">the assessment of risks resulting from such hazards; and </w:t>
      </w:r>
    </w:p>
    <w:p>
      <w:pPr>
        <w:pStyle w:val="yIndenta"/>
      </w:pPr>
      <w:r>
        <w:tab/>
        <w:t>(c)</w:t>
      </w:r>
      <w:r>
        <w:tab/>
        <w:t>the taking of remedial or other action.</w:t>
      </w:r>
    </w:p>
    <w:p>
      <w:pPr>
        <w:pStyle w:val="ySubsection"/>
        <w:rPr>
          <w:snapToGrid w:val="0"/>
        </w:rPr>
      </w:pPr>
      <w:r>
        <w:rPr>
          <w:snapToGrid w:val="0"/>
        </w:rPr>
        <w:tab/>
        <w:t xml:space="preserve">2. </w:t>
      </w:r>
      <w:r>
        <w:rPr>
          <w:snapToGrid w:val="0"/>
        </w:rPr>
        <w:tab/>
        <w:t>The safeguarding, siting, installing, testing, altering, repairing, maintaining or dismantling of any plant.</w:t>
      </w:r>
    </w:p>
    <w:p>
      <w:pPr>
        <w:pStyle w:val="ySubsection"/>
        <w:spacing w:before="120"/>
        <w:rPr>
          <w:snapToGrid w:val="0"/>
        </w:rPr>
      </w:pPr>
      <w:r>
        <w:rPr>
          <w:snapToGrid w:val="0"/>
        </w:rPr>
        <w:tab/>
        <w:t xml:space="preserve">3. </w:t>
      </w:r>
      <w:r>
        <w:rPr>
          <w:snapToGrid w:val="0"/>
        </w:rPr>
        <w:tab/>
        <w:t>The testing, analysis, labelling or marking of any plant or substance.</w:t>
      </w:r>
    </w:p>
    <w:p>
      <w:pPr>
        <w:pStyle w:val="ySubsection"/>
        <w:spacing w:before="120"/>
        <w:rPr>
          <w:snapToGrid w:val="0"/>
        </w:rPr>
      </w:pPr>
      <w:r>
        <w:rPr>
          <w:snapToGrid w:val="0"/>
        </w:rPr>
        <w:tab/>
        <w:t xml:space="preserve">4. </w:t>
      </w:r>
      <w:r>
        <w:rPr>
          <w:snapToGrid w:val="0"/>
        </w:rPr>
        <w:tab/>
        <w:t>The registration or licensing of —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 xml:space="preserve">Duties to be observed by — </w:t>
      </w:r>
    </w:p>
    <w:p>
      <w:pPr>
        <w:pStyle w:val="yIndenta"/>
      </w:pPr>
      <w:r>
        <w:tab/>
        <w:t>(a)</w:t>
      </w:r>
      <w:r>
        <w:tab/>
        <w:t xml:space="preserve">the owner; or </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 xml:space="preserve">5. </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 xml:space="preserve">6. </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 xml:space="preserve">6A. </w:t>
      </w:r>
      <w:r>
        <w:rPr>
          <w:snapToGrid w:val="0"/>
        </w:rPr>
        <w:tab/>
        <w:t>The prohibition of the use, handling, treatment, storage, transportation or disposal of any prescribed substance at a workplace.</w:t>
      </w:r>
    </w:p>
    <w:p>
      <w:pPr>
        <w:pStyle w:val="ySubsection"/>
        <w:rPr>
          <w:snapToGrid w:val="0"/>
        </w:rPr>
      </w:pPr>
      <w:r>
        <w:rPr>
          <w:snapToGrid w:val="0"/>
        </w:rPr>
        <w:tab/>
        <w:t xml:space="preserve">7. </w:t>
      </w:r>
      <w:r>
        <w:rPr>
          <w:snapToGrid w:val="0"/>
        </w:rPr>
        <w:tab/>
        <w:t>The taking of any measures or precautions to avoid any accident or dangerous occurrence at any workplace.</w:t>
      </w:r>
    </w:p>
    <w:p>
      <w:pPr>
        <w:pStyle w:val="ySubsection"/>
        <w:rPr>
          <w:snapToGrid w:val="0"/>
        </w:rPr>
      </w:pPr>
      <w:r>
        <w:rPr>
          <w:snapToGrid w:val="0"/>
        </w:rPr>
        <w:tab/>
        <w:t xml:space="preserve">8. </w:t>
      </w:r>
      <w:r>
        <w:rPr>
          <w:snapToGrid w:val="0"/>
        </w:rPr>
        <w:tab/>
        <w:t>The taking of any action in the event of any accident, injury, disease or dangerous occurrence.</w:t>
      </w:r>
    </w:p>
    <w:p>
      <w:pPr>
        <w:pStyle w:val="ySubsection"/>
        <w:rPr>
          <w:snapToGrid w:val="0"/>
        </w:rPr>
      </w:pPr>
      <w:r>
        <w:rPr>
          <w:snapToGrid w:val="0"/>
        </w:rPr>
        <w:tab/>
        <w:t xml:space="preserve">9. </w:t>
      </w:r>
      <w:r>
        <w:rPr>
          <w:snapToGrid w:val="0"/>
        </w:rPr>
        <w:tab/>
        <w:t>The monitoring by an employer of —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 xml:space="preserve">10. </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 xml:space="preserve">11. </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 xml:space="preserve">12. </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 xml:space="preserve">13. </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 xml:space="preserve">16. </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 xml:space="preserve">17. </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 xml:space="preserve">19. </w:t>
      </w:r>
      <w:r>
        <w:rPr>
          <w:snapToGrid w:val="0"/>
        </w:rPr>
        <w:tab/>
        <w:t>The employment of young persons.</w:t>
      </w:r>
    </w:p>
    <w:p>
      <w:pPr>
        <w:pStyle w:val="ySubsection"/>
        <w:rPr>
          <w:snapToGrid w:val="0"/>
        </w:rPr>
      </w:pPr>
      <w:r>
        <w:rPr>
          <w:snapToGrid w:val="0"/>
        </w:rPr>
        <w:tab/>
        <w:t xml:space="preserve">20. </w:t>
      </w:r>
      <w:r>
        <w:rPr>
          <w:snapToGrid w:val="0"/>
        </w:rPr>
        <w:tab/>
        <w:t>The safety of persons in isolated or remote areas.</w:t>
      </w:r>
    </w:p>
    <w:p>
      <w:pPr>
        <w:pStyle w:val="ySubsection"/>
        <w:rPr>
          <w:snapToGrid w:val="0"/>
        </w:rPr>
      </w:pPr>
      <w:r>
        <w:rPr>
          <w:snapToGrid w:val="0"/>
        </w:rPr>
        <w:tab/>
        <w:t xml:space="preserve">21. </w:t>
      </w:r>
      <w:r>
        <w:rPr>
          <w:snapToGrid w:val="0"/>
        </w:rPr>
        <w:tab/>
        <w:t>Standards for the manual handling of loads by employees.</w:t>
      </w:r>
    </w:p>
    <w:p>
      <w:pPr>
        <w:pStyle w:val="ySubsection"/>
        <w:rPr>
          <w:snapToGrid w:val="0"/>
        </w:rPr>
      </w:pPr>
      <w:r>
        <w:rPr>
          <w:snapToGrid w:val="0"/>
        </w:rPr>
        <w:tab/>
        <w:t xml:space="preserve">22. </w:t>
      </w:r>
      <w:r>
        <w:rPr>
          <w:snapToGrid w:val="0"/>
        </w:rPr>
        <w:tab/>
        <w:t>The safety of persons in the vicinity of any workplace.</w:t>
      </w:r>
    </w:p>
    <w:p>
      <w:pPr>
        <w:pStyle w:val="ySubsection"/>
        <w:rPr>
          <w:snapToGrid w:val="0"/>
        </w:rPr>
      </w:pPr>
      <w:r>
        <w:rPr>
          <w:snapToGrid w:val="0"/>
        </w:rPr>
        <w:tab/>
        <w:t xml:space="preserve">23. </w:t>
      </w:r>
      <w:r>
        <w:rPr>
          <w:snapToGrid w:val="0"/>
        </w:rPr>
        <w:tab/>
        <w:t>The giving of notices, in specified circumstances, to the Minister, an inspector or other prescribed person or authority.</w:t>
      </w:r>
    </w:p>
    <w:p>
      <w:pPr>
        <w:pStyle w:val="ySubsection"/>
        <w:rPr>
          <w:snapToGrid w:val="0"/>
        </w:rPr>
      </w:pPr>
      <w:r>
        <w:rPr>
          <w:snapToGrid w:val="0"/>
        </w:rPr>
        <w:tab/>
        <w:t xml:space="preserve">24. </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 xml:space="preserve">24A. </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 xml:space="preserve">25. </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 xml:space="preserve">26. </w:t>
      </w:r>
      <w:r>
        <w:rPr>
          <w:snapToGrid w:val="0"/>
        </w:rPr>
        <w:tab/>
        <w:t>Procedures that are to be carried out on inspections under this Act.</w:t>
      </w:r>
    </w:p>
    <w:p>
      <w:pPr>
        <w:pStyle w:val="ySubsection"/>
        <w:rPr>
          <w:snapToGrid w:val="0"/>
        </w:rPr>
      </w:pPr>
      <w:r>
        <w:rPr>
          <w:snapToGrid w:val="0"/>
        </w:rPr>
        <w:tab/>
        <w:t xml:space="preserve">26A. </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 xml:space="preserve">26C. </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 xml:space="preserve">27. </w:t>
      </w:r>
      <w:r>
        <w:rPr>
          <w:snapToGrid w:val="0"/>
        </w:rPr>
        <w:tab/>
        <w:t>Fees (including differential and periodic fees) for the purpose of this Act.</w:t>
      </w:r>
    </w:p>
    <w:p>
      <w:pPr>
        <w:pStyle w:val="ySubsection"/>
        <w:rPr>
          <w:snapToGrid w:val="0"/>
        </w:rPr>
      </w:pPr>
      <w:r>
        <w:rPr>
          <w:snapToGrid w:val="0"/>
        </w:rPr>
        <w:tab/>
        <w:t xml:space="preserve">28. </w:t>
      </w:r>
      <w:r>
        <w:rPr>
          <w:snapToGrid w:val="0"/>
        </w:rPr>
        <w:tab/>
        <w:t>Forms to be used for the purposes of this Act.</w:t>
      </w:r>
    </w:p>
    <w:p>
      <w:pPr>
        <w:pStyle w:val="ySubsection"/>
        <w:rPr>
          <w:snapToGrid w:val="0"/>
        </w:rPr>
      </w:pPr>
      <w:r>
        <w:rPr>
          <w:snapToGrid w:val="0"/>
        </w:rPr>
        <w:tab/>
        <w:t xml:space="preserve">29. </w:t>
      </w:r>
      <w:r>
        <w:rPr>
          <w:snapToGrid w:val="0"/>
        </w:rPr>
        <w:tab/>
        <w:t>The recovery of fees under this Act.</w:t>
      </w:r>
    </w:p>
    <w:p>
      <w:pPr>
        <w:pStyle w:val="ySubsection"/>
        <w:rPr>
          <w:snapToGrid w:val="0"/>
        </w:rPr>
      </w:pPr>
      <w:r>
        <w:rPr>
          <w:snapToGrid w:val="0"/>
        </w:rPr>
        <w:tab/>
        <w:t xml:space="preserve">30. </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 xml:space="preserve">31. </w:t>
      </w:r>
      <w:r>
        <w:rPr>
          <w:snapToGrid w:val="0"/>
        </w:rPr>
        <w:tab/>
        <w:t>The approval of laboratories for the analysis of samples taken under this Act and the conduct of tests for the purposes of this Act.</w:t>
      </w:r>
    </w:p>
    <w:p>
      <w:pPr>
        <w:pStyle w:val="yFootnotesection"/>
        <w:tabs>
          <w:tab w:val="clear" w:pos="893"/>
        </w:tabs>
        <w:spacing w:before="140"/>
        <w:ind w:left="0" w:firstLine="0"/>
      </w:pPr>
      <w:r>
        <w:t>[Schedule inserted by No. 43 of 1987 s. 18; amended by No. 30 of 1995 s. 46 and 47; No. 51 of 2004 s. 13, 57, 69(4), 101 and 114.]</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877" w:name="_Toc88990710"/>
      <w:bookmarkStart w:id="878" w:name="_Toc89568272"/>
      <w:bookmarkStart w:id="879" w:name="_Toc93201003"/>
      <w:bookmarkStart w:id="880" w:name="_Toc97006674"/>
      <w:bookmarkStart w:id="881" w:name="_Toc100545276"/>
      <w:bookmarkStart w:id="882" w:name="_Toc100716755"/>
      <w:bookmarkStart w:id="883" w:name="_Toc102546344"/>
      <w:bookmarkStart w:id="884" w:name="_Toc103141567"/>
      <w:bookmarkStart w:id="885" w:name="_Toc105909179"/>
      <w:bookmarkStart w:id="886" w:name="_Toc105922065"/>
      <w:bookmarkStart w:id="887" w:name="_Toc106616903"/>
      <w:bookmarkStart w:id="888" w:name="_Toc108848648"/>
      <w:bookmarkStart w:id="889" w:name="_Toc109702931"/>
      <w:bookmarkStart w:id="890" w:name="_Toc113700488"/>
      <w:bookmarkStart w:id="891" w:name="_Toc113779146"/>
      <w:bookmarkStart w:id="892" w:name="_Toc122767527"/>
      <w:bookmarkStart w:id="893" w:name="_Toc122767770"/>
      <w:bookmarkStart w:id="894" w:name="_Toc131410017"/>
      <w:r>
        <w:t>Notes</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w:t>
      </w:r>
      <w:r>
        <w:rPr>
          <w:snapToGrid w:val="0"/>
          <w:vertAlign w:val="superscript"/>
        </w:rPr>
        <w:t> 14</w:t>
      </w:r>
      <w:r>
        <w:rPr>
          <w:snapToGrid w:val="0"/>
        </w:rPr>
        <w:t>.  The table also contains information about any reprint.</w:t>
      </w:r>
    </w:p>
    <w:p>
      <w:pPr>
        <w:pStyle w:val="nHeading3"/>
        <w:outlineLvl w:val="0"/>
        <w:rPr>
          <w:snapToGrid w:val="0"/>
        </w:rPr>
      </w:pPr>
      <w:bookmarkStart w:id="895" w:name="_Toc109702932"/>
      <w:bookmarkStart w:id="896" w:name="_Toc131410018"/>
      <w:r>
        <w:rPr>
          <w:snapToGrid w:val="0"/>
        </w:rPr>
        <w:t>Compilation table</w:t>
      </w:r>
      <w:bookmarkEnd w:id="895"/>
      <w:bookmarkEnd w:id="8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Occupational Health, Safety and Welfare Act 1984</w:t>
            </w:r>
            <w:r>
              <w:rPr>
                <w:iCs/>
                <w:sz w:val="19"/>
                <w:vertAlign w:val="superscript"/>
              </w:rPr>
              <w:t> 4</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4 Apr 1985 (see s. 2 and </w:t>
            </w:r>
            <w:r>
              <w:rPr>
                <w:i/>
                <w:sz w:val="19"/>
              </w:rPr>
              <w:t>Gazette</w:t>
            </w:r>
            <w:r>
              <w:rPr>
                <w:sz w:val="19"/>
              </w:rPr>
              <w:t xml:space="preserve"> 4 Apr 1985 p. 1241)</w:t>
            </w:r>
          </w:p>
        </w:tc>
      </w:tr>
      <w:tr>
        <w:trPr>
          <w:cantSplit/>
        </w:trPr>
        <w:tc>
          <w:tcPr>
            <w:tcW w:w="2268"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3757)</w:t>
            </w:r>
          </w:p>
        </w:tc>
      </w:tr>
      <w:tr>
        <w:trPr>
          <w:cantSplit/>
        </w:trPr>
        <w:tc>
          <w:tcPr>
            <w:tcW w:w="2268"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cantSplit/>
        </w:trPr>
        <w:tc>
          <w:tcPr>
            <w:tcW w:w="2268"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5, 6</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iCs/>
                <w:sz w:val="19"/>
                <w:vertAlign w:val="superscript"/>
              </w:rPr>
            </w:pPr>
            <w:r>
              <w:rPr>
                <w:i/>
                <w:sz w:val="19"/>
              </w:rPr>
              <w:t>Occupational Safety and Health (Validation) Act 1998</w:t>
            </w:r>
            <w:r>
              <w:rPr>
                <w:iCs/>
                <w:sz w:val="19"/>
                <w:vertAlign w:val="superscript"/>
              </w:rPr>
              <w:t> 7, 8</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cantSplit/>
        </w:trPr>
        <w:tc>
          <w:tcPr>
            <w:tcW w:w="2268" w:type="dxa"/>
          </w:tcPr>
          <w:p>
            <w:pPr>
              <w:pStyle w:val="nTable"/>
              <w:spacing w:after="40"/>
              <w:ind w:right="170"/>
              <w:rPr>
                <w:iCs/>
                <w:sz w:val="19"/>
              </w:rPr>
            </w:pPr>
            <w:r>
              <w:rPr>
                <w:i/>
                <w:sz w:val="19"/>
              </w:rPr>
              <w:t>Occupational Safety and Health Amendment Act 2002</w:t>
            </w:r>
            <w:r>
              <w:rPr>
                <w:iCs/>
                <w:sz w:val="19"/>
                <w:vertAlign w:val="superscript"/>
              </w:rPr>
              <w:t> 9</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8: 3 Jan 2003 (see s. 2(2));</w:t>
            </w:r>
            <w:r>
              <w:rPr>
                <w:sz w:val="19"/>
              </w:rPr>
              <w:br/>
              <w:t>balance: 3 Jan 2004 (see s. 2(1))</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71"/>
              <w:rPr>
                <w:sz w:val="19"/>
              </w:rPr>
            </w:pPr>
            <w:r>
              <w:rPr>
                <w:i/>
                <w:sz w:val="19"/>
              </w:rPr>
              <w:t>Occupational Safety and Health Legislation Amendment and Repeal Act 2004</w:t>
            </w:r>
            <w:r>
              <w:rPr>
                <w:sz w:val="19"/>
              </w:rPr>
              <w:t xml:space="preserve"> Pt. 1</w:t>
            </w:r>
            <w:r>
              <w:rPr>
                <w:sz w:val="19"/>
              </w:rPr>
              <w:noBreakHyphen/>
              <w:t>6 (other than s. 65, 66 and 68), Pt. 7 and s. 104</w:t>
            </w:r>
            <w:r>
              <w:rPr>
                <w:sz w:val="19"/>
              </w:rPr>
              <w:noBreakHyphen/>
              <w:t>114</w:t>
            </w:r>
            <w:r>
              <w:rPr>
                <w:sz w:val="19"/>
                <w:vertAlign w:val="superscript"/>
              </w:rPr>
              <w:t> 11, 12, 13</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spacing w:val="-2"/>
                <w:sz w:val="19"/>
              </w:rPr>
              <w:t xml:space="preserve">Act other than 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(other than s. 65, 66 and 68),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p>
        </w:tc>
      </w:tr>
      <w:tr>
        <w:trPr>
          <w:cantSplit/>
        </w:trPr>
        <w:tc>
          <w:tcPr>
            <w:tcW w:w="2268"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cantSplit/>
        </w:trPr>
        <w:tc>
          <w:tcPr>
            <w:tcW w:w="2268"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w:t>
            </w:r>
          </w:p>
        </w:tc>
      </w:tr>
      <w:tr>
        <w:trPr>
          <w:cantSplit/>
        </w:trPr>
        <w:tc>
          <w:tcPr>
            <w:tcW w:w="2268" w:type="dxa"/>
            <w:tcBorders>
              <w:bottom w:val="single" w:sz="4" w:space="0" w:color="auto"/>
            </w:tcBorders>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Borders>
              <w:bottom w:val="single" w:sz="4" w:space="0" w:color="auto"/>
            </w:tcBorders>
          </w:tcPr>
          <w:p>
            <w:pPr>
              <w:pStyle w:val="nTable"/>
              <w:spacing w:after="40"/>
              <w:rPr>
                <w:snapToGrid w:val="0"/>
                <w:sz w:val="19"/>
                <w:lang w:val="en-US"/>
              </w:rPr>
            </w:pPr>
            <w:r>
              <w:rPr>
                <w:snapToGrid w:val="0"/>
                <w:sz w:val="19"/>
                <w:lang w:val="en-US"/>
              </w:rPr>
              <w:t>38 of 2005</w:t>
            </w:r>
          </w:p>
        </w:tc>
        <w:tc>
          <w:tcPr>
            <w:tcW w:w="1134" w:type="dxa"/>
            <w:tcBorders>
              <w:bottom w:val="single" w:sz="4" w:space="0" w:color="auto"/>
            </w:tcBorders>
          </w:tcPr>
          <w:p>
            <w:pPr>
              <w:pStyle w:val="nTable"/>
              <w:spacing w:after="40"/>
              <w:rPr>
                <w:sz w:val="19"/>
              </w:rPr>
            </w:pPr>
            <w:r>
              <w:rPr>
                <w:sz w:val="19"/>
              </w:rPr>
              <w:t>12 Dec 2005</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bl>
    <w:p>
      <w:pPr>
        <w:pStyle w:val="nSubsection"/>
        <w:spacing w:before="360"/>
        <w:ind w:left="482" w:hanging="482"/>
      </w:pPr>
      <w:r>
        <w:rPr>
          <w:vertAlign w:val="superscript"/>
        </w:rPr>
        <w:t>1a</w:t>
      </w:r>
      <w:r>
        <w:tab/>
        <w:t>On the date as at which thi</w:t>
      </w:r>
      <w:bookmarkStart w:id="897" w:name="_Hlt507390729"/>
      <w:bookmarkEnd w:id="897"/>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898" w:name="_Toc109702933"/>
      <w:bookmarkStart w:id="899" w:name="_Toc131410019"/>
      <w:r>
        <w:rPr>
          <w:snapToGrid w:val="0"/>
        </w:rPr>
        <w:t>Provisions that have not come into operation</w:t>
      </w:r>
      <w:bookmarkEnd w:id="898"/>
      <w:bookmarkEnd w:id="899"/>
    </w:p>
    <w:tbl>
      <w:tblPr>
        <w:tblW w:w="7116"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80"/>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8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napToGrid w:val="0"/>
                <w:sz w:val="19"/>
                <w:vertAlign w:val="superscript"/>
                <w:lang w:val="en-US"/>
              </w:rPr>
            </w:pPr>
            <w:r>
              <w:rPr>
                <w:i/>
                <w:snapToGrid w:val="0"/>
                <w:sz w:val="19"/>
                <w:lang w:val="en-US"/>
              </w:rPr>
              <w:t>Occupational Safety and Health Legislation Amendment and Repeal Act 2004</w:t>
            </w:r>
            <w:r>
              <w:rPr>
                <w:iCs/>
                <w:snapToGrid w:val="0"/>
                <w:sz w:val="19"/>
                <w:lang w:val="en-US"/>
              </w:rPr>
              <w:t xml:space="preserve"> s</w:t>
            </w:r>
            <w:r>
              <w:rPr>
                <w:snapToGrid w:val="0"/>
                <w:sz w:val="19"/>
                <w:lang w:val="en-US"/>
              </w:rPr>
              <w:t>. 65, 66 and 68 </w:t>
            </w:r>
            <w:r>
              <w:rPr>
                <w:snapToGrid w:val="0"/>
                <w:sz w:val="19"/>
                <w:vertAlign w:val="superscript"/>
                <w:lang w:val="en-US"/>
              </w:rPr>
              <w:t>15</w:t>
            </w:r>
          </w:p>
        </w:tc>
        <w:tc>
          <w:tcPr>
            <w:tcW w:w="1134" w:type="dxa"/>
            <w:tcBorders>
              <w:top w:val="nil"/>
              <w:bottom w:val="nil"/>
            </w:tcBorders>
          </w:tcPr>
          <w:p>
            <w:pPr>
              <w:pStyle w:val="nTable"/>
              <w:spacing w:after="40"/>
              <w:rPr>
                <w:snapToGrid w:val="0"/>
                <w:sz w:val="19"/>
                <w:lang w:val="en-US"/>
              </w:rPr>
            </w:pPr>
            <w:r>
              <w:rPr>
                <w:snapToGrid w:val="0"/>
                <w:sz w:val="19"/>
                <w:lang w:val="en-US"/>
              </w:rPr>
              <w:t>51 of 2004</w:t>
            </w:r>
          </w:p>
        </w:tc>
        <w:tc>
          <w:tcPr>
            <w:tcW w:w="1134" w:type="dxa"/>
            <w:tcBorders>
              <w:top w:val="nil"/>
              <w:bottom w:val="nil"/>
            </w:tcBorders>
          </w:tcPr>
          <w:p>
            <w:pPr>
              <w:pStyle w:val="nTable"/>
              <w:spacing w:after="40"/>
              <w:rPr>
                <w:sz w:val="19"/>
              </w:rPr>
            </w:pPr>
            <w:r>
              <w:rPr>
                <w:sz w:val="19"/>
              </w:rPr>
              <w:t>12 Nov 2004</w:t>
            </w:r>
          </w:p>
        </w:tc>
        <w:tc>
          <w:tcPr>
            <w:tcW w:w="2580" w:type="dxa"/>
            <w:tcBorders>
              <w:top w:val="nil"/>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single" w:sz="4" w:space="0" w:color="auto"/>
            </w:tcBorders>
          </w:tcPr>
          <w:p>
            <w:pPr>
              <w:pStyle w:val="nTable"/>
              <w:spacing w:after="40"/>
              <w:rPr>
                <w:iCs/>
                <w:snapToGrid w:val="0"/>
                <w:sz w:val="19"/>
                <w:lang w:val="en-US"/>
              </w:rPr>
            </w:pPr>
            <w:r>
              <w:rPr>
                <w:i/>
                <w:snapToGrid w:val="0"/>
                <w:sz w:val="19"/>
                <w:lang w:val="en-US"/>
              </w:rPr>
              <w:t>Petroleum Legislation Amendment and Repeal Act 2005</w:t>
            </w:r>
            <w:r>
              <w:rPr>
                <w:iCs/>
                <w:snapToGrid w:val="0"/>
                <w:sz w:val="19"/>
                <w:lang w:val="en-US"/>
              </w:rPr>
              <w:t xml:space="preserve"> s. 50</w:t>
            </w:r>
            <w:r>
              <w:rPr>
                <w:iCs/>
                <w:snapToGrid w:val="0"/>
                <w:sz w:val="19"/>
                <w:vertAlign w:val="superscript"/>
                <w:lang w:val="en-US"/>
              </w:rPr>
              <w:t> 16</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13 of 2005</w:t>
            </w:r>
          </w:p>
        </w:tc>
        <w:tc>
          <w:tcPr>
            <w:tcW w:w="1134" w:type="dxa"/>
            <w:tcBorders>
              <w:top w:val="nil"/>
              <w:bottom w:val="single" w:sz="4" w:space="0" w:color="auto"/>
            </w:tcBorders>
          </w:tcPr>
          <w:p>
            <w:pPr>
              <w:pStyle w:val="nTable"/>
              <w:spacing w:after="40"/>
              <w:rPr>
                <w:sz w:val="19"/>
              </w:rPr>
            </w:pPr>
            <w:r>
              <w:rPr>
                <w:sz w:val="19"/>
              </w:rPr>
              <w:t>1 Sep 2005</w:t>
            </w:r>
          </w:p>
        </w:tc>
        <w:tc>
          <w:tcPr>
            <w:tcW w:w="2580"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snapToGrid w:val="0"/>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p>
    <w:p>
      <w:pPr>
        <w:pStyle w:val="nSubsection"/>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iCs/>
          <w:snapToGrid w:val="0"/>
        </w:rPr>
      </w:pPr>
      <w:r>
        <w:rPr>
          <w:snapToGrid w:val="0"/>
          <w:vertAlign w:val="superscript"/>
        </w:rPr>
        <w:t>4</w:t>
      </w:r>
      <w:r>
        <w:rPr>
          <w:snapToGrid w:val="0"/>
        </w:rPr>
        <w:tab/>
        <w:t xml:space="preserve">Now known as the </w:t>
      </w:r>
      <w:r>
        <w:rPr>
          <w:i/>
        </w:rPr>
        <w:t>Occupational Safety and Health Act 1984</w:t>
      </w:r>
      <w:r>
        <w:rPr>
          <w:iCs/>
        </w:rPr>
        <w:t>; short title changed (see note under s. 1).</w:t>
      </w:r>
    </w:p>
    <w:p>
      <w:pPr>
        <w:pStyle w:val="nSubsection"/>
        <w:rPr>
          <w:snapToGrid w:val="0"/>
        </w:rPr>
      </w:pPr>
      <w:r>
        <w:rPr>
          <w:snapToGrid w:val="0"/>
          <w:vertAlign w:val="superscript"/>
        </w:rPr>
        <w:t>5</w:t>
      </w:r>
      <w:r>
        <w:rPr>
          <w:snapToGrid w:val="0"/>
        </w:rPr>
        <w:tab/>
        <w:t xml:space="preserve">The </w:t>
      </w:r>
      <w:r>
        <w:rPr>
          <w:i/>
          <w:snapToGrid w:val="0"/>
        </w:rPr>
        <w:t>Occupational Safety and Health Legislation Amendment Act 1995</w:t>
      </w:r>
      <w:r>
        <w:rPr>
          <w:snapToGrid w:val="0"/>
        </w:rPr>
        <w:t xml:space="preserve"> s. 49 </w:t>
      </w:r>
      <w:r>
        <w:t>is a transitional provision that is of no further effect.</w:t>
      </w:r>
    </w:p>
    <w:p>
      <w:pPr>
        <w:pStyle w:val="nSubsection"/>
      </w:pPr>
      <w:r>
        <w:rPr>
          <w:snapToGrid w:val="0"/>
          <w:vertAlign w:val="superscript"/>
        </w:rPr>
        <w:t>6</w:t>
      </w:r>
      <w:r>
        <w:rPr>
          <w:snapToGrid w:val="0"/>
        </w:rPr>
        <w:tab/>
        <w:t xml:space="preserve">The </w:t>
      </w:r>
      <w:r>
        <w:rPr>
          <w:i/>
          <w:snapToGrid w:val="0"/>
        </w:rPr>
        <w:t>Occupational Safety and Health Legislation Amendment Act 1995</w:t>
      </w:r>
      <w:r>
        <w:rPr>
          <w:snapToGrid w:val="0"/>
        </w:rPr>
        <w:t xml:space="preserve"> s. 50 is a transitional provision that is of no further effect. </w:t>
      </w:r>
    </w:p>
    <w:p>
      <w:pPr>
        <w:pStyle w:val="nSubsection"/>
        <w:keepNext/>
      </w:pPr>
      <w:r>
        <w:rPr>
          <w:vertAlign w:val="superscript"/>
        </w:rPr>
        <w:t>7</w:t>
      </w:r>
      <w:r>
        <w:tab/>
        <w:t xml:space="preserve">The </w:t>
      </w:r>
      <w:r>
        <w:rPr>
          <w:i/>
        </w:rPr>
        <w:t>Occupational Safety and Health (Validation) Act 1998</w:t>
      </w:r>
      <w:r>
        <w:t xml:space="preserve"> s. 4 reads as follows:</w:t>
      </w:r>
    </w:p>
    <w:p>
      <w:pPr>
        <w:pStyle w:val="MiscOpen"/>
      </w:pPr>
      <w:r>
        <w:t>“</w:t>
      </w:r>
    </w:p>
    <w:p>
      <w:pPr>
        <w:pStyle w:val="nzHeading5"/>
        <w:spacing w:before="0"/>
      </w:pPr>
      <w:r>
        <w:t>4.</w:t>
      </w:r>
      <w:r>
        <w:tab/>
        <w:t>Validation</w:t>
      </w:r>
    </w:p>
    <w:p>
      <w:pPr>
        <w:pStyle w:val="nzSubsection"/>
        <w:spacing w:before="140"/>
      </w:pPr>
      <w:r>
        <w:tab/>
        <w:t>(1)</w:t>
      </w:r>
      <w:r>
        <w:tab/>
        <w:t xml:space="preserve">In this section — </w:t>
      </w:r>
    </w:p>
    <w:p>
      <w:pPr>
        <w:pStyle w:val="nzDefstart"/>
        <w:outlineLvl w:val="0"/>
      </w:pPr>
      <w:r>
        <w:tab/>
      </w:r>
      <w:r>
        <w:rPr>
          <w:b/>
        </w:rPr>
        <w:t>“</w:t>
      </w:r>
      <w:r>
        <w:rPr>
          <w:rStyle w:val="CharDefText"/>
        </w:rPr>
        <w:t>Commissioner</w:t>
      </w:r>
      <w:r>
        <w:rPr>
          <w:b/>
        </w:rPr>
        <w:t>”</w:t>
      </w:r>
      <w:r>
        <w:t xml:space="preserve"> means —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 xml:space="preserve">No act, matter or thing done before 8 October 1996 —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MiscClose"/>
      </w:pPr>
      <w:r>
        <w:t>”.</w:t>
      </w:r>
    </w:p>
    <w:p>
      <w:pPr>
        <w:pStyle w:val="nSubsection"/>
      </w:pPr>
      <w:r>
        <w:rPr>
          <w:vertAlign w:val="superscript"/>
        </w:rPr>
        <w:t>8</w:t>
      </w:r>
      <w:r>
        <w:tab/>
        <w:t xml:space="preserve">The </w:t>
      </w:r>
      <w:r>
        <w:rPr>
          <w:i/>
        </w:rPr>
        <w:t xml:space="preserve">Occupational Safety and Health (Validation) Act 1998 </w:t>
      </w:r>
      <w:r>
        <w:t>s. 5(2) reads as follows:</w:t>
      </w:r>
    </w:p>
    <w:p>
      <w:pPr>
        <w:pStyle w:val="MiscOpen"/>
      </w:pPr>
      <w:r>
        <w:t>“</w:t>
      </w: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MiscClose"/>
      </w:pPr>
      <w:r>
        <w:t>”.</w:t>
      </w:r>
    </w:p>
    <w:p>
      <w:pPr>
        <w:pStyle w:val="nSubsection"/>
      </w:pPr>
      <w:r>
        <w:rPr>
          <w:vertAlign w:val="superscript"/>
        </w:rPr>
        <w:t>9</w:t>
      </w:r>
      <w:r>
        <w:tab/>
        <w:t xml:space="preserve">The </w:t>
      </w:r>
      <w:r>
        <w:rPr>
          <w:i/>
        </w:rPr>
        <w:t>Occupational Safety and Health Amendment Act 2002</w:t>
      </w:r>
      <w:r>
        <w:t xml:space="preserve"> s. 8 reads as follows:</w:t>
      </w:r>
    </w:p>
    <w:p>
      <w:pPr>
        <w:pStyle w:val="MiscOpen"/>
      </w:pPr>
      <w:r>
        <w:t>“</w:t>
      </w:r>
    </w:p>
    <w:p>
      <w:pPr>
        <w:pStyle w:val="nzHeading5"/>
      </w:pPr>
      <w:bookmarkStart w:id="900" w:name="_Toc29613100"/>
      <w:r>
        <w:rPr>
          <w:rStyle w:val="CharSectno"/>
        </w:rPr>
        <w:t>8</w:t>
      </w:r>
      <w:r>
        <w:t>.</w:t>
      </w:r>
      <w:r>
        <w:tab/>
        <w:t>Election of safety and health representatives by police officers before the commencement of this Act</w:t>
      </w:r>
      <w:bookmarkEnd w:id="900"/>
    </w:p>
    <w:p>
      <w:pPr>
        <w:pStyle w:val="nzSubsection"/>
      </w:pPr>
      <w:r>
        <w:tab/>
        <w:t>(1)</w:t>
      </w:r>
      <w:r>
        <w:tab/>
        <w:t xml:space="preserve">In this section — </w:t>
      </w:r>
    </w:p>
    <w:p>
      <w:pPr>
        <w:pStyle w:val="nzDefstart"/>
      </w:pPr>
      <w:r>
        <w:tab/>
      </w:r>
      <w:r>
        <w:rPr>
          <w:b/>
        </w:rPr>
        <w:t>“</w:t>
      </w:r>
      <w:r>
        <w:rPr>
          <w:rStyle w:val="CharDefText"/>
        </w:rPr>
        <w:t>commencement day</w:t>
      </w:r>
      <w:r>
        <w:rPr>
          <w:b/>
        </w:rPr>
        <w:t>”</w:t>
      </w:r>
      <w:r>
        <w:t xml:space="preserve"> means the day on which this Act comes into operation;</w:t>
      </w:r>
    </w:p>
    <w:p>
      <w:pPr>
        <w:pStyle w:val="nzDefstart"/>
      </w:pPr>
      <w:r>
        <w:tab/>
      </w:r>
      <w:r>
        <w:rPr>
          <w:b/>
        </w:rPr>
        <w:t>“</w:t>
      </w:r>
      <w:r>
        <w:rPr>
          <w:rStyle w:val="CharDefText"/>
        </w:rPr>
        <w:t>police officer</w:t>
      </w:r>
      <w:r>
        <w:rPr>
          <w:b/>
        </w:rPr>
        <w:t>”</w:t>
      </w:r>
      <w:r>
        <w:t xml:space="preserve"> has the same meaning as it has in section 3(1) of the </w:t>
      </w:r>
      <w:r>
        <w:rPr>
          <w:i/>
        </w:rPr>
        <w:t>Occupational Safety and Health Act 1984</w:t>
      </w:r>
      <w:r>
        <w:t xml:space="preserve"> on and after the commencement day;</w:t>
      </w:r>
    </w:p>
    <w:p>
      <w:pPr>
        <w:pStyle w:val="nzDefstart"/>
      </w:pPr>
      <w:r>
        <w:tab/>
      </w:r>
      <w:r>
        <w:rPr>
          <w:b/>
        </w:rPr>
        <w:t>“</w:t>
      </w:r>
      <w:r>
        <w:rPr>
          <w:rStyle w:val="CharDefText"/>
        </w:rPr>
        <w:t>transition period</w:t>
      </w:r>
      <w:r>
        <w:rPr>
          <w:b/>
        </w:rPr>
        <w:t>”</w:t>
      </w:r>
      <w:r>
        <w:t xml:space="preserve"> means the period of 9 months ending immediately before the commencement day.</w:t>
      </w:r>
    </w:p>
    <w:p>
      <w:pPr>
        <w:pStyle w:val="nzSubsection"/>
      </w:pPr>
      <w:r>
        <w:tab/>
        <w:t>(2)</w:t>
      </w:r>
      <w:r>
        <w:tab/>
        <w:t>The provisions listed in the Table to this subsection are to be treated as being in operation during the transition period for the purposes of allowing police officers to elect safety and health representatives for a workplace and for the training of those representatives during that period.</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2880"/>
        <w:gridCol w:w="2760"/>
      </w:tblGrid>
      <w:tr>
        <w:tc>
          <w:tcPr>
            <w:tcW w:w="2880" w:type="dxa"/>
          </w:tcPr>
          <w:p>
            <w:pPr>
              <w:pStyle w:val="nzTable"/>
              <w:tabs>
                <w:tab w:val="left" w:pos="601"/>
              </w:tabs>
              <w:spacing w:before="40"/>
            </w:pPr>
            <w:r>
              <w:rPr>
                <w:b/>
              </w:rPr>
              <w:t>1.</w:t>
            </w:r>
            <w:r>
              <w:rPr>
                <w:b/>
              </w:rPr>
              <w:tab/>
              <w:t>This Act</w:t>
            </w:r>
          </w:p>
        </w:tc>
        <w:tc>
          <w:tcPr>
            <w:tcW w:w="2760" w:type="dxa"/>
          </w:tcPr>
          <w:p>
            <w:pPr>
              <w:pStyle w:val="nzTable"/>
              <w:spacing w:before="40"/>
            </w:pPr>
          </w:p>
        </w:tc>
      </w:tr>
      <w:tr>
        <w:tc>
          <w:tcPr>
            <w:tcW w:w="2880" w:type="dxa"/>
          </w:tcPr>
          <w:p>
            <w:pPr>
              <w:pStyle w:val="nzTable"/>
              <w:spacing w:before="40"/>
              <w:ind w:left="612"/>
            </w:pPr>
            <w:r>
              <w:t>s. 4</w:t>
            </w:r>
          </w:p>
        </w:tc>
        <w:tc>
          <w:tcPr>
            <w:tcW w:w="2760" w:type="dxa"/>
          </w:tcPr>
          <w:p>
            <w:pPr>
              <w:pStyle w:val="nzTable"/>
              <w:spacing w:before="40"/>
            </w:pPr>
          </w:p>
        </w:tc>
      </w:tr>
      <w:tr>
        <w:tc>
          <w:tcPr>
            <w:tcW w:w="2880" w:type="dxa"/>
          </w:tcPr>
          <w:p>
            <w:pPr>
              <w:pStyle w:val="nzTable"/>
              <w:spacing w:before="40"/>
              <w:ind w:left="612"/>
            </w:pPr>
            <w:r>
              <w:t>s. 5</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2.</w:t>
            </w:r>
            <w:r>
              <w:tab/>
            </w:r>
            <w:r>
              <w:rPr>
                <w:b/>
                <w:i/>
              </w:rPr>
              <w:t>Occupational Safety and Health Act 1984</w:t>
            </w:r>
          </w:p>
        </w:tc>
      </w:tr>
      <w:tr>
        <w:tc>
          <w:tcPr>
            <w:tcW w:w="2880" w:type="dxa"/>
          </w:tcPr>
          <w:p>
            <w:pPr>
              <w:pStyle w:val="nzTable"/>
              <w:spacing w:before="40"/>
              <w:ind w:left="612"/>
            </w:pPr>
            <w:r>
              <w:t>s. 3(1)</w:t>
            </w:r>
          </w:p>
        </w:tc>
        <w:tc>
          <w:tcPr>
            <w:tcW w:w="2760" w:type="dxa"/>
          </w:tcPr>
          <w:p>
            <w:pPr>
              <w:pStyle w:val="nzTable"/>
              <w:spacing w:before="40"/>
            </w:pPr>
            <w:r>
              <w:t>s. 32(2)(b) and (c)</w:t>
            </w:r>
          </w:p>
        </w:tc>
      </w:tr>
      <w:tr>
        <w:tc>
          <w:tcPr>
            <w:tcW w:w="2880" w:type="dxa"/>
          </w:tcPr>
          <w:p>
            <w:pPr>
              <w:pStyle w:val="nzTable"/>
              <w:spacing w:before="40"/>
              <w:ind w:left="612"/>
            </w:pPr>
            <w:r>
              <w:t>s. 29</w:t>
            </w:r>
          </w:p>
        </w:tc>
        <w:tc>
          <w:tcPr>
            <w:tcW w:w="2760" w:type="dxa"/>
          </w:tcPr>
          <w:p>
            <w:pPr>
              <w:pStyle w:val="nzTable"/>
              <w:spacing w:before="40"/>
            </w:pPr>
            <w:r>
              <w:t>s. 35(1)(e)</w:t>
            </w:r>
          </w:p>
        </w:tc>
      </w:tr>
      <w:tr>
        <w:tc>
          <w:tcPr>
            <w:tcW w:w="2880" w:type="dxa"/>
          </w:tcPr>
          <w:p>
            <w:pPr>
              <w:pStyle w:val="nzTable"/>
              <w:spacing w:before="40"/>
              <w:ind w:left="612"/>
            </w:pPr>
            <w:r>
              <w:t>s. 30</w:t>
            </w:r>
          </w:p>
        </w:tc>
        <w:tc>
          <w:tcPr>
            <w:tcW w:w="2760" w:type="dxa"/>
          </w:tcPr>
          <w:p>
            <w:pPr>
              <w:pStyle w:val="nzTable"/>
              <w:spacing w:before="40"/>
            </w:pPr>
            <w:r>
              <w:t>s. 35(3)(b)</w:t>
            </w:r>
          </w:p>
        </w:tc>
      </w:tr>
      <w:tr>
        <w:tc>
          <w:tcPr>
            <w:tcW w:w="2880" w:type="dxa"/>
          </w:tcPr>
          <w:p>
            <w:pPr>
              <w:pStyle w:val="nzTable"/>
              <w:spacing w:before="40"/>
              <w:ind w:left="612"/>
            </w:pPr>
            <w:r>
              <w:t>s. 31</w:t>
            </w:r>
          </w:p>
        </w:tc>
        <w:tc>
          <w:tcPr>
            <w:tcW w:w="2760" w:type="dxa"/>
          </w:tcPr>
          <w:p>
            <w:pPr>
              <w:pStyle w:val="nzTable"/>
              <w:spacing w:before="40"/>
            </w:pPr>
            <w:r>
              <w:t>s. 56(1)</w:t>
            </w:r>
          </w:p>
        </w:tc>
      </w:tr>
      <w:tr>
        <w:tc>
          <w:tcPr>
            <w:tcW w:w="2880" w:type="dxa"/>
          </w:tcPr>
          <w:p>
            <w:pPr>
              <w:pStyle w:val="nzTable"/>
              <w:spacing w:before="40"/>
              <w:ind w:left="612"/>
            </w:pPr>
            <w:r>
              <w:t>s. 32(1)</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3.</w:t>
            </w:r>
            <w:r>
              <w:rPr>
                <w:b/>
              </w:rPr>
              <w:tab/>
            </w:r>
            <w:r>
              <w:rPr>
                <w:b/>
                <w:i/>
              </w:rPr>
              <w:t>Occupational Safety and Health Regulations 1996</w:t>
            </w:r>
          </w:p>
        </w:tc>
      </w:tr>
      <w:tr>
        <w:tc>
          <w:tcPr>
            <w:tcW w:w="2880" w:type="dxa"/>
          </w:tcPr>
          <w:p>
            <w:pPr>
              <w:pStyle w:val="nzTable"/>
              <w:spacing w:before="40"/>
              <w:ind w:left="612"/>
            </w:pPr>
            <w:r>
              <w:t>r. 2.2</w:t>
            </w:r>
          </w:p>
        </w:tc>
        <w:tc>
          <w:tcPr>
            <w:tcW w:w="2760" w:type="dxa"/>
          </w:tcPr>
          <w:p>
            <w:pPr>
              <w:pStyle w:val="nzTable"/>
              <w:spacing w:before="40"/>
            </w:pPr>
          </w:p>
        </w:tc>
      </w:tr>
    </w:tbl>
    <w:p>
      <w:pPr>
        <w:pStyle w:val="nzSubsection"/>
      </w:pPr>
      <w:r>
        <w:tab/>
        <w:t>(3)</w:t>
      </w:r>
      <w:r>
        <w:tab/>
        <w:t xml:space="preserve">The term of a safety and health representative elected before the commencement day begins, for the purpose of section 32(1) of the </w:t>
      </w:r>
      <w:r>
        <w:rPr>
          <w:i/>
        </w:rPr>
        <w:t>Occupational Safety and Health Act 1984</w:t>
      </w:r>
      <w:r>
        <w:t>, on the commencement day.</w:t>
      </w:r>
    </w:p>
    <w:p>
      <w:pPr>
        <w:pStyle w:val="nzSubsection"/>
      </w:pPr>
      <w:r>
        <w:tab/>
        <w:t>(4)</w:t>
      </w:r>
      <w:r>
        <w:tab/>
        <w:t xml:space="preserve">Despite subsection (3), regulation 2.2(3) of the </w:t>
      </w:r>
      <w:r>
        <w:rPr>
          <w:i/>
        </w:rPr>
        <w:t>Occupational Safety and Health Regulations 1996</w:t>
      </w:r>
      <w:r>
        <w:t xml:space="preserve"> applies to a safety and health representative elected before the commencement day in relation to the first 12 months of being so elected.</w:t>
      </w:r>
    </w:p>
    <w:p>
      <w:pPr>
        <w:pStyle w:val="MiscClose"/>
      </w:pPr>
      <w:r>
        <w:t>”.</w:t>
      </w:r>
    </w:p>
    <w:p>
      <w:pPr>
        <w:pStyle w:val="nSubsection"/>
        <w:keepNext/>
      </w:pPr>
      <w:bookmarkStart w:id="901" w:name="_Hlt4817960"/>
      <w:bookmarkEnd w:id="901"/>
      <w:r>
        <w:rPr>
          <w:vertAlign w:val="superscript"/>
        </w:rPr>
        <w:t>10</w:t>
      </w:r>
      <w:r>
        <w:tab/>
        <w:t xml:space="preserve">The </w:t>
      </w:r>
      <w:r>
        <w:rPr>
          <w:i/>
        </w:rPr>
        <w:t>Statutes (Repeals and Minor Amendments) Act 2003</w:t>
      </w:r>
      <w:r>
        <w:t xml:space="preserve"> s. 87(6) reads as follows:</w:t>
      </w:r>
    </w:p>
    <w:p>
      <w:pPr>
        <w:pStyle w:val="MiscOpen"/>
      </w:pPr>
      <w:r>
        <w:t>“</w:t>
      </w:r>
    </w:p>
    <w:p>
      <w:pPr>
        <w:pStyle w:val="nzSubsection"/>
      </w:pPr>
      <w:r>
        <w:tab/>
        <w:t>(6)</w:t>
      </w:r>
      <w:r>
        <w:tab/>
        <w:t>The amendment made by subsection (5) to the name of the Commission referred to in that subsection does not affect the appointment of a member of that Commission who holds office immediately before the commencement of this section.</w:t>
      </w:r>
    </w:p>
    <w:p>
      <w:pPr>
        <w:pStyle w:val="MiscClose"/>
      </w:pPr>
      <w:r>
        <w:t>”.</w:t>
      </w:r>
    </w:p>
    <w:p>
      <w:pPr>
        <w:pStyle w:val="nSubsection"/>
      </w:pPr>
      <w:r>
        <w:rPr>
          <w:vertAlign w:val="superscript"/>
        </w:rPr>
        <w:t>11</w:t>
      </w:r>
      <w:r>
        <w:tab/>
        <w:t xml:space="preserve">The </w:t>
      </w:r>
      <w:r>
        <w:rPr>
          <w:i/>
        </w:rPr>
        <w:t>Occupational Safety and Health Legislation Amendment and Repeal Act 2004</w:t>
      </w:r>
      <w:r>
        <w:t xml:space="preserve"> s. 44 reads as follows:</w:t>
      </w:r>
    </w:p>
    <w:p>
      <w:pPr>
        <w:pStyle w:val="MiscOpen"/>
      </w:pPr>
      <w:r>
        <w:t>“</w:t>
      </w:r>
    </w:p>
    <w:p>
      <w:pPr>
        <w:pStyle w:val="nzHeading5"/>
      </w:pPr>
      <w:r>
        <w:t>44.</w:t>
      </w:r>
      <w:r>
        <w:tab/>
        <w:t>Saving provision for existing safety and health representatives</w:t>
      </w:r>
    </w:p>
    <w:p>
      <w:pPr>
        <w:pStyle w:val="nzSubsection"/>
      </w:pPr>
      <w:r>
        <w:tab/>
      </w:r>
      <w:r>
        <w:tab/>
        <w:t xml:space="preserve">The amendments made by section 43 do not affect the continuation in office of any safety and health representative who held office under Part IV of the </w:t>
      </w:r>
      <w:r>
        <w:rPr>
          <w:i/>
        </w:rPr>
        <w:t>Occupational Safety and Health Act 1984</w:t>
      </w:r>
      <w:r>
        <w:t xml:space="preserve"> immediately before the commencement of that section.</w:t>
      </w:r>
    </w:p>
    <w:p>
      <w:pPr>
        <w:pStyle w:val="MiscClose"/>
      </w:pPr>
      <w:r>
        <w:t>”.</w:t>
      </w:r>
    </w:p>
    <w:p>
      <w:pPr>
        <w:pStyle w:val="nSubsection"/>
      </w:pPr>
      <w:r>
        <w:rPr>
          <w:vertAlign w:val="superscript"/>
        </w:rPr>
        <w:t>12</w:t>
      </w:r>
      <w:r>
        <w:tab/>
        <w:t xml:space="preserve">The </w:t>
      </w:r>
      <w:r>
        <w:rPr>
          <w:i/>
        </w:rPr>
        <w:t>Occupational Safety and Health Legislation Amendment and Repeal Act 2004</w:t>
      </w:r>
      <w:r>
        <w:t xml:space="preserve"> s. 51 reads as follows:</w:t>
      </w:r>
    </w:p>
    <w:p>
      <w:pPr>
        <w:pStyle w:val="MiscOpen"/>
      </w:pPr>
      <w:r>
        <w:t>“</w:t>
      </w: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rPr>
        <w:t>“</w:t>
      </w:r>
      <w:r>
        <w:rPr>
          <w:rStyle w:val="CharDefText"/>
        </w:rPr>
        <w:t>OSH Act</w:t>
      </w:r>
      <w:r>
        <w:rPr>
          <w:b/>
        </w:rPr>
        <w: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 xml:space="preserve">If before the commencement of section 50 —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MiscClose"/>
      </w:pPr>
      <w:r>
        <w:t>”.</w:t>
      </w:r>
    </w:p>
    <w:p>
      <w:pPr>
        <w:pStyle w:val="nSubsection"/>
      </w:pPr>
      <w:r>
        <w:rPr>
          <w:vertAlign w:val="superscript"/>
        </w:rPr>
        <w:t>13</w:t>
      </w:r>
      <w:r>
        <w:tab/>
        <w:t xml:space="preserve">The </w:t>
      </w:r>
      <w:r>
        <w:rPr>
          <w:i/>
        </w:rPr>
        <w:t>Occupational Safety and Health Legislation Amendment and Repeal Act 2004</w:t>
      </w:r>
      <w:r>
        <w:t xml:space="preserve"> Pt. 6 Div. 3 reads as follows:</w:t>
      </w:r>
    </w:p>
    <w:p>
      <w:pPr>
        <w:pStyle w:val="MiscOpen"/>
        <w:spacing w:before="0"/>
      </w:pPr>
      <w:r>
        <w:t>“</w:t>
      </w:r>
    </w:p>
    <w:p>
      <w:pPr>
        <w:pStyle w:val="nzHeading3"/>
        <w:spacing w:before="0"/>
        <w:outlineLvl w:val="0"/>
      </w:pPr>
      <w:r>
        <w:t>Division 3 — Transitional provisions</w:t>
      </w:r>
    </w:p>
    <w:p>
      <w:pPr>
        <w:pStyle w:val="nzHeading5"/>
        <w:outlineLvl w:val="0"/>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 xml:space="preserve">and not finally determined before the commencement of section 65 —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 xml:space="preserve">A determination or decision of a safety and health magistrate made before the commencement of section 65 may be the subject of — </w:t>
      </w:r>
    </w:p>
    <w:p>
      <w:pPr>
        <w:pStyle w:val="nzIndenta"/>
      </w:pPr>
      <w:r>
        <w:tab/>
        <w:t>(a)</w:t>
      </w:r>
      <w:r>
        <w:tab/>
        <w:t xml:space="preserve">an application for leave to appeal under section 54B(2) of the </w:t>
      </w:r>
      <w:r>
        <w:rPr>
          <w:i/>
        </w:rPr>
        <w:t xml:space="preserve">Occupational Safety and Health Act 1984 </w:t>
      </w:r>
      <w:r>
        <w:t xml:space="preserve">repealed by section 68; and </w:t>
      </w:r>
    </w:p>
    <w:p>
      <w:pPr>
        <w:pStyle w:val="nzIndenta"/>
      </w:pPr>
      <w:r>
        <w:tab/>
        <w:t>(b)</w:t>
      </w:r>
      <w:r>
        <w:tab/>
        <w:t xml:space="preserve">an appeal for which leave is granted under section 54B(2), </w:t>
      </w:r>
    </w:p>
    <w:p>
      <w:pPr>
        <w:pStyle w:val="nzSubsection"/>
      </w:pPr>
      <w:r>
        <w:tab/>
      </w:r>
      <w:r>
        <w:tab/>
        <w:t>as if section 68 had not been enacted.</w:t>
      </w:r>
    </w:p>
    <w:p>
      <w:pPr>
        <w:pStyle w:val="nzHeading5"/>
        <w:outlineLvl w:val="0"/>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MiscClose"/>
      </w:pPr>
      <w:r>
        <w:t>”.</w:t>
      </w:r>
    </w:p>
    <w:p>
      <w:pPr>
        <w:pStyle w:val="nSubsection"/>
      </w:pPr>
      <w:r>
        <w:rPr>
          <w:vertAlign w:val="superscript"/>
        </w:rPr>
        <w:t>14</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Sch. 2 that was to amend this Act was repealed by the </w:t>
      </w:r>
      <w:r>
        <w:rPr>
          <w:i/>
          <w:iCs/>
          <w:snapToGrid w:val="0"/>
          <w:lang w:val="en-US"/>
        </w:rPr>
        <w:t>Petroleum Legislation Amendment and Repeal Act 2005</w:t>
      </w:r>
      <w:r>
        <w:rPr>
          <w:snapToGrid w:val="0"/>
          <w:lang w:val="en-US"/>
        </w:rPr>
        <w:t xml:space="preserve"> s. 51 before the amendment came into operation.</w:t>
      </w:r>
    </w:p>
    <w:p>
      <w:pPr>
        <w:pStyle w:val="nSubsection"/>
        <w:rPr>
          <w:snapToGrid w:val="0"/>
        </w:rPr>
      </w:pPr>
      <w:r>
        <w:rPr>
          <w:vertAlign w:val="superscript"/>
        </w:rPr>
        <w:t>15</w:t>
      </w:r>
      <w:r>
        <w:tab/>
      </w:r>
      <w:r>
        <w:rPr>
          <w:snapToGrid w:val="0"/>
        </w:rPr>
        <w:t xml:space="preserve">On the date as at which this compilation was prepared, the </w:t>
      </w:r>
      <w:r>
        <w:rPr>
          <w:i/>
          <w:snapToGrid w:val="0"/>
        </w:rPr>
        <w:t>Occupational Safety and Health Legislation Amendment and Repeal Act 2004</w:t>
      </w:r>
      <w:r>
        <w:rPr>
          <w:snapToGrid w:val="0"/>
        </w:rPr>
        <w:t xml:space="preserve"> </w:t>
      </w:r>
      <w:r>
        <w:rPr>
          <w:snapToGrid w:val="0"/>
          <w:lang w:val="en-US"/>
        </w:rPr>
        <w:t>s. 65, 66 and 68</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5"/>
      </w:pPr>
      <w:r>
        <w:rPr>
          <w:rStyle w:val="CharSectno"/>
        </w:rPr>
        <w:t>65</w:t>
      </w:r>
      <w:r>
        <w:t>.</w:t>
      </w:r>
      <w:r>
        <w:tab/>
        <w:t>Section 51C amended</w:t>
      </w:r>
    </w:p>
    <w:p>
      <w:pPr>
        <w:pStyle w:val="nzSubsection"/>
      </w:pPr>
      <w:r>
        <w:tab/>
        <w:t>(1)</w:t>
      </w:r>
      <w:r>
        <w:tab/>
        <w:t>Section 51C(1) is amended by deleting paragraph (a) and “and” after that paragraph.</w:t>
      </w:r>
    </w:p>
    <w:p>
      <w:pPr>
        <w:pStyle w:val="nzSubsection"/>
      </w:pPr>
      <w:r>
        <w:tab/>
        <w:t>(2)</w:t>
      </w:r>
      <w:r>
        <w:tab/>
        <w:t>Section 51C(2), (3) and (4) are repealed.</w:t>
      </w:r>
    </w:p>
    <w:p>
      <w:pPr>
        <w:pStyle w:val="nzHeading5"/>
      </w:pPr>
      <w:r>
        <w:rPr>
          <w:rStyle w:val="CharSectno"/>
        </w:rPr>
        <w:t>66</w:t>
      </w:r>
      <w:r>
        <w:t>.</w:t>
      </w:r>
      <w:r>
        <w:tab/>
        <w:t>Section 51D repealed</w:t>
      </w:r>
    </w:p>
    <w:p>
      <w:pPr>
        <w:pStyle w:val="nzSubsection"/>
      </w:pPr>
      <w:r>
        <w:tab/>
      </w:r>
      <w:r>
        <w:tab/>
        <w:t>Section 51D is repealed.</w:t>
      </w:r>
    </w:p>
    <w:p>
      <w:pPr>
        <w:pStyle w:val="nzHeading5"/>
      </w:pPr>
      <w:r>
        <w:rPr>
          <w:rStyle w:val="CharSectno"/>
        </w:rPr>
        <w:t>68</w:t>
      </w:r>
      <w:r>
        <w:t>.</w:t>
      </w:r>
      <w:r>
        <w:tab/>
        <w:t>Section 54B amended</w:t>
      </w:r>
    </w:p>
    <w:p>
      <w:pPr>
        <w:pStyle w:val="nzSubsection"/>
      </w:pPr>
      <w:r>
        <w:tab/>
      </w:r>
      <w:r>
        <w:tab/>
        <w:t>Section 54B(2), (3) and (4) are repealed.</w:t>
      </w:r>
    </w:p>
    <w:p>
      <w:pPr>
        <w:pStyle w:val="MiscClose"/>
      </w:pPr>
      <w:r>
        <w:t xml:space="preserve">    ”.</w:t>
      </w:r>
    </w:p>
    <w:p>
      <w:pPr>
        <w:pStyle w:val="nSubsection"/>
        <w:rPr>
          <w:snapToGrid w:val="0"/>
        </w:rPr>
      </w:pPr>
      <w:r>
        <w:rPr>
          <w:vertAlign w:val="superscript"/>
        </w:rPr>
        <w:t>16</w:t>
      </w:r>
      <w:r>
        <w:tab/>
      </w:r>
      <w:r>
        <w:rPr>
          <w:snapToGrid w:val="0"/>
        </w:rPr>
        <w:t xml:space="preserve">On the date as at which this compilation was prepared, the </w:t>
      </w:r>
      <w:r>
        <w:rPr>
          <w:i/>
          <w:snapToGrid w:val="0"/>
        </w:rPr>
        <w:t>Petroleum Legislation Amendment and Repeal Act 2005</w:t>
      </w:r>
      <w:r>
        <w:rPr>
          <w:snapToGrid w:val="0"/>
        </w:rPr>
        <w:t xml:space="preserve"> </w:t>
      </w:r>
      <w:r>
        <w:rPr>
          <w:snapToGrid w:val="0"/>
          <w:lang w:val="en-US"/>
        </w:rPr>
        <w:t>s. 50</w:t>
      </w:r>
      <w:r>
        <w:rPr>
          <w:snapToGrid w:val="0"/>
          <w:sz w:val="19"/>
          <w:lang w:val="en-US"/>
        </w:rPr>
        <w:t xml:space="preserve"> </w:t>
      </w:r>
      <w:r>
        <w:rPr>
          <w:snapToGrid w:val="0"/>
        </w:rPr>
        <w:t>had not come into operation.  It reads as follows:</w:t>
      </w:r>
    </w:p>
    <w:p>
      <w:pPr>
        <w:pStyle w:val="MiscOpen"/>
      </w:pPr>
      <w:r>
        <w:t>“</w:t>
      </w:r>
    </w:p>
    <w:p>
      <w:pPr>
        <w:pStyle w:val="nzHeading5"/>
      </w:pPr>
      <w:bookmarkStart w:id="902" w:name="_Toc80428059"/>
      <w:bookmarkStart w:id="903" w:name="_Toc99357139"/>
      <w:bookmarkStart w:id="904" w:name="_Toc99769638"/>
      <w:bookmarkStart w:id="905" w:name="_Toc112746555"/>
      <w:r>
        <w:rPr>
          <w:rStyle w:val="CharSectno"/>
        </w:rPr>
        <w:t>50</w:t>
      </w:r>
      <w:r>
        <w:t>.</w:t>
      </w:r>
      <w:r>
        <w:tab/>
      </w:r>
      <w:r>
        <w:rPr>
          <w:i/>
          <w:iCs/>
        </w:rPr>
        <w:t xml:space="preserve">Occupational Safety and Health Act 1984 </w:t>
      </w:r>
      <w:r>
        <w:t>amended</w:t>
      </w:r>
      <w:bookmarkEnd w:id="902"/>
      <w:bookmarkEnd w:id="903"/>
      <w:bookmarkEnd w:id="904"/>
      <w:bookmarkEnd w:id="905"/>
    </w:p>
    <w:p>
      <w:pPr>
        <w:pStyle w:val="nzSubsection"/>
      </w:pPr>
      <w:r>
        <w:tab/>
        <w:t>(1)</w:t>
      </w:r>
      <w:r>
        <w:tab/>
        <w:t xml:space="preserve">The amendments in this section are to the </w:t>
      </w:r>
      <w:r>
        <w:rPr>
          <w:i/>
        </w:rPr>
        <w:t>Occupational Safety and Health Act 1984</w:t>
      </w:r>
      <w:r>
        <w:t>.</w:t>
      </w:r>
    </w:p>
    <w:p>
      <w:pPr>
        <w:pStyle w:val="nzSubsection"/>
      </w:pPr>
      <w:r>
        <w:tab/>
        <w:t>(2)</w:t>
      </w:r>
      <w:r>
        <w:tab/>
        <w:t xml:space="preserve">Section 4(2) is repealed and the following section is inserted instead — </w:t>
      </w:r>
    </w:p>
    <w:p>
      <w:pPr>
        <w:pStyle w:val="MiscOpen"/>
        <w:ind w:left="600"/>
      </w:pPr>
      <w:r>
        <w:t xml:space="preserve">“    </w:t>
      </w:r>
    </w:p>
    <w:p>
      <w:pPr>
        <w:pStyle w:val="nzSubsection"/>
      </w:pPr>
      <w:r>
        <w:tab/>
        <w:t>(2)</w:t>
      </w:r>
      <w:r>
        <w:tab/>
        <w:t xml:space="preserve">Subject to this section and except as may be otherwise expressly provided by Parliament, this Act does not apply to or in relation to a workplace — </w:t>
      </w:r>
    </w:p>
    <w:p>
      <w:pPr>
        <w:pStyle w:val="nzIndenta"/>
      </w:pPr>
      <w:r>
        <w:tab/>
        <w:t>(a)</w:t>
      </w:r>
      <w:r>
        <w:tab/>
        <w:t xml:space="preserve">that is, or at which work is carried out on, a mine to which the </w:t>
      </w:r>
      <w:r>
        <w:rPr>
          <w:i/>
        </w:rPr>
        <w:t>Mining Act 1978</w:t>
      </w:r>
      <w:r>
        <w:t xml:space="preserve">, or the </w:t>
      </w:r>
      <w:r>
        <w:rPr>
          <w:i/>
        </w:rPr>
        <w:t>Mines Safety and Inspection Act 1994</w:t>
      </w:r>
      <w:r>
        <w:t>, applies;</w:t>
      </w:r>
    </w:p>
    <w:p>
      <w:pPr>
        <w:pStyle w:val="nzIndenta"/>
      </w:pPr>
      <w:r>
        <w:tab/>
        <w:t>(b)</w:t>
      </w:r>
      <w:r>
        <w:tab/>
        <w:t xml:space="preserve">at which a petroleum operation, as defined in </w:t>
      </w:r>
      <w:r>
        <w:rPr>
          <w:iCs/>
        </w:rPr>
        <w:t xml:space="preserve">section 5(1) of </w:t>
      </w:r>
      <w:r>
        <w:t xml:space="preserve">the </w:t>
      </w:r>
      <w:r>
        <w:rPr>
          <w:i/>
        </w:rPr>
        <w:t>Petroleum Act 1967</w:t>
      </w:r>
      <w:r>
        <w:rPr>
          <w:iCs/>
        </w:rPr>
        <w:t>, is carried on</w:t>
      </w:r>
      <w:r>
        <w:t>;</w:t>
      </w:r>
    </w:p>
    <w:p>
      <w:pPr>
        <w:pStyle w:val="nz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nz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MiscClose"/>
        <w:ind w:right="618"/>
      </w:pPr>
      <w:r>
        <w:t xml:space="preserve">    ”.</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Safety and Health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7E2C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4D1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C894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DAE8A6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A8C4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3E09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A07B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FA279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018A8A8"/>
    <w:lvl w:ilvl="0">
      <w:start w:val="1"/>
      <w:numFmt w:val="decimal"/>
      <w:pStyle w:val="ListNumber"/>
      <w:lvlText w:val="%1."/>
      <w:lvlJc w:val="left"/>
      <w:pPr>
        <w:tabs>
          <w:tab w:val="num" w:pos="360"/>
        </w:tabs>
        <w:ind w:left="360" w:hanging="360"/>
      </w:pPr>
    </w:lvl>
  </w:abstractNum>
  <w:abstractNum w:abstractNumId="9">
    <w:nsid w:val="FFFFFF89"/>
    <w:multiLevelType w:val="singleLevel"/>
    <w:tmpl w:val="F4C6EC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E9CCE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7442A8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753"/>
    <w:docVar w:name="WAFER_20151208152753" w:val="RemoveTrackChanges"/>
    <w:docVar w:name="WAFER_20151208152753_GUID" w:val="6b9d600e-62fc-4f14-9a60-86ad08db17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154</Pages>
  <Words>37183</Words>
  <Characters>177364</Characters>
  <Application>Microsoft Office Word</Application>
  <DocSecurity>0</DocSecurity>
  <Lines>4926</Lines>
  <Paragraphs>2979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211568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1984 - 05-c0-07</dc:title>
  <dc:subject/>
  <dc:creator/>
  <cp:keywords/>
  <dc:description/>
  <cp:lastModifiedBy>svcMRProcess</cp:lastModifiedBy>
  <cp:revision>4</cp:revision>
  <cp:lastPrinted>2005-06-21T05:58:00Z</cp:lastPrinted>
  <dcterms:created xsi:type="dcterms:W3CDTF">2019-05-10T17:25:00Z</dcterms:created>
  <dcterms:modified xsi:type="dcterms:W3CDTF">2019-05-10T17:25:00Z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555</vt:i4>
  </property>
  <property fmtid="{D5CDD505-2E9C-101B-9397-08002B2CF9AE}" pid="6" name="AsAtDate">
    <vt:lpwstr>09 Apr 2006</vt:lpwstr>
  </property>
  <property fmtid="{D5CDD505-2E9C-101B-9397-08002B2CF9AE}" pid="7" name="Suffix">
    <vt:lpwstr>05-c0-07</vt:lpwstr>
  </property>
</Properties>
</file>