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1800" w:after="4200"/>
        <w:ind w:left="480" w:right="616"/>
      </w:pPr>
      <w:r>
        <w:fldChar w:fldCharType="begin"/>
      </w:r>
      <w:r>
        <w:instrText xml:space="preserve"> STYLEREF "Name Of Act/Reg"</w:instrText>
      </w:r>
      <w:r>
        <w:fldChar w:fldCharType="separate"/>
      </w:r>
      <w:r>
        <w:rPr>
          <w:noProof/>
        </w:rPr>
        <w:t>Lotteries Commission (Super 66) Rules 1996</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_Toc230161089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_Toc230161090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_Toc230161091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_Toc230161093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_Toc230161094 \h </w:instrText>
      </w:r>
      <w:r>
        <w:fldChar w:fldCharType="separate"/>
      </w:r>
      <w:r>
        <w:t>5</w:t>
      </w:r>
      <w:r>
        <w:fldChar w:fldCharType="end"/>
      </w:r>
    </w:p>
    <w:p>
      <w:pPr>
        <w:pStyle w:val="TOC8"/>
        <w:rPr>
          <w:sz w:val="24"/>
          <w:szCs w:val="24"/>
        </w:rPr>
      </w:pPr>
      <w:r>
        <w:rPr>
          <w:szCs w:val="24"/>
        </w:rPr>
        <w:t>5A.</w:t>
      </w:r>
      <w:r>
        <w:rPr>
          <w:szCs w:val="24"/>
        </w:rPr>
        <w:tab/>
        <w:t>Ticket repeat</w:t>
      </w:r>
      <w:r>
        <w:tab/>
      </w:r>
      <w:r>
        <w:fldChar w:fldCharType="begin"/>
      </w:r>
      <w:r>
        <w:instrText xml:space="preserve"> PAGEREF _Toc230161095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Receipted tickets</w:t>
      </w:r>
      <w:r>
        <w:tab/>
      </w:r>
      <w:r>
        <w:fldChar w:fldCharType="begin"/>
      </w:r>
      <w:r>
        <w:instrText xml:space="preserve"> PAGEREF _Toc230161096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Surrender of receipted ticket</w:t>
      </w:r>
      <w:r>
        <w:tab/>
      </w:r>
      <w:r>
        <w:fldChar w:fldCharType="begin"/>
      </w:r>
      <w:r>
        <w:instrText xml:space="preserve"> PAGEREF _Toc230161097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Accuracy of receipted ticket</w:t>
      </w:r>
      <w:r>
        <w:tab/>
      </w:r>
      <w:r>
        <w:fldChar w:fldCharType="begin"/>
      </w:r>
      <w:r>
        <w:instrText xml:space="preserve"> PAGEREF _Toc230161098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Validity of receipted ticket</w:t>
      </w:r>
      <w:r>
        <w:tab/>
      </w:r>
      <w:r>
        <w:fldChar w:fldCharType="begin"/>
      </w:r>
      <w:r>
        <w:instrText xml:space="preserve"> PAGEREF _Toc230161099 \h </w:instrText>
      </w:r>
      <w:r>
        <w:fldChar w:fldCharType="separate"/>
      </w:r>
      <w:r>
        <w:t>8</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10</w:t>
      </w:r>
      <w:r>
        <w:rPr>
          <w:snapToGrid w:val="0"/>
          <w:szCs w:val="24"/>
        </w:rPr>
        <w:t>.</w:t>
      </w:r>
      <w:r>
        <w:rPr>
          <w:snapToGrid w:val="0"/>
          <w:szCs w:val="24"/>
        </w:rPr>
        <w:tab/>
        <w:t>Super 66 draws to be numbered</w:t>
      </w:r>
      <w:r>
        <w:tab/>
      </w:r>
      <w:r>
        <w:fldChar w:fldCharType="begin"/>
      </w:r>
      <w:r>
        <w:instrText xml:space="preserve"> PAGEREF _Toc230161101 \h </w:instrText>
      </w:r>
      <w:r>
        <w:fldChar w:fldCharType="separate"/>
      </w:r>
      <w:r>
        <w:t>10</w:t>
      </w:r>
      <w:r>
        <w:fldChar w:fldCharType="end"/>
      </w:r>
    </w:p>
    <w:p>
      <w:pPr>
        <w:pStyle w:val="TOC8"/>
        <w:rPr>
          <w:sz w:val="24"/>
          <w:szCs w:val="24"/>
        </w:rPr>
      </w:pPr>
      <w:r>
        <w:rPr>
          <w:szCs w:val="24"/>
        </w:rPr>
        <w:t>11.</w:t>
      </w:r>
      <w:r>
        <w:rPr>
          <w:szCs w:val="24"/>
        </w:rPr>
        <w:tab/>
        <w:t>Super 66 draws to be supervised</w:t>
      </w:r>
      <w:r>
        <w:tab/>
      </w:r>
      <w:r>
        <w:fldChar w:fldCharType="begin"/>
      </w:r>
      <w:r>
        <w:instrText xml:space="preserve"> PAGEREF _Toc230161102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Publication of results</w:t>
      </w:r>
      <w:r>
        <w:tab/>
      </w:r>
      <w:r>
        <w:fldChar w:fldCharType="begin"/>
      </w:r>
      <w:r>
        <w:instrText xml:space="preserve"> PAGEREF _Toc230161103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Super 66 prize pool and prize reserve fund</w:t>
      </w:r>
      <w:r>
        <w:tab/>
      </w:r>
      <w:r>
        <w:fldChar w:fldCharType="begin"/>
      </w:r>
      <w:r>
        <w:instrText xml:space="preserve"> PAGEREF _Toc230161104 \h </w:instrText>
      </w:r>
      <w:r>
        <w:fldChar w:fldCharType="separate"/>
      </w:r>
      <w:r>
        <w:t>10</w:t>
      </w:r>
      <w:r>
        <w:fldChar w:fldCharType="end"/>
      </w:r>
    </w:p>
    <w:p>
      <w:pPr>
        <w:pStyle w:val="TOC2"/>
        <w:tabs>
          <w:tab w:val="right" w:leader="dot" w:pos="7086"/>
        </w:tabs>
        <w:rPr>
          <w:b w:val="0"/>
          <w:sz w:val="24"/>
          <w:szCs w:val="24"/>
        </w:rPr>
      </w:pPr>
      <w:r>
        <w:rPr>
          <w:szCs w:val="30"/>
        </w:rPr>
        <w:t>Part 4 — Super 66 draw</w:t>
      </w:r>
    </w:p>
    <w:p>
      <w:pPr>
        <w:pStyle w:val="TOC8"/>
        <w:rPr>
          <w:sz w:val="24"/>
          <w:szCs w:val="24"/>
        </w:rPr>
      </w:pPr>
      <w:r>
        <w:rPr>
          <w:szCs w:val="24"/>
        </w:rPr>
        <w:t>14</w:t>
      </w:r>
      <w:r>
        <w:rPr>
          <w:snapToGrid w:val="0"/>
          <w:szCs w:val="24"/>
        </w:rPr>
        <w:t>.</w:t>
      </w:r>
      <w:r>
        <w:rPr>
          <w:snapToGrid w:val="0"/>
          <w:szCs w:val="24"/>
        </w:rPr>
        <w:tab/>
        <w:t>Super 66 draw</w:t>
      </w:r>
      <w:r>
        <w:tab/>
      </w:r>
      <w:r>
        <w:fldChar w:fldCharType="begin"/>
      </w:r>
      <w:r>
        <w:instrText xml:space="preserve"> PAGEREF _Toc230161106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Criteria for super 66 prizes</w:t>
      </w:r>
      <w:r>
        <w:tab/>
      </w:r>
      <w:r>
        <w:fldChar w:fldCharType="begin"/>
      </w:r>
      <w:r>
        <w:instrText xml:space="preserve"> PAGEREF _Toc230161107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Distribution of prize pool</w:t>
      </w:r>
      <w:r>
        <w:tab/>
      </w:r>
      <w:r>
        <w:fldChar w:fldCharType="begin"/>
      </w:r>
      <w:r>
        <w:instrText xml:space="preserve"> PAGEREF _Toc230161108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Division 1 jackpot</w:t>
      </w:r>
      <w:r>
        <w:tab/>
      </w:r>
      <w:r>
        <w:fldChar w:fldCharType="begin"/>
      </w:r>
      <w:r>
        <w:instrText xml:space="preserve"> PAGEREF _Toc230161109 \h </w:instrText>
      </w:r>
      <w:r>
        <w:fldChar w:fldCharType="separate"/>
      </w:r>
      <w:r>
        <w:t>13</w:t>
      </w:r>
      <w:r>
        <w:fldChar w:fldCharType="end"/>
      </w:r>
    </w:p>
    <w:p>
      <w:pPr>
        <w:pStyle w:val="TOC8"/>
        <w:rPr>
          <w:sz w:val="24"/>
          <w:szCs w:val="24"/>
        </w:rPr>
      </w:pPr>
      <w:r>
        <w:rPr>
          <w:szCs w:val="24"/>
        </w:rPr>
        <w:lastRenderedPageBreak/>
        <w:t>18</w:t>
      </w:r>
      <w:r>
        <w:rPr>
          <w:snapToGrid w:val="0"/>
          <w:szCs w:val="24"/>
        </w:rPr>
        <w:t>.</w:t>
      </w:r>
      <w:r>
        <w:rPr>
          <w:snapToGrid w:val="0"/>
          <w:szCs w:val="24"/>
        </w:rPr>
        <w:tab/>
        <w:t>Bonus draws and guaranteed prize pools</w:t>
      </w:r>
      <w:r>
        <w:tab/>
      </w:r>
      <w:r>
        <w:fldChar w:fldCharType="begin"/>
      </w:r>
      <w:r>
        <w:instrText xml:space="preserve"> PAGEREF _Toc230161110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Division 1 prizes</w:t>
      </w:r>
      <w:r>
        <w:tab/>
      </w:r>
      <w:r>
        <w:fldChar w:fldCharType="begin"/>
      </w:r>
      <w:r>
        <w:instrText xml:space="preserve"> PAGEREF _Toc230161111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Division 2 prizes</w:t>
      </w:r>
      <w:r>
        <w:tab/>
      </w:r>
      <w:r>
        <w:fldChar w:fldCharType="begin"/>
      </w:r>
      <w:r>
        <w:instrText xml:space="preserve"> PAGEREF _Toc230161112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Division 3, 4 and 5 prizes</w:t>
      </w:r>
      <w:r>
        <w:tab/>
      </w:r>
      <w:r>
        <w:fldChar w:fldCharType="begin"/>
      </w:r>
      <w:r>
        <w:instrText xml:space="preserve"> PAGEREF _Toc230161113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Commission may require a statutory declaration</w:t>
      </w:r>
      <w:r>
        <w:tab/>
      </w:r>
      <w:r>
        <w:fldChar w:fldCharType="begin"/>
      </w:r>
      <w:r>
        <w:instrText xml:space="preserve"> PAGEREF _Toc230161114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Publication of names and addresses of prize winners</w:t>
      </w:r>
      <w:r>
        <w:tab/>
      </w:r>
      <w:r>
        <w:fldChar w:fldCharType="begin"/>
      </w:r>
      <w:r>
        <w:instrText xml:space="preserve"> PAGEREF _Toc230161115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Player Registration Service</w:t>
      </w:r>
      <w:r>
        <w:tab/>
      </w:r>
      <w:r>
        <w:fldChar w:fldCharType="begin"/>
      </w:r>
      <w:r>
        <w:instrText xml:space="preserve"> PAGEREF _Toc230161116 \h </w:instrText>
      </w:r>
      <w:r>
        <w:fldChar w:fldCharType="separate"/>
      </w:r>
      <w:r>
        <w:t>18</w:t>
      </w:r>
      <w:r>
        <w:fldChar w:fldCharType="end"/>
      </w:r>
    </w:p>
    <w:p>
      <w:pPr>
        <w:pStyle w:val="TOC8"/>
        <w:rPr>
          <w:sz w:val="24"/>
          <w:szCs w:val="24"/>
        </w:rPr>
      </w:pPr>
      <w:r>
        <w:rPr>
          <w:szCs w:val="24"/>
        </w:rPr>
        <w:t>24A.</w:t>
      </w:r>
      <w:r>
        <w:rPr>
          <w:szCs w:val="24"/>
        </w:rPr>
        <w:tab/>
        <w:t>Player’s card holders may request direct credit of prizes</w:t>
      </w:r>
      <w:r>
        <w:tab/>
      </w:r>
      <w:r>
        <w:fldChar w:fldCharType="begin"/>
      </w:r>
      <w:r>
        <w:instrText xml:space="preserve"> PAGEREF _Toc230161117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Instructions</w:t>
      </w:r>
      <w:r>
        <w:tab/>
      </w:r>
      <w:r>
        <w:fldChar w:fldCharType="begin"/>
      </w:r>
      <w:r>
        <w:instrText xml:space="preserve"> PAGEREF _Toc230161119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Rules to be made available</w:t>
      </w:r>
      <w:r>
        <w:tab/>
      </w:r>
      <w:r>
        <w:fldChar w:fldCharType="begin"/>
      </w:r>
      <w:r>
        <w:instrText xml:space="preserve"> PAGEREF _Toc230161120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Decisions of Commission final</w:t>
      </w:r>
      <w:r>
        <w:tab/>
      </w:r>
      <w:r>
        <w:fldChar w:fldCharType="begin"/>
      </w:r>
      <w:r>
        <w:instrText xml:space="preserve"> PAGEREF _Toc230161121 \h </w:instrText>
      </w:r>
      <w:r>
        <w:fldChar w:fldCharType="separate"/>
      </w:r>
      <w:r>
        <w:t>20</w:t>
      </w:r>
      <w:r>
        <w:fldChar w:fldCharType="end"/>
      </w:r>
    </w:p>
    <w:p>
      <w:pPr>
        <w:pStyle w:val="TOC2"/>
        <w:tabs>
          <w:tab w:val="right" w:leader="dot" w:pos="7086"/>
        </w:tabs>
        <w:rPr>
          <w:b w:val="0"/>
          <w:sz w:val="24"/>
          <w:szCs w:val="24"/>
        </w:rPr>
      </w:pPr>
      <w:r>
        <w:rPr>
          <w:szCs w:val="28"/>
        </w:rPr>
        <w:t>Schedule 1 — Summary of parameters within which Super 66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_Toc230161124 \h </w:instrText>
      </w:r>
      <w:r>
        <w:fldChar w:fldCharType="separate"/>
      </w:r>
      <w:r>
        <w:t>22</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 w:name="_Toc88360461"/>
      <w:bookmarkStart w:id="2" w:name="_Toc88447809"/>
      <w:bookmarkStart w:id="3" w:name="_Toc133390612"/>
      <w:bookmarkStart w:id="4" w:name="_Toc133390758"/>
      <w:bookmarkStart w:id="5" w:name="_Toc147224491"/>
      <w:bookmarkStart w:id="6" w:name="_Toc147289674"/>
      <w:bookmarkStart w:id="7" w:name="_Toc150241068"/>
      <w:bookmarkStart w:id="8" w:name="_Toc156967706"/>
      <w:bookmarkStart w:id="9" w:name="_Toc156978869"/>
      <w:bookmarkStart w:id="10" w:name="_Toc157830782"/>
      <w:bookmarkStart w:id="11" w:name="_Toc157831387"/>
      <w:bookmarkStart w:id="12" w:name="_Toc158430956"/>
      <w:bookmarkStart w:id="13" w:name="_Toc160612298"/>
      <w:bookmarkStart w:id="14" w:name="_Toc200449667"/>
      <w:bookmarkStart w:id="15" w:name="_Toc230144213"/>
      <w:bookmarkStart w:id="16" w:name="_Toc2301610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5012074"/>
      <w:bookmarkStart w:id="18" w:name="_Toc5012367"/>
      <w:bookmarkStart w:id="19" w:name="_Toc43182275"/>
      <w:bookmarkStart w:id="20" w:name="_Toc133390613"/>
      <w:bookmarkStart w:id="21" w:name="_Toc230161089"/>
      <w:r>
        <w:rPr>
          <w:rStyle w:val="CharSectno"/>
        </w:rPr>
        <w:t>1</w:t>
      </w:r>
      <w:r>
        <w:rPr>
          <w:snapToGrid w:val="0"/>
        </w:rPr>
        <w:t>.</w:t>
      </w:r>
      <w:r>
        <w:rPr>
          <w:snapToGrid w:val="0"/>
        </w:rPr>
        <w:tab/>
        <w:t>Citation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22" w:name="_Toc5012075"/>
      <w:bookmarkStart w:id="23" w:name="_Toc5012368"/>
      <w:bookmarkStart w:id="24" w:name="_Toc43182276"/>
      <w:bookmarkStart w:id="25" w:name="_Toc133390614"/>
      <w:bookmarkStart w:id="26" w:name="_Toc230161090"/>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27" w:name="_Toc230161091"/>
      <w:r>
        <w:rPr>
          <w:rStyle w:val="CharSectno"/>
        </w:rPr>
        <w:t>3</w:t>
      </w:r>
      <w:r>
        <w:rPr>
          <w:snapToGrid w:val="0"/>
        </w:rPr>
        <w:t>.</w:t>
      </w:r>
      <w:r>
        <w:rPr>
          <w:snapToGrid w:val="0"/>
        </w:rPr>
        <w:tab/>
        <w:t>Terms used in these rules</w:t>
      </w:r>
      <w:bookmarkEnd w:id="27"/>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28" w:name="_Toc88360465"/>
      <w:bookmarkStart w:id="29" w:name="_Toc88447813"/>
      <w:bookmarkStart w:id="30" w:name="_Toc133390616"/>
      <w:bookmarkStart w:id="31" w:name="_Toc133390762"/>
      <w:bookmarkStart w:id="32" w:name="_Toc147224495"/>
      <w:bookmarkStart w:id="33" w:name="_Toc147289678"/>
      <w:bookmarkStart w:id="34" w:name="_Toc150241072"/>
      <w:bookmarkStart w:id="35" w:name="_Toc156967710"/>
      <w:bookmarkStart w:id="36" w:name="_Toc156978873"/>
      <w:bookmarkStart w:id="37" w:name="_Toc157830786"/>
      <w:bookmarkStart w:id="38" w:name="_Toc157831391"/>
      <w:bookmarkStart w:id="39" w:name="_Toc158430960"/>
      <w:bookmarkStart w:id="40" w:name="_Toc160612302"/>
      <w:bookmarkStart w:id="41" w:name="_Toc200449671"/>
      <w:bookmarkStart w:id="42" w:name="_Toc230144217"/>
      <w:bookmarkStart w:id="43" w:name="_Toc230161092"/>
      <w:r>
        <w:rPr>
          <w:rStyle w:val="CharPartNo"/>
        </w:rPr>
        <w:t>Part 2</w:t>
      </w:r>
      <w:r>
        <w:rPr>
          <w:rStyle w:val="CharDivNo"/>
        </w:rPr>
        <w:t> </w:t>
      </w:r>
      <w:r>
        <w:t>—</w:t>
      </w:r>
      <w:r>
        <w:rPr>
          <w:rStyle w:val="CharDivText"/>
        </w:rPr>
        <w:t> </w:t>
      </w:r>
      <w:r>
        <w:rPr>
          <w:rStyle w:val="CharPartText"/>
        </w:rPr>
        <w:t>Requirements for entry</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012077"/>
      <w:bookmarkStart w:id="45" w:name="_Toc5012370"/>
      <w:bookmarkStart w:id="46" w:name="_Toc43182278"/>
      <w:bookmarkStart w:id="47" w:name="_Toc133390617"/>
      <w:bookmarkStart w:id="48" w:name="_Toc230161093"/>
      <w:r>
        <w:rPr>
          <w:rStyle w:val="CharSectno"/>
        </w:rPr>
        <w:t>4</w:t>
      </w:r>
      <w:r>
        <w:rPr>
          <w:snapToGrid w:val="0"/>
        </w:rPr>
        <w:t>.</w:t>
      </w:r>
      <w:r>
        <w:rPr>
          <w:snapToGrid w:val="0"/>
        </w:rPr>
        <w:tab/>
      </w:r>
      <w:bookmarkEnd w:id="44"/>
      <w:bookmarkEnd w:id="45"/>
      <w:bookmarkEnd w:id="46"/>
      <w:bookmarkEnd w:id="47"/>
      <w:r>
        <w:rPr>
          <w:snapToGrid w:val="0"/>
        </w:rPr>
        <w:t>Playslip</w:t>
      </w:r>
      <w:bookmarkEnd w:id="48"/>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49" w:name="_Toc5012078"/>
      <w:bookmarkStart w:id="50" w:name="_Toc5012371"/>
      <w:bookmarkStart w:id="51" w:name="_Toc43182279"/>
      <w:bookmarkStart w:id="52" w:name="_Toc133390618"/>
      <w:bookmarkStart w:id="53" w:name="_Toc230161094"/>
      <w:r>
        <w:rPr>
          <w:rStyle w:val="CharSectno"/>
        </w:rPr>
        <w:t>5</w:t>
      </w:r>
      <w:r>
        <w:rPr>
          <w:snapToGrid w:val="0"/>
        </w:rPr>
        <w:t>.</w:t>
      </w:r>
      <w:r>
        <w:rPr>
          <w:snapToGrid w:val="0"/>
        </w:rPr>
        <w:tab/>
        <w:t>Methods of entry</w:t>
      </w:r>
      <w:bookmarkEnd w:id="49"/>
      <w:bookmarkEnd w:id="50"/>
      <w:bookmarkEnd w:id="51"/>
      <w:bookmarkEnd w:id="52"/>
      <w:bookmarkEnd w:id="53"/>
      <w:r>
        <w:rPr>
          <w:snapToGrid w:val="0"/>
        </w:rPr>
        <w:t xml:space="preserve"> </w:t>
      </w:r>
    </w:p>
    <w:p>
      <w:pPr>
        <w:pStyle w:val="Subsection"/>
      </w:pPr>
      <w:r>
        <w:tab/>
        <w:t>(1)</w:t>
      </w:r>
      <w:r>
        <w:tab/>
        <w:t>A person may request an entry in a super 66 draw in conjunction with an entry in a game of lotto or in Soccer Pools.</w:t>
      </w:r>
    </w:p>
    <w:p>
      <w:pPr>
        <w:pStyle w:val="Ednotesubsection"/>
      </w:pPr>
      <w:r>
        <w:tab/>
        <w:t>[(1a), (1b)</w:t>
      </w:r>
      <w:r>
        <w:tab/>
        <w:t>deleted]</w:t>
      </w:r>
    </w:p>
    <w:p>
      <w:pPr>
        <w:pStyle w:val="Subsection"/>
      </w:pPr>
      <w:r>
        <w:tab/>
        <w:t>(2)</w:t>
      </w:r>
      <w:r>
        <w:tab/>
        <w:t>A person may orally request an entry in the super 66 draw to be held on a particular Saturday without entering a game of lotto or Soccer Pools.</w:t>
      </w:r>
    </w:p>
    <w:p>
      <w:pPr>
        <w:pStyle w:val="Subsection"/>
        <w:rPr>
          <w:snapToGrid w:val="0"/>
        </w:rPr>
      </w:pPr>
      <w:r>
        <w:rPr>
          <w:snapToGrid w:val="0"/>
        </w:rPr>
        <w:tab/>
        <w:t>(3)</w:t>
      </w:r>
      <w:r>
        <w:rPr>
          <w:snapToGrid w:val="0"/>
        </w:rPr>
        <w:tab/>
        <w:t>A subscriber may choose to enter one, 2</w:t>
      </w:r>
      <w:r>
        <w:t xml:space="preserve"> or 5</w:t>
      </w:r>
      <w:r>
        <w:rPr>
          <w:snapToGrid w:val="0"/>
        </w:rPr>
        <w:t xml:space="preserve"> super 66 games as part of each </w:t>
      </w:r>
      <w:r>
        <w:t xml:space="preserve">oral request for an </w:t>
      </w:r>
      <w:r>
        <w:rPr>
          <w:snapToGrid w:val="0"/>
        </w:rPr>
        <w:t>entry in</w:t>
      </w:r>
      <w:r>
        <w:t xml:space="preserve"> super 66 in conjunction with a game of lotto or Soccer Pools.</w:t>
      </w:r>
      <w:r>
        <w:rPr>
          <w:snapToGrid w:val="0"/>
        </w:rPr>
        <w:t xml:space="preserve">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pPr>
      <w:r>
        <w:tab/>
        <w:t>(4)</w:t>
      </w:r>
      <w:r>
        <w:tab/>
        <w:t xml:space="preserve">A subscriber may enter a super 66 draw — </w:t>
      </w:r>
    </w:p>
    <w:p>
      <w:pPr>
        <w:pStyle w:val="Indenta"/>
      </w:pPr>
      <w:r>
        <w:tab/>
        <w:t>(a)</w:t>
      </w:r>
      <w:r>
        <w:tab/>
        <w:t xml:space="preserve">if the entry is made in conjunction with a game of lotto or Soccer Pools, by — </w:t>
      </w:r>
    </w:p>
    <w:p>
      <w:pPr>
        <w:pStyle w:val="Indenti"/>
      </w:pPr>
      <w:r>
        <w:tab/>
        <w:t>(i)</w:t>
      </w:r>
      <w:r>
        <w:tab/>
        <w:t>marking the appropriate box on a playslip for Saturday lotto, Monday lotto, Wednesday lotto, Oz lotto, powerball or Soccer Pools; or</w:t>
      </w:r>
    </w:p>
    <w:p>
      <w:pPr>
        <w:pStyle w:val="Indenti"/>
      </w:pPr>
      <w:r>
        <w:tab/>
        <w:t>(ii)</w:t>
      </w:r>
      <w:r>
        <w:tab/>
        <w:t xml:space="preserve">requesting the required number of super 66 games when making an oral request for entry in Saturday lotto, Monday lotto, Wednesday lotto, Oz lotto, powerball or Soccer Pools; </w:t>
      </w:r>
    </w:p>
    <w:p>
      <w:pPr>
        <w:pStyle w:val="Indenta"/>
      </w:pPr>
      <w:r>
        <w:tab/>
      </w:r>
      <w:r>
        <w:tab/>
        <w:t>or</w:t>
      </w:r>
    </w:p>
    <w:p>
      <w:pPr>
        <w:pStyle w:val="Indenta"/>
      </w:pPr>
      <w:r>
        <w:tab/>
        <w:t>(b)</w:t>
      </w:r>
      <w:r>
        <w:tab/>
        <w:t>if the entry is made without being in conjunction with a game of lotto or Soccer Pools — by making an oral request; or</w:t>
      </w:r>
    </w:p>
    <w:p>
      <w:pPr>
        <w:pStyle w:val="Indenta"/>
      </w:pPr>
      <w:r>
        <w:tab/>
        <w:t>(c)</w:t>
      </w:r>
      <w:r>
        <w:tab/>
        <w:t>in either case — using the “ticket repeat” method set out in rule 5A,</w:t>
      </w:r>
    </w:p>
    <w:p>
      <w:pPr>
        <w:pStyle w:val="Subsection"/>
      </w:pPr>
      <w:r>
        <w:tab/>
      </w:r>
      <w: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 15 May 2009 p. 1632-3.]</w:t>
      </w:r>
    </w:p>
    <w:p>
      <w:pPr>
        <w:pStyle w:val="Heading5"/>
      </w:pPr>
      <w:bookmarkStart w:id="54" w:name="_Toc230161095"/>
      <w:bookmarkStart w:id="55" w:name="_Toc5012079"/>
      <w:bookmarkStart w:id="56" w:name="_Toc5012372"/>
      <w:bookmarkStart w:id="57" w:name="_Toc43182280"/>
      <w:bookmarkStart w:id="58" w:name="_Toc133390619"/>
      <w:r>
        <w:rPr>
          <w:rStyle w:val="CharSectno"/>
        </w:rPr>
        <w:t>5A</w:t>
      </w:r>
      <w:r>
        <w:t>.</w:t>
      </w:r>
      <w:r>
        <w:tab/>
        <w:t>Ticket repeat</w:t>
      </w:r>
      <w:bookmarkEnd w:id="54"/>
    </w:p>
    <w:p>
      <w:pPr>
        <w:pStyle w:val="Subsection"/>
      </w:pPr>
      <w:r>
        <w:tab/>
        <w:t>(1)</w:t>
      </w:r>
      <w:r>
        <w:tab/>
        <w:t>A person may enter a super 66 draw by presenting an existing receipted ticket and requesting the same type of super 66 entry.</w:t>
      </w:r>
    </w:p>
    <w:p>
      <w:pPr>
        <w:pStyle w:val="Subsection"/>
      </w:pPr>
      <w:r>
        <w:tab/>
        <w:t>(2)</w:t>
      </w:r>
      <w:r>
        <w:tab/>
        <w:t>If a receipted ticket linked to a player’s card number is used to generate a repeat entry under subrule (1), that ticket does not continue to be linked to the number unless the subscriber’s player’s card is presented as well.</w:t>
      </w:r>
    </w:p>
    <w:p>
      <w:pPr>
        <w:pStyle w:val="Footnotesection"/>
      </w:pPr>
      <w:r>
        <w:tab/>
        <w:t>[Rule 5A inserted in Gazette 15 May 2009 p. 1633.]</w:t>
      </w:r>
    </w:p>
    <w:p>
      <w:pPr>
        <w:pStyle w:val="Heading5"/>
        <w:rPr>
          <w:snapToGrid w:val="0"/>
        </w:rPr>
      </w:pPr>
      <w:bookmarkStart w:id="59" w:name="_Toc230161096"/>
      <w:r>
        <w:rPr>
          <w:rStyle w:val="CharSectno"/>
        </w:rPr>
        <w:t>6</w:t>
      </w:r>
      <w:r>
        <w:rPr>
          <w:snapToGrid w:val="0"/>
        </w:rPr>
        <w:t>.</w:t>
      </w:r>
      <w:r>
        <w:rPr>
          <w:snapToGrid w:val="0"/>
        </w:rPr>
        <w:tab/>
        <w:t>Receipted tickets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(1B)</w:t>
      </w:r>
      <w:r>
        <w:tab/>
        <w:t>Where a subscriber makes a ticket repeat request, or an oral request for a super 66 entry, without a request for entry into a lotto or pools draw, and pays the relevant subscription, the agent must generate a receipted ticket or tickets accordingly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 15 May 2009 p. 1633.]</w:t>
      </w:r>
    </w:p>
    <w:p>
      <w:pPr>
        <w:pStyle w:val="Heading5"/>
        <w:rPr>
          <w:snapToGrid w:val="0"/>
        </w:rPr>
      </w:pPr>
      <w:bookmarkStart w:id="60" w:name="_Toc5012080"/>
      <w:bookmarkStart w:id="61" w:name="_Toc5012373"/>
      <w:bookmarkStart w:id="62" w:name="_Toc43182281"/>
      <w:bookmarkStart w:id="63" w:name="_Toc133390620"/>
      <w:bookmarkStart w:id="64" w:name="_Toc230161097"/>
      <w:r>
        <w:rPr>
          <w:rStyle w:val="CharSectno"/>
        </w:rPr>
        <w:t>7</w:t>
      </w:r>
      <w:r>
        <w:rPr>
          <w:snapToGrid w:val="0"/>
        </w:rPr>
        <w:t>.</w:t>
      </w:r>
      <w:r>
        <w:rPr>
          <w:snapToGrid w:val="0"/>
        </w:rPr>
        <w:tab/>
        <w:t>Surrender of receipted ticket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entered in conjunction with the receipted ticket are being surrendered;</w:t>
      </w:r>
    </w:p>
    <w:p>
      <w:pPr>
        <w:pStyle w:val="Indenta"/>
        <w:spacing w:before="60"/>
      </w:pPr>
      <w:r>
        <w:tab/>
        <w:t>(b)</w:t>
      </w:r>
      <w:r>
        <w:tab/>
        <w:t>only the super 66 game (or games) on the receipted ticket is being surrendered, and that any lotto/pools games entered in conjunction are to continue to be valid; or</w:t>
      </w:r>
    </w:p>
    <w:p>
      <w:pPr>
        <w:pStyle w:val="Indenta"/>
        <w:spacing w:before="60"/>
      </w:pPr>
      <w:r>
        <w:tab/>
        <w:t>(c)</w:t>
      </w:r>
      <w:r>
        <w:tab/>
        <w:t>only the lotto/pools games on the receipted ticket are being surrendered, and that any super 66 game entered in conjunction 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 15 May 2009 p. 1634.]</w:t>
      </w:r>
    </w:p>
    <w:p>
      <w:pPr>
        <w:pStyle w:val="Heading5"/>
        <w:rPr>
          <w:snapToGrid w:val="0"/>
        </w:rPr>
      </w:pPr>
      <w:bookmarkStart w:id="65" w:name="_Toc5012081"/>
      <w:bookmarkStart w:id="66" w:name="_Toc5012374"/>
      <w:bookmarkStart w:id="67" w:name="_Toc43182282"/>
      <w:bookmarkStart w:id="68" w:name="_Toc133390621"/>
      <w:bookmarkStart w:id="69" w:name="_Toc230161098"/>
      <w:r>
        <w:rPr>
          <w:rStyle w:val="CharSectno"/>
        </w:rPr>
        <w:t>8</w:t>
      </w:r>
      <w:r>
        <w:rPr>
          <w:snapToGrid w:val="0"/>
        </w:rPr>
        <w:t>.</w:t>
      </w:r>
      <w:r>
        <w:rPr>
          <w:snapToGrid w:val="0"/>
        </w:rPr>
        <w:tab/>
        <w:t>Accuracy of receipted ticket</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70" w:name="_Toc5012082"/>
      <w:bookmarkStart w:id="71" w:name="_Toc5012375"/>
      <w:bookmarkStart w:id="72" w:name="_Toc43182283"/>
      <w:bookmarkStart w:id="73" w:name="_Toc133390622"/>
      <w:bookmarkStart w:id="74" w:name="_Toc230161099"/>
      <w:r>
        <w:rPr>
          <w:rStyle w:val="CharSectno"/>
        </w:rPr>
        <w:t>9</w:t>
      </w:r>
      <w:r>
        <w:rPr>
          <w:snapToGrid w:val="0"/>
        </w:rPr>
        <w:t>.</w:t>
      </w:r>
      <w:r>
        <w:rPr>
          <w:snapToGrid w:val="0"/>
        </w:rPr>
        <w:tab/>
        <w:t>Validity of receipted ticket</w:t>
      </w:r>
      <w:bookmarkEnd w:id="70"/>
      <w:bookmarkEnd w:id="71"/>
      <w:bookmarkEnd w:id="72"/>
      <w:bookmarkEnd w:id="73"/>
      <w:bookmarkEnd w:id="74"/>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75" w:name="_Toc88360472"/>
      <w:bookmarkStart w:id="76" w:name="_Toc88447820"/>
      <w:bookmarkStart w:id="77" w:name="_Toc133390623"/>
      <w:bookmarkStart w:id="78" w:name="_Toc133390769"/>
      <w:bookmarkStart w:id="79" w:name="_Toc147224502"/>
      <w:bookmarkStart w:id="80" w:name="_Toc147289685"/>
      <w:bookmarkStart w:id="81" w:name="_Toc150241079"/>
      <w:bookmarkStart w:id="82" w:name="_Toc156967717"/>
      <w:bookmarkStart w:id="83" w:name="_Toc156978880"/>
      <w:bookmarkStart w:id="84" w:name="_Toc157830793"/>
      <w:bookmarkStart w:id="85" w:name="_Toc157831398"/>
      <w:bookmarkStart w:id="86" w:name="_Toc158430967"/>
      <w:bookmarkStart w:id="87" w:name="_Toc160612309"/>
      <w:bookmarkStart w:id="88" w:name="_Toc200449678"/>
      <w:bookmarkStart w:id="89" w:name="_Toc230144225"/>
      <w:bookmarkStart w:id="90" w:name="_Toc230161100"/>
      <w:r>
        <w:rPr>
          <w:rStyle w:val="CharPartNo"/>
        </w:rPr>
        <w:t>Part 3</w:t>
      </w:r>
      <w:r>
        <w:rPr>
          <w:rStyle w:val="CharDivNo"/>
        </w:rPr>
        <w:t> </w:t>
      </w:r>
      <w:r>
        <w:t>—</w:t>
      </w:r>
      <w:r>
        <w:rPr>
          <w:rStyle w:val="CharDivText"/>
        </w:rPr>
        <w:t> </w:t>
      </w:r>
      <w:r>
        <w:rPr>
          <w:rStyle w:val="CharPartText"/>
        </w:rPr>
        <w:t>General duties of Commission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5012083"/>
      <w:bookmarkStart w:id="92" w:name="_Toc5012376"/>
      <w:bookmarkStart w:id="93" w:name="_Toc43182284"/>
      <w:bookmarkStart w:id="94" w:name="_Toc133390624"/>
      <w:bookmarkStart w:id="95" w:name="_Toc230161101"/>
      <w:r>
        <w:rPr>
          <w:rStyle w:val="CharSectno"/>
        </w:rPr>
        <w:t>10</w:t>
      </w:r>
      <w:r>
        <w:rPr>
          <w:snapToGrid w:val="0"/>
        </w:rPr>
        <w:t>.</w:t>
      </w:r>
      <w:r>
        <w:rPr>
          <w:snapToGrid w:val="0"/>
        </w:rPr>
        <w:tab/>
        <w:t>Super 66 draws to be numbered</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96" w:name="_Toc5012084"/>
      <w:bookmarkStart w:id="97" w:name="_Toc5012377"/>
      <w:bookmarkStart w:id="98" w:name="_Toc43182285"/>
      <w:bookmarkStart w:id="99" w:name="_Toc133390625"/>
      <w:bookmarkStart w:id="100" w:name="_Toc230161102"/>
      <w:r>
        <w:rPr>
          <w:rStyle w:val="CharSectno"/>
        </w:rPr>
        <w:t>11</w:t>
      </w:r>
      <w:r>
        <w:t>.</w:t>
      </w:r>
      <w:r>
        <w:tab/>
        <w:t>Super 66 draws to be supervised</w:t>
      </w:r>
      <w:bookmarkEnd w:id="96"/>
      <w:bookmarkEnd w:id="97"/>
      <w:bookmarkEnd w:id="98"/>
      <w:bookmarkEnd w:id="99"/>
      <w:bookmarkEnd w:id="100"/>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101" w:name="_Toc5012085"/>
      <w:bookmarkStart w:id="102" w:name="_Toc5012378"/>
      <w:bookmarkStart w:id="103" w:name="_Toc43182286"/>
      <w:bookmarkStart w:id="104" w:name="_Toc133390626"/>
      <w:bookmarkStart w:id="105" w:name="_Toc230161103"/>
      <w:r>
        <w:rPr>
          <w:rStyle w:val="CharSectno"/>
        </w:rPr>
        <w:t>12</w:t>
      </w:r>
      <w:r>
        <w:rPr>
          <w:snapToGrid w:val="0"/>
        </w:rPr>
        <w:t>.</w:t>
      </w:r>
      <w:r>
        <w:rPr>
          <w:snapToGrid w:val="0"/>
        </w:rPr>
        <w:tab/>
        <w:t>Publication of results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106" w:name="_Toc5012086"/>
      <w:bookmarkStart w:id="107" w:name="_Toc5012379"/>
      <w:bookmarkStart w:id="108" w:name="_Toc43182287"/>
      <w:bookmarkStart w:id="109" w:name="_Toc133390627"/>
      <w:bookmarkStart w:id="110" w:name="_Toc230161104"/>
      <w:r>
        <w:rPr>
          <w:rStyle w:val="CharSectno"/>
        </w:rPr>
        <w:t>13</w:t>
      </w:r>
      <w:r>
        <w:rPr>
          <w:snapToGrid w:val="0"/>
        </w:rPr>
        <w:t>.</w:t>
      </w:r>
      <w:r>
        <w:rPr>
          <w:snapToGrid w:val="0"/>
        </w:rPr>
        <w:tab/>
        <w:t>Super 66 prize pool and prize reserve fund</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 15 May 2009 p. 1634.]</w:t>
      </w:r>
    </w:p>
    <w:p>
      <w:pPr>
        <w:pStyle w:val="Heading2"/>
      </w:pPr>
      <w:bookmarkStart w:id="111" w:name="_Toc88360477"/>
      <w:bookmarkStart w:id="112" w:name="_Toc88447825"/>
      <w:bookmarkStart w:id="113" w:name="_Toc133390628"/>
      <w:bookmarkStart w:id="114" w:name="_Toc133390774"/>
      <w:bookmarkStart w:id="115" w:name="_Toc147224507"/>
      <w:bookmarkStart w:id="116" w:name="_Toc147289690"/>
      <w:bookmarkStart w:id="117" w:name="_Toc150241084"/>
      <w:bookmarkStart w:id="118" w:name="_Toc156967722"/>
      <w:bookmarkStart w:id="119" w:name="_Toc156978885"/>
      <w:bookmarkStart w:id="120" w:name="_Toc157830798"/>
      <w:bookmarkStart w:id="121" w:name="_Toc157831403"/>
      <w:bookmarkStart w:id="122" w:name="_Toc158430972"/>
      <w:bookmarkStart w:id="123" w:name="_Toc160612314"/>
      <w:bookmarkStart w:id="124" w:name="_Toc200449683"/>
      <w:bookmarkStart w:id="125" w:name="_Toc230144230"/>
      <w:bookmarkStart w:id="126" w:name="_Toc230161105"/>
      <w:r>
        <w:rPr>
          <w:rStyle w:val="CharPartNo"/>
        </w:rPr>
        <w:t>Part 4</w:t>
      </w:r>
      <w:r>
        <w:rPr>
          <w:rStyle w:val="CharDivNo"/>
        </w:rPr>
        <w:t> </w:t>
      </w:r>
      <w:r>
        <w:t>—</w:t>
      </w:r>
      <w:r>
        <w:rPr>
          <w:rStyle w:val="CharDivText"/>
        </w:rPr>
        <w:t> </w:t>
      </w:r>
      <w:r>
        <w:rPr>
          <w:rStyle w:val="CharPartText"/>
        </w:rPr>
        <w:t>Super 66 draw</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5012087"/>
      <w:bookmarkStart w:id="128" w:name="_Toc5012380"/>
      <w:bookmarkStart w:id="129" w:name="_Toc43182288"/>
      <w:bookmarkStart w:id="130" w:name="_Toc133390629"/>
      <w:bookmarkStart w:id="131" w:name="_Toc230161106"/>
      <w:r>
        <w:rPr>
          <w:rStyle w:val="CharSectno"/>
        </w:rPr>
        <w:t>14</w:t>
      </w:r>
      <w:r>
        <w:rPr>
          <w:snapToGrid w:val="0"/>
        </w:rPr>
        <w:t>.</w:t>
      </w:r>
      <w:r>
        <w:rPr>
          <w:snapToGrid w:val="0"/>
        </w:rPr>
        <w:tab/>
        <w:t>Super 66 draw</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32" w:name="_Toc5012088"/>
      <w:bookmarkStart w:id="133" w:name="_Toc5012381"/>
      <w:bookmarkStart w:id="134" w:name="_Toc43182289"/>
      <w:bookmarkStart w:id="135" w:name="_Toc133390630"/>
      <w:bookmarkStart w:id="136" w:name="_Toc230161107"/>
      <w:r>
        <w:rPr>
          <w:rStyle w:val="CharSectno"/>
        </w:rPr>
        <w:t>15</w:t>
      </w:r>
      <w:r>
        <w:rPr>
          <w:snapToGrid w:val="0"/>
        </w:rPr>
        <w:t>.</w:t>
      </w:r>
      <w:r>
        <w:rPr>
          <w:snapToGrid w:val="0"/>
        </w:rPr>
        <w:tab/>
        <w:t>Criteria for super 66 prizes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37" w:name="_Toc5012089"/>
      <w:bookmarkStart w:id="138" w:name="_Toc5012382"/>
      <w:bookmarkStart w:id="139" w:name="_Toc43182290"/>
      <w:bookmarkStart w:id="140" w:name="_Toc133390631"/>
      <w:bookmarkStart w:id="141" w:name="_Toc230161108"/>
      <w:r>
        <w:rPr>
          <w:rStyle w:val="CharSectno"/>
        </w:rPr>
        <w:t>16</w:t>
      </w:r>
      <w:r>
        <w:rPr>
          <w:snapToGrid w:val="0"/>
        </w:rPr>
        <w:t>.</w:t>
      </w:r>
      <w:r>
        <w:rPr>
          <w:snapToGrid w:val="0"/>
        </w:rPr>
        <w:tab/>
        <w:t>Distribution of prize pool</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42" w:name="_Toc5012090"/>
      <w:bookmarkStart w:id="143" w:name="_Toc5012383"/>
      <w:bookmarkStart w:id="144" w:name="_Toc43182291"/>
      <w:bookmarkStart w:id="145" w:name="_Toc133390632"/>
      <w:bookmarkStart w:id="146" w:name="_Toc230161109"/>
      <w:r>
        <w:rPr>
          <w:rStyle w:val="CharSectno"/>
        </w:rPr>
        <w:t>17</w:t>
      </w:r>
      <w:r>
        <w:rPr>
          <w:snapToGrid w:val="0"/>
        </w:rPr>
        <w:t>.</w:t>
      </w:r>
      <w:r>
        <w:rPr>
          <w:snapToGrid w:val="0"/>
        </w:rPr>
        <w:tab/>
        <w:t>Division 1 jackpot</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w:t>
      </w:r>
      <w:r>
        <w:rPr>
          <w:vertAlign w:val="superscript"/>
        </w:rPr>
        <w:t>th</w:t>
      </w:r>
      <w:r>
        <w:t xml:space="preserve">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147" w:name="_Toc5012091"/>
      <w:bookmarkStart w:id="148" w:name="_Toc5012384"/>
      <w:bookmarkStart w:id="149" w:name="_Toc43182292"/>
      <w:bookmarkStart w:id="150" w:name="_Toc133390633"/>
      <w:bookmarkStart w:id="151" w:name="_Toc230161110"/>
      <w:r>
        <w:rPr>
          <w:rStyle w:val="CharSectno"/>
        </w:rPr>
        <w:t>18</w:t>
      </w:r>
      <w:r>
        <w:rPr>
          <w:snapToGrid w:val="0"/>
        </w:rPr>
        <w:t>.</w:t>
      </w:r>
      <w:r>
        <w:rPr>
          <w:snapToGrid w:val="0"/>
        </w:rPr>
        <w:tab/>
        <w:t>Bonus draws and guaranteed prize pools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152" w:name="_Toc5012092"/>
      <w:bookmarkStart w:id="153" w:name="_Toc5012385"/>
      <w:bookmarkStart w:id="154" w:name="_Toc43182293"/>
      <w:bookmarkStart w:id="155" w:name="_Toc133390634"/>
      <w:bookmarkStart w:id="156" w:name="_Toc230161111"/>
      <w:r>
        <w:rPr>
          <w:rStyle w:val="CharSectno"/>
        </w:rPr>
        <w:t>19</w:t>
      </w:r>
      <w:r>
        <w:rPr>
          <w:snapToGrid w:val="0"/>
        </w:rPr>
        <w:t>.</w:t>
      </w:r>
      <w:r>
        <w:rPr>
          <w:snapToGrid w:val="0"/>
        </w:rPr>
        <w:tab/>
        <w:t>Division 1 prizes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w:t>
      </w:r>
    </w:p>
    <w:p>
      <w:pPr>
        <w:pStyle w:val="Heading5"/>
        <w:rPr>
          <w:snapToGrid w:val="0"/>
        </w:rPr>
      </w:pPr>
      <w:bookmarkStart w:id="157" w:name="_Toc5012093"/>
      <w:bookmarkStart w:id="158" w:name="_Toc5012386"/>
      <w:bookmarkStart w:id="159" w:name="_Toc43182294"/>
      <w:bookmarkStart w:id="160" w:name="_Toc133390635"/>
      <w:bookmarkStart w:id="161" w:name="_Toc230161112"/>
      <w:r>
        <w:rPr>
          <w:rStyle w:val="CharSectno"/>
        </w:rPr>
        <w:t>20</w:t>
      </w:r>
      <w:r>
        <w:rPr>
          <w:snapToGrid w:val="0"/>
        </w:rPr>
        <w:t>.</w:t>
      </w:r>
      <w:r>
        <w:rPr>
          <w:snapToGrid w:val="0"/>
        </w:rPr>
        <w:tab/>
        <w:t>Division 2 prizes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162" w:name="_Toc5012094"/>
      <w:bookmarkStart w:id="163" w:name="_Toc5012387"/>
      <w:bookmarkStart w:id="164" w:name="_Toc43182295"/>
      <w:bookmarkStart w:id="165" w:name="_Toc133390636"/>
      <w:r>
        <w:tab/>
        <w:t>[Rule 20 amended in Gazette 6 Jun 2008 p. 2352.]</w:t>
      </w:r>
    </w:p>
    <w:p>
      <w:pPr>
        <w:pStyle w:val="Heading5"/>
        <w:rPr>
          <w:snapToGrid w:val="0"/>
        </w:rPr>
      </w:pPr>
      <w:bookmarkStart w:id="166" w:name="_Toc230161113"/>
      <w:r>
        <w:rPr>
          <w:rStyle w:val="CharSectno"/>
        </w:rPr>
        <w:t>21</w:t>
      </w:r>
      <w:r>
        <w:rPr>
          <w:snapToGrid w:val="0"/>
        </w:rPr>
        <w:t>.</w:t>
      </w:r>
      <w:r>
        <w:rPr>
          <w:snapToGrid w:val="0"/>
        </w:rPr>
        <w:tab/>
        <w:t>Division 3, 4 and 5 prizes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167" w:name="_Toc5012095"/>
      <w:bookmarkStart w:id="168" w:name="_Toc5012388"/>
      <w:bookmarkStart w:id="169" w:name="_Toc43182296"/>
      <w:bookmarkStart w:id="170" w:name="_Toc133390637"/>
      <w:r>
        <w:tab/>
        <w:t>[Rule 21 amended in Gazette 6 Jun 2008 p. 2352.]</w:t>
      </w:r>
    </w:p>
    <w:p>
      <w:pPr>
        <w:pStyle w:val="Heading5"/>
        <w:rPr>
          <w:snapToGrid w:val="0"/>
        </w:rPr>
      </w:pPr>
      <w:bookmarkStart w:id="171" w:name="_Toc230161114"/>
      <w:r>
        <w:rPr>
          <w:rStyle w:val="CharSectno"/>
        </w:rPr>
        <w:t>22</w:t>
      </w:r>
      <w:r>
        <w:rPr>
          <w:snapToGrid w:val="0"/>
        </w:rPr>
        <w:t>.</w:t>
      </w:r>
      <w:r>
        <w:rPr>
          <w:snapToGrid w:val="0"/>
        </w:rPr>
        <w:tab/>
        <w:t>Commission may require a statutory declaration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172" w:name="_Toc5012096"/>
      <w:bookmarkStart w:id="173" w:name="_Toc5012389"/>
      <w:bookmarkStart w:id="174" w:name="_Toc43182297"/>
      <w:bookmarkStart w:id="175" w:name="_Toc133390638"/>
      <w:bookmarkStart w:id="176" w:name="_Toc230161115"/>
      <w:r>
        <w:rPr>
          <w:rStyle w:val="CharSectno"/>
        </w:rPr>
        <w:t>23</w:t>
      </w:r>
      <w:r>
        <w:rPr>
          <w:snapToGrid w:val="0"/>
        </w:rPr>
        <w:t>.</w:t>
      </w:r>
      <w:r>
        <w:rPr>
          <w:snapToGrid w:val="0"/>
        </w:rPr>
        <w:tab/>
        <w:t>Publication of names and addresses of prize winners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77" w:name="_Toc5012097"/>
      <w:bookmarkStart w:id="178" w:name="_Toc5012390"/>
      <w:bookmarkStart w:id="179" w:name="_Toc43182298"/>
      <w:bookmarkStart w:id="180" w:name="_Toc133390639"/>
      <w:bookmarkStart w:id="181" w:name="_Toc230161116"/>
      <w:r>
        <w:rPr>
          <w:rStyle w:val="CharSectno"/>
        </w:rPr>
        <w:t>24</w:t>
      </w:r>
      <w:r>
        <w:rPr>
          <w:snapToGrid w:val="0"/>
        </w:rPr>
        <w:t>.</w:t>
      </w:r>
      <w:r>
        <w:rPr>
          <w:snapToGrid w:val="0"/>
        </w:rPr>
        <w:tab/>
        <w:t>Player Registration Service</w:t>
      </w:r>
      <w:bookmarkEnd w:id="177"/>
      <w:bookmarkEnd w:id="178"/>
      <w:bookmarkEnd w:id="179"/>
      <w:bookmarkEnd w:id="180"/>
      <w:bookmarkEnd w:id="181"/>
      <w:r>
        <w:rPr>
          <w:snapToGrid w:val="0"/>
        </w:rPr>
        <w:t xml:space="preserve"> </w:t>
      </w:r>
    </w:p>
    <w:p>
      <w:pPr>
        <w:pStyle w:val="Ednotesubsection"/>
      </w:pPr>
      <w:r>
        <w:tab/>
        <w:t>[(1)</w:t>
      </w:r>
      <w:r>
        <w:tab/>
        <w:t>deleted]</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182" w:name="_Toc230161117"/>
      <w:bookmarkStart w:id="183" w:name="_Toc88360489"/>
      <w:bookmarkStart w:id="184" w:name="_Toc88447837"/>
      <w:bookmarkStart w:id="185" w:name="_Toc133390640"/>
      <w:bookmarkStart w:id="186" w:name="_Toc133390786"/>
      <w:bookmarkStart w:id="187" w:name="_Toc147224519"/>
      <w:bookmarkStart w:id="188" w:name="_Toc147289702"/>
      <w:bookmarkStart w:id="189" w:name="_Toc150241096"/>
      <w:bookmarkStart w:id="190" w:name="_Toc156967734"/>
      <w:bookmarkStart w:id="191" w:name="_Toc156978897"/>
      <w:bookmarkStart w:id="192" w:name="_Toc157830810"/>
      <w:bookmarkStart w:id="193" w:name="_Toc157831415"/>
      <w:bookmarkStart w:id="194" w:name="_Toc158430984"/>
      <w:bookmarkStart w:id="195" w:name="_Toc160612326"/>
      <w:r>
        <w:rPr>
          <w:rStyle w:val="CharSectno"/>
        </w:rPr>
        <w:t>24A</w:t>
      </w:r>
      <w:r>
        <w:t>.</w:t>
      </w:r>
      <w:r>
        <w:tab/>
        <w:t>Player’s card holders may request direct credit of prizes</w:t>
      </w:r>
      <w:bookmarkEnd w:id="18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196" w:name="_Toc200449696"/>
      <w:bookmarkStart w:id="197" w:name="_Toc230144243"/>
      <w:bookmarkStart w:id="198" w:name="_Toc230161118"/>
      <w:r>
        <w:rPr>
          <w:rStyle w:val="CharPartNo"/>
        </w:rPr>
        <w:t>Part 5</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5012098"/>
      <w:bookmarkStart w:id="200" w:name="_Toc5012391"/>
      <w:bookmarkStart w:id="201" w:name="_Toc43182299"/>
      <w:bookmarkStart w:id="202" w:name="_Toc133390641"/>
      <w:bookmarkStart w:id="203" w:name="_Toc230161119"/>
      <w:r>
        <w:rPr>
          <w:rStyle w:val="CharSectno"/>
        </w:rPr>
        <w:t>25</w:t>
      </w:r>
      <w:r>
        <w:rPr>
          <w:snapToGrid w:val="0"/>
        </w:rPr>
        <w:t>.</w:t>
      </w:r>
      <w:r>
        <w:rPr>
          <w:snapToGrid w:val="0"/>
        </w:rPr>
        <w:tab/>
        <w:t>Instructions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bookmarkStart w:id="204" w:name="_Toc5012099"/>
      <w:bookmarkStart w:id="205" w:name="_Toc5012392"/>
      <w:bookmarkStart w:id="206" w:name="_Toc43182300"/>
      <w:bookmarkStart w:id="207" w:name="_Toc133390642"/>
      <w:r>
        <w:tab/>
        <w:t>[Rule 25 amended in Gazette 6 Jun 2008 p. 2354.]</w:t>
      </w:r>
    </w:p>
    <w:p>
      <w:pPr>
        <w:pStyle w:val="Heading5"/>
        <w:rPr>
          <w:snapToGrid w:val="0"/>
        </w:rPr>
      </w:pPr>
      <w:bookmarkStart w:id="208" w:name="_Toc230161120"/>
      <w:r>
        <w:rPr>
          <w:rStyle w:val="CharSectno"/>
        </w:rPr>
        <w:t>26</w:t>
      </w:r>
      <w:r>
        <w:rPr>
          <w:snapToGrid w:val="0"/>
        </w:rPr>
        <w:t>.</w:t>
      </w:r>
      <w:r>
        <w:rPr>
          <w:snapToGrid w:val="0"/>
        </w:rPr>
        <w:tab/>
        <w:t>Rules to be made available</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09" w:name="_Toc5012100"/>
      <w:bookmarkStart w:id="210" w:name="_Toc5012393"/>
      <w:bookmarkStart w:id="211" w:name="_Toc43182301"/>
      <w:bookmarkStart w:id="212" w:name="_Toc133390643"/>
      <w:bookmarkStart w:id="213" w:name="_Toc230161121"/>
      <w:r>
        <w:rPr>
          <w:rStyle w:val="CharSectno"/>
        </w:rPr>
        <w:t>27</w:t>
      </w:r>
      <w:r>
        <w:rPr>
          <w:snapToGrid w:val="0"/>
        </w:rPr>
        <w:t>.</w:t>
      </w:r>
      <w:r>
        <w:rPr>
          <w:snapToGrid w:val="0"/>
        </w:rPr>
        <w:tab/>
        <w:t>Decisions of Commission final</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r>
        <w:t>[Part 7 deleted in Gazette 3 Nov 2006 p. 4661.]</w:t>
      </w:r>
    </w:p>
    <w:p>
      <w:pPr>
        <w:pStyle w:val="yScheduleHeading"/>
      </w:pPr>
      <w:bookmarkStart w:id="214" w:name="_Toc5012397"/>
      <w:bookmarkStart w:id="215" w:name="_Toc43182305"/>
      <w:bookmarkStart w:id="216" w:name="_Toc133390646"/>
      <w:bookmarkStart w:id="217" w:name="_Toc133390792"/>
      <w:bookmarkStart w:id="218" w:name="_Toc147224525"/>
      <w:bookmarkStart w:id="219" w:name="_Toc147289708"/>
      <w:bookmarkStart w:id="220" w:name="_Toc150241102"/>
      <w:bookmarkStart w:id="221" w:name="_Toc156967740"/>
      <w:bookmarkStart w:id="222" w:name="_Toc156978901"/>
      <w:bookmarkStart w:id="223" w:name="_Toc157830814"/>
      <w:bookmarkStart w:id="224" w:name="_Toc157831419"/>
      <w:bookmarkStart w:id="225" w:name="_Toc158430988"/>
      <w:bookmarkStart w:id="226" w:name="_Toc160612330"/>
      <w:bookmarkStart w:id="227" w:name="_Toc200449700"/>
      <w:bookmarkStart w:id="228" w:name="_Toc230144247"/>
      <w:bookmarkStart w:id="229" w:name="_Toc230161122"/>
      <w:r>
        <w:rPr>
          <w:rStyle w:val="CharSchNo"/>
        </w:rPr>
        <w:t>Schedule 1</w:t>
      </w:r>
      <w:r>
        <w:t> — </w:t>
      </w:r>
      <w:r>
        <w:rPr>
          <w:rStyle w:val="CharSchText"/>
        </w:rPr>
        <w:t>Summary of parameters within which Super 66 is conducted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or 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30" w:name="_Toc88360496"/>
      <w:bookmarkStart w:id="231" w:name="_Toc88447844"/>
      <w:bookmarkStart w:id="232" w:name="_Toc133390647"/>
      <w:bookmarkStart w:id="233" w:name="_Toc133390793"/>
      <w:bookmarkStart w:id="234" w:name="_Toc147224526"/>
      <w:bookmarkStart w:id="235" w:name="_Toc147289709"/>
      <w:bookmarkStart w:id="236" w:name="_Toc150241103"/>
      <w:bookmarkStart w:id="237" w:name="_Toc156967741"/>
      <w:bookmarkStart w:id="238" w:name="_Toc156978902"/>
      <w:bookmarkStart w:id="239" w:name="_Toc157830815"/>
      <w:bookmarkStart w:id="240" w:name="_Toc157831420"/>
      <w:bookmarkStart w:id="241" w:name="_Toc158430989"/>
      <w:bookmarkStart w:id="242" w:name="_Toc160612331"/>
      <w:bookmarkStart w:id="243" w:name="_Toc200449701"/>
      <w:bookmarkStart w:id="244" w:name="_Toc230144248"/>
      <w:bookmarkStart w:id="245" w:name="_Toc230161123"/>
      <w:r>
        <w:t>Notes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246" w:name="_Toc230161124"/>
      <w:r>
        <w:t>Compilation table</w:t>
      </w:r>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Lotteries Commission (Super 66) Rules 1996</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c>
          <w:tcPr>
            <w:tcW w:w="3118" w:type="dxa"/>
          </w:tcPr>
          <w:p>
            <w:pPr>
              <w:pStyle w:val="nTable"/>
              <w:spacing w:after="40"/>
              <w:rPr>
                <w:sz w:val="19"/>
              </w:rPr>
            </w:pPr>
            <w:r>
              <w:rPr>
                <w:i/>
                <w:sz w:val="19"/>
              </w:rPr>
              <w:t>Lotteries Commission (Super 66) Amendment Rules 1997</w:t>
            </w:r>
          </w:p>
        </w:tc>
        <w:tc>
          <w:tcPr>
            <w:tcW w:w="1276" w:type="dxa"/>
          </w:tcPr>
          <w:p>
            <w:pPr>
              <w:pStyle w:val="nTable"/>
              <w:spacing w:after="40"/>
              <w:rPr>
                <w:sz w:val="19"/>
              </w:rPr>
            </w:pPr>
            <w:r>
              <w:rPr>
                <w:sz w:val="19"/>
              </w:rPr>
              <w:t>5 Dec 1997 p. 7131</w:t>
            </w:r>
          </w:p>
        </w:tc>
        <w:tc>
          <w:tcPr>
            <w:tcW w:w="2693" w:type="dxa"/>
          </w:tcPr>
          <w:p>
            <w:pPr>
              <w:pStyle w:val="nTable"/>
              <w:spacing w:after="40"/>
              <w:rPr>
                <w:sz w:val="19"/>
              </w:rPr>
            </w:pPr>
            <w:r>
              <w:rPr>
                <w:sz w:val="19"/>
              </w:rPr>
              <w:t>5 Dec 1997</w:t>
            </w:r>
          </w:p>
        </w:tc>
      </w:tr>
      <w:tr>
        <w:tc>
          <w:tcPr>
            <w:tcW w:w="3118" w:type="dxa"/>
          </w:tcPr>
          <w:p>
            <w:pPr>
              <w:pStyle w:val="nTable"/>
              <w:spacing w:after="40"/>
              <w:rPr>
                <w:i/>
                <w:sz w:val="19"/>
              </w:rPr>
            </w:pPr>
            <w:r>
              <w:rPr>
                <w:i/>
                <w:sz w:val="19"/>
              </w:rPr>
              <w:t>Lotteries Commission (Super 66) Amendment Rules 2001</w:t>
            </w:r>
          </w:p>
        </w:tc>
        <w:tc>
          <w:tcPr>
            <w:tcW w:w="1276" w:type="dxa"/>
          </w:tcPr>
          <w:p>
            <w:pPr>
              <w:pStyle w:val="nTable"/>
              <w:spacing w:after="40"/>
              <w:rPr>
                <w:sz w:val="19"/>
              </w:rPr>
            </w:pPr>
            <w:r>
              <w:rPr>
                <w:sz w:val="19"/>
              </w:rPr>
              <w:t>9 Mar 2001 p. 1329</w:t>
            </w:r>
            <w:r>
              <w:rPr>
                <w:sz w:val="19"/>
              </w:rPr>
              <w:noBreakHyphen/>
              <w:t>31</w:t>
            </w:r>
          </w:p>
        </w:tc>
        <w:tc>
          <w:tcPr>
            <w:tcW w:w="2693" w:type="dxa"/>
          </w:tcPr>
          <w:p>
            <w:pPr>
              <w:pStyle w:val="nTable"/>
              <w:spacing w:after="40"/>
              <w:rPr>
                <w:sz w:val="19"/>
              </w:rPr>
            </w:pPr>
            <w:r>
              <w:rPr>
                <w:sz w:val="19"/>
              </w:rPr>
              <w:t>11 Mar 2001 (see r. 2)</w:t>
            </w:r>
          </w:p>
        </w:tc>
      </w:tr>
      <w:tr>
        <w:tc>
          <w:tcPr>
            <w:tcW w:w="3118" w:type="dxa"/>
          </w:tcPr>
          <w:p>
            <w:pPr>
              <w:pStyle w:val="nTable"/>
              <w:spacing w:after="40"/>
              <w:rPr>
                <w:i/>
                <w:sz w:val="19"/>
              </w:rPr>
            </w:pPr>
            <w:r>
              <w:rPr>
                <w:i/>
                <w:sz w:val="19"/>
              </w:rPr>
              <w:t>Lotteries Commission (Super 66) Amendment Rules 2002</w:t>
            </w:r>
          </w:p>
        </w:tc>
        <w:tc>
          <w:tcPr>
            <w:tcW w:w="1276" w:type="dxa"/>
          </w:tcPr>
          <w:p>
            <w:pPr>
              <w:pStyle w:val="nTable"/>
              <w:spacing w:after="40"/>
              <w:rPr>
                <w:sz w:val="19"/>
              </w:rPr>
            </w:pPr>
            <w:r>
              <w:rPr>
                <w:sz w:val="19"/>
              </w:rPr>
              <w:t>28 Mar 2002 p. 1766</w:t>
            </w:r>
          </w:p>
        </w:tc>
        <w:tc>
          <w:tcPr>
            <w:tcW w:w="2693" w:type="dxa"/>
          </w:tcPr>
          <w:p>
            <w:pPr>
              <w:pStyle w:val="nTable"/>
              <w:spacing w:after="40"/>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40"/>
              <w:rPr>
                <w:i/>
                <w:sz w:val="19"/>
              </w:rPr>
            </w:pPr>
            <w:r>
              <w:rPr>
                <w:i/>
                <w:sz w:val="19"/>
              </w:rPr>
              <w:t>Lotteries Commission (Super 66) Amendment Rules 2004</w:t>
            </w:r>
          </w:p>
        </w:tc>
        <w:tc>
          <w:tcPr>
            <w:tcW w:w="1276" w:type="dxa"/>
          </w:tcPr>
          <w:p>
            <w:pPr>
              <w:pStyle w:val="nTable"/>
              <w:spacing w:after="40"/>
              <w:rPr>
                <w:sz w:val="19"/>
              </w:rPr>
            </w:pPr>
            <w:r>
              <w:rPr>
                <w:sz w:val="19"/>
              </w:rPr>
              <w:t>16 Nov 2004 p. 5066-7</w:t>
            </w:r>
          </w:p>
        </w:tc>
        <w:tc>
          <w:tcPr>
            <w:tcW w:w="2693" w:type="dxa"/>
          </w:tcPr>
          <w:p>
            <w:pPr>
              <w:pStyle w:val="nTable"/>
              <w:spacing w:after="40"/>
              <w:rPr>
                <w:sz w:val="19"/>
              </w:rPr>
            </w:pPr>
            <w:r>
              <w:rPr>
                <w:sz w:val="19"/>
              </w:rPr>
              <w:t>16 Nov 2004 (see r. 2)</w:t>
            </w:r>
          </w:p>
        </w:tc>
      </w:tr>
      <w:tr>
        <w:tc>
          <w:tcPr>
            <w:tcW w:w="3118" w:type="dxa"/>
          </w:tcPr>
          <w:p>
            <w:pPr>
              <w:pStyle w:val="nTable"/>
              <w:spacing w:after="40"/>
              <w:rPr>
                <w:i/>
                <w:sz w:val="19"/>
              </w:rPr>
            </w:pPr>
            <w:r>
              <w:rPr>
                <w:i/>
                <w:sz w:val="19"/>
              </w:rPr>
              <w:t>Lotteries Commission (Super 66) Amendment Rules 2006</w:t>
            </w:r>
          </w:p>
        </w:tc>
        <w:tc>
          <w:tcPr>
            <w:tcW w:w="1276" w:type="dxa"/>
          </w:tcPr>
          <w:p>
            <w:pPr>
              <w:pStyle w:val="nTable"/>
              <w:spacing w:after="40"/>
              <w:rPr>
                <w:sz w:val="19"/>
              </w:rPr>
            </w:pPr>
            <w:r>
              <w:rPr>
                <w:sz w:val="19"/>
              </w:rPr>
              <w:t>21 Apr 2006 p. 1605</w:t>
            </w:r>
            <w:r>
              <w:rPr>
                <w:sz w:val="19"/>
              </w:rPr>
              <w:noBreakHyphen/>
              <w:t>10</w:t>
            </w:r>
          </w:p>
        </w:tc>
        <w:tc>
          <w:tcPr>
            <w:tcW w:w="2693" w:type="dxa"/>
          </w:tcPr>
          <w:p>
            <w:pPr>
              <w:pStyle w:val="nTable"/>
              <w:spacing w:after="40"/>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40"/>
              <w:rPr>
                <w:i/>
                <w:sz w:val="19"/>
              </w:rPr>
            </w:pPr>
            <w:r>
              <w:rPr>
                <w:i/>
                <w:sz w:val="19"/>
              </w:rPr>
              <w:t>Lotteries Commission (Super 66) Amendment Rules (No. 2) 2006</w:t>
            </w:r>
          </w:p>
        </w:tc>
        <w:tc>
          <w:tcPr>
            <w:tcW w:w="1276" w:type="dxa"/>
          </w:tcPr>
          <w:p>
            <w:pPr>
              <w:pStyle w:val="nTable"/>
              <w:spacing w:after="40"/>
              <w:rPr>
                <w:sz w:val="19"/>
              </w:rPr>
            </w:pPr>
            <w:r>
              <w:rPr>
                <w:sz w:val="19"/>
              </w:rPr>
              <w:t>29 Sep 2006 p. 4269-70</w:t>
            </w:r>
          </w:p>
        </w:tc>
        <w:tc>
          <w:tcPr>
            <w:tcW w:w="2693" w:type="dxa"/>
          </w:tcPr>
          <w:p>
            <w:pPr>
              <w:pStyle w:val="nTable"/>
              <w:spacing w:after="40"/>
              <w:rPr>
                <w:sz w:val="19"/>
              </w:rPr>
            </w:pPr>
            <w:r>
              <w:rPr>
                <w:sz w:val="19"/>
              </w:rPr>
              <w:t>29 Sep 2006</w:t>
            </w:r>
          </w:p>
        </w:tc>
      </w:tr>
      <w:tr>
        <w:tc>
          <w:tcPr>
            <w:tcW w:w="3118" w:type="dxa"/>
          </w:tcPr>
          <w:p>
            <w:pPr>
              <w:pStyle w:val="nTable"/>
              <w:spacing w:after="40"/>
              <w:rPr>
                <w:sz w:val="19"/>
              </w:rPr>
            </w:pPr>
            <w:r>
              <w:rPr>
                <w:i/>
                <w:sz w:val="19"/>
              </w:rPr>
              <w:t>Lotteries Commission (Super 66) Amendment Rules (No. 3) 2006</w:t>
            </w:r>
            <w:r>
              <w:rPr>
                <w:sz w:val="19"/>
              </w:rPr>
              <w:t xml:space="preserve"> </w:t>
            </w:r>
          </w:p>
        </w:tc>
        <w:tc>
          <w:tcPr>
            <w:tcW w:w="1276" w:type="dxa"/>
          </w:tcPr>
          <w:p>
            <w:pPr>
              <w:pStyle w:val="nTable"/>
              <w:spacing w:after="40"/>
              <w:rPr>
                <w:sz w:val="19"/>
              </w:rPr>
            </w:pPr>
            <w:r>
              <w:rPr>
                <w:sz w:val="19"/>
              </w:rPr>
              <w:t>3 Nov 2006 p. 4661</w:t>
            </w:r>
          </w:p>
        </w:tc>
        <w:tc>
          <w:tcPr>
            <w:tcW w:w="2693" w:type="dxa"/>
          </w:tcPr>
          <w:p>
            <w:pPr>
              <w:pStyle w:val="nTable"/>
              <w:spacing w:after="40"/>
              <w:rPr>
                <w:sz w:val="19"/>
              </w:rPr>
            </w:pPr>
            <w:r>
              <w:rPr>
                <w:sz w:val="19"/>
              </w:rPr>
              <w:t>21 Jan 2007 (see r. 2)</w:t>
            </w:r>
          </w:p>
        </w:tc>
      </w:tr>
      <w:tr>
        <w:trPr>
          <w:cantSplit/>
        </w:trPr>
        <w:tc>
          <w:tcPr>
            <w:tcW w:w="7087" w:type="dxa"/>
            <w:gridSpan w:val="3"/>
          </w:tcPr>
          <w:p>
            <w:pPr>
              <w:pStyle w:val="nTable"/>
              <w:spacing w:after="40"/>
              <w:rPr>
                <w:sz w:val="19"/>
              </w:rPr>
            </w:pPr>
            <w:r>
              <w:rPr>
                <w:b/>
                <w:sz w:val="19"/>
              </w:rPr>
              <w:t>Reprint 2: The</w:t>
            </w:r>
            <w:r>
              <w:rPr>
                <w:b/>
                <w:i/>
                <w:sz w:val="19"/>
              </w:rPr>
              <w:t xml:space="preserve"> Lotteries Commission (Super 66) Rules 1996 </w:t>
            </w:r>
            <w:r>
              <w:rPr>
                <w:b/>
                <w:sz w:val="19"/>
              </w:rPr>
              <w:t>as at 9 Feb 2007</w:t>
            </w:r>
            <w:r>
              <w:rPr>
                <w:sz w:val="19"/>
              </w:rPr>
              <w:br/>
              <w:t>(includes amendments listed above)</w:t>
            </w:r>
          </w:p>
        </w:tc>
      </w:tr>
      <w:tr>
        <w:tc>
          <w:tcPr>
            <w:tcW w:w="3118" w:type="dxa"/>
          </w:tcPr>
          <w:p>
            <w:pPr>
              <w:pStyle w:val="nTable"/>
              <w:spacing w:after="40"/>
              <w:rPr>
                <w:sz w:val="19"/>
              </w:rPr>
            </w:pPr>
            <w:r>
              <w:rPr>
                <w:i/>
                <w:sz w:val="19"/>
              </w:rPr>
              <w:t>Lotteries Commission (Super 66) Amendment Rules 2008</w:t>
            </w:r>
            <w:r>
              <w:rPr>
                <w:sz w:val="19"/>
              </w:rPr>
              <w:t xml:space="preserve"> </w:t>
            </w:r>
          </w:p>
        </w:tc>
        <w:tc>
          <w:tcPr>
            <w:tcW w:w="1276" w:type="dxa"/>
          </w:tcPr>
          <w:p>
            <w:pPr>
              <w:pStyle w:val="nTable"/>
              <w:spacing w:after="40"/>
              <w:rPr>
                <w:sz w:val="19"/>
              </w:rPr>
            </w:pPr>
            <w:r>
              <w:rPr>
                <w:sz w:val="19"/>
              </w:rPr>
              <w:t>6 Jun 2008 p. 2347-54</w:t>
            </w:r>
          </w:p>
        </w:tc>
        <w:tc>
          <w:tcPr>
            <w:tcW w:w="2693" w:type="dxa"/>
          </w:tcPr>
          <w:p>
            <w:pPr>
              <w:pStyle w:val="nTable"/>
              <w:spacing w:after="40"/>
              <w:rPr>
                <w:sz w:val="19"/>
              </w:rPr>
            </w:pPr>
            <w:r>
              <w:rPr>
                <w:sz w:val="19"/>
              </w:rPr>
              <w:t>r. 1 and 2: 6 Jun 2008 (see r. 2(a));</w:t>
            </w:r>
            <w:r>
              <w:rPr>
                <w:sz w:val="19"/>
              </w:rPr>
              <w:br/>
              <w:t>Rules other than r. 1 and 2: 8 Jun 2008 (see r. 2(b))</w:t>
            </w:r>
          </w:p>
        </w:tc>
      </w:tr>
      <w:tr>
        <w:tc>
          <w:tcPr>
            <w:tcW w:w="3118" w:type="dxa"/>
            <w:tcBorders>
              <w:bottom w:val="single" w:sz="4" w:space="0" w:color="auto"/>
            </w:tcBorders>
          </w:tcPr>
          <w:p>
            <w:pPr>
              <w:pStyle w:val="nTable"/>
              <w:spacing w:after="40"/>
              <w:rPr>
                <w:iCs/>
                <w:sz w:val="19"/>
              </w:rPr>
            </w:pPr>
            <w:r>
              <w:rPr>
                <w:i/>
                <w:sz w:val="19"/>
              </w:rPr>
              <w:t>Lotteries Commission Amendment Rules 2009</w:t>
            </w:r>
            <w:r>
              <w:rPr>
                <w:iCs/>
                <w:sz w:val="19"/>
              </w:rPr>
              <w:t xml:space="preserve"> Pt. 2</w:t>
            </w:r>
          </w:p>
        </w:tc>
        <w:tc>
          <w:tcPr>
            <w:tcW w:w="1276" w:type="dxa"/>
            <w:tcBorders>
              <w:bottom w:val="single" w:sz="4" w:space="0" w:color="auto"/>
            </w:tcBorders>
          </w:tcPr>
          <w:p>
            <w:pPr>
              <w:pStyle w:val="nTable"/>
              <w:spacing w:after="40"/>
              <w:rPr>
                <w:sz w:val="19"/>
              </w:rPr>
            </w:pPr>
            <w:r>
              <w:rPr>
                <w:sz w:val="19"/>
              </w:rPr>
              <w:t>15 May 2009 p. 1632-5</w:t>
            </w:r>
          </w:p>
        </w:tc>
        <w:tc>
          <w:tcPr>
            <w:tcW w:w="2693" w:type="dxa"/>
            <w:tcBorders>
              <w:bottom w:val="single" w:sz="4" w:space="0" w:color="auto"/>
            </w:tcBorders>
          </w:tcPr>
          <w:p>
            <w:pPr>
              <w:pStyle w:val="nTable"/>
              <w:spacing w:after="40"/>
              <w:rPr>
                <w:sz w:val="19"/>
              </w:rPr>
            </w:pPr>
            <w:r>
              <w:rPr>
                <w:sz w:val="19"/>
              </w:rPr>
              <w:t>17 May 2009 (see r. 2(b))</w:t>
            </w:r>
          </w:p>
        </w:tc>
      </w:tr>
    </w:tbl>
    <w:p>
      <w:bookmarkStart w:id="247" w:name="UpToHere"/>
      <w:bookmarkEnd w:id="247"/>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(Super 66)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Summary of parameters within which Super 66 is conducted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fldSimple w:instr=" styleref CharSchText ">
            <w:r>
              <w:rPr>
                <w:noProof/>
              </w:rPr>
              <w:t>Summary of parameters within which Super 66 is conducted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CC3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13"/>
    <w:docVar w:name="WAFER_20151208100013" w:val="RemoveTrackChanges"/>
    <w:docVar w:name="WAFER_20151208100013_GUID" w:val="4eaede91-8ff5-40c0-9764-1a3618255a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5384</Words>
  <Characters>24282</Characters>
  <Application>Microsoft Office Word</Application>
  <DocSecurity>0</DocSecurity>
  <Lines>735</Lines>
  <Paragraphs>456</Paragraphs>
  <ScaleCrop>false</ScaleCrop>
  <HeadingPairs>
    <vt:vector size="2" baseType="variant">
      <vt:variant>
        <vt:lpstr>Title</vt:lpstr>
      </vt:variant>
      <vt:variant>
        <vt:i4>1</vt:i4>
      </vt:variant>
    </vt:vector>
  </HeadingPairs>
  <TitlesOfParts>
    <vt:vector size="1" baseType="lpstr">
      <vt:lpstr>Lotteries Commission (Super 66) Rules 1996</vt:lpstr>
    </vt:vector>
  </TitlesOfParts>
  <Manager/>
  <Company/>
  <LinksUpToDate>false</LinksUpToDate>
  <CharactersWithSpaces>29210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1996 - 02-c0-03</dc:title>
  <dc:subject/>
  <dc:creator/>
  <cp:keywords/>
  <dc:description/>
  <cp:lastModifiedBy>svcMRProcess</cp:lastModifiedBy>
  <cp:revision>4</cp:revision>
  <cp:lastPrinted>2007-02-05T04:52:00Z</cp:lastPrinted>
  <dcterms:created xsi:type="dcterms:W3CDTF">2015-12-10T08:38:00Z</dcterms:created>
  <dcterms:modified xsi:type="dcterms:W3CDTF">2015-12-10T08:38:00Z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AsAtDate">
    <vt:lpwstr>17 May 2009</vt:lpwstr>
  </property>
  <property fmtid="{D5CDD505-2E9C-101B-9397-08002B2CF9AE}" pid="8" name="Suffix">
    <vt:lpwstr>02-c0-03</vt:lpwstr>
  </property>
</Properties>
</file>