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Transfer of Land Act 1893</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zCs w:val="24"/>
        </w:rPr>
        <w:tab/>
        <w:t>Citation</w:t>
      </w:r>
      <w:r>
        <w:tab/>
      </w:r>
      <w:r>
        <w:fldChar w:fldCharType="begin"/>
      </w:r>
      <w:r>
        <w:instrText xml:space="preserve"> PAGEREF _Toc230748562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_Toc230748563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General</w:t>
      </w:r>
    </w:p>
    <w:p>
      <w:pPr>
        <w:pStyle w:val="TOC8"/>
        <w:rPr>
          <w:sz w:val="24"/>
          <w:szCs w:val="24"/>
        </w:rPr>
      </w:pPr>
      <w:r>
        <w:rPr>
          <w:szCs w:val="24"/>
        </w:rPr>
        <w:t>3.</w:t>
      </w:r>
      <w:r>
        <w:rPr>
          <w:szCs w:val="24"/>
        </w:rPr>
        <w:tab/>
        <w:t>Requirements as to documents in paper medium</w:t>
      </w:r>
      <w:r>
        <w:tab/>
      </w:r>
      <w:r>
        <w:fldChar w:fldCharType="begin"/>
      </w:r>
      <w:r>
        <w:instrText xml:space="preserve"> PAGEREF _Toc230748565 \h </w:instrText>
      </w:r>
      <w:r>
        <w:fldChar w:fldCharType="separate"/>
      </w:r>
      <w:r>
        <w:t>3</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_Toc230748566 \h </w:instrText>
      </w:r>
      <w:r>
        <w:fldChar w:fldCharType="separate"/>
      </w:r>
      <w:r>
        <w:t>3</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_Toc230748567 \h </w:instrText>
      </w:r>
      <w:r>
        <w:fldChar w:fldCharType="separate"/>
      </w:r>
      <w:r>
        <w:t>4</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_Toc230748568 \h </w:instrText>
      </w:r>
      <w:r>
        <w:fldChar w:fldCharType="separate"/>
      </w:r>
      <w:r>
        <w:t>4</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_Toc230748569 \h </w:instrText>
      </w:r>
      <w:r>
        <w:fldChar w:fldCharType="separate"/>
      </w:r>
      <w:r>
        <w:t>5</w:t>
      </w:r>
      <w:r>
        <w:fldChar w:fldCharType="end"/>
      </w:r>
    </w:p>
    <w:p>
      <w:pPr>
        <w:pStyle w:val="TOC2"/>
        <w:tabs>
          <w:tab w:val="right" w:leader="dot" w:pos="7086"/>
        </w:tabs>
        <w:rPr>
          <w:b w:val="0"/>
          <w:sz w:val="24"/>
          <w:szCs w:val="24"/>
        </w:rPr>
      </w:pPr>
      <w:r>
        <w:rPr>
          <w:szCs w:val="30"/>
        </w:rPr>
        <w:t>Part 3 — Fees and forms</w:t>
      </w:r>
    </w:p>
    <w:p>
      <w:pPr>
        <w:pStyle w:val="TOC8"/>
        <w:rPr>
          <w:sz w:val="24"/>
          <w:szCs w:val="24"/>
        </w:rPr>
      </w:pPr>
      <w:r>
        <w:rPr>
          <w:szCs w:val="24"/>
        </w:rPr>
        <w:t>9A.</w:t>
      </w:r>
      <w:r>
        <w:rPr>
          <w:szCs w:val="24"/>
        </w:rPr>
        <w:tab/>
        <w:t>Fees</w:t>
      </w:r>
      <w:r>
        <w:tab/>
      </w:r>
      <w:r>
        <w:fldChar w:fldCharType="begin"/>
      </w:r>
      <w:r>
        <w:instrText xml:space="preserve"> PAGEREF _Toc230748571 \h </w:instrText>
      </w:r>
      <w:r>
        <w:fldChar w:fldCharType="separate"/>
      </w:r>
      <w:r>
        <w:t>7</w:t>
      </w:r>
      <w:r>
        <w:fldChar w:fldCharType="end"/>
      </w:r>
    </w:p>
    <w:p>
      <w:pPr>
        <w:pStyle w:val="TOC8"/>
        <w:rPr>
          <w:sz w:val="24"/>
          <w:szCs w:val="24"/>
        </w:rPr>
      </w:pPr>
      <w:r>
        <w:rPr>
          <w:szCs w:val="24"/>
        </w:rPr>
        <w:t>9.</w:t>
      </w:r>
      <w:r>
        <w:rPr>
          <w:szCs w:val="24"/>
        </w:rPr>
        <w:tab/>
        <w:t>Forms</w:t>
      </w:r>
      <w:r>
        <w:tab/>
      </w:r>
      <w:r>
        <w:fldChar w:fldCharType="begin"/>
      </w:r>
      <w:r>
        <w:instrText xml:space="preserve"> PAGEREF _Toc230748572 \h </w:instrText>
      </w:r>
      <w:r>
        <w:fldChar w:fldCharType="separate"/>
      </w:r>
      <w:r>
        <w:t>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Inspection of Register</w:t>
      </w:r>
    </w:p>
    <w:p>
      <w:pPr>
        <w:pStyle w:val="TOC4"/>
        <w:tabs>
          <w:tab w:val="right" w:leader="dot" w:pos="7086"/>
        </w:tabs>
        <w:rPr>
          <w:b w:val="0"/>
          <w:sz w:val="24"/>
          <w:szCs w:val="24"/>
        </w:rPr>
      </w:pPr>
      <w:r>
        <w:rPr>
          <w:szCs w:val="26"/>
        </w:rPr>
        <w:t>Division 1 — Times for inspection of Register and related documents</w:t>
      </w:r>
    </w:p>
    <w:p>
      <w:pPr>
        <w:pStyle w:val="TOC8"/>
        <w:rPr>
          <w:sz w:val="24"/>
          <w:szCs w:val="24"/>
        </w:rPr>
      </w:pPr>
      <w:r>
        <w:rPr>
          <w:snapToGrid w:val="0"/>
          <w:szCs w:val="24"/>
        </w:rPr>
        <w:t>10.</w:t>
      </w:r>
      <w:r>
        <w:rPr>
          <w:snapToGrid w:val="0"/>
          <w:szCs w:val="24"/>
        </w:rPr>
        <w:tab/>
        <w:t>Times for inspection of the Register and related documents</w:t>
      </w:r>
      <w:r>
        <w:tab/>
      </w:r>
      <w:r>
        <w:fldChar w:fldCharType="begin"/>
      </w:r>
      <w:r>
        <w:instrText xml:space="preserve"> PAGEREF _Toc230748575 \h </w:instrText>
      </w:r>
      <w:r>
        <w:fldChar w:fldCharType="separate"/>
      </w:r>
      <w:r>
        <w:t>10</w:t>
      </w:r>
      <w:r>
        <w:fldChar w:fldCharType="end"/>
      </w:r>
    </w:p>
    <w:p>
      <w:pPr>
        <w:pStyle w:val="TOC4"/>
        <w:tabs>
          <w:tab w:val="right" w:leader="dot" w:pos="7086"/>
        </w:tabs>
        <w:rPr>
          <w:b w:val="0"/>
          <w:sz w:val="24"/>
          <w:szCs w:val="24"/>
        </w:rPr>
      </w:pPr>
      <w:r>
        <w:rPr>
          <w:szCs w:val="26"/>
        </w:rPr>
        <w:t>Division 2 — Names index</w:t>
      </w:r>
    </w:p>
    <w:p>
      <w:pPr>
        <w:pStyle w:val="TOC8"/>
        <w:rPr>
          <w:sz w:val="24"/>
          <w:szCs w:val="24"/>
        </w:rPr>
      </w:pPr>
      <w:r>
        <w:rPr>
          <w:szCs w:val="24"/>
        </w:rPr>
        <w:t>11.</w:t>
      </w:r>
      <w:r>
        <w:rPr>
          <w:szCs w:val="24"/>
        </w:rPr>
        <w:tab/>
        <w:t>Terms used</w:t>
      </w:r>
      <w:r>
        <w:tab/>
      </w:r>
      <w:r>
        <w:fldChar w:fldCharType="begin"/>
      </w:r>
      <w:r>
        <w:instrText xml:space="preserve"> PAGEREF _Toc230748577 \h </w:instrText>
      </w:r>
      <w:r>
        <w:fldChar w:fldCharType="separate"/>
      </w:r>
      <w:r>
        <w:t>10</w:t>
      </w:r>
      <w:r>
        <w:fldChar w:fldCharType="end"/>
      </w:r>
    </w:p>
    <w:p>
      <w:pPr>
        <w:pStyle w:val="TOC8"/>
        <w:rPr>
          <w:sz w:val="24"/>
          <w:szCs w:val="24"/>
        </w:rPr>
      </w:pPr>
      <w:r>
        <w:rPr>
          <w:szCs w:val="24"/>
        </w:rPr>
        <w:t>12.</w:t>
      </w:r>
      <w:r>
        <w:rPr>
          <w:szCs w:val="24"/>
        </w:rPr>
        <w:tab/>
        <w:t>Inspection of information derived from Register</w:t>
      </w:r>
      <w:r>
        <w:tab/>
      </w:r>
      <w:r>
        <w:fldChar w:fldCharType="begin"/>
      </w:r>
      <w:r>
        <w:instrText xml:space="preserve"> PAGEREF _Toc230748578 \h </w:instrText>
      </w:r>
      <w:r>
        <w:fldChar w:fldCharType="separate"/>
      </w:r>
      <w:r>
        <w:t>11</w:t>
      </w:r>
      <w:r>
        <w:fldChar w:fldCharType="end"/>
      </w:r>
    </w:p>
    <w:p>
      <w:pPr>
        <w:pStyle w:val="TOC8"/>
        <w:rPr>
          <w:sz w:val="24"/>
          <w:szCs w:val="24"/>
        </w:rPr>
      </w:pPr>
      <w:r>
        <w:rPr>
          <w:szCs w:val="24"/>
        </w:rPr>
        <w:t>13.</w:t>
      </w:r>
      <w:r>
        <w:rPr>
          <w:szCs w:val="24"/>
        </w:rPr>
        <w:tab/>
      </w:r>
      <w:r>
        <w:rPr>
          <w:snapToGrid w:val="0"/>
          <w:szCs w:val="24"/>
        </w:rPr>
        <w:t>Application for information not to be included in names index</w:t>
      </w:r>
      <w:r>
        <w:tab/>
      </w:r>
      <w:r>
        <w:fldChar w:fldCharType="begin"/>
      </w:r>
      <w:r>
        <w:instrText xml:space="preserve"> PAGEREF _Toc230748579 \h </w:instrText>
      </w:r>
      <w:r>
        <w:fldChar w:fldCharType="separate"/>
      </w:r>
      <w:r>
        <w:t>11</w:t>
      </w:r>
      <w:r>
        <w:fldChar w:fldCharType="end"/>
      </w:r>
    </w:p>
    <w:p>
      <w:pPr>
        <w:pStyle w:val="TOC8"/>
        <w:rPr>
          <w:sz w:val="24"/>
          <w:szCs w:val="24"/>
        </w:rPr>
      </w:pPr>
      <w:r>
        <w:rPr>
          <w:szCs w:val="24"/>
        </w:rPr>
        <w:t>14.</w:t>
      </w:r>
      <w:r>
        <w:rPr>
          <w:szCs w:val="24"/>
        </w:rPr>
        <w:tab/>
        <w:t>Provision of suppressed information to government organisations</w:t>
      </w:r>
      <w:r>
        <w:tab/>
      </w:r>
      <w:r>
        <w:fldChar w:fldCharType="begin"/>
      </w:r>
      <w:r>
        <w:instrText xml:space="preserve"> PAGEREF _Toc230748580 \h </w:instrText>
      </w:r>
      <w:r>
        <w:fldChar w:fldCharType="separate"/>
      </w:r>
      <w:r>
        <w:t>12</w:t>
      </w:r>
      <w:r>
        <w:fldChar w:fldCharType="end"/>
      </w:r>
    </w:p>
    <w:p>
      <w:pPr>
        <w:pStyle w:val="TOC8"/>
        <w:rPr>
          <w:sz w:val="24"/>
          <w:szCs w:val="24"/>
        </w:rPr>
      </w:pPr>
      <w:r>
        <w:rPr>
          <w:szCs w:val="24"/>
        </w:rPr>
        <w:t>15.</w:t>
      </w:r>
      <w:r>
        <w:rPr>
          <w:szCs w:val="24"/>
        </w:rPr>
        <w:tab/>
        <w:t>Provision of suppressed information to others</w:t>
      </w:r>
      <w:r>
        <w:tab/>
      </w:r>
      <w:r>
        <w:fldChar w:fldCharType="begin"/>
      </w:r>
      <w:r>
        <w:instrText xml:space="preserve"> PAGEREF _Toc230748581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w:t>
      </w:r>
      <w:r>
        <w:rPr>
          <w:snapToGrid w:val="0"/>
          <w:szCs w:val="24"/>
        </w:rPr>
        <w:t>— </w:t>
      </w:r>
      <w:r>
        <w:rPr>
          <w:szCs w:val="24"/>
        </w:rPr>
        <w:t>Registrations and recordings</w:t>
      </w:r>
    </w:p>
    <w:p>
      <w:pPr>
        <w:pStyle w:val="TOC4"/>
        <w:tabs>
          <w:tab w:val="right" w:leader="dot" w:pos="7086"/>
        </w:tabs>
        <w:rPr>
          <w:b w:val="0"/>
          <w:sz w:val="24"/>
          <w:szCs w:val="24"/>
        </w:rPr>
      </w:pPr>
      <w:r>
        <w:rPr>
          <w:szCs w:val="24"/>
        </w:rPr>
        <w:t>Division 2 — Lodgments</w:t>
      </w:r>
    </w:p>
    <w:p>
      <w:pPr>
        <w:pStyle w:val="TOC4"/>
        <w:tabs>
          <w:tab w:val="right" w:leader="dot" w:pos="7086"/>
        </w:tabs>
        <w:rPr>
          <w:b w:val="0"/>
          <w:sz w:val="24"/>
          <w:szCs w:val="24"/>
        </w:rPr>
      </w:pPr>
      <w:r>
        <w:rPr>
          <w:szCs w:val="24"/>
        </w:rPr>
        <w:t>Division 3 — Withdrawals</w:t>
      </w:r>
    </w:p>
    <w:p>
      <w:pPr>
        <w:pStyle w:val="TOC4"/>
        <w:tabs>
          <w:tab w:val="right" w:leader="dot" w:pos="7086"/>
        </w:tabs>
        <w:rPr>
          <w:b w:val="0"/>
          <w:sz w:val="24"/>
          <w:szCs w:val="24"/>
        </w:rPr>
      </w:pPr>
      <w:r>
        <w:rPr>
          <w:szCs w:val="24"/>
        </w:rPr>
        <w:t>Division 4 — Applications</w:t>
      </w:r>
    </w:p>
    <w:p>
      <w:pPr>
        <w:pStyle w:val="TOC4"/>
        <w:tabs>
          <w:tab w:val="right" w:leader="dot" w:pos="7086"/>
        </w:tabs>
        <w:rPr>
          <w:b w:val="0"/>
          <w:sz w:val="24"/>
          <w:szCs w:val="24"/>
        </w:rPr>
      </w:pPr>
      <w:r>
        <w:rPr>
          <w:szCs w:val="24"/>
        </w:rPr>
        <w:t>Division 5 — Certificates</w:t>
      </w:r>
    </w:p>
    <w:p>
      <w:pPr>
        <w:pStyle w:val="TOC4"/>
        <w:tabs>
          <w:tab w:val="right" w:leader="dot" w:pos="7086"/>
        </w:tabs>
        <w:rPr>
          <w:b w:val="0"/>
          <w:sz w:val="24"/>
          <w:szCs w:val="24"/>
        </w:rPr>
      </w:pPr>
      <w:r>
        <w:rPr>
          <w:szCs w:val="24"/>
        </w:rPr>
        <w:t>Division 6 — Inspection and/or copies of documents</w:t>
      </w:r>
    </w:p>
    <w:p>
      <w:pPr>
        <w:pStyle w:val="TOC4"/>
        <w:tabs>
          <w:tab w:val="right" w:leader="dot" w:pos="7086"/>
        </w:tabs>
        <w:rPr>
          <w:b w:val="0"/>
          <w:sz w:val="24"/>
          <w:szCs w:val="24"/>
        </w:rPr>
      </w:pPr>
      <w:r>
        <w:rPr>
          <w:szCs w:val="24"/>
        </w:rPr>
        <w:t>Division 7 — 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_Toc230748592 \h </w:instrText>
      </w:r>
      <w:r>
        <w:fldChar w:fldCharType="separate"/>
      </w:r>
      <w:r>
        <w:t>25</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_Toc230748593 \h </w:instrText>
      </w:r>
      <w:r>
        <w:fldChar w:fldCharType="separate"/>
      </w:r>
      <w:r>
        <w:t>29</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_Toc230748594 \h </w:instrText>
      </w:r>
      <w:r>
        <w:fldChar w:fldCharType="separate"/>
      </w:r>
      <w:r>
        <w:t>31</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_Toc230748595 \h </w:instrText>
      </w:r>
      <w:r>
        <w:fldChar w:fldCharType="separate"/>
      </w:r>
      <w:r>
        <w:t>34</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_Toc230748596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_Toc230748598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Transfer of Land Act 1893</w:t>
      </w:r>
    </w:p>
    <w:p>
      <w:pPr>
        <w:pStyle w:val="NameofActReg"/>
      </w:pPr>
      <w:r>
        <w:t>Transfer of Land Regulations 2004</w:t>
      </w:r>
    </w:p>
    <w:p>
      <w:pPr>
        <w:pStyle w:val="Heading2"/>
        <w:rPr>
          <w:rStyle w:val="CharPartText"/>
        </w:rPr>
      </w:pPr>
      <w:bookmarkStart w:id="1" w:name="_Toc230748561"/>
      <w:bookmarkStart w:id="2" w:name="_Toc423332722"/>
      <w:bookmarkStart w:id="3" w:name="_Toc425219441"/>
      <w:bookmarkStart w:id="4" w:name="_Toc426249308"/>
      <w:bookmarkStart w:id="5" w:name="_Toc449924704"/>
      <w:bookmarkStart w:id="6" w:name="_Toc449947722"/>
      <w:bookmarkStart w:id="7" w:name="_Toc454185713"/>
      <w:bookmarkStart w:id="8" w:name="_Toc80506497"/>
      <w:bookmarkStart w:id="9" w:name="_Toc109199270"/>
      <w:r>
        <w:rPr>
          <w:rStyle w:val="CharPartNo"/>
        </w:rPr>
        <w:t>Part 1</w:t>
      </w:r>
      <w:r>
        <w:rPr>
          <w:b w:val="0"/>
        </w:rPr>
        <w:t> </w:t>
      </w:r>
      <w:r>
        <w:t>—</w:t>
      </w:r>
      <w:r>
        <w:rPr>
          <w:b w:val="0"/>
        </w:rPr>
        <w:t> </w:t>
      </w:r>
      <w:r>
        <w:rPr>
          <w:rStyle w:val="CharPartText"/>
        </w:rPr>
        <w:t>Preliminary</w:t>
      </w:r>
      <w:bookmarkEnd w:id="1"/>
    </w:p>
    <w:p>
      <w:pPr>
        <w:pStyle w:val="Footnoteheading"/>
      </w:pPr>
      <w:r>
        <w:tab/>
        <w:t>[Heading inserted in Gazette 22 May 2009 p. 1700.]</w:t>
      </w:r>
    </w:p>
    <w:p>
      <w:pPr>
        <w:pStyle w:val="Heading5"/>
      </w:pPr>
      <w:bookmarkStart w:id="10" w:name="_Toc230748562"/>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80506498"/>
      <w:bookmarkStart w:id="18" w:name="_Toc109199271"/>
      <w:bookmarkStart w:id="19" w:name="_Toc23074856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on 6 September 2004.</w:t>
      </w:r>
    </w:p>
    <w:p>
      <w:pPr>
        <w:pStyle w:val="Heading2"/>
      </w:pPr>
      <w:bookmarkStart w:id="20" w:name="_Toc230748564"/>
      <w:bookmarkStart w:id="21" w:name="_Toc80506499"/>
      <w:bookmarkStart w:id="22" w:name="_Toc109199272"/>
      <w:bookmarkStart w:id="23" w:name="_Toc454593486"/>
      <w:bookmarkStart w:id="24" w:name="_Toc519584947"/>
      <w:bookmarkStart w:id="25" w:name="_Toc523038597"/>
      <w:bookmarkStart w:id="26" w:name="_Toc524424346"/>
      <w:bookmarkStart w:id="27" w:name="_Toc46124574"/>
      <w:r>
        <w:rPr>
          <w:rStyle w:val="CharPartNo"/>
        </w:rPr>
        <w:t>Part 2</w:t>
      </w:r>
      <w:r>
        <w:rPr>
          <w:b w:val="0"/>
        </w:rPr>
        <w:t> </w:t>
      </w:r>
      <w:r>
        <w:t>—</w:t>
      </w:r>
      <w:r>
        <w:rPr>
          <w:b w:val="0"/>
        </w:rPr>
        <w:t> </w:t>
      </w:r>
      <w:r>
        <w:rPr>
          <w:rStyle w:val="CharPartText"/>
        </w:rPr>
        <w:t>General</w:t>
      </w:r>
      <w:bookmarkEnd w:id="20"/>
    </w:p>
    <w:p>
      <w:pPr>
        <w:pStyle w:val="Footnoteheading"/>
      </w:pPr>
      <w:r>
        <w:tab/>
        <w:t>[Heading inserted in Gazette 22 May 2009 p. 1701.]</w:t>
      </w:r>
    </w:p>
    <w:p>
      <w:pPr>
        <w:pStyle w:val="Heading5"/>
      </w:pPr>
      <w:bookmarkStart w:id="28" w:name="_Toc230748565"/>
      <w:r>
        <w:rPr>
          <w:rStyle w:val="CharSectno"/>
        </w:rPr>
        <w:t>3</w:t>
      </w:r>
      <w:r>
        <w:t>.</w:t>
      </w:r>
      <w:r>
        <w:tab/>
        <w:t>Requirements as to documents in paper medium</w:t>
      </w:r>
      <w:bookmarkEnd w:id="21"/>
      <w:bookmarkEnd w:id="22"/>
      <w:bookmarkEnd w:id="28"/>
    </w:p>
    <w:bookmarkEnd w:id="23"/>
    <w:bookmarkEnd w:id="24"/>
    <w:bookmarkEnd w:id="25"/>
    <w:bookmarkEnd w:id="26"/>
    <w:bookmarkEnd w:id="27"/>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29" w:name="_Toc454593487"/>
      <w:bookmarkStart w:id="30" w:name="_Toc519584948"/>
      <w:bookmarkStart w:id="31" w:name="_Toc523038598"/>
      <w:bookmarkStart w:id="32" w:name="_Toc524424347"/>
      <w:bookmarkStart w:id="33" w:name="_Toc46124575"/>
      <w:bookmarkStart w:id="34" w:name="_Toc80506500"/>
      <w:bookmarkStart w:id="35" w:name="_Toc109199273"/>
      <w:bookmarkStart w:id="36" w:name="_Toc230748566"/>
      <w:r>
        <w:rPr>
          <w:rStyle w:val="CharSectno"/>
        </w:rPr>
        <w:t>4</w:t>
      </w:r>
      <w:r>
        <w:t>.</w:t>
      </w:r>
      <w:r>
        <w:tab/>
      </w:r>
      <w:r>
        <w:rPr>
          <w:snapToGrid w:val="0"/>
        </w:rPr>
        <w:t>Certificates of title for lots included in existing certificates</w:t>
      </w:r>
      <w:bookmarkEnd w:id="29"/>
      <w:bookmarkEnd w:id="30"/>
      <w:bookmarkEnd w:id="31"/>
      <w:bookmarkEnd w:id="32"/>
      <w:bookmarkEnd w:id="33"/>
      <w:bookmarkEnd w:id="34"/>
      <w:bookmarkEnd w:id="35"/>
      <w:bookmarkEnd w:id="3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7" w:name="_Toc454593488"/>
      <w:bookmarkStart w:id="38" w:name="_Toc519584949"/>
      <w:bookmarkStart w:id="39" w:name="_Toc523038599"/>
      <w:bookmarkStart w:id="40" w:name="_Toc524424348"/>
      <w:bookmarkStart w:id="41" w:name="_Toc46124576"/>
      <w:bookmarkStart w:id="42" w:name="_Toc80506501"/>
      <w:bookmarkStart w:id="43" w:name="_Toc109199274"/>
      <w:bookmarkStart w:id="44" w:name="_Toc230748567"/>
      <w:r>
        <w:rPr>
          <w:rStyle w:val="CharSectno"/>
        </w:rPr>
        <w:t>5</w:t>
      </w:r>
      <w:r>
        <w:t>.</w:t>
      </w:r>
      <w:r>
        <w:tab/>
      </w:r>
      <w:r>
        <w:rPr>
          <w:snapToGrid w:val="0"/>
        </w:rPr>
        <w:t>New certificate of title if old one too full for further endorsement</w:t>
      </w:r>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5" w:name="_Toc109199275"/>
      <w:bookmarkStart w:id="46" w:name="_Toc230748568"/>
      <w:bookmarkStart w:id="47" w:name="_Toc454593489"/>
      <w:bookmarkStart w:id="48" w:name="_Toc519584950"/>
      <w:bookmarkStart w:id="49" w:name="_Toc523038600"/>
      <w:bookmarkStart w:id="50" w:name="_Toc524424349"/>
      <w:bookmarkStart w:id="51" w:name="_Toc46124577"/>
      <w:bookmarkStart w:id="52" w:name="_Toc80506502"/>
      <w:r>
        <w:rPr>
          <w:rStyle w:val="CharSectno"/>
        </w:rPr>
        <w:t>5A</w:t>
      </w:r>
      <w:r>
        <w:t>.</w:t>
      </w:r>
      <w:r>
        <w:tab/>
        <w:t>Priority processing of certain documents</w:t>
      </w:r>
      <w:bookmarkEnd w:id="45"/>
      <w:bookmarkEnd w:id="46"/>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53" w:name="_Toc454593493"/>
      <w:bookmarkStart w:id="54" w:name="_Toc519584953"/>
      <w:bookmarkStart w:id="55" w:name="_Toc523038603"/>
      <w:bookmarkStart w:id="56" w:name="_Toc524424352"/>
      <w:bookmarkStart w:id="57" w:name="_Toc46124580"/>
      <w:bookmarkStart w:id="58" w:name="_Toc80506504"/>
      <w:bookmarkEnd w:id="47"/>
      <w:bookmarkEnd w:id="48"/>
      <w:bookmarkEnd w:id="49"/>
      <w:bookmarkEnd w:id="50"/>
      <w:bookmarkEnd w:id="51"/>
      <w:bookmarkEnd w:id="52"/>
      <w:r>
        <w:t>[</w:t>
      </w:r>
      <w:r>
        <w:rPr>
          <w:b/>
          <w:bCs/>
        </w:rPr>
        <w:t>6, 7.</w:t>
      </w:r>
      <w:r>
        <w:tab/>
        <w:t>Deleted in Gazette 22 May 2009 p. 1701.]</w:t>
      </w:r>
    </w:p>
    <w:p>
      <w:pPr>
        <w:pStyle w:val="Heading5"/>
        <w:rPr>
          <w:snapToGrid w:val="0"/>
        </w:rPr>
      </w:pPr>
      <w:bookmarkStart w:id="59" w:name="_Toc109199278"/>
      <w:bookmarkStart w:id="60" w:name="_Toc230748569"/>
      <w:r>
        <w:rPr>
          <w:rStyle w:val="CharSectno"/>
        </w:rPr>
        <w:t>8</w:t>
      </w:r>
      <w:r>
        <w:t>.</w:t>
      </w:r>
      <w:r>
        <w:tab/>
      </w:r>
      <w:r>
        <w:rPr>
          <w:snapToGrid w:val="0"/>
        </w:rPr>
        <w:t>Modification, discharge or extinguishment of single dwelling covenants — determination of prescribed area</w:t>
      </w:r>
      <w:bookmarkEnd w:id="53"/>
      <w:bookmarkEnd w:id="54"/>
      <w:bookmarkEnd w:id="55"/>
      <w:bookmarkEnd w:id="56"/>
      <w:bookmarkEnd w:id="57"/>
      <w:bookmarkEnd w:id="58"/>
      <w:bookmarkEnd w:id="59"/>
      <w:bookmarkEnd w:id="6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61" w:name="_Toc230748570"/>
      <w:bookmarkStart w:id="62" w:name="_Toc109199279"/>
      <w:bookmarkStart w:id="63" w:name="_Toc80506506"/>
      <w:r>
        <w:rPr>
          <w:rStyle w:val="CharPartNo"/>
        </w:rPr>
        <w:t>Part 3</w:t>
      </w:r>
      <w:r>
        <w:t> — </w:t>
      </w:r>
      <w:r>
        <w:rPr>
          <w:rStyle w:val="CharPartText"/>
        </w:rPr>
        <w:t>Fees and forms</w:t>
      </w:r>
      <w:bookmarkEnd w:id="61"/>
    </w:p>
    <w:p>
      <w:pPr>
        <w:pStyle w:val="Footnoteheading"/>
      </w:pPr>
      <w:r>
        <w:tab/>
        <w:t>[Heading inserted in Gazette 22 May 2009 p. 1701.]</w:t>
      </w:r>
    </w:p>
    <w:p>
      <w:pPr>
        <w:pStyle w:val="Heading5"/>
      </w:pPr>
      <w:bookmarkStart w:id="64" w:name="_Toc230748571"/>
      <w:r>
        <w:rPr>
          <w:rStyle w:val="CharSectno"/>
        </w:rPr>
        <w:t>9A</w:t>
      </w:r>
      <w:r>
        <w:t>.</w:t>
      </w:r>
      <w:r>
        <w:tab/>
        <w:t>Fees</w:t>
      </w:r>
      <w:bookmarkEnd w:id="6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p>
      <w:pPr>
        <w:pStyle w:val="Heading5"/>
      </w:pPr>
      <w:bookmarkStart w:id="65" w:name="_Toc230748572"/>
      <w:r>
        <w:rPr>
          <w:rStyle w:val="CharSectno"/>
        </w:rPr>
        <w:t>9</w:t>
      </w:r>
      <w:r>
        <w:t>.</w:t>
      </w:r>
      <w:r>
        <w:tab/>
        <w:t>Forms</w:t>
      </w:r>
      <w:bookmarkEnd w:id="62"/>
      <w:bookmarkEnd w:id="65"/>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If a form is to be —</w:t>
      </w:r>
    </w:p>
    <w:p>
      <w:pPr>
        <w:pStyle w:val="Indenta"/>
      </w:pPr>
      <w:r>
        <w:tab/>
        <w:t>(a)</w:t>
      </w:r>
      <w:r>
        <w:tab/>
        <w:t>completed by the insertion of information; or</w:t>
      </w:r>
    </w:p>
    <w:p>
      <w:pPr>
        <w:pStyle w:val="Indenta"/>
        <w:keepNext/>
      </w:pPr>
      <w:r>
        <w:tab/>
        <w:t>(b)</w:t>
      </w:r>
      <w:r>
        <w:tab/>
        <w:t>accompanied by information specified in the form,</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pStyle w:val="Heading2"/>
      </w:pPr>
      <w:bookmarkStart w:id="66" w:name="_Toc230748573"/>
      <w:r>
        <w:rPr>
          <w:rStyle w:val="CharPartNo"/>
        </w:rPr>
        <w:t>Part 4</w:t>
      </w:r>
      <w:r>
        <w:rPr>
          <w:b w:val="0"/>
        </w:rPr>
        <w:t> </w:t>
      </w:r>
      <w:r>
        <w:t>—</w:t>
      </w:r>
      <w:r>
        <w:rPr>
          <w:b w:val="0"/>
        </w:rPr>
        <w:t> </w:t>
      </w:r>
      <w:r>
        <w:rPr>
          <w:rStyle w:val="CharPartText"/>
        </w:rPr>
        <w:t>Inspection of Register</w:t>
      </w:r>
      <w:bookmarkEnd w:id="66"/>
    </w:p>
    <w:p>
      <w:pPr>
        <w:pStyle w:val="Footnoteheading"/>
      </w:pPr>
      <w:r>
        <w:tab/>
        <w:t>[Heading inserted in Gazette 22 May 2009 p. 1702.]</w:t>
      </w:r>
    </w:p>
    <w:p>
      <w:pPr>
        <w:pStyle w:val="Heading3"/>
      </w:pPr>
      <w:bookmarkStart w:id="67" w:name="_Toc230748574"/>
      <w:r>
        <w:rPr>
          <w:rStyle w:val="CharDivNo"/>
        </w:rPr>
        <w:t>Division 1</w:t>
      </w:r>
      <w:r>
        <w:t> — </w:t>
      </w:r>
      <w:r>
        <w:rPr>
          <w:rStyle w:val="CharDivText"/>
        </w:rPr>
        <w:t>Times for inspection of Register and related documents</w:t>
      </w:r>
      <w:bookmarkEnd w:id="67"/>
    </w:p>
    <w:p>
      <w:pPr>
        <w:pStyle w:val="Footnoteheading"/>
      </w:pPr>
      <w:r>
        <w:tab/>
        <w:t>[Heading inserted in Gazette 22 May 2009 p. 1702.]</w:t>
      </w:r>
    </w:p>
    <w:p>
      <w:pPr>
        <w:pStyle w:val="Heading5"/>
        <w:rPr>
          <w:snapToGrid w:val="0"/>
        </w:rPr>
      </w:pPr>
      <w:bookmarkStart w:id="68" w:name="_Toc230748575"/>
      <w:r>
        <w:rPr>
          <w:snapToGrid w:val="0"/>
        </w:rPr>
        <w:t>10.</w:t>
      </w:r>
      <w:r>
        <w:rPr>
          <w:snapToGrid w:val="0"/>
        </w:rPr>
        <w:tab/>
        <w:t>Times for inspection of the Register and related documents</w:t>
      </w:r>
      <w:bookmarkEnd w:id="68"/>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w:t>
      </w:r>
    </w:p>
    <w:p>
      <w:pPr>
        <w:pStyle w:val="Heading3"/>
      </w:pPr>
      <w:bookmarkStart w:id="69" w:name="_Toc230748576"/>
      <w:r>
        <w:rPr>
          <w:rStyle w:val="CharDivNo"/>
        </w:rPr>
        <w:t>Division 2</w:t>
      </w:r>
      <w:r>
        <w:t> — </w:t>
      </w:r>
      <w:r>
        <w:rPr>
          <w:rStyle w:val="CharDivText"/>
        </w:rPr>
        <w:t>Names index</w:t>
      </w:r>
      <w:bookmarkEnd w:id="69"/>
    </w:p>
    <w:p>
      <w:pPr>
        <w:pStyle w:val="Footnoteheading"/>
      </w:pPr>
      <w:r>
        <w:tab/>
        <w:t>[Heading inserted in Gazette 22 May 2009 p. 1703.]</w:t>
      </w:r>
    </w:p>
    <w:p>
      <w:pPr>
        <w:pStyle w:val="Heading5"/>
      </w:pPr>
      <w:bookmarkStart w:id="70" w:name="_Toc230748577"/>
      <w:r>
        <w:t>11.</w:t>
      </w:r>
      <w:r>
        <w:tab/>
        <w:t>Terms used</w:t>
      </w:r>
      <w:bookmarkEnd w:id="70"/>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71" w:name="_Toc230748578"/>
      <w:r>
        <w:t>12.</w:t>
      </w:r>
      <w:r>
        <w:tab/>
        <w:t>Inspection of information derived from Register</w:t>
      </w:r>
      <w:bookmarkEnd w:id="71"/>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72" w:name="_Toc230748579"/>
      <w:r>
        <w:t>13.</w:t>
      </w:r>
      <w:r>
        <w:tab/>
      </w:r>
      <w:bookmarkStart w:id="73" w:name="_Toc498763793"/>
      <w:bookmarkStart w:id="74" w:name="_Toc51564952"/>
      <w:bookmarkStart w:id="75" w:name="_Toc205285861"/>
      <w:r>
        <w:rPr>
          <w:snapToGrid w:val="0"/>
        </w:rPr>
        <w:t>Application for information not to be included in names index</w:t>
      </w:r>
      <w:bookmarkEnd w:id="73"/>
      <w:bookmarkEnd w:id="74"/>
      <w:bookmarkEnd w:id="75"/>
      <w:bookmarkEnd w:id="7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76" w:name="_Toc153601537"/>
      <w:bookmarkStart w:id="77" w:name="_Toc160524770"/>
      <w:bookmarkStart w:id="78" w:name="_Toc205285826"/>
      <w:r>
        <w:tab/>
        <w:t>[Regulation 13 inserted in Gazette 22 May 2009 p. 1703-4.]</w:t>
      </w:r>
    </w:p>
    <w:p>
      <w:pPr>
        <w:pStyle w:val="Heading5"/>
      </w:pPr>
      <w:bookmarkStart w:id="79" w:name="_Toc230748580"/>
      <w:r>
        <w:t>14.</w:t>
      </w:r>
      <w:r>
        <w:tab/>
        <w:t>Provision of suppressed information to government organisations</w:t>
      </w:r>
      <w:bookmarkEnd w:id="76"/>
      <w:bookmarkEnd w:id="77"/>
      <w:bookmarkEnd w:id="78"/>
      <w:bookmarkEnd w:id="79"/>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pPr>
      <w:r>
        <w:tab/>
        <w:t>[Regulation 14 inserted in Gazette 22 May 2009 p. 1704.]</w:t>
      </w:r>
    </w:p>
    <w:p>
      <w:pPr>
        <w:pStyle w:val="Heading5"/>
      </w:pPr>
      <w:bookmarkStart w:id="80" w:name="_Toc230748581"/>
      <w:r>
        <w:t>15.</w:t>
      </w:r>
      <w:r>
        <w:tab/>
        <w:t>Provision of suppressed information to others</w:t>
      </w:r>
      <w:bookmarkEnd w:id="80"/>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219188527"/>
      <w:bookmarkStart w:id="82" w:name="_Toc220814844"/>
      <w:bookmarkStart w:id="83" w:name="_Toc220830316"/>
      <w:bookmarkStart w:id="84" w:name="_Toc221334339"/>
      <w:bookmarkStart w:id="85" w:name="_Toc230748582"/>
      <w:bookmarkStart w:id="86" w:name="_Toc80506515"/>
      <w:bookmarkStart w:id="87" w:name="_Toc109199288"/>
      <w:bookmarkStart w:id="88" w:name="_Toc140296824"/>
      <w:bookmarkStart w:id="89" w:name="_Toc140301909"/>
      <w:bookmarkStart w:id="90" w:name="_Toc144701860"/>
      <w:bookmarkStart w:id="91" w:name="_Toc144702236"/>
      <w:bookmarkStart w:id="92" w:name="_Toc149964663"/>
      <w:bookmarkStart w:id="93" w:name="_Toc150077722"/>
      <w:bookmarkStart w:id="94" w:name="_Toc152068353"/>
      <w:bookmarkStart w:id="95" w:name="_Toc155170042"/>
      <w:bookmarkStart w:id="96" w:name="_Toc155170137"/>
      <w:bookmarkStart w:id="97" w:name="_Toc170811859"/>
      <w:bookmarkStart w:id="98" w:name="_Toc171154248"/>
      <w:bookmarkEnd w:id="63"/>
      <w:r>
        <w:rPr>
          <w:rStyle w:val="CharSchNo"/>
        </w:rPr>
        <w:t>Schedule 1</w:t>
      </w:r>
      <w:r>
        <w:t xml:space="preserve"> — </w:t>
      </w:r>
      <w:r>
        <w:rPr>
          <w:rStyle w:val="CharSchText"/>
        </w:rPr>
        <w:t>Fees</w:t>
      </w:r>
      <w:bookmarkEnd w:id="81"/>
      <w:bookmarkEnd w:id="82"/>
      <w:bookmarkEnd w:id="83"/>
      <w:bookmarkEnd w:id="84"/>
      <w:bookmarkEnd w:id="85"/>
    </w:p>
    <w:p>
      <w:pPr>
        <w:pStyle w:val="yShoulderClause"/>
      </w:pPr>
      <w:r>
        <w:t>[r. 9A(1), (2), (3), (4), (5), (6), (7)]</w:t>
      </w:r>
    </w:p>
    <w:p>
      <w:pPr>
        <w:pStyle w:val="yFootnoteheading"/>
      </w:pPr>
      <w:r>
        <w:tab/>
        <w:t>[Heading inserted in Gazette 9 Jan 2009 p. 30; amended in Gazette 22 May 2009 p. 1705.]</w:t>
      </w:r>
    </w:p>
    <w:p>
      <w:pPr>
        <w:pStyle w:val="yHeading3"/>
      </w:pPr>
      <w:bookmarkStart w:id="99" w:name="_Toc219188528"/>
      <w:bookmarkStart w:id="100" w:name="_Toc220814845"/>
      <w:bookmarkStart w:id="101" w:name="_Toc220830317"/>
      <w:bookmarkStart w:id="102" w:name="_Toc221334340"/>
      <w:bookmarkStart w:id="103" w:name="_Toc230748583"/>
      <w:r>
        <w:rPr>
          <w:rStyle w:val="CharSDivNo"/>
        </w:rPr>
        <w:t>Division 1</w:t>
      </w:r>
      <w:r>
        <w:t> </w:t>
      </w:r>
      <w:r>
        <w:rPr>
          <w:snapToGrid w:val="0"/>
        </w:rPr>
        <w:t>— </w:t>
      </w:r>
      <w:r>
        <w:rPr>
          <w:rStyle w:val="CharSDivText"/>
        </w:rPr>
        <w:t>Registrations and recordings</w:t>
      </w:r>
      <w:bookmarkEnd w:id="99"/>
      <w:bookmarkEnd w:id="100"/>
      <w:bookmarkEnd w:id="101"/>
      <w:bookmarkEnd w:id="102"/>
      <w:bookmarkEnd w:id="103"/>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any other transfer where the value of the consideration in respect of the land or the value of the land as assessed under the </w:t>
            </w:r>
            <w:r>
              <w:rPr>
                <w:i/>
              </w:rPr>
              <w:t>Stamp Act 1921</w:t>
            </w:r>
            <w:r>
              <w:t>, whichever is the greater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r>
            <w:r>
              <w:rPr>
                <w:spacing w:val="-4"/>
              </w:rPr>
              <w:t xml:space="preserve">does not exceed $85 000 </w:t>
            </w:r>
            <w:r>
              <w:rPr>
                <w:spacing w:val="-4"/>
              </w:rP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exceeds $85 000 but does not exceed $120 000 </w:t>
            </w:r>
            <w:r>
              <w:tab/>
            </w:r>
          </w:p>
        </w:tc>
        <w:tc>
          <w:tcPr>
            <w:tcW w:w="1560" w:type="dxa"/>
          </w:tcPr>
          <w:p>
            <w:pPr>
              <w:pStyle w:val="yTable"/>
              <w:rPr>
                <w:snapToGrid w:val="0"/>
              </w:rPr>
            </w:pPr>
            <w:r>
              <w:rPr>
                <w:snapToGrid w:val="0"/>
              </w:rPr>
              <w:t>$115.00</w:t>
            </w:r>
          </w:p>
        </w:tc>
      </w:tr>
      <w:tr>
        <w:trPr>
          <w:cantSplit/>
          <w:trHeight w:val="303"/>
        </w:trPr>
        <w:tc>
          <w:tcPr>
            <w:tcW w:w="600" w:type="dxa"/>
          </w:tcPr>
          <w:p>
            <w:pPr>
              <w:pStyle w:val="yTable"/>
              <w:rPr>
                <w:snapToGrid w:val="0"/>
              </w:rPr>
            </w:pPr>
          </w:p>
        </w:tc>
        <w:tc>
          <w:tcPr>
            <w:tcW w:w="4920" w:type="dxa"/>
          </w:tcPr>
          <w:p>
            <w:pPr>
              <w:pStyle w:val="yTable"/>
              <w:tabs>
                <w:tab w:val="left" w:pos="241"/>
                <w:tab w:val="left" w:leader="dot" w:pos="4695"/>
              </w:tabs>
            </w:pPr>
            <w:r>
              <w:rPr>
                <w:spacing w:val="-4"/>
              </w:rPr>
              <w:tab/>
              <w:t xml:space="preserve">exceeds $120 000 but does not exceed $200 000 </w:t>
            </w:r>
            <w:r>
              <w:rPr>
                <w:spacing w:val="-4"/>
              </w:rPr>
              <w:tab/>
            </w:r>
          </w:p>
        </w:tc>
        <w:tc>
          <w:tcPr>
            <w:tcW w:w="1560" w:type="dxa"/>
          </w:tcPr>
          <w:p>
            <w:pPr>
              <w:pStyle w:val="yTable"/>
              <w:rPr>
                <w:snapToGrid w:val="0"/>
              </w:rPr>
            </w:pPr>
            <w:r>
              <w:rPr>
                <w:snapToGrid w:val="0"/>
              </w:rPr>
              <w:t>$135.00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 xml:space="preserve">plus, for each whole or part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yTable"/>
              <w:tabs>
                <w:tab w:val="left" w:pos="481"/>
                <w:tab w:val="left" w:pos="721"/>
                <w:tab w:val="left" w:leader="dot" w:pos="4695"/>
              </w:tabs>
              <w:rPr>
                <w:sz w:val="18"/>
              </w:rPr>
            </w:pPr>
            <w:r>
              <w:rPr>
                <w:sz w:val="18"/>
              </w:rPr>
              <w:t>Note:</w:t>
            </w:r>
            <w:r>
              <w:rPr>
                <w:sz w:val="18"/>
              </w:rPr>
              <w:tab/>
              <w:t>Where —</w:t>
            </w:r>
          </w:p>
          <w:p>
            <w:pPr>
              <w:pStyle w:val="yTable"/>
              <w:tabs>
                <w:tab w:val="left" w:pos="481"/>
                <w:tab w:val="left" w:pos="841"/>
                <w:tab w:val="left" w:leader="dot" w:pos="4695"/>
              </w:tabs>
              <w:ind w:left="841" w:hanging="841"/>
              <w:rPr>
                <w:sz w:val="18"/>
              </w:rPr>
            </w:pPr>
            <w:r>
              <w:rPr>
                <w:sz w:val="18"/>
              </w:rPr>
              <w:tab/>
              <w:t>(a)</w:t>
            </w:r>
            <w:r>
              <w:rPr>
                <w:sz w:val="18"/>
              </w:rPr>
              <w:tab/>
              <w:t>stamp duty is assessed on a parcel of land; and</w:t>
            </w:r>
          </w:p>
          <w:p>
            <w:pPr>
              <w:pStyle w:val="yTable"/>
              <w:tabs>
                <w:tab w:val="left" w:pos="481"/>
                <w:tab w:val="left" w:pos="841"/>
                <w:tab w:val="left" w:leader="dot" w:pos="4695"/>
              </w:tabs>
              <w:ind w:left="841" w:hanging="841"/>
              <w:rPr>
                <w:sz w:val="18"/>
              </w:rPr>
            </w:pPr>
            <w:r>
              <w:rPr>
                <w:sz w:val="18"/>
              </w:rPr>
              <w:tab/>
              <w:t>(b)</w:t>
            </w:r>
            <w:r>
              <w:rPr>
                <w:sz w:val="18"/>
              </w:rPr>
              <w:tab/>
              <w:t>transfers are lodged for parts of that parcel; and</w:t>
            </w:r>
          </w:p>
          <w:p>
            <w:pPr>
              <w:pStyle w:val="yTable"/>
              <w:tabs>
                <w:tab w:val="left" w:pos="481"/>
                <w:tab w:val="left" w:pos="841"/>
                <w:tab w:val="left" w:leader="dot" w:pos="4695"/>
              </w:tabs>
              <w:ind w:left="841" w:hanging="841"/>
            </w:pPr>
            <w:r>
              <w:rPr>
                <w:sz w:val="18"/>
              </w:rPr>
              <w:tab/>
              <w:t>(c)</w:t>
            </w:r>
            <w:r>
              <w:rPr>
                <w:sz w:val="18"/>
              </w:rPr>
              <w:tab/>
              <w:t>a separate value for each part is not allocated in the contract,</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481"/>
                <w:tab w:val="left" w:leader="dot" w:pos="4695"/>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$105.00</w:t>
            </w:r>
          </w:p>
        </w:tc>
      </w:tr>
      <w:tr>
        <w:trPr>
          <w:cantSplit/>
        </w:trPr>
        <w:tc>
          <w:tcPr>
            <w:tcW w:w="5520" w:type="dxa"/>
            <w:gridSpan w:val="2"/>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t>$105.00</w:t>
            </w:r>
          </w:p>
        </w:tc>
      </w:tr>
    </w:tbl>
    <w:p>
      <w:pPr>
        <w:pStyle w:val="yFootnotesection"/>
      </w:pPr>
      <w:r>
        <w:tab/>
        <w:t>[Division 1 inserted in Gazette 9 Jan 2009 p. 30-1.]</w:t>
      </w:r>
    </w:p>
    <w:p>
      <w:pPr>
        <w:pStyle w:val="yHeading3"/>
      </w:pPr>
      <w:bookmarkStart w:id="104" w:name="_Toc219188529"/>
      <w:bookmarkStart w:id="105" w:name="_Toc220814846"/>
      <w:bookmarkStart w:id="106" w:name="_Toc220830318"/>
      <w:bookmarkStart w:id="107" w:name="_Toc221334341"/>
      <w:bookmarkStart w:id="108" w:name="_Toc230748584"/>
      <w:r>
        <w:rPr>
          <w:rStyle w:val="CharSDivNo"/>
        </w:rPr>
        <w:t>Division 2</w:t>
      </w:r>
      <w:r>
        <w:t> — </w:t>
      </w:r>
      <w:r>
        <w:rPr>
          <w:rStyle w:val="CharSDivText"/>
        </w:rPr>
        <w:t>Lodgments</w:t>
      </w:r>
      <w:bookmarkEnd w:id="104"/>
      <w:bookmarkEnd w:id="105"/>
      <w:bookmarkEnd w:id="106"/>
      <w:bookmarkEnd w:id="107"/>
      <w:bookmarkEnd w:id="108"/>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709" w:hanging="709"/>
            </w:pPr>
            <w:r>
              <w:tab/>
              <w:t>(a)</w:t>
            </w:r>
            <w:r>
              <w:tab/>
              <w:t>general fee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w:t>
            </w:r>
            <w:r>
              <w:tab/>
              <w:t>if approval of Western Australian Planning Commission is required ..........</w:t>
            </w:r>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(ii)</w:t>
            </w:r>
            <w:r>
              <w:tab/>
              <w:t>if approval of Western Australian Planning Commission is not required ....</w:t>
            </w:r>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560" w:type="dxa"/>
          </w:tcPr>
          <w:p>
            <w:pPr>
              <w:pStyle w:val="yTable"/>
              <w:rPr>
                <w:snapToGrid w:val="0"/>
              </w:rPr>
            </w:pPr>
            <w:r>
              <w:rPr>
                <w:snapToGrid w:val="0"/>
              </w:rPr>
              <w:br/>
            </w:r>
            <w:r>
              <w:rPr>
                <w:snapToGrid w:val="0"/>
              </w:rPr>
              <w:br/>
            </w:r>
            <w:r>
              <w:rPr>
                <w:snapToGrid w:val="0"/>
              </w:rPr>
              <w:br/>
              <w:t>$54.00</w:t>
            </w:r>
          </w:p>
        </w:tc>
      </w:tr>
      <w:tr>
        <w:trPr>
          <w:cantSplit/>
        </w:trPr>
        <w:tc>
          <w:tcPr>
            <w:tcW w:w="600" w:type="dxa"/>
          </w:tcPr>
          <w:p>
            <w:pPr>
              <w:pStyle w:val="yTable"/>
              <w:keepNext/>
              <w:keepLines/>
              <w:rPr>
                <w:snapToGrid w:val="0"/>
              </w:rPr>
            </w:pPr>
            <w:r>
              <w:rPr>
                <w:snapToGrid w:val="0"/>
              </w:rPr>
              <w:t>3.</w:t>
            </w:r>
          </w:p>
        </w:tc>
        <w:tc>
          <w:tcPr>
            <w:tcW w:w="4920" w:type="dxa"/>
          </w:tcPr>
          <w:p>
            <w:pPr>
              <w:pStyle w:val="yTable"/>
              <w:keepNext/>
              <w:keepLines/>
              <w:tabs>
                <w:tab w:val="left" w:leader="dot" w:pos="4695"/>
              </w:tabs>
            </w:pPr>
            <w:r>
              <w:t>Of a replacement deposited plan for a certified correct deposited plan —</w:t>
            </w:r>
          </w:p>
        </w:tc>
        <w:tc>
          <w:tcPr>
            <w:tcW w:w="1560" w:type="dxa"/>
          </w:tcPr>
          <w:p>
            <w:pPr>
              <w:pStyle w:val="yTable"/>
              <w:keepNext/>
              <w:keepLines/>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(a)</w:t>
            </w:r>
            <w:r>
              <w:tab/>
              <w:t xml:space="preserve">if approval of Western Australian Planning Commission is required </w:t>
            </w:r>
            <w:r>
              <w:tab/>
            </w:r>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if approval of Western Australian Planning Commission is not required </w:t>
            </w:r>
            <w:r>
              <w:tab/>
            </w:r>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deposited plan for a deposited plan in respect of which a requisition has been raised prior to preparation of Western Australian Planning Commission’s prints </w:t>
            </w:r>
            <w:r>
              <w:tab/>
            </w:r>
          </w:p>
        </w:tc>
        <w:tc>
          <w:tcPr>
            <w:tcW w:w="1560" w:type="dxa"/>
          </w:tcPr>
          <w:p>
            <w:pPr>
              <w:pStyle w:val="yTable"/>
              <w:rPr>
                <w:snapToGrid w:val="0"/>
              </w:rPr>
            </w:pPr>
            <w:r>
              <w:rPr>
                <w:snapToGrid w:val="0"/>
              </w:rPr>
              <w:br/>
            </w:r>
            <w:r>
              <w:rPr>
                <w:snapToGrid w:val="0"/>
              </w:rPr>
              <w:br/>
            </w:r>
            <w:r>
              <w:rPr>
                <w:snapToGrid w:val="0"/>
              </w:rPr>
              <w:br/>
              <w:t>$137.00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rPr>
                <w:snapToGrid w:val="0"/>
              </w:rPr>
              <w:t>$52.50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t>$105.00</w:t>
            </w:r>
          </w:p>
        </w:tc>
      </w:tr>
    </w:tbl>
    <w:p>
      <w:pPr>
        <w:pStyle w:val="yFootnotesection"/>
      </w:pPr>
      <w:r>
        <w:tab/>
        <w:t>[Division 2 inserted in Gazette 9 Jan 2009 p. 31.]</w:t>
      </w:r>
    </w:p>
    <w:p>
      <w:pPr>
        <w:pStyle w:val="yHeading3"/>
      </w:pPr>
      <w:bookmarkStart w:id="109" w:name="_Toc219188530"/>
      <w:bookmarkStart w:id="110" w:name="_Toc220814847"/>
      <w:bookmarkStart w:id="111" w:name="_Toc220830319"/>
      <w:bookmarkStart w:id="112" w:name="_Toc221334342"/>
      <w:bookmarkStart w:id="113" w:name="_Toc230748585"/>
      <w:r>
        <w:rPr>
          <w:rStyle w:val="CharSDivNo"/>
        </w:rPr>
        <w:t>Division 3</w:t>
      </w:r>
      <w:r>
        <w:t> — </w:t>
      </w:r>
      <w:r>
        <w:rPr>
          <w:rStyle w:val="CharSDivText"/>
        </w:rPr>
        <w:t>Withdrawals</w:t>
      </w:r>
      <w:bookmarkEnd w:id="109"/>
      <w:bookmarkEnd w:id="110"/>
      <w:bookmarkEnd w:id="111"/>
      <w:bookmarkEnd w:id="112"/>
      <w:bookmarkEnd w:id="113"/>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t>$105.00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r>
              <w:rPr>
                <w:snapToGrid w:val="0"/>
              </w:rPr>
              <w:t>$52.50</w:t>
            </w:r>
          </w:p>
        </w:tc>
      </w:tr>
    </w:tbl>
    <w:p>
      <w:pPr>
        <w:pStyle w:val="yFootnotesection"/>
      </w:pPr>
      <w:r>
        <w:tab/>
        <w:t>[Division 3 inserted in Gazette 9 Jan 2009 p. 31-2.]</w:t>
      </w:r>
    </w:p>
    <w:p>
      <w:pPr>
        <w:pStyle w:val="yHeading3"/>
      </w:pPr>
      <w:bookmarkStart w:id="114" w:name="_Toc219188531"/>
      <w:bookmarkStart w:id="115" w:name="_Toc220814848"/>
      <w:bookmarkStart w:id="116" w:name="_Toc220830320"/>
      <w:bookmarkStart w:id="117" w:name="_Toc221334343"/>
      <w:bookmarkStart w:id="118" w:name="_Toc230748586"/>
      <w:r>
        <w:rPr>
          <w:rStyle w:val="CharSDivNo"/>
        </w:rPr>
        <w:t>Division 4</w:t>
      </w:r>
      <w:r>
        <w:t> — </w:t>
      </w:r>
      <w:r>
        <w:rPr>
          <w:rStyle w:val="CharSDivText"/>
        </w:rPr>
        <w:t>Applications</w:t>
      </w:r>
      <w:bookmarkEnd w:id="114"/>
      <w:bookmarkEnd w:id="115"/>
      <w:bookmarkEnd w:id="116"/>
      <w:bookmarkEnd w:id="117"/>
      <w:bookmarkEnd w:id="118"/>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rPr>
                <w:snapToGrid w:val="0"/>
              </w:rPr>
              <w:br/>
              <w:t>$210.00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7A.</w:t>
            </w:r>
          </w:p>
        </w:tc>
        <w:tc>
          <w:tcPr>
            <w:tcW w:w="4920" w:type="dxa"/>
          </w:tcPr>
          <w:p>
            <w:pPr>
              <w:pStyle w:val="yTable"/>
              <w:tabs>
                <w:tab w:val="left" w:leader="dot" w:pos="4695"/>
              </w:tabs>
            </w:pPr>
            <w:r>
              <w:t>For information not to be inspected as part of the names index ................................................................</w:t>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t>$105.00</w:t>
            </w:r>
          </w:p>
        </w:tc>
      </w:tr>
    </w:tbl>
    <w:p>
      <w:pPr>
        <w:pStyle w:val="yFootnotesection"/>
      </w:pPr>
      <w:r>
        <w:tab/>
        <w:t>[Division 4 inserted in Gazette 9 Jan 2009 p. 32; amended in Gazette 22 May 2009 p. 1705.]</w:t>
      </w:r>
    </w:p>
    <w:p>
      <w:pPr>
        <w:pStyle w:val="yHeading3"/>
      </w:pPr>
      <w:bookmarkStart w:id="119" w:name="_Toc219188532"/>
      <w:bookmarkStart w:id="120" w:name="_Toc220814849"/>
      <w:bookmarkStart w:id="121" w:name="_Toc220830321"/>
      <w:bookmarkStart w:id="122" w:name="_Toc221334344"/>
      <w:bookmarkStart w:id="123" w:name="_Toc230748587"/>
      <w:r>
        <w:rPr>
          <w:rStyle w:val="CharSDivNo"/>
        </w:rPr>
        <w:t>Division 5</w:t>
      </w:r>
      <w:r>
        <w:t> — </w:t>
      </w:r>
      <w:r>
        <w:rPr>
          <w:rStyle w:val="CharSDivText"/>
        </w:rPr>
        <w:t>Certificates</w:t>
      </w:r>
      <w:bookmarkEnd w:id="119"/>
      <w:bookmarkEnd w:id="120"/>
      <w:bookmarkEnd w:id="121"/>
      <w:bookmarkEnd w:id="122"/>
      <w:bookmarkEnd w:id="123"/>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w:t>
      </w:r>
    </w:p>
    <w:p>
      <w:pPr>
        <w:pStyle w:val="yHeading3"/>
      </w:pPr>
      <w:bookmarkStart w:id="124" w:name="_Toc219188533"/>
      <w:bookmarkStart w:id="125" w:name="_Toc220814850"/>
      <w:bookmarkStart w:id="126" w:name="_Toc220830322"/>
      <w:bookmarkStart w:id="127" w:name="_Toc221334345"/>
      <w:bookmarkStart w:id="128" w:name="_Toc230748588"/>
      <w:r>
        <w:rPr>
          <w:rStyle w:val="CharSDivNo"/>
        </w:rPr>
        <w:t>Division 6</w:t>
      </w:r>
      <w:r>
        <w:t> — </w:t>
      </w:r>
      <w:r>
        <w:rPr>
          <w:rStyle w:val="CharSDivText"/>
        </w:rPr>
        <w:t>Inspection and/or copies of documents</w:t>
      </w:r>
      <w:bookmarkEnd w:id="124"/>
      <w:bookmarkEnd w:id="125"/>
      <w:bookmarkEnd w:id="126"/>
      <w:bookmarkEnd w:id="127"/>
      <w:bookmarkEnd w:id="12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t>$8.75</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t>$2.40</w:t>
            </w:r>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t>$8.75</w:t>
            </w:r>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t>$17.50</w:t>
            </w:r>
          </w:p>
        </w:tc>
      </w:tr>
    </w:tbl>
    <w:p>
      <w:pPr>
        <w:pStyle w:val="yFootnotesection"/>
      </w:pPr>
      <w:r>
        <w:tab/>
        <w:t>[Division 6 inserted in Gazette 9 Jan 2009 p. 32-4.]</w:t>
      </w:r>
    </w:p>
    <w:p>
      <w:pPr>
        <w:pStyle w:val="yHeading3"/>
      </w:pPr>
      <w:bookmarkStart w:id="129" w:name="_Toc219188534"/>
      <w:bookmarkStart w:id="130" w:name="_Toc220814851"/>
      <w:bookmarkStart w:id="131" w:name="_Toc220830323"/>
      <w:bookmarkStart w:id="132" w:name="_Toc221334346"/>
      <w:bookmarkStart w:id="133" w:name="_Toc230748589"/>
      <w:r>
        <w:rPr>
          <w:rStyle w:val="CharSDivNo"/>
        </w:rPr>
        <w:t>Division 7</w:t>
      </w:r>
      <w:r>
        <w:t> — </w:t>
      </w:r>
      <w:r>
        <w:rPr>
          <w:rStyle w:val="CharSDivText"/>
        </w:rPr>
        <w:t>Miscellaneous</w:t>
      </w:r>
      <w:bookmarkEnd w:id="129"/>
      <w:bookmarkEnd w:id="130"/>
      <w:bookmarkEnd w:id="131"/>
      <w:bookmarkEnd w:id="132"/>
      <w:bookmarkEnd w:id="133"/>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r>
            <w:r>
              <w:rPr>
                <w:snapToGrid w:val="0"/>
              </w:rPr>
              <w:t xml:space="preserve">$105.00 </w:t>
            </w:r>
            <w:r>
              <w:t>plus actual cost above $105.00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of a </w:t>
            </w:r>
            <w:r>
              <w:rPr>
                <w:snapToGrid w:val="0"/>
              </w:rPr>
              <w:t>certificate</w:t>
            </w:r>
            <w:r>
              <w:t xml:space="preserve"> of title or other instrument </w:t>
            </w:r>
            <w:r>
              <w:tab/>
            </w:r>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rPr>
                <w:snapToGrid w:val="0"/>
              </w:rP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$89.00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$50.00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$75.00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in respect of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plan or diagram </w:t>
            </w:r>
            <w:r>
              <w:tab/>
            </w:r>
          </w:p>
        </w:tc>
        <w:tc>
          <w:tcPr>
            <w:tcW w:w="1560" w:type="dxa"/>
          </w:tcPr>
          <w:p>
            <w:pPr>
              <w:pStyle w:val="yTable"/>
              <w:rPr>
                <w:snapToGrid w:val="0"/>
              </w:rPr>
            </w:pPr>
            <w:r>
              <w:rPr>
                <w:snapToGrid w:val="0"/>
              </w:rPr>
              <w:t>$</w:t>
            </w:r>
            <w:r>
              <w:t>65.00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Amendment to a deposited plan resulting in a new version including excisions, addition or amendment of lots, easements, and interests and notifications table and lodged layer updates </w:t>
            </w:r>
            <w:r>
              <w:tab/>
            </w:r>
          </w:p>
        </w:tc>
        <w:tc>
          <w:tcPr>
            <w:tcW w:w="1560" w:type="dxa"/>
          </w:tcPr>
          <w:p>
            <w:pPr>
              <w:pStyle w:val="yTable"/>
            </w:pPr>
            <w:r>
              <w:rPr>
                <w:snapToGrid w:val="0"/>
              </w:rPr>
              <w:br/>
            </w:r>
            <w:r>
              <w:rPr>
                <w:snapToGrid w:val="0"/>
              </w:rPr>
              <w:br/>
            </w:r>
            <w:r>
              <w:rPr>
                <w:snapToGrid w:val="0"/>
              </w:rPr>
              <w:br/>
              <w:t>$43.50</w:t>
            </w: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$34.00</w:t>
            </w:r>
          </w:p>
        </w:tc>
      </w:tr>
    </w:tbl>
    <w:p>
      <w:pPr>
        <w:pStyle w:val="yFootnotesection"/>
      </w:pPr>
      <w:r>
        <w:tab/>
        <w:t>[Division 7 inserted in Gazette 9 Jan 2009 p. 34-6.]</w:t>
      </w:r>
    </w:p>
    <w:p>
      <w:pPr>
        <w:pStyle w:val="yScheduleHeading"/>
      </w:pPr>
      <w:bookmarkStart w:id="134" w:name="_Toc219188535"/>
      <w:bookmarkStart w:id="135" w:name="_Toc220814852"/>
      <w:bookmarkStart w:id="136" w:name="_Toc220830324"/>
      <w:bookmarkStart w:id="137" w:name="_Toc221334347"/>
      <w:bookmarkStart w:id="138" w:name="_Toc230748590"/>
      <w:r>
        <w:rPr>
          <w:rStyle w:val="CharSchNo"/>
        </w:rPr>
        <w:t>Schedule 2</w:t>
      </w:r>
      <w:r>
        <w:rPr>
          <w:rStyle w:val="CharSDivNo"/>
        </w:rPr>
        <w:t> </w:t>
      </w:r>
      <w:r>
        <w:t>—</w:t>
      </w:r>
      <w:r>
        <w:rPr>
          <w:rStyle w:val="CharSDivText"/>
        </w:rPr>
        <w:t> </w:t>
      </w:r>
      <w:r>
        <w:rPr>
          <w:rStyle w:val="CharSchText"/>
        </w:rPr>
        <w:t xml:space="preserve">Services and matters for which fees </w:t>
      </w:r>
      <w:bookmarkEnd w:id="86"/>
      <w:r>
        <w:rPr>
          <w:rStyle w:val="CharSchText"/>
        </w:rPr>
        <w:t>cannot be charged</w:t>
      </w:r>
      <w:bookmarkEnd w:id="87"/>
      <w:bookmarkEnd w:id="88"/>
      <w:bookmarkEnd w:id="89"/>
      <w:bookmarkEnd w:id="90"/>
      <w:bookmarkEnd w:id="91"/>
      <w:bookmarkEnd w:id="92"/>
      <w:bookmarkEnd w:id="93"/>
      <w:bookmarkEnd w:id="94"/>
      <w:bookmarkEnd w:id="95"/>
      <w:bookmarkEnd w:id="96"/>
      <w:bookmarkEnd w:id="97"/>
      <w:bookmarkEnd w:id="98"/>
      <w:bookmarkEnd w:id="134"/>
      <w:bookmarkEnd w:id="135"/>
      <w:bookmarkEnd w:id="136"/>
      <w:bookmarkEnd w:id="137"/>
      <w:bookmarkEnd w:id="138"/>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139" w:name="_Toc109199289"/>
      <w:bookmarkStart w:id="140" w:name="_Toc140296825"/>
      <w:bookmarkStart w:id="141" w:name="_Toc140301910"/>
      <w:bookmarkStart w:id="142" w:name="_Toc82227958"/>
      <w:bookmarkStart w:id="143" w:name="_Toc82228022"/>
      <w:r>
        <w:tab/>
        <w:t>[Schedule 2 amended in Gazette 25 Jun 2007 p. 2978; 20 Jun 2008 p. 2717.]</w:t>
      </w:r>
    </w:p>
    <w:p>
      <w:pPr>
        <w:tabs>
          <w:tab w:val="left" w:pos="241"/>
          <w:tab w:val="left" w:pos="721"/>
        </w:tabs>
        <w:ind w:left="721" w:hanging="721"/>
        <w:sectPr>
          <w:headerReference w:type="even" r:id="rId26"/>
          <w:headerReference w:type="default" r:id="rId27"/>
          <w:headerReference w:type="first" r:id="rId28"/>
          <w:endnotePr>
            <w:numFmt w:val="decimal"/>
          </w:endnotePr>
          <w:pgSz w:w="11906" w:h="16838" w:code="9"/>
          <w:pgMar w:top="2381" w:right="2409" w:bottom="3543" w:left="2409" w:header="720" w:footer="3380" w:gutter="0"/>
          <w:cols w:space="720"/>
          <w:noEndnote/>
          <w:docGrid w:linePitch="326"/>
        </w:sectPr>
      </w:pPr>
    </w:p>
    <w:p>
      <w:pPr>
        <w:pStyle w:val="yScheduleHeading"/>
      </w:pPr>
      <w:bookmarkStart w:id="144" w:name="_Toc144701861"/>
      <w:bookmarkStart w:id="145" w:name="_Toc144702237"/>
      <w:bookmarkStart w:id="146" w:name="_Toc149964664"/>
      <w:bookmarkStart w:id="147" w:name="_Toc150077723"/>
      <w:bookmarkStart w:id="148" w:name="_Toc152068354"/>
      <w:bookmarkStart w:id="149" w:name="_Toc155170043"/>
      <w:bookmarkStart w:id="150" w:name="_Toc155170138"/>
      <w:bookmarkStart w:id="151" w:name="_Toc170811860"/>
      <w:bookmarkStart w:id="152" w:name="_Toc171154249"/>
      <w:bookmarkStart w:id="153" w:name="_Toc219188536"/>
      <w:bookmarkStart w:id="154" w:name="_Toc220814853"/>
      <w:bookmarkStart w:id="155" w:name="_Toc220830325"/>
      <w:bookmarkStart w:id="156" w:name="_Toc221334348"/>
      <w:bookmarkStart w:id="157" w:name="_Toc230748591"/>
      <w:r>
        <w:rPr>
          <w:rStyle w:val="CharSchNo"/>
        </w:rPr>
        <w:t>Schedule 3</w:t>
      </w:r>
      <w:r>
        <w:t> — </w:t>
      </w:r>
      <w:r>
        <w:rPr>
          <w:rStyle w:val="CharSchText"/>
        </w:rPr>
        <w:t>Forms</w:t>
      </w:r>
      <w:bookmarkEnd w:id="139"/>
      <w:bookmarkEnd w:id="140"/>
      <w:bookmarkEnd w:id="141"/>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pPr>
      <w:r>
        <w:t>[r. 9]</w:t>
      </w:r>
    </w:p>
    <w:p>
      <w:pPr>
        <w:pStyle w:val="yFootnoteheading"/>
        <w:spacing w:before="0"/>
      </w:pPr>
      <w:r>
        <w:tab/>
        <w:t>[Heading inserted in Gazette 15 Jul 2005 p. 3284.]</w:t>
      </w:r>
    </w:p>
    <w:p>
      <w:pPr>
        <w:pStyle w:val="yHeading5"/>
        <w:spacing w:before="240"/>
      </w:pPr>
      <w:bookmarkStart w:id="158" w:name="_Toc230748592"/>
      <w:bookmarkStart w:id="159" w:name="_Toc109199293"/>
      <w:r>
        <w:rPr>
          <w:rStyle w:val="CharSClsNo"/>
        </w:rPr>
        <w:t>1</w:t>
      </w:r>
      <w:r>
        <w:t>.</w:t>
      </w:r>
      <w:r>
        <w:tab/>
        <w:t>Application to register property (seizure and sale) order</w:t>
      </w:r>
      <w:bookmarkEnd w:id="158"/>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i/>
                <w:iCs/>
                <w:sz w:val="16"/>
              </w:rPr>
              <w:t>TRANSFER OF LAND ACT 1893</w:t>
            </w:r>
            <w:r>
              <w:rPr>
                <w:sz w:val="16"/>
              </w:rPr>
              <w:t xml:space="preserve">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w:t>
            </w:r>
            <w:r>
              <w:rPr>
                <w:i/>
                <w:iCs/>
                <w:sz w:val="16"/>
                <w:szCs w:val="18"/>
              </w:rPr>
              <w:t>Transfer of Land Act 1893</w:t>
            </w:r>
            <w:r>
              <w:rPr>
                <w:sz w:val="16"/>
                <w:szCs w:val="18"/>
              </w:rPr>
              <w:t xml:space="preserve">,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 xml:space="preserve">This declaration is made under the </w:t>
            </w:r>
            <w:r>
              <w:rPr>
                <w:i/>
                <w:iCs/>
                <w:sz w:val="16"/>
                <w:szCs w:val="18"/>
              </w:rPr>
              <w:t>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by</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Signature of declarant</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Print in full name, address and qualification</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sz w:val="16"/>
              </w:rPr>
            </w:pPr>
            <w:r>
              <w:rPr>
                <w:sz w:val="16"/>
              </w:rPr>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stated.</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sz w:val="16"/>
              </w:rPr>
            </w:pPr>
            <w:r>
              <w:rPr>
                <w:sz w:val="16"/>
              </w:rPr>
              <w:t>State full name of the judgment debtor as shown on the property (seizure and sale) order.</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tcPr>
          <w:p>
            <w:pPr>
              <w:pStyle w:val="yTable"/>
              <w:spacing w:before="20" w:after="20"/>
              <w:ind w:left="186" w:right="-85" w:firstLine="14"/>
              <w:rPr>
                <w:i/>
                <w:sz w:val="16"/>
              </w:rPr>
            </w:pP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Pr>
          <w:p>
            <w:pPr>
              <w:pStyle w:val="yTable"/>
              <w:spacing w:before="20" w:after="20"/>
              <w:ind w:left="186" w:right="-85" w:firstLine="14"/>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vMerge/>
            <w:tcBorders>
              <w:bottom w:val="nil"/>
            </w:tcBorders>
          </w:tcPr>
          <w:p>
            <w:pPr>
              <w:pStyle w:val="yTable"/>
              <w:spacing w:before="20" w:after="20"/>
              <w:ind w:left="186" w:right="-85" w:firstLine="14"/>
              <w:rPr>
                <w:i/>
                <w:sz w:val="16"/>
              </w:rPr>
            </w:pP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keepNext/>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vMerge w:val="restart"/>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p>
            <w:pPr>
              <w:pStyle w:val="yTable"/>
              <w:spacing w:before="20"/>
              <w:ind w:left="187" w:right="-85" w:firstLine="11"/>
              <w:rPr>
                <w:i/>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p>
            <w:pPr>
              <w:pStyle w:val="yTable"/>
              <w:spacing w:before="100" w:after="20"/>
              <w:ind w:left="187" w:right="-85" w:hanging="210"/>
              <w:rPr>
                <w:i/>
                <w:sz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vMerge/>
          </w:tcPr>
          <w:p>
            <w:pPr>
              <w:pStyle w:val="yTable"/>
              <w:spacing w:before="20" w:after="20"/>
              <w:ind w:left="186" w:right="-85" w:hanging="208"/>
              <w:rPr>
                <w:iCs/>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1135"/>
        </w:trPr>
        <w:tc>
          <w:tcPr>
            <w:tcW w:w="3828" w:type="dxa"/>
            <w:vMerge/>
            <w:tcBorders>
              <w:bottom w:val="nil"/>
            </w:tcBorders>
          </w:tcPr>
          <w:p>
            <w:pPr>
              <w:pStyle w:val="yTable"/>
              <w:spacing w:before="20" w:after="20"/>
              <w:ind w:left="186" w:right="-85" w:hanging="208"/>
              <w:rPr>
                <w:sz w:val="16"/>
                <w:szCs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160" w:name="_Toc230748593"/>
      <w:r>
        <w:rPr>
          <w:rStyle w:val="CharSClsNo"/>
        </w:rPr>
        <w:t>2</w:t>
      </w:r>
      <w:r>
        <w:t>.</w:t>
      </w:r>
      <w:r>
        <w:tab/>
        <w:t>Application to register an order extending the sale period in a property (seizure and sale) order</w:t>
      </w:r>
      <w:bookmarkEnd w:id="160"/>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i/>
                <w:iCs/>
                <w:sz w:val="16"/>
              </w:rPr>
              <w:t>TRANSFER OF LAND ACT 1893</w:t>
            </w:r>
            <w:r>
              <w:rPr>
                <w:sz w:val="16"/>
              </w:rPr>
              <w:t xml:space="preserve">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 xml:space="preserve">In accordance with section 133(16) of the </w:t>
            </w:r>
            <w:r>
              <w:rPr>
                <w:i/>
                <w:iCs/>
                <w:sz w:val="16"/>
                <w:szCs w:val="18"/>
              </w:rPr>
              <w:t>Transfer of Land Act 1893</w:t>
            </w:r>
            <w:r>
              <w:rPr>
                <w:sz w:val="16"/>
                <w:szCs w:val="18"/>
              </w:rPr>
              <w:t>,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Show in months and days (if applicable) the length of time that the property (seizure and sale) order has been extended.</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161" w:name="_Toc230748594"/>
      <w:r>
        <w:rPr>
          <w:rStyle w:val="CharSClsNo"/>
        </w:rPr>
        <w:t>3</w:t>
      </w:r>
      <w:r>
        <w:t>.</w:t>
      </w:r>
      <w:r>
        <w:tab/>
        <w:t>Application to register a discharge of a property (seizure and sale) order</w:t>
      </w:r>
      <w:bookmarkEnd w:id="161"/>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i/>
                <w:iCs/>
                <w:sz w:val="16"/>
              </w:rPr>
              <w:t>TRANSFER OF LAND ACT 1893</w:t>
            </w:r>
            <w:r>
              <w:rPr>
                <w:sz w:val="16"/>
              </w:rPr>
              <w:t xml:space="preserve">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 xml:space="preserve">The Applicant hereby applies for a discharge of the above order to be registered in accordance with section 133(12) of the </w:t>
            </w:r>
            <w:r>
              <w:rPr>
                <w:i/>
                <w:iCs/>
                <w:sz w:val="16"/>
              </w:rPr>
              <w:t>Transfer of Land Act 1893</w:t>
            </w:r>
            <w:r>
              <w:rPr>
                <w:sz w:val="16"/>
              </w:rPr>
              <w:t xml:space="preserve">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Year</w:t>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162" w:name="_Toc230748595"/>
      <w:r>
        <w:rPr>
          <w:rStyle w:val="CharSClsNo"/>
        </w:rPr>
        <w:t>4</w:t>
      </w:r>
      <w:r>
        <w:t>.</w:t>
      </w:r>
      <w:r>
        <w:tab/>
        <w:t>Transfer of land under a property (seizure and sale) order</w:t>
      </w:r>
      <w:bookmarkEnd w:id="159"/>
      <w:bookmarkEnd w:id="162"/>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i/>
                <w:iCs/>
                <w:sz w:val="16"/>
              </w:rPr>
              <w:t>TRANSFER OF LAND ACT 1893</w:t>
            </w:r>
            <w:r>
              <w:rPr>
                <w:sz w:val="16"/>
              </w:rPr>
              <w:t xml:space="preserve">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ind w:right="-55"/>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be stated.</w:t>
            </w:r>
          </w:p>
          <w:p>
            <w:pPr>
              <w:pStyle w:val="yTable"/>
              <w:tabs>
                <w:tab w:val="left" w:pos="200"/>
              </w:tabs>
              <w:spacing w:before="40" w:after="20"/>
              <w:ind w:left="198" w:firstLine="12"/>
              <w:rPr>
                <w:sz w:val="16"/>
              </w:rPr>
            </w:pPr>
            <w:r>
              <w:rPr>
                <w:sz w:val="16"/>
              </w:rPr>
              <w:t>Extent – Whole, part or balance of the land comprised in the Certificate of Title to be stated.</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case may be in the land being transferred.  If share only, specify.</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 xml:space="preserve">In this panel show (subject to the next paragraph) those limitations, interests, encumbrances and notifications affecting the </w:t>
            </w: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450" w:hanging="450"/>
              <w:rPr>
                <w:sz w:val="16"/>
              </w:rPr>
            </w:pPr>
            <w:r>
              <w:rPr>
                <w:sz w:val="16"/>
              </w:rPr>
              <w:tab/>
              <w:t>(Unless to be removed by action or document before registration hereof)</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left w:val="single" w:sz="4" w:space="0" w:color="auto"/>
              <w:right w:val="single" w:sz="4" w:space="0" w:color="auto"/>
            </w:tcBorders>
          </w:tcPr>
          <w:p>
            <w:pPr>
              <w:pStyle w:val="yTable"/>
              <w:tabs>
                <w:tab w:val="left" w:pos="417"/>
              </w:tabs>
              <w:spacing w:before="40" w:after="20"/>
              <w:ind w:left="701" w:hanging="701"/>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tcBorders>
              <w:left w:val="single" w:sz="4" w:space="0" w:color="auto"/>
              <w:right w:val="single" w:sz="4" w:space="0" w:color="auto"/>
            </w:tcBorders>
          </w:tcPr>
          <w:p>
            <w:pPr>
              <w:pStyle w:val="yTable"/>
              <w:tabs>
                <w:tab w:val="left" w:pos="417"/>
              </w:tabs>
              <w:spacing w:before="40" w:after="20"/>
              <w:ind w:left="701" w:hanging="701"/>
              <w:rPr>
                <w:sz w:val="16"/>
              </w:rPr>
            </w:pP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p>
          <w:p>
            <w:pPr>
              <w:pStyle w:val="yTable"/>
              <w:spacing w:before="40" w:after="20"/>
              <w:rPr>
                <w:sz w:val="16"/>
              </w:rPr>
            </w:pPr>
          </w:p>
        </w:tc>
      </w:tr>
      <w:tr>
        <w:trPr>
          <w:cantSplit/>
        </w:trPr>
        <w:tc>
          <w:tcPr>
            <w:tcW w:w="3491" w:type="dxa"/>
            <w:vMerge/>
            <w:tcBorders>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4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20"/>
              <w:ind w:left="198" w:hanging="198"/>
              <w:rPr>
                <w:sz w:val="16"/>
              </w:rPr>
            </w:pPr>
            <w:r>
              <w:rPr>
                <w:sz w:val="16"/>
              </w:rPr>
              <w:tab/>
              <w:t>State full name of the Registered Proprietor / Judgment Debtor as shown on the Certificate of Title or Crown Lease.</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2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2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2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right w:val="single" w:sz="4" w:space="0" w:color="auto"/>
            </w:tcBorders>
          </w:tcPr>
          <w:p>
            <w:pPr>
              <w:pStyle w:val="yTable"/>
              <w:tabs>
                <w:tab w:val="left" w:pos="200"/>
              </w:tabs>
              <w:ind w:left="198" w:hanging="198"/>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right w:val="single" w:sz="4" w:space="0" w:color="auto"/>
            </w:tcBorders>
          </w:tcPr>
          <w:p>
            <w:pPr>
              <w:pStyle w:val="yTable"/>
              <w:tabs>
                <w:tab w:val="left" w:pos="200"/>
              </w:tabs>
              <w:spacing w:before="0"/>
              <w:ind w:left="198" w:hanging="198"/>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163" w:name="_Toc109199294"/>
      <w:r>
        <w:tab/>
        <w:t>[Form 4 inserted in Gazette 15 Jul 2005 p. 3293</w:t>
      </w:r>
      <w:r>
        <w:noBreakHyphen/>
        <w:t>97; amended in Gazette 7 Jul 2006 p. 2511.]</w:t>
      </w:r>
    </w:p>
    <w:p>
      <w:pPr>
        <w:pStyle w:val="yHeading5"/>
      </w:pPr>
      <w:bookmarkStart w:id="164" w:name="_Toc230748596"/>
      <w:r>
        <w:rPr>
          <w:rStyle w:val="CharSClsNo"/>
        </w:rPr>
        <w:t>5</w:t>
      </w:r>
      <w:r>
        <w:t>.</w:t>
      </w:r>
      <w:r>
        <w:tab/>
        <w:t>Transfer of mortgage, charge, lease etc. under a property (seizure and sale) order</w:t>
      </w:r>
      <w:bookmarkEnd w:id="163"/>
      <w:bookmarkEnd w:id="164"/>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i/>
                <w:iCs/>
                <w:sz w:val="16"/>
              </w:rPr>
              <w:t>TRANSFER OF LAND ACT 1893</w:t>
            </w:r>
            <w:r>
              <w:rPr>
                <w:sz w:val="16"/>
              </w:rPr>
              <w:t xml:space="preserve">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 xml:space="preserve">consecutively and bound to this document by </w:t>
            </w: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tabs>
                <w:tab w:val="left" w:pos="200"/>
              </w:tabs>
              <w:ind w:left="198" w:hanging="198"/>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tcBorders>
              <w:left w:val="single" w:sz="4" w:space="0" w:color="auto"/>
              <w:right w:val="single" w:sz="4" w:space="0" w:color="auto"/>
            </w:tcBorders>
          </w:tcPr>
          <w:p>
            <w:pPr>
              <w:pStyle w:val="yTable"/>
              <w:keepNext/>
              <w:keepLines/>
              <w:tabs>
                <w:tab w:val="left" w:pos="200"/>
              </w:tabs>
              <w:ind w:left="198" w:hanging="198"/>
              <w:rPr>
                <w:sz w:val="16"/>
              </w:rPr>
            </w:pP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20"/>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If two or more state tenancy eg;</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sectPr>
          <w:headerReference w:type="even" r:id="rId29"/>
          <w:headerReference w:type="default" r:id="rId30"/>
          <w:endnotePr>
            <w:numFmt w:val="decimal"/>
          </w:endnotePr>
          <w:pgSz w:w="11906" w:h="16838" w:code="9"/>
          <w:pgMar w:top="2381" w:right="2409" w:bottom="3543" w:left="2409" w:header="720" w:footer="3380" w:gutter="0"/>
          <w:cols w:space="720"/>
          <w:noEndnote/>
          <w:docGrid w:linePitch="326"/>
        </w:sectPr>
      </w:pPr>
    </w:p>
    <w:p>
      <w:pPr>
        <w:pStyle w:val="nHeading2"/>
      </w:pPr>
      <w:bookmarkStart w:id="165" w:name="_Toc82229010"/>
      <w:bookmarkStart w:id="166" w:name="_Toc82229152"/>
      <w:bookmarkStart w:id="167" w:name="_Toc82246577"/>
      <w:bookmarkStart w:id="168" w:name="_Toc104953264"/>
      <w:bookmarkStart w:id="169" w:name="_Toc108231116"/>
      <w:bookmarkStart w:id="170" w:name="_Toc109123494"/>
      <w:bookmarkStart w:id="171" w:name="_Toc109198544"/>
      <w:bookmarkStart w:id="172" w:name="_Toc109199295"/>
      <w:bookmarkStart w:id="173" w:name="_Toc140296834"/>
      <w:bookmarkStart w:id="174" w:name="_Toc140301916"/>
      <w:bookmarkStart w:id="175" w:name="_Toc144701867"/>
      <w:bookmarkStart w:id="176" w:name="_Toc144702243"/>
      <w:bookmarkStart w:id="177" w:name="_Toc149964670"/>
      <w:bookmarkStart w:id="178" w:name="_Toc150077729"/>
      <w:bookmarkStart w:id="179" w:name="_Toc152068360"/>
      <w:bookmarkStart w:id="180" w:name="_Toc155170049"/>
      <w:bookmarkStart w:id="181" w:name="_Toc155170144"/>
      <w:bookmarkStart w:id="182" w:name="_Toc170811866"/>
      <w:bookmarkStart w:id="183" w:name="_Toc171154255"/>
      <w:bookmarkStart w:id="184" w:name="_Toc219188542"/>
      <w:bookmarkStart w:id="185" w:name="_Toc220814859"/>
      <w:bookmarkStart w:id="186" w:name="_Toc220830331"/>
      <w:bookmarkStart w:id="187" w:name="_Toc221334354"/>
      <w:bookmarkStart w:id="188" w:name="_Toc230748597"/>
      <w:r>
        <w:t>Notes</w:t>
      </w:r>
      <w:bookmarkEnd w:id="142"/>
      <w:bookmarkEnd w:id="143"/>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9" w:name="_Toc230748598"/>
      <w:r>
        <w:rPr>
          <w:snapToGrid w:val="0"/>
        </w:rPr>
        <w:t>Compilation table</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Transfer of Land Amendment Regulations 2009</w:t>
            </w:r>
          </w:p>
        </w:tc>
        <w:tc>
          <w:tcPr>
            <w:tcW w:w="1276" w:type="dxa"/>
            <w:tcBorders>
              <w:bottom w:val="single" w:sz="4" w:space="0" w:color="auto"/>
            </w:tcBorders>
          </w:tcPr>
          <w:p>
            <w:pPr>
              <w:pStyle w:val="nTable"/>
              <w:spacing w:after="40"/>
              <w:rPr>
                <w:sz w:val="19"/>
              </w:rPr>
            </w:pPr>
            <w:r>
              <w:rPr>
                <w:sz w:val="19"/>
              </w:rPr>
              <w:t>22 May 2009 p. 1700-5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Pr>
        <w:sectPr>
          <w:headerReference w:type="even" r:id="rId31"/>
          <w:headerReference w:type="default" r:id="rId32"/>
          <w:headerReference w:type="first" r:id="rId33"/>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190" w:name="_Toc220830333"/>
      <w:bookmarkStart w:id="191" w:name="_Toc221334356"/>
      <w:bookmarkStart w:id="192" w:name="_Toc230748599"/>
      <w:r>
        <w:rPr>
          <w:sz w:val="28"/>
        </w:rPr>
        <w:t>Defined Terms</w:t>
      </w:r>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3" w:name="DefinedTerms"/>
      <w:bookmarkEnd w:id="193"/>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pStyle w:val="DefinedTerms"/>
      </w:pPr>
    </w:p>
    <w:p>
      <w:pPr>
        <w:sectPr>
          <w:headerReference w:type="even" r:id="rId34"/>
          <w:headerReference w:type="default" r:id="rId35"/>
          <w:headerReference w:type="first" r:id="rId36"/>
          <w:endnotePr>
            <w:numFmt w:val="decimal"/>
          </w:endnotePr>
          <w:pgSz w:w="11906" w:h="16838" w:code="9"/>
          <w:pgMar w:top="2381" w:right="2409" w:bottom="3543" w:left="2409" w:header="720" w:footer="3380" w:gutter="0"/>
          <w:cols w:space="720"/>
          <w:noEndnote/>
          <w:docGrid w:linePitch="326"/>
        </w:sectPr>
      </w:pPr>
    </w:p>
    <w:p>
      <w:bookmarkStart w:id="194" w:name="UpToHere"/>
      <w:bookmarkEnd w:id="194"/>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51"/>
    <w:docVar w:name="WAFER_20151210162151" w:val="RemoveTrackChanges"/>
    <w:docVar w:name="WAFER_20151210162151_GUID" w:val="cf44a18c-01e1-4ed3-8ab1-c74c9adf42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10147</Words>
  <Characters>50332</Characters>
  <Application>Microsoft Office Word</Application>
  <DocSecurity>0</DocSecurity>
  <Lines>2649</Lines>
  <Paragraphs>1234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lpstr>    Defined Terms</vt:lpstr>
    </vt:vector>
  </TitlesOfParts>
  <Manager/>
  <Company/>
  <LinksUpToDate>false</LinksUpToDate>
  <CharactersWithSpaces>59245</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2004 - 02-b0-02</dc:title>
  <dc:subject/>
  <dc:creator/>
  <cp:keywords/>
  <dc:description/>
  <cp:lastModifiedBy>svcMRProcess</cp:lastModifiedBy>
  <cp:revision>4</cp:revision>
  <cp:lastPrinted>2009-02-20T01:31:00Z</cp:lastPrinted>
  <dcterms:created xsi:type="dcterms:W3CDTF">2019-05-11T08:44:00Z</dcterms:created>
  <dcterms:modified xsi:type="dcterms:W3CDTF">2019-05-11T08:44:00Z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20090523</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AsAtDate">
    <vt:lpwstr>23 May 2009</vt:lpwstr>
  </property>
  <property fmtid="{D5CDD505-2E9C-101B-9397-08002B2CF9AE}" pid="8" name="Suffix">
    <vt:lpwstr>02-b0-02</vt:lpwstr>
  </property>
</Properties>
</file>