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_Toc173225329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_Toc173225330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_Toc173225331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Jervis Bay Territory</w:t>
      </w:r>
      <w:r>
        <w:tab/>
      </w:r>
      <w:r>
        <w:fldChar w:fldCharType="begin"/>
      </w:r>
      <w:r>
        <w:instrText xml:space="preserve"> PAGEREF _Toc173225332 \h </w:instrText>
      </w:r>
      <w:r>
        <w:fldChar w:fldCharType="separate"/>
      </w:r>
      <w:r>
        <w:t>6</w:t>
      </w:r>
      <w:r>
        <w:fldChar w:fldCharType="end"/>
      </w:r>
    </w:p>
    <w:p>
      <w:pPr>
        <w:pStyle w:val="TOC2"/>
        <w:tabs>
          <w:tab w:val="right" w:leader="dot" w:pos="7086"/>
        </w:tabs>
        <w:rPr>
          <w:b w:val="0"/>
          <w:sz w:val="24"/>
          <w:szCs w:val="24"/>
        </w:rPr>
      </w:pPr>
      <w:r>
        <w:rPr>
          <w:szCs w:val="30"/>
        </w:rPr>
        <w:t>Part 2 — The Agvet Code, and the Agvet Regulations, of this jurisdiction</w:t>
      </w:r>
    </w:p>
    <w:p>
      <w:pPr>
        <w:pStyle w:val="TOC8"/>
        <w:rPr>
          <w:sz w:val="24"/>
          <w:szCs w:val="24"/>
        </w:rPr>
      </w:pPr>
      <w:r>
        <w:rPr>
          <w:szCs w:val="24"/>
        </w:rPr>
        <w:t>5</w:t>
      </w:r>
      <w:r>
        <w:rPr>
          <w:snapToGrid w:val="0"/>
          <w:szCs w:val="24"/>
        </w:rPr>
        <w:t>.</w:t>
      </w:r>
      <w:r>
        <w:rPr>
          <w:snapToGrid w:val="0"/>
          <w:szCs w:val="24"/>
        </w:rPr>
        <w:tab/>
        <w:t>Application of Agvet Code in this jurisdiction</w:t>
      </w:r>
      <w:r>
        <w:tab/>
      </w:r>
      <w:r>
        <w:fldChar w:fldCharType="begin"/>
      </w:r>
      <w:r>
        <w:instrText xml:space="preserve"> PAGEREF _Toc173225334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Application of Agvet Regulations in this jurisdiction</w:t>
      </w:r>
      <w:r>
        <w:tab/>
      </w:r>
      <w:r>
        <w:fldChar w:fldCharType="begin"/>
      </w:r>
      <w:r>
        <w:instrText xml:space="preserve"> PAGEREF _Toc173225335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Interpretation of Agvet Code and Agvet Regulations of this jurisdiction</w:t>
      </w:r>
      <w:r>
        <w:tab/>
      </w:r>
      <w:r>
        <w:fldChar w:fldCharType="begin"/>
      </w:r>
      <w:r>
        <w:instrText xml:space="preserve"> PAGEREF _Toc173225336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Ancillary offences (parties to offences, attempts, incitement or conspiracy)</w:t>
      </w:r>
      <w:r>
        <w:tab/>
      </w:r>
      <w:r>
        <w:fldChar w:fldCharType="begin"/>
      </w:r>
      <w:r>
        <w:instrText xml:space="preserve"> PAGEREF _Toc173225337 \h </w:instrText>
      </w:r>
      <w:r>
        <w:fldChar w:fldCharType="separate"/>
      </w:r>
      <w:r>
        <w:t>8</w:t>
      </w:r>
      <w:r>
        <w:fldChar w:fldCharType="end"/>
      </w:r>
    </w:p>
    <w:p>
      <w:pPr>
        <w:pStyle w:val="TOC2"/>
        <w:tabs>
          <w:tab w:val="right" w:leader="dot" w:pos="7086"/>
        </w:tabs>
        <w:rPr>
          <w:b w:val="0"/>
          <w:sz w:val="24"/>
          <w:szCs w:val="24"/>
        </w:rPr>
      </w:pPr>
      <w:r>
        <w:rPr>
          <w:szCs w:val="30"/>
        </w:rPr>
        <w:t>Part 3 — Citing the Agvet Codes, and the Agvet Regulations, of other jurisdictions</w:t>
      </w:r>
    </w:p>
    <w:p>
      <w:pPr>
        <w:pStyle w:val="TOC8"/>
        <w:rPr>
          <w:sz w:val="24"/>
          <w:szCs w:val="24"/>
        </w:rPr>
      </w:pPr>
      <w:r>
        <w:rPr>
          <w:szCs w:val="24"/>
        </w:rPr>
        <w:t>9</w:t>
      </w:r>
      <w:r>
        <w:rPr>
          <w:snapToGrid w:val="0"/>
          <w:szCs w:val="24"/>
        </w:rPr>
        <w:t>.</w:t>
      </w:r>
      <w:r>
        <w:rPr>
          <w:snapToGrid w:val="0"/>
          <w:szCs w:val="24"/>
        </w:rPr>
        <w:tab/>
        <w:t>References to Agvet Codes and Agvet Regulations of other jurisdictions</w:t>
      </w:r>
      <w:r>
        <w:tab/>
      </w:r>
      <w:r>
        <w:fldChar w:fldCharType="begin"/>
      </w:r>
      <w:r>
        <w:instrText xml:space="preserve"> PAGEREF _Toc173225339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References to Agvet Codes and Agvet Regulations</w:t>
      </w:r>
      <w:r>
        <w:tab/>
      </w:r>
      <w:r>
        <w:fldChar w:fldCharType="begin"/>
      </w:r>
      <w:r>
        <w:instrText xml:space="preserve"> PAGEREF _Toc173225340 \h </w:instrText>
      </w:r>
      <w:r>
        <w:fldChar w:fldCharType="separate"/>
      </w:r>
      <w:r>
        <w:t>10</w:t>
      </w:r>
      <w:r>
        <w:fldChar w:fldCharType="end"/>
      </w:r>
    </w:p>
    <w:p>
      <w:pPr>
        <w:pStyle w:val="TOC2"/>
        <w:tabs>
          <w:tab w:val="right" w:leader="dot" w:pos="7086"/>
        </w:tabs>
        <w:rPr>
          <w:b w:val="0"/>
          <w:sz w:val="24"/>
          <w:szCs w:val="24"/>
        </w:rPr>
      </w:pPr>
      <w:r>
        <w:rPr>
          <w:szCs w:val="30"/>
        </w:rPr>
        <w:lastRenderedPageBreak/>
        <w:t>Part 4 — Application of Agvet Codes to the Crown</w:t>
      </w:r>
    </w:p>
    <w:p>
      <w:pPr>
        <w:pStyle w:val="TOC8"/>
        <w:rPr>
          <w:sz w:val="24"/>
          <w:szCs w:val="24"/>
        </w:rPr>
      </w:pPr>
      <w:r>
        <w:rPr>
          <w:szCs w:val="24"/>
        </w:rPr>
        <w:t>11</w:t>
      </w:r>
      <w:r>
        <w:rPr>
          <w:snapToGrid w:val="0"/>
          <w:szCs w:val="24"/>
        </w:rPr>
        <w:t>.</w:t>
      </w:r>
      <w:r>
        <w:rPr>
          <w:snapToGrid w:val="0"/>
          <w:szCs w:val="24"/>
        </w:rPr>
        <w:tab/>
        <w:t>Agvet Code of this jurisdiction binds the Crown</w:t>
      </w:r>
      <w:r>
        <w:tab/>
      </w:r>
      <w:r>
        <w:fldChar w:fldCharType="begin"/>
      </w:r>
      <w:r>
        <w:instrText xml:space="preserve"> PAGEREF _Toc173225342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Agvet Code of other jurisdictions</w:t>
      </w:r>
      <w:r>
        <w:tab/>
      </w:r>
      <w:r>
        <w:fldChar w:fldCharType="begin"/>
      </w:r>
      <w:r>
        <w:instrText xml:space="preserve"> PAGEREF _Toc173225343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Crown not liable to prosecution</w:t>
      </w:r>
      <w:r>
        <w:tab/>
      </w:r>
      <w:r>
        <w:fldChar w:fldCharType="begin"/>
      </w:r>
      <w:r>
        <w:instrText xml:space="preserve"> PAGEREF _Toc173225344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This Part overrides the prerogative</w:t>
      </w:r>
      <w:r>
        <w:tab/>
      </w:r>
      <w:r>
        <w:fldChar w:fldCharType="begin"/>
      </w:r>
      <w:r>
        <w:instrText xml:space="preserve"> PAGEREF _Toc173225345 \h </w:instrText>
      </w:r>
      <w:r>
        <w:fldChar w:fldCharType="separate"/>
      </w:r>
      <w:r>
        <w:t>12</w:t>
      </w:r>
      <w:r>
        <w:fldChar w:fldCharType="end"/>
      </w:r>
    </w:p>
    <w:p>
      <w:pPr>
        <w:pStyle w:val="TOC2"/>
        <w:tabs>
          <w:tab w:val="right" w:leader="dot" w:pos="7086"/>
        </w:tabs>
        <w:rPr>
          <w:b w:val="0"/>
          <w:sz w:val="24"/>
          <w:szCs w:val="24"/>
        </w:rPr>
      </w:pPr>
      <w:r>
        <w:rPr>
          <w:szCs w:val="30"/>
        </w:rPr>
        <w:t>Part 5 — Application of Commonwealth administrative laws to the Agvet Code and Agvet Regulations of this jurisdiction</w:t>
      </w:r>
    </w:p>
    <w:p>
      <w:pPr>
        <w:pStyle w:val="TOC8"/>
        <w:rPr>
          <w:sz w:val="24"/>
          <w:szCs w:val="24"/>
        </w:rPr>
      </w:pPr>
      <w:r>
        <w:rPr>
          <w:szCs w:val="24"/>
        </w:rPr>
        <w:t>15.</w:t>
      </w:r>
      <w:r>
        <w:rPr>
          <w:szCs w:val="24"/>
        </w:rPr>
        <w:tab/>
        <w:t>Object</w:t>
      </w:r>
      <w:r>
        <w:tab/>
      </w:r>
      <w:r>
        <w:fldChar w:fldCharType="begin"/>
      </w:r>
      <w:r>
        <w:instrText xml:space="preserve"> PAGEREF _Toc173225347 \h </w:instrText>
      </w:r>
      <w:r>
        <w:fldChar w:fldCharType="separate"/>
      </w:r>
      <w:r>
        <w:t>13</w:t>
      </w:r>
      <w:r>
        <w:fldChar w:fldCharType="end"/>
      </w:r>
    </w:p>
    <w:p>
      <w:pPr>
        <w:pStyle w:val="TOC8"/>
        <w:rPr>
          <w:sz w:val="24"/>
          <w:szCs w:val="24"/>
        </w:rPr>
      </w:pPr>
      <w:r>
        <w:rPr>
          <w:szCs w:val="24"/>
        </w:rPr>
        <w:t>16.</w:t>
      </w:r>
      <w:r>
        <w:rPr>
          <w:szCs w:val="24"/>
        </w:rPr>
        <w:tab/>
        <w:t>Application of Commonwealth administrative laws in relation to applicable provisions</w:t>
      </w:r>
      <w:r>
        <w:tab/>
      </w:r>
      <w:r>
        <w:fldChar w:fldCharType="begin"/>
      </w:r>
      <w:r>
        <w:instrText xml:space="preserve"> PAGEREF _Toc173225348 \h </w:instrText>
      </w:r>
      <w:r>
        <w:fldChar w:fldCharType="separate"/>
      </w:r>
      <w:r>
        <w:t>13</w:t>
      </w:r>
      <w:r>
        <w:fldChar w:fldCharType="end"/>
      </w:r>
    </w:p>
    <w:p>
      <w:pPr>
        <w:pStyle w:val="TOC8"/>
        <w:rPr>
          <w:sz w:val="24"/>
          <w:szCs w:val="24"/>
        </w:rPr>
      </w:pPr>
      <w:r>
        <w:rPr>
          <w:szCs w:val="24"/>
        </w:rPr>
        <w:t>17.</w:t>
      </w:r>
      <w:r>
        <w:rPr>
          <w:szCs w:val="24"/>
        </w:rPr>
        <w:tab/>
        <w:t>Duties, functions and powers conferred on Commonwealth officers and authorities</w:t>
      </w:r>
      <w:r>
        <w:tab/>
      </w:r>
      <w:r>
        <w:fldChar w:fldCharType="begin"/>
      </w:r>
      <w:r>
        <w:instrText xml:space="preserve"> PAGEREF _Toc173225349 \h </w:instrText>
      </w:r>
      <w:r>
        <w:fldChar w:fldCharType="separate"/>
      </w:r>
      <w:r>
        <w:t>14</w:t>
      </w:r>
      <w:r>
        <w:fldChar w:fldCharType="end"/>
      </w:r>
    </w:p>
    <w:p>
      <w:pPr>
        <w:pStyle w:val="TOC8"/>
        <w:rPr>
          <w:sz w:val="24"/>
          <w:szCs w:val="24"/>
        </w:rPr>
      </w:pPr>
      <w:r>
        <w:rPr>
          <w:szCs w:val="24"/>
        </w:rPr>
        <w:t>18.</w:t>
      </w:r>
      <w:r>
        <w:rPr>
          <w:szCs w:val="24"/>
        </w:rPr>
        <w:tab/>
        <w:t>Reference in Commonwealth administrative law to a provision of another law</w:t>
      </w:r>
      <w:r>
        <w:tab/>
      </w:r>
      <w:r>
        <w:fldChar w:fldCharType="begin"/>
      </w:r>
      <w:r>
        <w:instrText xml:space="preserve"> PAGEREF _Toc173225350 \h </w:instrText>
      </w:r>
      <w:r>
        <w:fldChar w:fldCharType="separate"/>
      </w:r>
      <w:r>
        <w:t>14</w:t>
      </w:r>
      <w:r>
        <w:fldChar w:fldCharType="end"/>
      </w:r>
    </w:p>
    <w:p>
      <w:pPr>
        <w:pStyle w:val="TOC8"/>
        <w:rPr>
          <w:sz w:val="24"/>
          <w:szCs w:val="24"/>
        </w:rPr>
      </w:pPr>
      <w:r>
        <w:rPr>
          <w:szCs w:val="24"/>
        </w:rPr>
        <w:t>18A.</w:t>
      </w:r>
      <w:r>
        <w:rPr>
          <w:szCs w:val="24"/>
        </w:rPr>
        <w:tab/>
        <w:t>Construction of references to Part IVA of Commonwealth AAT Act</w:t>
      </w:r>
      <w:r>
        <w:tab/>
      </w:r>
      <w:r>
        <w:fldChar w:fldCharType="begin"/>
      </w:r>
      <w:r>
        <w:instrText xml:space="preserve"> PAGEREF _Toc173225351 \h </w:instrText>
      </w:r>
      <w:r>
        <w:fldChar w:fldCharType="separate"/>
      </w:r>
      <w:r>
        <w:t>14</w:t>
      </w:r>
      <w:r>
        <w:fldChar w:fldCharType="end"/>
      </w:r>
    </w:p>
    <w:p>
      <w:pPr>
        <w:pStyle w:val="TOC2"/>
        <w:tabs>
          <w:tab w:val="right" w:leader="dot" w:pos="7086"/>
        </w:tabs>
        <w:rPr>
          <w:b w:val="0"/>
          <w:sz w:val="24"/>
          <w:szCs w:val="24"/>
        </w:rPr>
      </w:pPr>
      <w:r>
        <w:rPr>
          <w:szCs w:val="30"/>
        </w:rPr>
        <w:t>Part 7 — The National Registration Authority for Agricultural and Veterinary Chemicals</w:t>
      </w:r>
    </w:p>
    <w:p>
      <w:pPr>
        <w:pStyle w:val="TOC8"/>
        <w:rPr>
          <w:sz w:val="24"/>
          <w:szCs w:val="24"/>
        </w:rPr>
      </w:pPr>
      <w:r>
        <w:rPr>
          <w:szCs w:val="24"/>
        </w:rPr>
        <w:t>21</w:t>
      </w:r>
      <w:r>
        <w:rPr>
          <w:snapToGrid w:val="0"/>
          <w:szCs w:val="24"/>
        </w:rPr>
        <w:t>.</w:t>
      </w:r>
      <w:r>
        <w:rPr>
          <w:snapToGrid w:val="0"/>
          <w:szCs w:val="24"/>
        </w:rPr>
        <w:tab/>
        <w:t>Conferral of functions and powers on NRA</w:t>
      </w:r>
      <w:r>
        <w:tab/>
      </w:r>
      <w:r>
        <w:fldChar w:fldCharType="begin"/>
      </w:r>
      <w:r>
        <w:instrText xml:space="preserve"> PAGEREF _Toc173225353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Agreements and arrangements</w:t>
      </w:r>
      <w:r>
        <w:tab/>
      </w:r>
      <w:r>
        <w:fldChar w:fldCharType="begin"/>
      </w:r>
      <w:r>
        <w:instrText xml:space="preserve"> PAGEREF _Toc173225354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_Toc173225355 \h </w:instrText>
      </w:r>
      <w:r>
        <w:fldChar w:fldCharType="separate"/>
      </w:r>
      <w:r>
        <w:t>17</w:t>
      </w:r>
      <w:r>
        <w:fldChar w:fldCharType="end"/>
      </w:r>
    </w:p>
    <w:p>
      <w:pPr>
        <w:pStyle w:val="TOC8"/>
        <w:rPr>
          <w:sz w:val="24"/>
          <w:szCs w:val="24"/>
        </w:rPr>
      </w:pPr>
      <w:r>
        <w:rPr>
          <w:szCs w:val="24"/>
        </w:rPr>
        <w:t>23A.</w:t>
      </w:r>
      <w:r>
        <w:rPr>
          <w:szCs w:val="24"/>
        </w:rPr>
        <w:tab/>
        <w:t>Consultation with Gene Technology Regulator</w:t>
      </w:r>
      <w:r>
        <w:tab/>
      </w:r>
      <w:r>
        <w:fldChar w:fldCharType="begin"/>
      </w:r>
      <w:r>
        <w:instrText xml:space="preserve"> PAGEREF _Toc173225356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Commonwealth Minister may give directions in exceptional circumstances</w:t>
      </w:r>
      <w:r>
        <w:tab/>
      </w:r>
      <w:r>
        <w:fldChar w:fldCharType="begin"/>
      </w:r>
      <w:r>
        <w:instrText xml:space="preserve"> PAGEREF _Toc173225357 \h </w:instrText>
      </w:r>
      <w:r>
        <w:fldChar w:fldCharType="separate"/>
      </w:r>
      <w:r>
        <w:t>18</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25</w:t>
      </w:r>
      <w:r>
        <w:rPr>
          <w:snapToGrid w:val="0"/>
          <w:szCs w:val="24"/>
        </w:rPr>
        <w:t>.</w:t>
      </w:r>
      <w:r>
        <w:rPr>
          <w:snapToGrid w:val="0"/>
          <w:szCs w:val="24"/>
        </w:rPr>
        <w:tab/>
        <w:t>Orders</w:t>
      </w:r>
      <w:r>
        <w:tab/>
      </w:r>
      <w:r>
        <w:fldChar w:fldCharType="begin"/>
      </w:r>
      <w:r>
        <w:instrText xml:space="preserve"> PAGEREF _Toc173225359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Manufacturing principles</w:t>
      </w:r>
      <w:r>
        <w:tab/>
      </w:r>
      <w:r>
        <w:fldChar w:fldCharType="begin"/>
      </w:r>
      <w:r>
        <w:instrText xml:space="preserve"> PAGEREF _Toc173225360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Delegation</w:t>
      </w:r>
      <w:r>
        <w:tab/>
      </w:r>
      <w:r>
        <w:fldChar w:fldCharType="begin"/>
      </w:r>
      <w:r>
        <w:instrText xml:space="preserve"> PAGEREF _Toc173225361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Conferral of powers on State officers</w:t>
      </w:r>
      <w:r>
        <w:tab/>
      </w:r>
      <w:r>
        <w:fldChar w:fldCharType="begin"/>
      </w:r>
      <w:r>
        <w:instrText xml:space="preserve"> PAGEREF _Toc173225362 \h </w:instrText>
      </w:r>
      <w:r>
        <w:fldChar w:fldCharType="separate"/>
      </w:r>
      <w:r>
        <w:t>19</w:t>
      </w:r>
      <w:r>
        <w:fldChar w:fldCharType="end"/>
      </w:r>
    </w:p>
    <w:p>
      <w:pPr>
        <w:pStyle w:val="TOC8"/>
        <w:rPr>
          <w:sz w:val="24"/>
          <w:szCs w:val="24"/>
        </w:rPr>
      </w:pPr>
      <w:r>
        <w:rPr>
          <w:szCs w:val="24"/>
        </w:rPr>
        <w:t>28A.</w:t>
      </w:r>
      <w:r>
        <w:rPr>
          <w:szCs w:val="24"/>
        </w:rPr>
        <w:tab/>
        <w:t>Inspectors and analysts</w:t>
      </w:r>
      <w:r>
        <w:tab/>
      </w:r>
      <w:r>
        <w:fldChar w:fldCharType="begin"/>
      </w:r>
      <w:r>
        <w:instrText xml:space="preserve"> PAGEREF _Toc173225363 \h </w:instrText>
      </w:r>
      <w:r>
        <w:fldChar w:fldCharType="separate"/>
      </w:r>
      <w:r>
        <w:t>20</w:t>
      </w:r>
      <w:r>
        <w:fldChar w:fldCharType="end"/>
      </w:r>
    </w:p>
    <w:p>
      <w:pPr>
        <w:pStyle w:val="TOC8"/>
        <w:rPr>
          <w:sz w:val="24"/>
          <w:szCs w:val="24"/>
        </w:rPr>
      </w:pPr>
      <w:r>
        <w:rPr>
          <w:szCs w:val="24"/>
        </w:rPr>
        <w:t>28B.</w:t>
      </w:r>
      <w:r>
        <w:rPr>
          <w:szCs w:val="24"/>
        </w:rPr>
        <w:tab/>
        <w:t>Validation of actions of inspectors and analysts</w:t>
      </w:r>
      <w:r>
        <w:tab/>
      </w:r>
      <w:r>
        <w:fldChar w:fldCharType="begin"/>
      </w:r>
      <w:r>
        <w:instrText xml:space="preserve"> PAGEREF _Toc173225364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Application of fees, etc.</w:t>
      </w:r>
      <w:r>
        <w:tab/>
      </w:r>
      <w:r>
        <w:fldChar w:fldCharType="begin"/>
      </w:r>
      <w:r>
        <w:instrText xml:space="preserve"> PAGEREF _Toc173225365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Documents or substances held by previous registering authority may be given to NRA</w:t>
      </w:r>
      <w:r>
        <w:tab/>
      </w:r>
      <w:r>
        <w:fldChar w:fldCharType="begin"/>
      </w:r>
      <w:r>
        <w:instrText xml:space="preserve"> PAGEREF _Toc173225366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Exemptions from liability for damages</w:t>
      </w:r>
      <w:r>
        <w:tab/>
      </w:r>
      <w:r>
        <w:fldChar w:fldCharType="begin"/>
      </w:r>
      <w:r>
        <w:instrText xml:space="preserve"> PAGEREF _Toc173225367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_Toc173225368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Eligible laws</w:t>
      </w:r>
      <w:r>
        <w:tab/>
      </w:r>
      <w:r>
        <w:fldChar w:fldCharType="begin"/>
      </w:r>
      <w:r>
        <w:instrText xml:space="preserve"> PAGEREF _Toc173225369 \h </w:instrText>
      </w:r>
      <w:r>
        <w:fldChar w:fldCharType="separate"/>
      </w:r>
      <w:r>
        <w:t>24</w:t>
      </w:r>
      <w:r>
        <w:fldChar w:fldCharType="end"/>
      </w:r>
    </w:p>
    <w:p>
      <w:pPr>
        <w:pStyle w:val="TOC8"/>
        <w:rPr>
          <w:sz w:val="24"/>
          <w:szCs w:val="24"/>
        </w:rPr>
      </w:pPr>
      <w:r>
        <w:rPr>
          <w:szCs w:val="24"/>
        </w:rPr>
        <w:t>33A.</w:t>
      </w:r>
      <w:r>
        <w:rPr>
          <w:szCs w:val="24"/>
        </w:rPr>
        <w:tab/>
        <w:t xml:space="preserve">Transitional provision — </w:t>
      </w:r>
      <w:r>
        <w:rPr>
          <w:i/>
          <w:szCs w:val="24"/>
        </w:rPr>
        <w:t>Agricultural and Veterinary Chemicals (Western Australia) Amendment Act 2001</w:t>
      </w:r>
      <w:r>
        <w:tab/>
      </w:r>
      <w:r>
        <w:fldChar w:fldCharType="begin"/>
      </w:r>
      <w:r>
        <w:instrText xml:space="preserve"> PAGEREF _Toc173225370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_Toc173225371 \h </w:instrText>
      </w:r>
      <w:r>
        <w:fldChar w:fldCharType="separate"/>
      </w:r>
      <w:r>
        <w:t>24</w:t>
      </w:r>
      <w:r>
        <w:fldChar w:fldCharType="end"/>
      </w:r>
    </w:p>
    <w:p>
      <w:pPr>
        <w:pStyle w:val="TOC2"/>
        <w:tabs>
          <w:tab w:val="right" w:leader="dot" w:pos="7086"/>
        </w:tabs>
        <w:rPr>
          <w:b w:val="0"/>
          <w:sz w:val="24"/>
          <w:szCs w:val="24"/>
        </w:rPr>
      </w:pPr>
      <w:r>
        <w:rPr>
          <w:szCs w:val="30"/>
        </w:rPr>
        <w:t>Part 9 — Imposition of Fees</w:t>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_Toc173225373 \h </w:instrText>
      </w:r>
      <w:r>
        <w:fldChar w:fldCharType="separate"/>
      </w:r>
      <w:r>
        <w:t>25</w:t>
      </w:r>
      <w:r>
        <w:fldChar w:fldCharType="end"/>
      </w:r>
    </w:p>
    <w:p>
      <w:pPr>
        <w:pStyle w:val="TOC2"/>
        <w:tabs>
          <w:tab w:val="right" w:leader="dot" w:pos="7086"/>
        </w:tabs>
        <w:rPr>
          <w:b w:val="0"/>
          <w:sz w:val="24"/>
          <w:szCs w:val="24"/>
        </w:rPr>
      </w:pPr>
      <w:r>
        <w:rPr>
          <w:szCs w:val="30"/>
        </w:rPr>
        <w:t>Part 9A — Conferral of functions on Commonwealth Director of Public Prosecutions</w:t>
      </w:r>
    </w:p>
    <w:p>
      <w:pPr>
        <w:pStyle w:val="TOC8"/>
        <w:rPr>
          <w:sz w:val="24"/>
          <w:szCs w:val="24"/>
        </w:rPr>
      </w:pPr>
      <w:r>
        <w:rPr>
          <w:szCs w:val="24"/>
        </w:rPr>
        <w:t>35A.</w:t>
      </w:r>
      <w:r>
        <w:rPr>
          <w:szCs w:val="24"/>
        </w:rPr>
        <w:tab/>
        <w:t>Conferral of functions on Commonwealth Director of Public Prosecutions</w:t>
      </w:r>
      <w:r>
        <w:tab/>
      </w:r>
      <w:r>
        <w:fldChar w:fldCharType="begin"/>
      </w:r>
      <w:r>
        <w:instrText xml:space="preserve"> PAGEREF _Toc173225375 \h </w:instrText>
      </w:r>
      <w:r>
        <w:fldChar w:fldCharType="separate"/>
      </w:r>
      <w:r>
        <w:t>26</w:t>
      </w:r>
      <w:r>
        <w:fldChar w:fldCharType="end"/>
      </w:r>
    </w:p>
    <w:p>
      <w:pPr>
        <w:pStyle w:val="TOC2"/>
        <w:tabs>
          <w:tab w:val="right" w:leader="dot" w:pos="7086"/>
        </w:tabs>
        <w:rPr>
          <w:b w:val="0"/>
          <w:sz w:val="24"/>
          <w:szCs w:val="24"/>
        </w:rPr>
      </w:pPr>
      <w:r>
        <w:rPr>
          <w:szCs w:val="30"/>
        </w:rPr>
        <w:t>Part 10 — Relationship with other State laws</w:t>
      </w:r>
    </w:p>
    <w:p>
      <w:pPr>
        <w:pStyle w:val="TOC8"/>
        <w:rPr>
          <w:sz w:val="24"/>
          <w:szCs w:val="24"/>
        </w:rPr>
      </w:pPr>
      <w:r>
        <w:rPr>
          <w:szCs w:val="24"/>
        </w:rPr>
        <w:t>36</w:t>
      </w:r>
      <w:r>
        <w:rPr>
          <w:snapToGrid w:val="0"/>
          <w:szCs w:val="24"/>
        </w:rPr>
        <w:t>.</w:t>
      </w:r>
      <w:r>
        <w:rPr>
          <w:snapToGrid w:val="0"/>
          <w:szCs w:val="24"/>
        </w:rPr>
        <w:tab/>
        <w:t>Relationship with other State laws</w:t>
      </w:r>
      <w:r>
        <w:tab/>
      </w:r>
      <w:r>
        <w:fldChar w:fldCharType="begin"/>
      </w:r>
      <w:r>
        <w:instrText xml:space="preserve"> PAGEREF _Toc173225377 \h </w:instrText>
      </w:r>
      <w:r>
        <w:fldChar w:fldCharType="separate"/>
      </w:r>
      <w:r>
        <w:t>28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_Toc173225379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and Veterinary Chemicals (Western Australia) Act 1995 </w:t>
      </w:r>
    </w:p>
    <w:p>
      <w:pPr>
        <w:pStyle w:val="LongTitle"/>
        <w:rPr>
          <w:snapToGrid w:val="0"/>
        </w:rPr>
      </w:pPr>
      <w:r>
        <w:rPr>
          <w:snapToGrid w:val="0"/>
        </w:rPr>
        <w:t xml:space="preserve">An Act to apply certain laws of the Commonwealth relating to agricultural and veterinary chemical products as laws of Western Australia and for related purposes. </w:t>
      </w:r>
    </w:p>
    <w:p>
      <w:pPr>
        <w:pStyle w:val="Preamble1"/>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tab/>
        <w:t>5.</w:t>
      </w:r>
      <w:r>
        <w:tab/>
        <w:t>The system should, so far as practicable, be uniform throughout Australia.</w:t>
      </w:r>
    </w:p>
    <w:p>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pPr>
        <w:pStyle w:val="Heading2"/>
      </w:pPr>
      <w:bookmarkStart w:id="1" w:name="_Toc96225032"/>
      <w:bookmarkStart w:id="2" w:name="_Toc97095679"/>
      <w:bookmarkStart w:id="3" w:name="_Toc102975392"/>
      <w:bookmarkStart w:id="4" w:name="_Toc137964244"/>
      <w:bookmarkStart w:id="5" w:name="_Toc137965208"/>
      <w:bookmarkStart w:id="6" w:name="_Toc173214367"/>
      <w:bookmarkStart w:id="7" w:name="_Toc173225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5955363"/>
      <w:bookmarkStart w:id="9" w:name="_Toc531597815"/>
      <w:bookmarkStart w:id="10" w:name="_Toc536411465"/>
      <w:bookmarkStart w:id="11" w:name="_Toc1537288"/>
      <w:bookmarkStart w:id="12" w:name="_Toc102975393"/>
      <w:bookmarkStart w:id="13" w:name="_Toc173225329"/>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pPr>
        <w:pStyle w:val="Heading5"/>
        <w:rPr>
          <w:snapToGrid w:val="0"/>
        </w:rPr>
      </w:pPr>
      <w:bookmarkStart w:id="14" w:name="_Toc515955364"/>
      <w:bookmarkStart w:id="15" w:name="_Toc531597816"/>
      <w:bookmarkStart w:id="16" w:name="_Toc536411466"/>
      <w:bookmarkStart w:id="17" w:name="_Toc1537289"/>
      <w:bookmarkStart w:id="18" w:name="_Toc102975394"/>
      <w:bookmarkStart w:id="19" w:name="_Toc173225330"/>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0" w:name="_Toc515955365"/>
      <w:bookmarkStart w:id="21" w:name="_Toc531597817"/>
      <w:bookmarkStart w:id="22" w:name="_Toc536411467"/>
      <w:bookmarkStart w:id="23" w:name="_Toc1537290"/>
      <w:bookmarkStart w:id="24" w:name="_Toc102975395"/>
      <w:bookmarkStart w:id="25" w:name="_Toc173225331"/>
      <w:r>
        <w:rPr>
          <w:rStyle w:val="CharSectno"/>
        </w:rPr>
        <w:t>3</w:t>
      </w:r>
      <w:r>
        <w:rPr>
          <w:snapToGrid w:val="0"/>
        </w:rPr>
        <w:t>.</w:t>
      </w:r>
      <w:r>
        <w:rPr>
          <w:snapToGrid w:val="0"/>
        </w:rPr>
        <w:tab/>
        <w:t>Definitions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Agricultural and Veterinary Chemicals Act</w:t>
      </w:r>
      <w:r>
        <w:t xml:space="preserve"> means the </w:t>
      </w:r>
      <w:r>
        <w:rPr>
          <w:i/>
        </w:rPr>
        <w:t>Agricultural and Veterinary Chemicals Act 1994</w:t>
      </w:r>
      <w:r>
        <w:t xml:space="preserve"> of the Commonwealth;</w:t>
      </w:r>
    </w:p>
    <w:p>
      <w:pPr>
        <w:pStyle w:val="Defstart"/>
      </w:pPr>
      <w:r>
        <w:rPr>
          <w:b/>
        </w:rPr>
        <w:tab/>
      </w:r>
      <w:r>
        <w:rPr>
          <w:rStyle w:val="CharDefText"/>
        </w:rPr>
        <w:t>Agricultural and Veterinary Chemicals (Administration) Act</w:t>
      </w:r>
      <w:r>
        <w:t xml:space="preserve"> means the </w:t>
      </w:r>
      <w:r>
        <w:rPr>
          <w:i/>
        </w:rPr>
        <w:t>Agricultural and Veterinary Chemicals (Administration) Act 1992</w:t>
      </w:r>
      <w:r>
        <w:t xml:space="preserve"> of the Commonwealth;</w:t>
      </w:r>
    </w:p>
    <w:p>
      <w:pPr>
        <w:pStyle w:val="Defstart"/>
      </w:pPr>
      <w:r>
        <w:rPr>
          <w:b/>
        </w:rPr>
        <w:tab/>
      </w:r>
      <w:r>
        <w:rPr>
          <w:rStyle w:val="CharDefText"/>
        </w:rPr>
        <w:t>Agricultural and Veterinary Chemicals Code Act</w:t>
      </w:r>
      <w:r>
        <w:t xml:space="preserve"> means the </w:t>
      </w:r>
      <w:r>
        <w:rPr>
          <w:i/>
        </w:rPr>
        <w:t>Agricultural and Veterinary Chemicals Code Act 1994</w:t>
      </w:r>
      <w:r>
        <w:t xml:space="preserve"> of the Commonwealth;</w:t>
      </w:r>
    </w:p>
    <w:p>
      <w:pPr>
        <w:pStyle w:val="Defstart"/>
      </w:pPr>
      <w:r>
        <w:rPr>
          <w:b/>
        </w:rPr>
        <w:tab/>
      </w:r>
      <w:r>
        <w:rPr>
          <w:rStyle w:val="CharDefText"/>
        </w:rPr>
        <w:t>Agvet Code of Western Australia</w:t>
      </w:r>
      <w:r>
        <w:t xml:space="preserve"> means the provisions applying because of section 5;</w:t>
      </w:r>
    </w:p>
    <w:p>
      <w:pPr>
        <w:pStyle w:val="Defstart"/>
      </w:pPr>
      <w:r>
        <w:rPr>
          <w:b/>
        </w:rPr>
        <w:tab/>
      </w:r>
      <w:r>
        <w:rPr>
          <w:rStyle w:val="CharDefText"/>
        </w:rPr>
        <w:t>Agvet Regulations of Western Australia</w:t>
      </w:r>
      <w:r>
        <w:t xml:space="preserve"> means the provisions applying because of section 6;</w:t>
      </w:r>
    </w:p>
    <w:p>
      <w:pPr>
        <w:pStyle w:val="Defstart"/>
      </w:pPr>
      <w:r>
        <w:rPr>
          <w:b/>
        </w:rPr>
        <w:tab/>
      </w:r>
      <w:r>
        <w:rPr>
          <w:rStyle w:val="CharDefText"/>
        </w:rPr>
        <w:t>applicable provision</w:t>
      </w:r>
      <w:r>
        <w:t>, in relation to a jurisdiction, means a provision of — </w:t>
      </w:r>
    </w:p>
    <w:p>
      <w:pPr>
        <w:pStyle w:val="Defpara"/>
      </w:pPr>
      <w:r>
        <w:tab/>
        <w:t>(a)</w:t>
      </w:r>
      <w:r>
        <w:tab/>
        <w:t>the Agvet Code of that jurisdiction;</w:t>
      </w:r>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pPr>
      <w:r>
        <w:rPr>
          <w:b/>
        </w:rPr>
        <w:tab/>
      </w:r>
      <w:r>
        <w:rPr>
          <w:rStyle w:val="CharDefText"/>
        </w:rPr>
        <w:t>APVMA</w:t>
      </w:r>
      <w:r>
        <w:t xml:space="preserve"> means the Australian Pesticides and Veterinary Medicines Authority continued in existence by the Agricultural and Veterinary Chemicals (Administration) Act section 6;</w:t>
      </w:r>
    </w:p>
    <w:p>
      <w:pPr>
        <w:pStyle w:val="Defstart"/>
      </w:pPr>
      <w:r>
        <w:rPr>
          <w:b/>
        </w:rPr>
        <w:tab/>
      </w:r>
      <w:r>
        <w:rPr>
          <w:rStyle w:val="CharDefText"/>
        </w:rPr>
        <w:t>authority</w:t>
      </w:r>
      <w:r>
        <w:t>, in relation to the Commonwealth, has the meaning given in the Agricultural and Veterinary Chemicals Act;</w:t>
      </w:r>
    </w:p>
    <w:p>
      <w:pPr>
        <w:pStyle w:val="Defstart"/>
      </w:pPr>
      <w:r>
        <w:rPr>
          <w:b/>
        </w:rPr>
        <w:tab/>
      </w:r>
      <w:r>
        <w:rPr>
          <w:rStyle w:val="CharDefText"/>
        </w:rPr>
        <w:t>Commonwealth administrative laws</w:t>
      </w:r>
      <w:r>
        <w:t xml:space="preserve"> means — </w:t>
      </w:r>
    </w:p>
    <w:p>
      <w:pPr>
        <w:pStyle w:val="Defpara"/>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iCs/>
        </w:rPr>
      </w:pPr>
      <w:r>
        <w:rPr>
          <w:i/>
          <w:iCs/>
        </w:rPr>
        <w:tab/>
        <w:t>[(ii)</w:t>
      </w:r>
      <w:r>
        <w:rPr>
          <w:i/>
          <w:iCs/>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pPr>
        <w:pStyle w:val="Defpara"/>
      </w:pPr>
      <w:r>
        <w:tab/>
      </w:r>
      <w:r>
        <w:tab/>
        <w:t>and</w:t>
      </w:r>
    </w:p>
    <w:p>
      <w:pPr>
        <w:pStyle w:val="Defpara"/>
      </w:pPr>
      <w:r>
        <w:tab/>
        <w:t>(b)</w:t>
      </w:r>
      <w:r>
        <w:tab/>
        <w:t>the regulations in force under those Acts;</w:t>
      </w:r>
    </w:p>
    <w:p>
      <w:pPr>
        <w:pStyle w:val="Defstart"/>
      </w:pPr>
      <w:r>
        <w:rPr>
          <w:b/>
        </w:rPr>
        <w:tab/>
      </w:r>
      <w:r>
        <w:rPr>
          <w:rStyle w:val="CharDefText"/>
        </w:rPr>
        <w:t>Commonwealth Minister</w:t>
      </w:r>
      <w:r>
        <w:t xml:space="preserve"> means “the Minister” within the meaning of the Agvet Code of the participating Territories;</w:t>
      </w:r>
    </w:p>
    <w:p>
      <w:pPr>
        <w:pStyle w:val="Defstart"/>
      </w:pPr>
      <w:r>
        <w:tab/>
      </w:r>
      <w:r>
        <w:rPr>
          <w:rStyle w:val="CharDefText"/>
        </w:rPr>
        <w:t>confer</w:t>
      </w:r>
      <w:r>
        <w:t xml:space="preserve"> includes impose;</w:t>
      </w:r>
    </w:p>
    <w:p>
      <w:pPr>
        <w:pStyle w:val="Defstart"/>
      </w:pPr>
      <w:r>
        <w:rPr>
          <w:b/>
        </w:rPr>
        <w:tab/>
      </w:r>
      <w:r>
        <w:rPr>
          <w:rStyle w:val="CharDefText"/>
        </w:rPr>
        <w:t>corresponding Act</w:t>
      </w:r>
      <w:r>
        <w:t xml:space="preserve"> means an Act of another jurisdiction that corresponds to this Act;</w:t>
      </w:r>
    </w:p>
    <w:p>
      <w:pPr>
        <w:pStyle w:val="Defstart"/>
      </w:pPr>
      <w:r>
        <w:rPr>
          <w:b/>
        </w:rPr>
        <w:tab/>
      </w:r>
      <w:r>
        <w:rPr>
          <w:rStyle w:val="CharDefText"/>
        </w:rPr>
        <w:t>corresponding law</w:t>
      </w:r>
      <w:r>
        <w:t xml:space="preserve"> means — </w:t>
      </w:r>
    </w:p>
    <w:p>
      <w:pPr>
        <w:pStyle w:val="Defpara"/>
      </w:pPr>
      <w:r>
        <w:tab/>
        <w:t>(a)</w:t>
      </w:r>
      <w:r>
        <w:tab/>
        <w:t>a corresponding Act;</w:t>
      </w:r>
    </w:p>
    <w:p>
      <w:pPr>
        <w:pStyle w:val="Defpara"/>
      </w:pPr>
      <w:r>
        <w:tab/>
        <w:t>(b)</w:t>
      </w:r>
      <w:r>
        <w:tab/>
        <w:t>regulations made under a corresponding Act;</w:t>
      </w:r>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r>
        <w:rPr>
          <w:rStyle w:val="CharDefText"/>
        </w:rPr>
        <w:t>function</w:t>
      </w:r>
      <w:r>
        <w:t xml:space="preserve"> includes a duty;</w:t>
      </w:r>
    </w:p>
    <w:p>
      <w:pPr>
        <w:pStyle w:val="Defstart"/>
      </w:pPr>
      <w:r>
        <w:rPr>
          <w:b/>
        </w:rPr>
        <w:tab/>
      </w:r>
      <w:r>
        <w:rPr>
          <w:rStyle w:val="CharDefText"/>
        </w:rPr>
        <w:t>instrument</w:t>
      </w:r>
      <w:r>
        <w:t xml:space="preserve"> means any document whatever, including —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otherwise);</w:t>
      </w:r>
    </w:p>
    <w:p>
      <w:pPr>
        <w:pStyle w:val="Defpara"/>
      </w:pPr>
      <w:r>
        <w:tab/>
        <w:t>(e)</w:t>
      </w:r>
      <w:r>
        <w:tab/>
        <w:t>a notice, certificate or licence;</w:t>
      </w:r>
    </w:p>
    <w:p>
      <w:pPr>
        <w:pStyle w:val="Defpara"/>
      </w:pPr>
      <w:r>
        <w:tab/>
        <w:t>(f)</w:t>
      </w:r>
      <w:r>
        <w:tab/>
        <w:t>an agreement;</w:t>
      </w:r>
    </w:p>
    <w:p>
      <w:pPr>
        <w:pStyle w:val="Defpara"/>
      </w:pPr>
      <w:r>
        <w:tab/>
        <w:t>(g)</w:t>
      </w:r>
      <w:r>
        <w:tab/>
        <w:t>an application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 or the participating Territories;</w:t>
      </w:r>
    </w:p>
    <w:p>
      <w:pPr>
        <w:pStyle w:val="Defstart"/>
      </w:pPr>
      <w:r>
        <w:rPr>
          <w:b/>
        </w:rPr>
        <w:tab/>
      </w:r>
      <w:r>
        <w:rPr>
          <w:rStyle w:val="CharDefText"/>
        </w:rPr>
        <w:t>law</w:t>
      </w:r>
      <w:r>
        <w:t>, in relation to a participating Territory, means a law of, or in force in, that Territory;</w:t>
      </w:r>
    </w:p>
    <w:p>
      <w:pPr>
        <w:pStyle w:val="Defstart"/>
      </w:pPr>
      <w:r>
        <w:rPr>
          <w:b/>
        </w:rPr>
        <w:tab/>
      </w:r>
      <w:r>
        <w:rPr>
          <w:rStyle w:val="CharDefText"/>
        </w:rPr>
        <w:t>officer</w:t>
      </w:r>
      <w:r>
        <w:t>, in relation to the Commonwealth, has the meaning given in the Agricultural and Veterinary Chemicals Act;</w:t>
      </w:r>
    </w:p>
    <w:p>
      <w:pPr>
        <w:pStyle w:val="Defstart"/>
      </w:pPr>
      <w:r>
        <w:rPr>
          <w:b/>
        </w:rPr>
        <w:tab/>
      </w:r>
      <w:r>
        <w:rPr>
          <w:rStyle w:val="CharDefText"/>
        </w:rPr>
        <w:t>participating Territory</w:t>
      </w:r>
      <w:r>
        <w:t xml:space="preserve"> means — </w:t>
      </w:r>
    </w:p>
    <w:p>
      <w:pPr>
        <w:pStyle w:val="Defpara"/>
      </w:pPr>
      <w:r>
        <w:tab/>
        <w:t>(a)</w:t>
      </w:r>
      <w:r>
        <w:tab/>
        <w:t>the Australian Capital Territory;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r>
      <w:r>
        <w:rPr>
          <w:rStyle w:val="CharDefText"/>
        </w:rPr>
        <w:t>State</w:t>
      </w:r>
      <w:r>
        <w:t xml:space="preserve"> includes the Northern Territory of Australia;</w:t>
      </w:r>
    </w:p>
    <w:p>
      <w:pPr>
        <w:pStyle w:val="Defstart"/>
      </w:pPr>
      <w:r>
        <w:rPr>
          <w:b/>
        </w:rPr>
        <w:tab/>
      </w:r>
      <w:r>
        <w:rPr>
          <w:rStyle w:val="CharDefText"/>
        </w:rPr>
        <w:t>Territory</w:t>
      </w:r>
      <w:r>
        <w:t xml:space="preserve"> means a Territory referred to in section 122 of the Constitution of the Commonwealth, other than the Northern Territory of Australia, Norfolk Island, the Territory of Christmas Island or the Territory of Cocos (Keeling) Islands;</w:t>
      </w:r>
    </w:p>
    <w:p>
      <w:pPr>
        <w:pStyle w:val="Defstart"/>
      </w:pPr>
      <w:r>
        <w:rPr>
          <w:b/>
        </w:rPr>
        <w:tab/>
      </w:r>
      <w:r>
        <w:rPr>
          <w:rStyle w:val="CharDefText"/>
        </w:rPr>
        <w:t>this jurisdiction</w:t>
      </w:r>
      <w:r>
        <w:t xml:space="preserve"> means Western Australia.</w:t>
      </w:r>
    </w:p>
    <w:p>
      <w:pPr>
        <w:pStyle w:val="Footnotesection"/>
      </w:pPr>
      <w:r>
        <w:tab/>
        <w:t>[Section 3 amended by No. 21 of 2001 s. 4; No. 84 of 2004 s. 80; No. 8 of 2009 s. 19(2) and (3).]</w:t>
      </w:r>
    </w:p>
    <w:p>
      <w:pPr>
        <w:pStyle w:val="Heading5"/>
        <w:rPr>
          <w:snapToGrid w:val="0"/>
        </w:rPr>
      </w:pPr>
      <w:bookmarkStart w:id="26" w:name="_Toc515955366"/>
      <w:bookmarkStart w:id="27" w:name="_Toc531597818"/>
      <w:bookmarkStart w:id="28" w:name="_Toc536411468"/>
      <w:bookmarkStart w:id="29" w:name="_Toc1537291"/>
      <w:bookmarkStart w:id="30" w:name="_Toc102975396"/>
      <w:bookmarkStart w:id="31" w:name="_Toc173225332"/>
      <w:r>
        <w:rPr>
          <w:rStyle w:val="CharSectno"/>
        </w:rPr>
        <w:t>4</w:t>
      </w:r>
      <w:r>
        <w:rPr>
          <w:snapToGrid w:val="0"/>
        </w:rPr>
        <w:t>.</w:t>
      </w:r>
      <w:r>
        <w:rPr>
          <w:snapToGrid w:val="0"/>
        </w:rPr>
        <w:tab/>
        <w:t>Jervis Bay Territory</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pPr>
        <w:pStyle w:val="Heading2"/>
      </w:pPr>
      <w:bookmarkStart w:id="32" w:name="_Toc96225037"/>
      <w:bookmarkStart w:id="33" w:name="_Toc97095684"/>
      <w:bookmarkStart w:id="34" w:name="_Toc102975397"/>
      <w:bookmarkStart w:id="35" w:name="_Toc137964249"/>
      <w:bookmarkStart w:id="36" w:name="_Toc137965213"/>
      <w:bookmarkStart w:id="37" w:name="_Toc173214372"/>
      <w:bookmarkStart w:id="38" w:name="_Toc173225333"/>
      <w:r>
        <w:rPr>
          <w:rStyle w:val="CharPartNo"/>
        </w:rPr>
        <w:t>Part 2</w:t>
      </w:r>
      <w:r>
        <w:rPr>
          <w:rStyle w:val="CharDivNo"/>
        </w:rPr>
        <w:t> </w:t>
      </w:r>
      <w:r>
        <w:t>—</w:t>
      </w:r>
      <w:r>
        <w:rPr>
          <w:rStyle w:val="CharDivText"/>
        </w:rPr>
        <w:t> </w:t>
      </w:r>
      <w:r>
        <w:rPr>
          <w:rStyle w:val="CharPartText"/>
        </w:rPr>
        <w:t>The Agvet Code, and the Agvet Regulations, of this jurisdiction</w:t>
      </w:r>
      <w:bookmarkEnd w:id="32"/>
      <w:bookmarkEnd w:id="33"/>
      <w:bookmarkEnd w:id="34"/>
      <w:bookmarkEnd w:id="35"/>
      <w:bookmarkEnd w:id="36"/>
      <w:bookmarkEnd w:id="37"/>
      <w:bookmarkEnd w:id="38"/>
    </w:p>
    <w:p>
      <w:pPr>
        <w:pStyle w:val="Heading5"/>
        <w:rPr>
          <w:snapToGrid w:val="0"/>
        </w:rPr>
      </w:pPr>
      <w:bookmarkStart w:id="39" w:name="_Toc515955367"/>
      <w:bookmarkStart w:id="40" w:name="_Toc531597819"/>
      <w:bookmarkStart w:id="41" w:name="_Toc536411469"/>
      <w:bookmarkStart w:id="42" w:name="_Toc1537292"/>
      <w:bookmarkStart w:id="43" w:name="_Toc102975398"/>
      <w:bookmarkStart w:id="44" w:name="_Toc173225334"/>
      <w:r>
        <w:rPr>
          <w:rStyle w:val="CharSectno"/>
        </w:rPr>
        <w:t>5</w:t>
      </w:r>
      <w:r>
        <w:rPr>
          <w:snapToGrid w:val="0"/>
        </w:rPr>
        <w:t>.</w:t>
      </w:r>
      <w:r>
        <w:rPr>
          <w:snapToGrid w:val="0"/>
        </w:rPr>
        <w:tab/>
        <w:t>Application of Agvet Code in this jurisdiction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cited as the Agvet Code of Western Australia.</w:t>
      </w:r>
    </w:p>
    <w:p>
      <w:pPr>
        <w:pStyle w:val="Heading5"/>
        <w:rPr>
          <w:snapToGrid w:val="0"/>
        </w:rPr>
      </w:pPr>
      <w:bookmarkStart w:id="45" w:name="_Toc515955368"/>
      <w:bookmarkStart w:id="46" w:name="_Toc531597820"/>
      <w:bookmarkStart w:id="47" w:name="_Toc536411470"/>
      <w:bookmarkStart w:id="48" w:name="_Toc1537293"/>
      <w:bookmarkStart w:id="49" w:name="_Toc102975399"/>
      <w:bookmarkStart w:id="50" w:name="_Toc173225335"/>
      <w:r>
        <w:rPr>
          <w:rStyle w:val="CharSectno"/>
        </w:rPr>
        <w:t>6</w:t>
      </w:r>
      <w:r>
        <w:rPr>
          <w:snapToGrid w:val="0"/>
        </w:rPr>
        <w:t>.</w:t>
      </w:r>
      <w:r>
        <w:rPr>
          <w:snapToGrid w:val="0"/>
        </w:rPr>
        <w:tab/>
        <w:t>Application of Agvet Regulations in this jurisdiction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regulations in force for the time being under section 6 of the Agricultural and Veterinary Chemicals Code Act — </w:t>
      </w:r>
    </w:p>
    <w:p>
      <w:pPr>
        <w:pStyle w:val="Indenta"/>
        <w:rPr>
          <w:snapToGrid w:val="0"/>
        </w:rPr>
      </w:pPr>
      <w:r>
        <w:rPr>
          <w:snapToGrid w:val="0"/>
        </w:rPr>
        <w:tab/>
        <w:t>(a)</w:t>
      </w:r>
      <w:r>
        <w:rPr>
          <w:snapToGrid w:val="0"/>
        </w:rPr>
        <w:tab/>
        <w:t>apply as regulations in force for the purposes of the Agvet Code of Western Australia;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51" w:name="_Toc515955369"/>
      <w:bookmarkStart w:id="52" w:name="_Toc531597821"/>
      <w:bookmarkStart w:id="53" w:name="_Toc536411471"/>
      <w:bookmarkStart w:id="54" w:name="_Toc1537294"/>
      <w:bookmarkStart w:id="55" w:name="_Toc102975400"/>
      <w:bookmarkStart w:id="56" w:name="_Toc173225336"/>
      <w:r>
        <w:rPr>
          <w:rStyle w:val="CharSectno"/>
        </w:rPr>
        <w:t>7</w:t>
      </w:r>
      <w:r>
        <w:rPr>
          <w:snapToGrid w:val="0"/>
        </w:rPr>
        <w:t>.</w:t>
      </w:r>
      <w:r>
        <w:rPr>
          <w:snapToGrid w:val="0"/>
        </w:rPr>
        <w:tab/>
        <w:t>Interpretation of Agvet Code and Agvet Regulations of this jurisdiction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the Agvet Code, and the Agvet Regulations, of this jurisdiction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 mentioned in that subsection applies as if — </w:t>
      </w:r>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Agvet Code, or the Agvet Regulations, of Western Australia;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57" w:name="_Toc515955370"/>
      <w:bookmarkStart w:id="58" w:name="_Toc531597822"/>
      <w:bookmarkStart w:id="59" w:name="_Toc536411472"/>
      <w:bookmarkStart w:id="60" w:name="_Toc1537295"/>
      <w:bookmarkStart w:id="61" w:name="_Toc102975401"/>
      <w:bookmarkStart w:id="62" w:name="_Toc173225337"/>
      <w:r>
        <w:rPr>
          <w:rStyle w:val="CharSectno"/>
        </w:rPr>
        <w:t>8</w:t>
      </w:r>
      <w:r>
        <w:rPr>
          <w:snapToGrid w:val="0"/>
        </w:rPr>
        <w:t>.</w:t>
      </w:r>
      <w:r>
        <w:rPr>
          <w:snapToGrid w:val="0"/>
        </w:rPr>
        <w:tab/>
        <w:t>Ancillary offences (parties to offences, attempts, incitement or conspiracy)</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ancillary criminal laws</w:t>
      </w:r>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63" w:name="_Toc96225042"/>
      <w:bookmarkStart w:id="64" w:name="_Toc97095689"/>
      <w:bookmarkStart w:id="65" w:name="_Toc102975402"/>
      <w:bookmarkStart w:id="66" w:name="_Toc137964254"/>
      <w:bookmarkStart w:id="67" w:name="_Toc137965218"/>
      <w:bookmarkStart w:id="68" w:name="_Toc173214377"/>
      <w:bookmarkStart w:id="69" w:name="_Toc17322533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63"/>
      <w:bookmarkEnd w:id="64"/>
      <w:bookmarkEnd w:id="65"/>
      <w:bookmarkEnd w:id="66"/>
      <w:bookmarkEnd w:id="67"/>
      <w:bookmarkEnd w:id="68"/>
      <w:bookmarkEnd w:id="69"/>
    </w:p>
    <w:p>
      <w:pPr>
        <w:pStyle w:val="Heading5"/>
        <w:rPr>
          <w:snapToGrid w:val="0"/>
        </w:rPr>
      </w:pPr>
      <w:bookmarkStart w:id="70" w:name="_Toc515955371"/>
      <w:bookmarkStart w:id="71" w:name="_Toc531597823"/>
      <w:bookmarkStart w:id="72" w:name="_Toc536411473"/>
      <w:bookmarkStart w:id="73" w:name="_Toc1537296"/>
      <w:bookmarkStart w:id="74" w:name="_Toc102975403"/>
      <w:bookmarkStart w:id="75" w:name="_Toc173225339"/>
      <w:r>
        <w:rPr>
          <w:rStyle w:val="CharSectno"/>
        </w:rPr>
        <w:t>9</w:t>
      </w:r>
      <w:r>
        <w:rPr>
          <w:snapToGrid w:val="0"/>
        </w:rPr>
        <w:t>.</w:t>
      </w:r>
      <w:r>
        <w:rPr>
          <w:snapToGrid w:val="0"/>
        </w:rPr>
        <w:tab/>
        <w:t>References to Agvet Codes and Agvet Regulations of other jurisdictions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76" w:name="_Toc515955372"/>
      <w:bookmarkStart w:id="77" w:name="_Toc531597824"/>
      <w:bookmarkStart w:id="78" w:name="_Toc536411474"/>
      <w:bookmarkStart w:id="79" w:name="_Toc1537297"/>
      <w:bookmarkStart w:id="80" w:name="_Toc102975404"/>
      <w:bookmarkStart w:id="81" w:name="_Toc173225340"/>
      <w:r>
        <w:rPr>
          <w:rStyle w:val="CharSectno"/>
        </w:rPr>
        <w:t>10</w:t>
      </w:r>
      <w:r>
        <w:rPr>
          <w:snapToGrid w:val="0"/>
        </w:rPr>
        <w:t>.</w:t>
      </w:r>
      <w:r>
        <w:rPr>
          <w:snapToGrid w:val="0"/>
        </w:rPr>
        <w:tab/>
        <w:t>References to Agvet Codes and Agvet Regulations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82" w:name="_Toc96225045"/>
      <w:bookmarkStart w:id="83" w:name="_Toc97095692"/>
      <w:bookmarkStart w:id="84" w:name="_Toc102975405"/>
      <w:bookmarkStart w:id="85" w:name="_Toc137964257"/>
      <w:bookmarkStart w:id="86" w:name="_Toc137965221"/>
      <w:bookmarkStart w:id="87" w:name="_Toc173214380"/>
      <w:bookmarkStart w:id="88" w:name="_Toc173225341"/>
      <w:r>
        <w:rPr>
          <w:rStyle w:val="CharPartNo"/>
        </w:rPr>
        <w:t>Part 4</w:t>
      </w:r>
      <w:r>
        <w:rPr>
          <w:rStyle w:val="CharDivNo"/>
        </w:rPr>
        <w:t> </w:t>
      </w:r>
      <w:r>
        <w:t>—</w:t>
      </w:r>
      <w:r>
        <w:rPr>
          <w:rStyle w:val="CharDivText"/>
        </w:rPr>
        <w:t> </w:t>
      </w:r>
      <w:r>
        <w:rPr>
          <w:rStyle w:val="CharPartText"/>
        </w:rPr>
        <w:t>Application of Agvet Codes to the Crown</w:t>
      </w:r>
      <w:bookmarkEnd w:id="82"/>
      <w:bookmarkEnd w:id="83"/>
      <w:bookmarkEnd w:id="84"/>
      <w:bookmarkEnd w:id="85"/>
      <w:bookmarkEnd w:id="86"/>
      <w:bookmarkEnd w:id="87"/>
      <w:bookmarkEnd w:id="88"/>
    </w:p>
    <w:p>
      <w:pPr>
        <w:pStyle w:val="Heading5"/>
        <w:rPr>
          <w:snapToGrid w:val="0"/>
        </w:rPr>
      </w:pPr>
      <w:bookmarkStart w:id="89" w:name="_Toc515955373"/>
      <w:bookmarkStart w:id="90" w:name="_Toc531597825"/>
      <w:bookmarkStart w:id="91" w:name="_Toc536411475"/>
      <w:bookmarkStart w:id="92" w:name="_Toc1537298"/>
      <w:bookmarkStart w:id="93" w:name="_Toc102975406"/>
      <w:bookmarkStart w:id="94" w:name="_Toc173225342"/>
      <w:r>
        <w:rPr>
          <w:rStyle w:val="CharSectno"/>
        </w:rPr>
        <w:t>11</w:t>
      </w:r>
      <w:r>
        <w:rPr>
          <w:snapToGrid w:val="0"/>
        </w:rPr>
        <w:t>.</w:t>
      </w:r>
      <w:r>
        <w:rPr>
          <w:snapToGrid w:val="0"/>
        </w:rPr>
        <w:tab/>
        <w:t>Agvet Code of this jurisdiction binds the Crown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95" w:name="_Toc515955374"/>
      <w:bookmarkStart w:id="96" w:name="_Toc531597826"/>
      <w:bookmarkStart w:id="97" w:name="_Toc536411476"/>
      <w:bookmarkStart w:id="98" w:name="_Toc1537299"/>
      <w:bookmarkStart w:id="99" w:name="_Toc102975407"/>
      <w:bookmarkStart w:id="100" w:name="_Toc173225343"/>
      <w:r>
        <w:rPr>
          <w:rStyle w:val="CharSectno"/>
        </w:rPr>
        <w:t>12</w:t>
      </w:r>
      <w:r>
        <w:rPr>
          <w:snapToGrid w:val="0"/>
        </w:rPr>
        <w:t>.</w:t>
      </w:r>
      <w:r>
        <w:rPr>
          <w:snapToGrid w:val="0"/>
        </w:rPr>
        <w:tab/>
        <w:t>Agvet Code of other jurisdictions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101" w:name="_Toc515955375"/>
      <w:bookmarkStart w:id="102" w:name="_Toc531597827"/>
      <w:bookmarkStart w:id="103" w:name="_Toc536411477"/>
      <w:bookmarkStart w:id="104" w:name="_Toc1537300"/>
      <w:bookmarkStart w:id="105" w:name="_Toc102975408"/>
      <w:bookmarkStart w:id="106" w:name="_Toc173225344"/>
      <w:r>
        <w:rPr>
          <w:rStyle w:val="CharSectno"/>
        </w:rPr>
        <w:t>13</w:t>
      </w:r>
      <w:r>
        <w:rPr>
          <w:snapToGrid w:val="0"/>
        </w:rPr>
        <w:t>.</w:t>
      </w:r>
      <w:r>
        <w:rPr>
          <w:snapToGrid w:val="0"/>
        </w:rPr>
        <w:tab/>
        <w:t>Crown not liable to prosecution</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107" w:name="_Toc515955376"/>
      <w:bookmarkStart w:id="108" w:name="_Toc531597828"/>
      <w:bookmarkStart w:id="109" w:name="_Toc536411478"/>
      <w:bookmarkStart w:id="110" w:name="_Toc1537301"/>
      <w:bookmarkStart w:id="111" w:name="_Toc102975409"/>
      <w:bookmarkStart w:id="112" w:name="_Toc173225345"/>
      <w:r>
        <w:rPr>
          <w:rStyle w:val="CharSectno"/>
        </w:rPr>
        <w:t>14</w:t>
      </w:r>
      <w:r>
        <w:rPr>
          <w:snapToGrid w:val="0"/>
        </w:rPr>
        <w:t>.</w:t>
      </w:r>
      <w:r>
        <w:rPr>
          <w:snapToGrid w:val="0"/>
        </w:rPr>
        <w:tab/>
        <w:t>This Part overrides the prerogative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113" w:name="_Toc96225050"/>
      <w:bookmarkStart w:id="114" w:name="_Toc97095697"/>
      <w:bookmarkStart w:id="115" w:name="_Toc102975410"/>
      <w:bookmarkStart w:id="116" w:name="_Toc137964262"/>
      <w:bookmarkStart w:id="117" w:name="_Toc137965226"/>
      <w:bookmarkStart w:id="118" w:name="_Toc173214385"/>
      <w:bookmarkStart w:id="119" w:name="_Toc173225346"/>
      <w:r>
        <w:rPr>
          <w:rStyle w:val="CharPartNo"/>
        </w:rPr>
        <w:t>Part 5</w:t>
      </w:r>
      <w:r>
        <w:t xml:space="preserve"> — </w:t>
      </w:r>
      <w:r>
        <w:rPr>
          <w:rStyle w:val="CharPartText"/>
        </w:rPr>
        <w:t>Application of Commonwealth administrative laws to the Agvet Code and Agvet Regulations of this jurisdiction</w:t>
      </w:r>
      <w:bookmarkEnd w:id="113"/>
      <w:bookmarkEnd w:id="114"/>
      <w:bookmarkEnd w:id="115"/>
      <w:bookmarkEnd w:id="116"/>
      <w:bookmarkEnd w:id="117"/>
      <w:bookmarkEnd w:id="118"/>
      <w:bookmarkEnd w:id="119"/>
    </w:p>
    <w:p>
      <w:pPr>
        <w:pStyle w:val="Footnoteheading"/>
        <w:ind w:left="890"/>
      </w:pPr>
      <w:r>
        <w:tab/>
        <w:t>[Heading inserted by No. 21 of 2001 s. 5.]</w:t>
      </w:r>
    </w:p>
    <w:p>
      <w:pPr>
        <w:pStyle w:val="Heading5"/>
      </w:pPr>
      <w:bookmarkStart w:id="120" w:name="_Toc81435"/>
      <w:bookmarkStart w:id="121" w:name="_Toc1537302"/>
      <w:bookmarkStart w:id="122" w:name="_Toc102975411"/>
      <w:bookmarkStart w:id="123" w:name="_Toc173225347"/>
      <w:r>
        <w:rPr>
          <w:rStyle w:val="CharSectno"/>
        </w:rPr>
        <w:t>15</w:t>
      </w:r>
      <w:r>
        <w:t>.</w:t>
      </w:r>
      <w:r>
        <w:tab/>
        <w:t>Object</w:t>
      </w:r>
      <w:bookmarkEnd w:id="120"/>
      <w:bookmarkEnd w:id="121"/>
      <w:bookmarkEnd w:id="122"/>
      <w:bookmarkEnd w:id="123"/>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 by No. 21 of 2001 s. 5.]</w:t>
      </w:r>
    </w:p>
    <w:p>
      <w:pPr>
        <w:pStyle w:val="Heading5"/>
      </w:pPr>
      <w:bookmarkStart w:id="124" w:name="_Toc81436"/>
      <w:bookmarkStart w:id="125" w:name="_Toc1537303"/>
      <w:bookmarkStart w:id="126" w:name="_Toc102975412"/>
      <w:bookmarkStart w:id="127" w:name="_Toc173225348"/>
      <w:r>
        <w:rPr>
          <w:rStyle w:val="CharSectno"/>
        </w:rPr>
        <w:t>16</w:t>
      </w:r>
      <w:r>
        <w:t>.</w:t>
      </w:r>
      <w:r>
        <w:tab/>
        <w:t>Application of Commonwealth administrative laws in relation to applicable provisions</w:t>
      </w:r>
      <w:bookmarkEnd w:id="124"/>
      <w:bookmarkEnd w:id="125"/>
      <w:bookmarkEnd w:id="126"/>
      <w:bookmarkEnd w:id="127"/>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APVMA to give brief particulars of reasons for decisions do not affect the obligations of the APVMA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 by No. 21 of 2001 s. 5; amended by No. 8 of 2009 s. 19(4).]</w:t>
      </w:r>
    </w:p>
    <w:p>
      <w:pPr>
        <w:pStyle w:val="Heading5"/>
      </w:pPr>
      <w:bookmarkStart w:id="128" w:name="_Toc81437"/>
      <w:bookmarkStart w:id="129" w:name="_Toc1537304"/>
      <w:bookmarkStart w:id="130" w:name="_Toc102975413"/>
      <w:bookmarkStart w:id="131" w:name="_Toc173225349"/>
      <w:r>
        <w:rPr>
          <w:rStyle w:val="CharSectno"/>
        </w:rPr>
        <w:t>17</w:t>
      </w:r>
      <w:r>
        <w:t>.</w:t>
      </w:r>
      <w:r>
        <w:tab/>
        <w:t>Duties, functions and powers conferred on Commonwealth officers and authorities</w:t>
      </w:r>
      <w:bookmarkEnd w:id="128"/>
      <w:bookmarkEnd w:id="129"/>
      <w:bookmarkEnd w:id="130"/>
      <w:bookmarkEnd w:id="131"/>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 by No. 21 of 2001 s. 5.]</w:t>
      </w:r>
    </w:p>
    <w:p>
      <w:pPr>
        <w:pStyle w:val="Heading5"/>
      </w:pPr>
      <w:bookmarkStart w:id="132" w:name="_Toc81438"/>
      <w:bookmarkStart w:id="133" w:name="_Toc1537305"/>
      <w:bookmarkStart w:id="134" w:name="_Toc102975414"/>
      <w:bookmarkStart w:id="135" w:name="_Toc173225350"/>
      <w:r>
        <w:rPr>
          <w:rStyle w:val="CharSectno"/>
        </w:rPr>
        <w:t>18</w:t>
      </w:r>
      <w:r>
        <w:t>.</w:t>
      </w:r>
      <w:r>
        <w:tab/>
        <w:t>Reference in Commonwealth administrative law to a provision of another law</w:t>
      </w:r>
      <w:bookmarkEnd w:id="132"/>
      <w:bookmarkEnd w:id="133"/>
      <w:bookmarkEnd w:id="134"/>
      <w:bookmarkEnd w:id="135"/>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 by No. 21 of 2001 s. 5.]</w:t>
      </w:r>
    </w:p>
    <w:p>
      <w:pPr>
        <w:pStyle w:val="Heading5"/>
      </w:pPr>
      <w:bookmarkStart w:id="136" w:name="_Toc81439"/>
      <w:bookmarkStart w:id="137" w:name="_Toc1537306"/>
      <w:bookmarkStart w:id="138" w:name="_Toc102975415"/>
      <w:bookmarkStart w:id="139" w:name="_Toc173225351"/>
      <w:r>
        <w:rPr>
          <w:rStyle w:val="CharSectno"/>
        </w:rPr>
        <w:t>18A</w:t>
      </w:r>
      <w:r>
        <w:t>.</w:t>
      </w:r>
      <w:r>
        <w:tab/>
        <w:t>Construction of references to Part IVA of Commonwealth AAT Act</w:t>
      </w:r>
      <w:bookmarkEnd w:id="136"/>
      <w:bookmarkEnd w:id="137"/>
      <w:bookmarkEnd w:id="138"/>
      <w:bookmarkEnd w:id="139"/>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 by No. 21 of 2001 s. 5.]</w:t>
      </w:r>
    </w:p>
    <w:p>
      <w:pPr>
        <w:pStyle w:val="Ednotepart"/>
        <w:rPr>
          <w:snapToGrid/>
        </w:rPr>
      </w:pPr>
      <w:r>
        <w:rPr>
          <w:snapToGrid/>
        </w:rPr>
        <w:t>[Part 6 deleted by No. 21 of 2001 s. 6.]</w:t>
      </w:r>
    </w:p>
    <w:p>
      <w:pPr>
        <w:pStyle w:val="Heading2"/>
      </w:pPr>
      <w:bookmarkStart w:id="140" w:name="_Toc96225056"/>
      <w:bookmarkStart w:id="141" w:name="_Toc97095703"/>
      <w:bookmarkStart w:id="142" w:name="_Toc102975416"/>
      <w:bookmarkStart w:id="143" w:name="_Toc137964268"/>
      <w:bookmarkStart w:id="144" w:name="_Toc137965232"/>
      <w:bookmarkStart w:id="145" w:name="_Toc173214391"/>
      <w:bookmarkStart w:id="146" w:name="_Toc17322535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40"/>
      <w:bookmarkEnd w:id="141"/>
      <w:bookmarkEnd w:id="142"/>
      <w:bookmarkEnd w:id="143"/>
      <w:bookmarkEnd w:id="144"/>
      <w:bookmarkEnd w:id="145"/>
      <w:bookmarkEnd w:id="146"/>
    </w:p>
    <w:p>
      <w:pPr>
        <w:pStyle w:val="Heading5"/>
        <w:rPr>
          <w:snapToGrid w:val="0"/>
        </w:rPr>
      </w:pPr>
      <w:bookmarkStart w:id="147" w:name="_Toc515955383"/>
      <w:bookmarkStart w:id="148" w:name="_Toc531597833"/>
      <w:bookmarkStart w:id="149" w:name="_Toc536411483"/>
      <w:bookmarkStart w:id="150" w:name="_Toc1537307"/>
      <w:bookmarkStart w:id="151" w:name="_Toc102975417"/>
      <w:bookmarkStart w:id="152" w:name="_Toc173225353"/>
      <w:r>
        <w:rPr>
          <w:rStyle w:val="CharSectno"/>
        </w:rPr>
        <w:t>21</w:t>
      </w:r>
      <w:r>
        <w:rPr>
          <w:snapToGrid w:val="0"/>
        </w:rPr>
        <w:t>.</w:t>
      </w:r>
      <w:r>
        <w:rPr>
          <w:snapToGrid w:val="0"/>
        </w:rPr>
        <w:tab/>
        <w:t xml:space="preserve">Conferral of functions and powers on </w:t>
      </w:r>
      <w:bookmarkEnd w:id="147"/>
      <w:bookmarkEnd w:id="148"/>
      <w:bookmarkEnd w:id="149"/>
      <w:bookmarkEnd w:id="150"/>
      <w:bookmarkEnd w:id="151"/>
      <w:bookmarkEnd w:id="152"/>
      <w:r>
        <w:t>APVMA</w:t>
      </w:r>
    </w:p>
    <w:p>
      <w:pPr>
        <w:pStyle w:val="Subsection"/>
        <w:rPr>
          <w:snapToGrid w:val="0"/>
        </w:rPr>
      </w:pPr>
      <w:r>
        <w:rPr>
          <w:snapToGrid w:val="0"/>
        </w:rPr>
        <w:tab/>
        <w:t>(1)</w:t>
      </w:r>
      <w:r>
        <w:rPr>
          <w:snapToGrid w:val="0"/>
        </w:rPr>
        <w:tab/>
        <w:t xml:space="preserve">The </w:t>
      </w:r>
      <w:r>
        <w:t>APVMA</w:t>
      </w:r>
      <w:r>
        <w:rPr>
          <w:snapToGrid w:val="0"/>
        </w:rPr>
        <w:t xml:space="preserve">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 xml:space="preserve">In addition to the powers mentioned in subsection (1), the </w:t>
      </w:r>
      <w:r>
        <w:t>APVMA</w:t>
      </w:r>
      <w:r>
        <w:rPr>
          <w:snapToGrid w:val="0"/>
        </w:rPr>
        <w:t xml:space="preserve"> has power to do all things necessary or convenient to be done in connection with the performance of the functions referred to in subsection (1) and, in particular may — </w:t>
      </w:r>
    </w:p>
    <w:p>
      <w:pPr>
        <w:pStyle w:val="Indenta"/>
        <w:rPr>
          <w:snapToGrid w:val="0"/>
        </w:rPr>
      </w:pPr>
      <w:r>
        <w:rPr>
          <w:snapToGrid w:val="0"/>
        </w:rPr>
        <w:tab/>
        <w:t>(a)</w:t>
      </w:r>
      <w:r>
        <w:rPr>
          <w:snapToGrid w:val="0"/>
        </w:rPr>
        <w:tab/>
        <w:t>enter into contracts;</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 xml:space="preserve">occupy, use and control any land or building owned or held under lease by the Commonwealth, a State or a Territory and made available for the purposes of the </w:t>
      </w:r>
      <w:r>
        <w:t>APVMA</w:t>
      </w:r>
      <w:r>
        <w:rPr>
          <w:snapToGrid w:val="0"/>
        </w:rPr>
        <w:t>;</w:t>
      </w:r>
    </w:p>
    <w:p>
      <w:pPr>
        <w:pStyle w:val="Indenta"/>
        <w:rPr>
          <w:snapToGrid w:val="0"/>
        </w:rPr>
      </w:pPr>
      <w:r>
        <w:rPr>
          <w:snapToGrid w:val="0"/>
        </w:rPr>
        <w:tab/>
        <w:t>(d)</w:t>
      </w:r>
      <w:r>
        <w:rPr>
          <w:snapToGrid w:val="0"/>
        </w:rPr>
        <w:tab/>
        <w:t>appoint agents and attorneys, and Act as agent for other persons; and</w:t>
      </w:r>
    </w:p>
    <w:p>
      <w:pPr>
        <w:pStyle w:val="Indenta"/>
        <w:rPr>
          <w:snapToGrid w:val="0"/>
        </w:rPr>
      </w:pPr>
      <w:r>
        <w:rPr>
          <w:snapToGrid w:val="0"/>
        </w:rPr>
        <w:tab/>
        <w:t>(e)</w:t>
      </w:r>
      <w:r>
        <w:rPr>
          <w:snapToGrid w:val="0"/>
        </w:rPr>
        <w:tab/>
        <w:t>do anything incidental to any of its powers.</w:t>
      </w:r>
    </w:p>
    <w:p>
      <w:pPr>
        <w:pStyle w:val="Footnotesection"/>
      </w:pPr>
      <w:r>
        <w:tab/>
        <w:t>[Section 21 amended by No. 8 of 2009 s. 19(4).]</w:t>
      </w:r>
    </w:p>
    <w:p>
      <w:pPr>
        <w:pStyle w:val="Heading5"/>
        <w:rPr>
          <w:snapToGrid w:val="0"/>
        </w:rPr>
      </w:pPr>
      <w:bookmarkStart w:id="153" w:name="_Toc515955384"/>
      <w:bookmarkStart w:id="154" w:name="_Toc531597834"/>
      <w:bookmarkStart w:id="155" w:name="_Toc536411484"/>
      <w:bookmarkStart w:id="156" w:name="_Toc1537308"/>
      <w:bookmarkStart w:id="157" w:name="_Toc102975418"/>
      <w:bookmarkStart w:id="158" w:name="_Toc173225354"/>
      <w:r>
        <w:rPr>
          <w:rStyle w:val="CharSectno"/>
        </w:rPr>
        <w:t>22</w:t>
      </w:r>
      <w:r>
        <w:rPr>
          <w:snapToGrid w:val="0"/>
        </w:rPr>
        <w:t>.</w:t>
      </w:r>
      <w:r>
        <w:rPr>
          <w:snapToGrid w:val="0"/>
        </w:rPr>
        <w:tab/>
        <w:t>Agreements and arrangements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Minister, or a person authorised in writing by the Minister, may enter into an agreement or arrangement with the Commonwealth Minister for the performance of functions or the exercise of powers by the </w:t>
      </w:r>
      <w:r>
        <w:t>APVMA</w:t>
      </w:r>
      <w:r>
        <w:rPr>
          <w:snapToGrid w:val="0"/>
        </w:rPr>
        <w:t xml:space="preserve"> as an agent of the State.</w:t>
      </w:r>
    </w:p>
    <w:p>
      <w:pPr>
        <w:pStyle w:val="Subsection"/>
        <w:rPr>
          <w:snapToGrid w:val="0"/>
        </w:rPr>
      </w:pPr>
      <w:r>
        <w:rPr>
          <w:snapToGrid w:val="0"/>
        </w:rPr>
        <w:tab/>
        <w:t>(2)</w:t>
      </w:r>
      <w:r>
        <w:rPr>
          <w:snapToGrid w:val="0"/>
        </w:rPr>
        <w:tab/>
        <w:t xml:space="preserve">The </w:t>
      </w:r>
      <w:r>
        <w:t>APVMA</w:t>
      </w:r>
      <w:r>
        <w:rPr>
          <w:snapToGrid w:val="0"/>
        </w:rPr>
        <w:t xml:space="preserve"> has the functions and powers mentioned in the agreement or arrangement.</w:t>
      </w:r>
    </w:p>
    <w:p>
      <w:pPr>
        <w:pStyle w:val="Footnotesection"/>
      </w:pPr>
      <w:r>
        <w:tab/>
        <w:t>[Section 22 amended by No. 8 of 2009 s. 19(4).]</w:t>
      </w:r>
    </w:p>
    <w:p>
      <w:pPr>
        <w:pStyle w:val="Heading5"/>
        <w:rPr>
          <w:snapToGrid w:val="0"/>
        </w:rPr>
      </w:pPr>
      <w:bookmarkStart w:id="159" w:name="_Toc515955385"/>
      <w:bookmarkStart w:id="160" w:name="_Toc531597835"/>
      <w:bookmarkStart w:id="161" w:name="_Toc536411485"/>
      <w:bookmarkStart w:id="162" w:name="_Toc1537309"/>
      <w:bookmarkStart w:id="163" w:name="_Toc102975419"/>
      <w:bookmarkStart w:id="164" w:name="_Toc173225355"/>
      <w:r>
        <w:rPr>
          <w:rStyle w:val="CharSectno"/>
        </w:rPr>
        <w:t>23</w:t>
      </w:r>
      <w:r>
        <w:rPr>
          <w:snapToGrid w:val="0"/>
        </w:rPr>
        <w:t>.</w:t>
      </w:r>
      <w:r>
        <w:rPr>
          <w:snapToGrid w:val="0"/>
        </w:rPr>
        <w:tab/>
        <w:t>Conferral of other functions and powers for purposes of law in this jurisdiction</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w:t>
      </w:r>
      <w:r>
        <w:t>APVMA</w:t>
      </w:r>
      <w:r>
        <w:rPr>
          <w:snapToGrid w:val="0"/>
        </w:rPr>
        <w:t xml:space="preserve"> has power to do acts in this jurisdiction in the performance or exercise of any function or power — </w:t>
      </w:r>
    </w:p>
    <w:p>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Footnotesection"/>
      </w:pPr>
      <w:r>
        <w:tab/>
        <w:t>[Section 23 amended by No. 8 of 2009 s. 19(4).]</w:t>
      </w:r>
    </w:p>
    <w:p>
      <w:pPr>
        <w:pStyle w:val="Heading5"/>
      </w:pPr>
      <w:bookmarkStart w:id="165" w:name="_Toc173225356"/>
      <w:bookmarkStart w:id="166" w:name="_Toc515955386"/>
      <w:bookmarkStart w:id="167" w:name="_Toc531597836"/>
      <w:bookmarkStart w:id="168" w:name="_Toc536411486"/>
      <w:bookmarkStart w:id="169" w:name="_Toc1537310"/>
      <w:bookmarkStart w:id="170" w:name="_Toc102975420"/>
      <w:r>
        <w:rPr>
          <w:rStyle w:val="CharSectno"/>
        </w:rPr>
        <w:t>23A</w:t>
      </w:r>
      <w:r>
        <w:t>.</w:t>
      </w:r>
      <w:r>
        <w:tab/>
        <w:t>Consultation with Gene Technology Regulator</w:t>
      </w:r>
      <w:bookmarkEnd w:id="165"/>
    </w:p>
    <w:p>
      <w:pPr>
        <w:pStyle w:val="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Subsection"/>
      </w:pPr>
      <w:r>
        <w:tab/>
        <w:t>(3)</w:t>
      </w:r>
      <w:r>
        <w:tab/>
        <w:t>The advice is to be given within the period specified in the notice.</w:t>
      </w:r>
    </w:p>
    <w:p>
      <w:pPr>
        <w:pStyle w:val="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Footnotesection"/>
      </w:pPr>
      <w:r>
        <w:tab/>
        <w:t>[Section 23A inserted by No. 20 of 2006 s. 195.]</w:t>
      </w:r>
    </w:p>
    <w:p>
      <w:pPr>
        <w:pStyle w:val="Heading5"/>
        <w:rPr>
          <w:snapToGrid w:val="0"/>
        </w:rPr>
      </w:pPr>
      <w:bookmarkStart w:id="171" w:name="_Toc173225357"/>
      <w:r>
        <w:rPr>
          <w:rStyle w:val="CharSectno"/>
        </w:rPr>
        <w:t>24</w:t>
      </w:r>
      <w:r>
        <w:rPr>
          <w:snapToGrid w:val="0"/>
        </w:rPr>
        <w:t>.</w:t>
      </w:r>
      <w:r>
        <w:rPr>
          <w:snapToGrid w:val="0"/>
        </w:rPr>
        <w:tab/>
        <w:t>Commonwealth Minister may give directions in exceptional circumstances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The power of the Commonwealth Minister to give directions to the </w:t>
      </w:r>
      <w:r>
        <w:t>APVMA</w:t>
      </w:r>
      <w:r>
        <w:rPr>
          <w:snapToGrid w:val="0"/>
        </w:rPr>
        <w:t xml:space="preserve"> under section 10 of the Agricultural and Veterinary Chemicals (Administration) Act extends to giving directions in relation to functions and powers of the </w:t>
      </w:r>
      <w:r>
        <w:t>APVMA</w:t>
      </w:r>
      <w:r>
        <w:rPr>
          <w:snapToGrid w:val="0"/>
        </w:rPr>
        <w:t xml:space="preserve"> conferred under the applicable provisions of this jurisdiction, and the section applies accordingly.</w:t>
      </w:r>
    </w:p>
    <w:p>
      <w:pPr>
        <w:pStyle w:val="Footnotesection"/>
      </w:pPr>
      <w:r>
        <w:tab/>
        <w:t>[Section 24 amended by No. 8 of 2009 s. 19(4).]</w:t>
      </w:r>
    </w:p>
    <w:p>
      <w:pPr>
        <w:pStyle w:val="Heading2"/>
      </w:pPr>
      <w:bookmarkStart w:id="172" w:name="_Toc96225061"/>
      <w:bookmarkStart w:id="173" w:name="_Toc97095708"/>
      <w:bookmarkStart w:id="174" w:name="_Toc102975421"/>
      <w:bookmarkStart w:id="175" w:name="_Toc137964273"/>
      <w:bookmarkStart w:id="176" w:name="_Toc137965237"/>
      <w:bookmarkStart w:id="177" w:name="_Toc173214397"/>
      <w:bookmarkStart w:id="178" w:name="_Toc173225358"/>
      <w:r>
        <w:rPr>
          <w:rStyle w:val="CharPartNo"/>
        </w:rPr>
        <w:t>Part 8</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15955387"/>
      <w:bookmarkStart w:id="180" w:name="_Toc531597837"/>
      <w:bookmarkStart w:id="181" w:name="_Toc536411487"/>
      <w:bookmarkStart w:id="182" w:name="_Toc1537311"/>
      <w:bookmarkStart w:id="183" w:name="_Toc102975422"/>
      <w:bookmarkStart w:id="184" w:name="_Toc173225359"/>
      <w:r>
        <w:rPr>
          <w:rStyle w:val="CharSectno"/>
        </w:rPr>
        <w:t>25</w:t>
      </w:r>
      <w:r>
        <w:rPr>
          <w:snapToGrid w:val="0"/>
        </w:rPr>
        <w:t>.</w:t>
      </w:r>
      <w:r>
        <w:rPr>
          <w:snapToGrid w:val="0"/>
        </w:rPr>
        <w:tab/>
        <w:t>Orders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185" w:name="_Toc515955388"/>
      <w:bookmarkStart w:id="186" w:name="_Toc531597838"/>
      <w:bookmarkStart w:id="187" w:name="_Toc536411488"/>
      <w:bookmarkStart w:id="188" w:name="_Toc1537312"/>
      <w:bookmarkStart w:id="189" w:name="_Toc102975423"/>
      <w:bookmarkStart w:id="190" w:name="_Toc173225360"/>
      <w:r>
        <w:rPr>
          <w:rStyle w:val="CharSectno"/>
        </w:rPr>
        <w:t>26</w:t>
      </w:r>
      <w:r>
        <w:rPr>
          <w:snapToGrid w:val="0"/>
        </w:rPr>
        <w:t>.</w:t>
      </w:r>
      <w:r>
        <w:rPr>
          <w:snapToGrid w:val="0"/>
        </w:rPr>
        <w:tab/>
        <w:t>Manufacturing principles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191" w:name="_Toc515955389"/>
      <w:bookmarkStart w:id="192" w:name="_Toc531597839"/>
      <w:bookmarkStart w:id="193" w:name="_Toc536411489"/>
      <w:bookmarkStart w:id="194" w:name="_Toc1537313"/>
      <w:bookmarkStart w:id="195" w:name="_Toc102975424"/>
      <w:bookmarkStart w:id="196" w:name="_Toc173225361"/>
      <w:r>
        <w:rPr>
          <w:rStyle w:val="CharSectno"/>
        </w:rPr>
        <w:t>27</w:t>
      </w:r>
      <w:r>
        <w:rPr>
          <w:snapToGrid w:val="0"/>
        </w:rPr>
        <w:t>.</w:t>
      </w:r>
      <w:r>
        <w:rPr>
          <w:snapToGrid w:val="0"/>
        </w:rPr>
        <w:tab/>
        <w:t>Delegation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197" w:name="_Toc515955390"/>
      <w:bookmarkStart w:id="198" w:name="_Toc531597840"/>
      <w:bookmarkStart w:id="199" w:name="_Toc536411490"/>
      <w:bookmarkStart w:id="200" w:name="_Toc1537314"/>
      <w:bookmarkStart w:id="201" w:name="_Toc102975425"/>
      <w:bookmarkStart w:id="202" w:name="_Toc173225362"/>
      <w:r>
        <w:rPr>
          <w:rStyle w:val="CharSectno"/>
        </w:rPr>
        <w:t>28</w:t>
      </w:r>
      <w:r>
        <w:rPr>
          <w:snapToGrid w:val="0"/>
        </w:rPr>
        <w:t>.</w:t>
      </w:r>
      <w:r>
        <w:rPr>
          <w:snapToGrid w:val="0"/>
        </w:rPr>
        <w:tab/>
        <w:t>Conferral of powers on State officers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If an officer of a Department, administrative unit or authority is authorised, under section 69F of the Agricultural and Veterinary Chemicals (Administration) Act, by the Chief Executive Officer of the </w:t>
      </w:r>
      <w:r>
        <w:t>APVMA</w:t>
      </w:r>
      <w:r>
        <w:rPr>
          <w:snapToGrid w:val="0"/>
        </w:rPr>
        <w:t xml:space="preserve">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Footnotesection"/>
      </w:pPr>
      <w:r>
        <w:tab/>
        <w:t>[Section 28 amended by No. 8 of 2009 s. 19(4).]</w:t>
      </w:r>
    </w:p>
    <w:p>
      <w:pPr>
        <w:pStyle w:val="Heading5"/>
      </w:pPr>
      <w:bookmarkStart w:id="203" w:name="_Toc81448"/>
      <w:bookmarkStart w:id="204" w:name="_Toc1537315"/>
      <w:bookmarkStart w:id="205" w:name="_Toc102975426"/>
      <w:bookmarkStart w:id="206" w:name="_Toc173225363"/>
      <w:bookmarkStart w:id="207" w:name="_Toc515955391"/>
      <w:bookmarkStart w:id="208" w:name="_Toc531597841"/>
      <w:bookmarkStart w:id="209" w:name="_Toc536411491"/>
      <w:r>
        <w:rPr>
          <w:rStyle w:val="CharSectno"/>
        </w:rPr>
        <w:t>28A</w:t>
      </w:r>
      <w:r>
        <w:t>.</w:t>
      </w:r>
      <w:r>
        <w:tab/>
        <w:t>Inspectors and analysts</w:t>
      </w:r>
      <w:bookmarkEnd w:id="203"/>
      <w:bookmarkEnd w:id="204"/>
      <w:bookmarkEnd w:id="205"/>
      <w:bookmarkEnd w:id="206"/>
    </w:p>
    <w:p>
      <w:pPr>
        <w:pStyle w:val="Subsection"/>
      </w:pPr>
      <w:r>
        <w:tab/>
        <w:t>(1)</w:t>
      </w:r>
      <w:r>
        <w:tab/>
        <w:t xml:space="preserve">In this section — </w:t>
      </w:r>
    </w:p>
    <w:p>
      <w:pPr>
        <w:pStyle w:val="Defstart"/>
      </w:pPr>
      <w:r>
        <w:tab/>
      </w:r>
      <w:r>
        <w:rPr>
          <w:rStyle w:val="CharDefText"/>
        </w:rPr>
        <w:t>officer</w:t>
      </w:r>
      <w:r>
        <w:t xml:space="preserve"> means  — </w:t>
      </w:r>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 by No. 21 of 2001 s. 7.]</w:t>
      </w:r>
    </w:p>
    <w:p>
      <w:pPr>
        <w:pStyle w:val="Heading5"/>
      </w:pPr>
      <w:bookmarkStart w:id="210" w:name="_Toc81449"/>
      <w:bookmarkStart w:id="211" w:name="_Toc1537316"/>
      <w:bookmarkStart w:id="212" w:name="_Toc102975427"/>
      <w:bookmarkStart w:id="213" w:name="_Toc173225364"/>
      <w:r>
        <w:rPr>
          <w:rStyle w:val="CharSectno"/>
        </w:rPr>
        <w:t>28B</w:t>
      </w:r>
      <w:r>
        <w:t>.</w:t>
      </w:r>
      <w:r>
        <w:tab/>
        <w:t>Validation of actions of inspectors and analysts</w:t>
      </w:r>
      <w:bookmarkEnd w:id="210"/>
      <w:bookmarkEnd w:id="211"/>
      <w:bookmarkEnd w:id="212"/>
      <w:bookmarkEnd w:id="213"/>
    </w:p>
    <w:p>
      <w:pPr>
        <w:pStyle w:val="Subsection"/>
      </w:pPr>
      <w:r>
        <w:tab/>
        <w:t>(1)</w:t>
      </w:r>
      <w:r>
        <w:tab/>
        <w:t>In this section —</w:t>
      </w:r>
    </w:p>
    <w:p>
      <w:pPr>
        <w:pStyle w:val="Defstart"/>
      </w:pPr>
      <w:r>
        <w:tab/>
      </w:r>
      <w:r>
        <w:rPr>
          <w:rStyle w:val="CharDefText"/>
        </w:rPr>
        <w:t>officer</w:t>
      </w:r>
      <w:r>
        <w:t xml:space="preserve"> has the same meaning as in section 28A;</w:t>
      </w:r>
    </w:p>
    <w:p>
      <w:pPr>
        <w:pStyle w:val="Defstart"/>
      </w:pPr>
      <w:r>
        <w:tab/>
      </w:r>
      <w:r>
        <w:rPr>
          <w:rStyle w:val="CharDefText"/>
        </w:rPr>
        <w:t>relevant section</w:t>
      </w:r>
      <w:r>
        <w:t xml:space="preserve"> means section 7 of the </w:t>
      </w:r>
      <w:r>
        <w:rPr>
          <w:i/>
        </w:rPr>
        <w:t>Agricultural and Veterinary Chemicals (Western Australia) Amendment Act 2001</w:t>
      </w:r>
      <w:r>
        <w:t>;</w:t>
      </w:r>
    </w:p>
    <w:p>
      <w:pPr>
        <w:pStyle w:val="Defstart"/>
      </w:pPr>
      <w:r>
        <w:tab/>
      </w:r>
      <w:r>
        <w:rPr>
          <w:rStyle w:val="CharDefText"/>
        </w:rPr>
        <w:t>relevant time</w:t>
      </w:r>
      <w:r>
        <w:t>,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 by No. 21 of 2001 s. 7.]</w:t>
      </w:r>
    </w:p>
    <w:p>
      <w:pPr>
        <w:pStyle w:val="Heading5"/>
        <w:rPr>
          <w:snapToGrid w:val="0"/>
        </w:rPr>
      </w:pPr>
      <w:bookmarkStart w:id="214" w:name="_Toc1537317"/>
      <w:bookmarkStart w:id="215" w:name="_Toc102975428"/>
      <w:bookmarkStart w:id="216" w:name="_Toc173225365"/>
      <w:r>
        <w:rPr>
          <w:rStyle w:val="CharSectno"/>
        </w:rPr>
        <w:t>29</w:t>
      </w:r>
      <w:r>
        <w:rPr>
          <w:snapToGrid w:val="0"/>
        </w:rPr>
        <w:t>.</w:t>
      </w:r>
      <w:r>
        <w:rPr>
          <w:snapToGrid w:val="0"/>
        </w:rPr>
        <w:tab/>
        <w:t>Application of fees, etc.</w:t>
      </w:r>
      <w:bookmarkEnd w:id="207"/>
      <w:bookmarkEnd w:id="208"/>
      <w:bookmarkEnd w:id="209"/>
      <w:bookmarkEnd w:id="214"/>
      <w:bookmarkEnd w:id="215"/>
      <w:bookmarkEnd w:id="216"/>
      <w:r>
        <w:rPr>
          <w:snapToGrid w:val="0"/>
        </w:rPr>
        <w:t xml:space="preserve"> </w:t>
      </w:r>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217" w:name="_Toc515955392"/>
      <w:bookmarkStart w:id="218" w:name="_Toc531597842"/>
      <w:bookmarkStart w:id="219" w:name="_Toc536411492"/>
      <w:bookmarkStart w:id="220" w:name="_Toc1537318"/>
      <w:bookmarkStart w:id="221" w:name="_Toc102975429"/>
      <w:bookmarkStart w:id="222" w:name="_Toc173225366"/>
      <w:r>
        <w:rPr>
          <w:rStyle w:val="CharSectno"/>
        </w:rPr>
        <w:t>30</w:t>
      </w:r>
      <w:r>
        <w:rPr>
          <w:snapToGrid w:val="0"/>
        </w:rPr>
        <w:t>.</w:t>
      </w:r>
      <w:r>
        <w:rPr>
          <w:snapToGrid w:val="0"/>
        </w:rPr>
        <w:tab/>
        <w:t xml:space="preserve">Documents or substances held by previous registering authority may be given to </w:t>
      </w:r>
      <w:r>
        <w:t>APVMA</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w:t>
      </w:r>
      <w:r>
        <w:t>APVMA</w:t>
      </w:r>
      <w:r>
        <w:rPr>
          <w:snapToGrid w:val="0"/>
        </w:rPr>
        <w:t xml:space="preserve"> any documents or substances in its possession or custody that were received by it in the performance of those functions or that otherwise relate to the performance of those functions.</w:t>
      </w:r>
    </w:p>
    <w:p>
      <w:pPr>
        <w:pStyle w:val="Footnotesection"/>
      </w:pPr>
      <w:r>
        <w:tab/>
        <w:t>[Section 30 amended by No. 8 of 2009 s. 19(4).]</w:t>
      </w:r>
    </w:p>
    <w:p>
      <w:pPr>
        <w:pStyle w:val="Heading5"/>
        <w:rPr>
          <w:snapToGrid w:val="0"/>
        </w:rPr>
      </w:pPr>
      <w:bookmarkStart w:id="223" w:name="_Toc515955393"/>
      <w:bookmarkStart w:id="224" w:name="_Toc531597843"/>
      <w:bookmarkStart w:id="225" w:name="_Toc536411493"/>
      <w:bookmarkStart w:id="226" w:name="_Toc1537319"/>
      <w:bookmarkStart w:id="227" w:name="_Toc102975430"/>
      <w:bookmarkStart w:id="228" w:name="_Toc173225367"/>
      <w:r>
        <w:rPr>
          <w:rStyle w:val="CharSectno"/>
        </w:rPr>
        <w:t>31</w:t>
      </w:r>
      <w:r>
        <w:rPr>
          <w:snapToGrid w:val="0"/>
        </w:rPr>
        <w:t>.</w:t>
      </w:r>
      <w:r>
        <w:rPr>
          <w:snapToGrid w:val="0"/>
        </w:rPr>
        <w:tab/>
        <w:t>Exemptions from liability for damages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pPr>
        <w:pStyle w:val="Indenta"/>
        <w:rPr>
          <w:snapToGrid w:val="0"/>
        </w:rPr>
      </w:pPr>
      <w:r>
        <w:rPr>
          <w:snapToGrid w:val="0"/>
        </w:rPr>
        <w:tab/>
        <w:t>(a)</w:t>
      </w:r>
      <w:r>
        <w:rPr>
          <w:snapToGrid w:val="0"/>
        </w:rPr>
        <w:tab/>
        <w:t>the handling of an approved active constituent for a proposed or existing chemical product;</w:t>
      </w:r>
    </w:p>
    <w:p>
      <w:pPr>
        <w:pStyle w:val="Indenta"/>
        <w:rPr>
          <w:snapToGrid w:val="0"/>
        </w:rPr>
      </w:pPr>
      <w:r>
        <w:rPr>
          <w:snapToGrid w:val="0"/>
        </w:rPr>
        <w:tab/>
        <w:t>(b)</w:t>
      </w:r>
      <w:r>
        <w:rPr>
          <w:snapToGrid w:val="0"/>
        </w:rPr>
        <w:tab/>
        <w:t>the handling of a registered chemical product;</w:t>
      </w:r>
    </w:p>
    <w:p>
      <w:pPr>
        <w:pStyle w:val="Indenta"/>
        <w:rPr>
          <w:snapToGrid w:val="0"/>
        </w:rPr>
      </w:pPr>
      <w:r>
        <w:rPr>
          <w:snapToGrid w:val="0"/>
        </w:rPr>
        <w:tab/>
        <w:t>(c)</w:t>
      </w:r>
      <w:r>
        <w:rPr>
          <w:snapToGrid w:val="0"/>
        </w:rPr>
        <w:tab/>
        <w:t xml:space="preserve">the handling of an active constituent for a proposed or existing chemical product, or of a chemical product, in respect of which a permit or exemption has been issued or given by the </w:t>
      </w:r>
      <w:r>
        <w:t>APVMA</w:t>
      </w:r>
      <w:r>
        <w:rPr>
          <w:snapToGrid w:val="0"/>
        </w:rPr>
        <w:t>;</w:t>
      </w:r>
    </w:p>
    <w:p>
      <w:pPr>
        <w:pStyle w:val="Indenta"/>
        <w:rPr>
          <w:snapToGrid w:val="0"/>
        </w:rPr>
      </w:pPr>
      <w:r>
        <w:rPr>
          <w:snapToGrid w:val="0"/>
        </w:rPr>
        <w:tab/>
        <w:t>(d)</w:t>
      </w:r>
      <w:r>
        <w:rPr>
          <w:snapToGrid w:val="0"/>
        </w:rPr>
        <w:tab/>
        <w:t>an inability to use, or to use in a particular manner, an active constituent for a proposed or existing chemical product — </w:t>
      </w:r>
    </w:p>
    <w:p>
      <w:pPr>
        <w:pStyle w:val="Indenti"/>
        <w:rPr>
          <w:snapToGrid w:val="0"/>
        </w:rPr>
      </w:pPr>
      <w:r>
        <w:rPr>
          <w:snapToGrid w:val="0"/>
        </w:rPr>
        <w:tab/>
        <w:t>(i)</w:t>
      </w:r>
      <w:r>
        <w:rPr>
          <w:snapToGrid w:val="0"/>
        </w:rPr>
        <w:tab/>
        <w:t xml:space="preserve">because an approval, permit or exemption permitting its use, or permitting its use in that manner, has been refused by the </w:t>
      </w:r>
      <w:r>
        <w:t>APVMA</w:t>
      </w:r>
      <w:r>
        <w:rPr>
          <w:snapToGrid w:val="0"/>
        </w:rPr>
        <w:t xml:space="preserve"> or such an approval,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snapToGrid w:val="0"/>
        </w:rPr>
      </w:pPr>
      <w:r>
        <w:rPr>
          <w:snapToGrid w:val="0"/>
        </w:rPr>
        <w:tab/>
        <w:t>(e)</w:t>
      </w:r>
      <w:r>
        <w:rPr>
          <w:snapToGrid w:val="0"/>
        </w:rPr>
        <w:tab/>
        <w:t>an inability to use, or to use in a particular manner, a chemical product — </w:t>
      </w:r>
    </w:p>
    <w:p>
      <w:pPr>
        <w:pStyle w:val="Indenti"/>
        <w:rPr>
          <w:snapToGrid w:val="0"/>
        </w:rPr>
      </w:pPr>
      <w:r>
        <w:rPr>
          <w:snapToGrid w:val="0"/>
        </w:rPr>
        <w:tab/>
        <w:t>(i)</w:t>
      </w:r>
      <w:r>
        <w:rPr>
          <w:snapToGrid w:val="0"/>
        </w:rPr>
        <w:tab/>
        <w:t xml:space="preserve">because a registration, permit or exemption permitting its use, or permitting its use in that manner, has been refused by the </w:t>
      </w:r>
      <w:r>
        <w:t>APVMA</w:t>
      </w:r>
      <w:r>
        <w:rPr>
          <w:snapToGrid w:val="0"/>
        </w:rPr>
        <w:t xml:space="preserve"> or such a registration,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snapToGrid w:val="0"/>
        </w:rPr>
      </w:pPr>
      <w:r>
        <w:rPr>
          <w:snapToGrid w:val="0"/>
        </w:rPr>
        <w:tab/>
        <w:t>(f)</w:t>
      </w:r>
      <w:r>
        <w:rPr>
          <w:snapToGrid w:val="0"/>
        </w:rPr>
        <w:tab/>
        <w:t xml:space="preserve">the carrying out of a step in the manufacture of a chemical product in respect of which a licence has been issued by the </w:t>
      </w:r>
      <w:r>
        <w:t>APVMA</w:t>
      </w:r>
      <w:r>
        <w:rPr>
          <w:snapToGrid w:val="0"/>
        </w:rPr>
        <w:t>;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pPr>
        <w:pStyle w:val="Indenti"/>
        <w:rPr>
          <w:snapToGrid w:val="0"/>
        </w:rPr>
      </w:pPr>
      <w:r>
        <w:rPr>
          <w:snapToGrid w:val="0"/>
        </w:rPr>
        <w:tab/>
        <w:t>(i)</w:t>
      </w:r>
      <w:r>
        <w:rPr>
          <w:snapToGrid w:val="0"/>
        </w:rPr>
        <w:tab/>
        <w:t xml:space="preserve">because a licence to carry out that step, or to carry out that step in that manner or at those premises, has been refused by the </w:t>
      </w:r>
      <w:r>
        <w:t>APVMA</w:t>
      </w:r>
      <w:r>
        <w:rPr>
          <w:snapToGrid w:val="0"/>
        </w:rPr>
        <w:t xml:space="preserve"> or such a licence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pPr>
        <w:pStyle w:val="Indenta"/>
        <w:rPr>
          <w:snapToGrid w:val="0"/>
        </w:rPr>
      </w:pPr>
      <w:r>
        <w:rPr>
          <w:snapToGrid w:val="0"/>
        </w:rPr>
        <w:tab/>
        <w:t>(a)</w:t>
      </w:r>
      <w:r>
        <w:rPr>
          <w:snapToGrid w:val="0"/>
        </w:rPr>
        <w:tab/>
        <w:t>an approved active constituent for a proposed or existing chemical product;</w:t>
      </w:r>
    </w:p>
    <w:p>
      <w:pPr>
        <w:pStyle w:val="Indenta"/>
        <w:rPr>
          <w:snapToGrid w:val="0"/>
        </w:rPr>
      </w:pPr>
      <w:r>
        <w:rPr>
          <w:snapToGrid w:val="0"/>
        </w:rPr>
        <w:tab/>
        <w:t>(b)</w:t>
      </w:r>
      <w:r>
        <w:rPr>
          <w:snapToGrid w:val="0"/>
        </w:rPr>
        <w:tab/>
        <w:t>a registered chemical product;</w:t>
      </w:r>
    </w:p>
    <w:p>
      <w:pPr>
        <w:pStyle w:val="Indenta"/>
        <w:rPr>
          <w:snapToGrid w:val="0"/>
        </w:rPr>
      </w:pPr>
      <w:r>
        <w:rPr>
          <w:snapToGrid w:val="0"/>
        </w:rPr>
        <w:tab/>
        <w:t>(c)</w:t>
      </w:r>
      <w:r>
        <w:rPr>
          <w:snapToGrid w:val="0"/>
        </w:rPr>
        <w:tab/>
        <w:t xml:space="preserve">an active constituent for a proposed or existing chemical product, or a chemical product, in respect of which the </w:t>
      </w:r>
      <w:r>
        <w:t>APVMA</w:t>
      </w:r>
      <w:r>
        <w:rPr>
          <w:snapToGrid w:val="0"/>
        </w:rPr>
        <w:t xml:space="preserve"> has issued a permit or given an exemption; or</w:t>
      </w:r>
    </w:p>
    <w:p>
      <w:pPr>
        <w:pStyle w:val="Indenta"/>
        <w:rPr>
          <w:snapToGrid w:val="0"/>
        </w:rPr>
      </w:pPr>
      <w:r>
        <w:rPr>
          <w:snapToGrid w:val="0"/>
        </w:rPr>
        <w:tab/>
        <w:t>(d)</w:t>
      </w:r>
      <w:r>
        <w:rPr>
          <w:snapToGrid w:val="0"/>
        </w:rPr>
        <w:tab/>
        <w:t xml:space="preserve">a chemical product in respect of a step in the manufacture of which the </w:t>
      </w:r>
      <w:r>
        <w:t>APVMA</w:t>
      </w:r>
      <w:r>
        <w:rPr>
          <w:snapToGrid w:val="0"/>
        </w:rPr>
        <w:t xml:space="preserve"> has issued a licence,</w:t>
      </w:r>
    </w:p>
    <w:p>
      <w:pPr>
        <w:pStyle w:val="Subsection"/>
        <w:rPr>
          <w:snapToGrid w:val="0"/>
        </w:rPr>
      </w:pPr>
      <w:r>
        <w:rPr>
          <w:snapToGrid w:val="0"/>
        </w:rPr>
        <w:tab/>
      </w:r>
      <w:r>
        <w:rPr>
          <w:snapToGrid w:val="0"/>
        </w:rPr>
        <w:tab/>
        <w:t xml:space="preserve">in relation to any loss or injury directly or indirectly suffered because of the importation, manufacture, supply or handling of the constituent or product, it is not a defence to that action, suit or other proceeding that the </w:t>
      </w:r>
      <w:r>
        <w:t>APVMA</w:t>
      </w:r>
      <w:r>
        <w:rPr>
          <w:snapToGrid w:val="0"/>
        </w:rPr>
        <w:t xml:space="preserve">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Footnotesection"/>
      </w:pPr>
      <w:r>
        <w:tab/>
        <w:t>[Section 31 amended by No. 8 of 2009 s. 19(4).]</w:t>
      </w:r>
    </w:p>
    <w:p>
      <w:pPr>
        <w:pStyle w:val="Heading5"/>
        <w:rPr>
          <w:snapToGrid w:val="0"/>
        </w:rPr>
      </w:pPr>
      <w:bookmarkStart w:id="229" w:name="_Toc515955394"/>
      <w:bookmarkStart w:id="230" w:name="_Toc531597844"/>
      <w:bookmarkStart w:id="231" w:name="_Toc536411494"/>
      <w:bookmarkStart w:id="232" w:name="_Toc1537320"/>
      <w:bookmarkStart w:id="233" w:name="_Toc102975431"/>
      <w:bookmarkStart w:id="234" w:name="_Toc173225368"/>
      <w:r>
        <w:rPr>
          <w:rStyle w:val="CharSectno"/>
        </w:rPr>
        <w:t>32</w:t>
      </w:r>
      <w:r>
        <w:rPr>
          <w:snapToGrid w:val="0"/>
        </w:rPr>
        <w:t>.</w:t>
      </w:r>
      <w:r>
        <w:rPr>
          <w:snapToGrid w:val="0"/>
        </w:rPr>
        <w:tab/>
        <w:t>Regulations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5" w:name="_Toc515955395"/>
      <w:bookmarkStart w:id="236" w:name="_Toc531597845"/>
      <w:bookmarkStart w:id="237" w:name="_Toc536411495"/>
      <w:bookmarkStart w:id="238" w:name="_Toc1537321"/>
      <w:bookmarkStart w:id="239" w:name="_Toc102975432"/>
      <w:bookmarkStart w:id="240" w:name="_Toc173225369"/>
      <w:r>
        <w:rPr>
          <w:rStyle w:val="CharSectno"/>
        </w:rPr>
        <w:t>33</w:t>
      </w:r>
      <w:r>
        <w:rPr>
          <w:snapToGrid w:val="0"/>
        </w:rPr>
        <w:t>.</w:t>
      </w:r>
      <w:r>
        <w:rPr>
          <w:snapToGrid w:val="0"/>
        </w:rPr>
        <w:tab/>
        <w:t>Eligible laws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An enactment may be declared by regulations made under section 32 to be an eligible law of this jurisdiction for the purposes of the definition of </w:t>
      </w:r>
      <w:r>
        <w:rPr>
          <w:b/>
          <w:bCs/>
          <w:i/>
          <w:iCs/>
          <w:snapToGrid w:val="0"/>
        </w:rPr>
        <w:t>permit</w:t>
      </w:r>
      <w:r>
        <w:rPr>
          <w:snapToGrid w:val="0"/>
        </w:rPr>
        <w:t xml:space="preserve"> in section 109 of the Agvet Code of this jurisdiction.</w:t>
      </w:r>
    </w:p>
    <w:p>
      <w:pPr>
        <w:pStyle w:val="Heading5"/>
      </w:pPr>
      <w:bookmarkStart w:id="241" w:name="_Toc81455"/>
      <w:bookmarkStart w:id="242" w:name="_Toc1537322"/>
      <w:bookmarkStart w:id="243" w:name="_Toc102975433"/>
      <w:bookmarkStart w:id="244" w:name="_Toc173225370"/>
      <w:bookmarkStart w:id="245" w:name="_Toc515955396"/>
      <w:bookmarkStart w:id="246" w:name="_Toc531597846"/>
      <w:bookmarkStart w:id="247" w:name="_Toc536411496"/>
      <w:r>
        <w:rPr>
          <w:rStyle w:val="CharSectno"/>
        </w:rPr>
        <w:t>33A</w:t>
      </w:r>
      <w:r>
        <w:t>.</w:t>
      </w:r>
      <w:r>
        <w:tab/>
        <w:t xml:space="preserve">Transitional provision — </w:t>
      </w:r>
      <w:r>
        <w:rPr>
          <w:i/>
        </w:rPr>
        <w:t>Agricultural and Veterinary Chemicals (Western Australia) Amendment Act 2001</w:t>
      </w:r>
      <w:bookmarkEnd w:id="241"/>
      <w:bookmarkEnd w:id="242"/>
      <w:bookmarkEnd w:id="243"/>
      <w:bookmarkEnd w:id="244"/>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 by No. 21 of 2001 s. 8.]</w:t>
      </w:r>
    </w:p>
    <w:p>
      <w:pPr>
        <w:pStyle w:val="Heading5"/>
        <w:rPr>
          <w:snapToGrid w:val="0"/>
        </w:rPr>
      </w:pPr>
      <w:bookmarkStart w:id="248" w:name="_Toc1537323"/>
      <w:bookmarkStart w:id="249" w:name="_Toc102975434"/>
      <w:bookmarkStart w:id="250" w:name="_Toc173225371"/>
      <w:r>
        <w:rPr>
          <w:rStyle w:val="CharSectno"/>
        </w:rPr>
        <w:t>34</w:t>
      </w:r>
      <w:r>
        <w:rPr>
          <w:snapToGrid w:val="0"/>
        </w:rPr>
        <w:t>.</w:t>
      </w:r>
      <w:r>
        <w:rPr>
          <w:snapToGrid w:val="0"/>
        </w:rPr>
        <w:tab/>
        <w:t>Review of Act</w:t>
      </w:r>
      <w:bookmarkEnd w:id="245"/>
      <w:bookmarkEnd w:id="246"/>
      <w:bookmarkEnd w:id="247"/>
      <w:bookmarkEnd w:id="248"/>
      <w:bookmarkEnd w:id="249"/>
      <w:bookmarkEnd w:id="250"/>
      <w:r>
        <w:rPr>
          <w:snapToGrid w:val="0"/>
        </w:rPr>
        <w:t>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251" w:name="_Toc96225075"/>
      <w:bookmarkStart w:id="252" w:name="_Toc97095722"/>
      <w:bookmarkStart w:id="253" w:name="_Toc102975435"/>
      <w:bookmarkStart w:id="254" w:name="_Toc137964287"/>
      <w:bookmarkStart w:id="255" w:name="_Toc137965251"/>
      <w:bookmarkStart w:id="256" w:name="_Toc173214411"/>
      <w:bookmarkStart w:id="257" w:name="_Toc173225372"/>
      <w:r>
        <w:rPr>
          <w:rStyle w:val="CharPartNo"/>
        </w:rPr>
        <w:t>Part 9</w:t>
      </w:r>
      <w:r>
        <w:rPr>
          <w:rStyle w:val="CharDivNo"/>
        </w:rPr>
        <w:t> </w:t>
      </w:r>
      <w:r>
        <w:t>—</w:t>
      </w:r>
      <w:r>
        <w:rPr>
          <w:rStyle w:val="CharDivText"/>
        </w:rPr>
        <w:t> </w:t>
      </w:r>
      <w:r>
        <w:rPr>
          <w:rStyle w:val="CharPartText"/>
        </w:rPr>
        <w:t>Imposition of Fees</w:t>
      </w:r>
      <w:bookmarkEnd w:id="251"/>
      <w:bookmarkEnd w:id="252"/>
      <w:bookmarkEnd w:id="253"/>
      <w:bookmarkEnd w:id="254"/>
      <w:bookmarkEnd w:id="255"/>
      <w:bookmarkEnd w:id="256"/>
      <w:bookmarkEnd w:id="257"/>
    </w:p>
    <w:p>
      <w:pPr>
        <w:pStyle w:val="Heading5"/>
        <w:rPr>
          <w:snapToGrid w:val="0"/>
        </w:rPr>
      </w:pPr>
      <w:bookmarkStart w:id="258" w:name="_Toc515955397"/>
      <w:bookmarkStart w:id="259" w:name="_Toc531597847"/>
      <w:bookmarkStart w:id="260" w:name="_Toc536411497"/>
      <w:bookmarkStart w:id="261" w:name="_Toc1537324"/>
      <w:bookmarkStart w:id="262" w:name="_Toc102975436"/>
      <w:bookmarkStart w:id="263" w:name="_Toc173225373"/>
      <w:r>
        <w:rPr>
          <w:rStyle w:val="CharSectno"/>
        </w:rPr>
        <w:t>35</w:t>
      </w:r>
      <w:r>
        <w:rPr>
          <w:snapToGrid w:val="0"/>
        </w:rPr>
        <w:t>.</w:t>
      </w:r>
      <w:r>
        <w:rPr>
          <w:snapToGrid w:val="0"/>
        </w:rPr>
        <w:tab/>
        <w:t>Fees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264" w:name="_Toc96225077"/>
      <w:bookmarkStart w:id="265" w:name="_Toc97095724"/>
      <w:bookmarkStart w:id="266" w:name="_Toc102975437"/>
      <w:bookmarkStart w:id="267" w:name="_Toc137964289"/>
      <w:bookmarkStart w:id="268" w:name="_Toc137965253"/>
      <w:bookmarkStart w:id="269" w:name="_Toc173214413"/>
      <w:bookmarkStart w:id="270" w:name="_Toc173225374"/>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264"/>
      <w:bookmarkEnd w:id="265"/>
      <w:bookmarkEnd w:id="266"/>
      <w:bookmarkEnd w:id="267"/>
      <w:bookmarkEnd w:id="268"/>
      <w:bookmarkEnd w:id="269"/>
      <w:bookmarkEnd w:id="270"/>
    </w:p>
    <w:p>
      <w:pPr>
        <w:pStyle w:val="Footnotesection"/>
      </w:pPr>
      <w:r>
        <w:tab/>
        <w:t>[Heading inserted by No. 21 of 2001 s. 9.]</w:t>
      </w:r>
    </w:p>
    <w:p>
      <w:pPr>
        <w:pStyle w:val="Heading5"/>
      </w:pPr>
      <w:bookmarkStart w:id="271" w:name="_Toc531597848"/>
      <w:bookmarkStart w:id="272" w:name="_Toc536411498"/>
      <w:bookmarkStart w:id="273" w:name="_Toc1537325"/>
      <w:bookmarkStart w:id="274" w:name="_Toc102975438"/>
      <w:bookmarkStart w:id="275" w:name="_Toc173225375"/>
      <w:r>
        <w:rPr>
          <w:rStyle w:val="CharSectno"/>
        </w:rPr>
        <w:t>35A</w:t>
      </w:r>
      <w:r>
        <w:t>.</w:t>
      </w:r>
      <w:r>
        <w:tab/>
        <w:t>Conferral of functions on Commonwealth Director of Public Prosecutions</w:t>
      </w:r>
      <w:bookmarkEnd w:id="271"/>
      <w:bookmarkEnd w:id="272"/>
      <w:bookmarkEnd w:id="273"/>
      <w:bookmarkEnd w:id="274"/>
      <w:bookmarkEnd w:id="275"/>
      <w:r>
        <w:t xml:space="preserve"> </w:t>
      </w:r>
    </w:p>
    <w:p>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pPr>
        <w:pStyle w:val="Indenta"/>
      </w:pPr>
      <w:r>
        <w:tab/>
        <w:t>(a)</w:t>
      </w:r>
      <w:r>
        <w:tab/>
      </w:r>
      <w:r>
        <w:rPr>
          <w:snapToGrid w:val="0"/>
        </w:rPr>
        <w:t>institute prosecutions on indictment for indictable offences against the Agvet Code, or the Agvet Regulations</w:t>
      </w:r>
      <w:r>
        <w:t>, of this jurisdiction;</w:t>
      </w:r>
    </w:p>
    <w:p>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pPr>
        <w:pStyle w:val="Indenta"/>
      </w:pPr>
      <w:r>
        <w:tab/>
        <w:t>(d)</w:t>
      </w:r>
      <w:r>
        <w:tab/>
        <w:t>institute proceedings for the commitment of persons for trial in respect of indictable offences against the Agvet Code, or the Agvet Regulations, of this jurisdiction;</w:t>
      </w:r>
    </w:p>
    <w:p>
      <w:pPr>
        <w:pStyle w:val="Indenta"/>
      </w:pPr>
      <w:r>
        <w:tab/>
        <w:t>(e)</w:t>
      </w:r>
      <w:r>
        <w:tab/>
        <w:t xml:space="preserve">institute proceedings for the summary conviction of persons in respect of offences against the Agvet Code, or the Agvet Regulations, of this jurisdiction; </w:t>
      </w:r>
    </w:p>
    <w:p>
      <w:pPr>
        <w:pStyle w:val="Indenta"/>
      </w:pPr>
      <w:r>
        <w:tab/>
        <w:t>(f)</w:t>
      </w:r>
      <w:r>
        <w:tab/>
        <w:t>carry on proceedings of a kind referred to in paragraph (d) or (e) (whether or not instituted by the Commonwealth Director); and</w:t>
      </w:r>
    </w:p>
    <w:p>
      <w:pPr>
        <w:pStyle w:val="Indenta"/>
      </w:pPr>
      <w:r>
        <w:tab/>
        <w:t>(g)</w:t>
      </w:r>
      <w:r>
        <w:tab/>
        <w:t>do anything incidental or conducive to the performance of any of the functions referred to in paragraphs (a) to (f).</w:t>
      </w:r>
    </w:p>
    <w:p>
      <w:pPr>
        <w:pStyle w:val="Footnotesection"/>
      </w:pPr>
      <w:r>
        <w:tab/>
        <w:t>[Section 35A inserted by No. 21 of 2001 s. 9.]</w:t>
      </w:r>
    </w:p>
    <w:p>
      <w:pPr>
        <w:pStyle w:val="Heading2"/>
      </w:pPr>
      <w:bookmarkStart w:id="276" w:name="_Toc96225079"/>
      <w:bookmarkStart w:id="277" w:name="_Toc97095726"/>
      <w:bookmarkStart w:id="278" w:name="_Toc102975439"/>
      <w:bookmarkStart w:id="279" w:name="_Toc137964291"/>
      <w:bookmarkStart w:id="280" w:name="_Toc137965255"/>
      <w:bookmarkStart w:id="281" w:name="_Toc173214415"/>
      <w:bookmarkStart w:id="282" w:name="_Toc173225376"/>
      <w:r>
        <w:rPr>
          <w:rStyle w:val="CharPartNo"/>
        </w:rPr>
        <w:t>Part 10</w:t>
      </w:r>
      <w:r>
        <w:rPr>
          <w:rStyle w:val="CharDivNo"/>
        </w:rPr>
        <w:t> </w:t>
      </w:r>
      <w:r>
        <w:t>—</w:t>
      </w:r>
      <w:r>
        <w:rPr>
          <w:rStyle w:val="CharDivText"/>
        </w:rPr>
        <w:t> </w:t>
      </w:r>
      <w:r>
        <w:rPr>
          <w:rStyle w:val="CharPartText"/>
        </w:rPr>
        <w:t>Relationship with other State laws</w:t>
      </w:r>
      <w:bookmarkEnd w:id="276"/>
      <w:bookmarkEnd w:id="277"/>
      <w:bookmarkEnd w:id="278"/>
      <w:bookmarkEnd w:id="279"/>
      <w:bookmarkEnd w:id="280"/>
      <w:bookmarkEnd w:id="281"/>
      <w:bookmarkEnd w:id="282"/>
    </w:p>
    <w:p>
      <w:pPr>
        <w:pStyle w:val="Heading5"/>
        <w:rPr>
          <w:snapToGrid w:val="0"/>
        </w:rPr>
      </w:pPr>
      <w:bookmarkStart w:id="283" w:name="_Toc515955398"/>
      <w:bookmarkStart w:id="284" w:name="_Toc531597849"/>
      <w:bookmarkStart w:id="285" w:name="_Toc536411499"/>
      <w:bookmarkStart w:id="286" w:name="_Toc1537326"/>
      <w:bookmarkStart w:id="287" w:name="_Toc102975440"/>
      <w:bookmarkStart w:id="288" w:name="_Toc173225377"/>
      <w:r>
        <w:rPr>
          <w:rStyle w:val="CharSectno"/>
        </w:rPr>
        <w:t>36</w:t>
      </w:r>
      <w:r>
        <w:rPr>
          <w:snapToGrid w:val="0"/>
        </w:rPr>
        <w:t>.</w:t>
      </w:r>
      <w:r>
        <w:rPr>
          <w:snapToGrid w:val="0"/>
        </w:rPr>
        <w:tab/>
        <w:t>Relationship with other State laws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Agvet Code</w:t>
      </w:r>
      <w:r>
        <w:rPr>
          <w:snapToGrid w:val="0"/>
        </w:rPr>
        <w:t xml:space="preserve"> means the Agvet Code of this jurisdiction and includes the Agvet Regulations of this jurisdiction.</w:t>
      </w:r>
    </w:p>
    <w:p>
      <w:pPr>
        <w:pStyle w:val="Ednotesubsection"/>
      </w:pPr>
      <w:r>
        <w:tab/>
        <w:t>[(2)</w:t>
      </w:r>
      <w:r>
        <w:tab/>
        <w:t>deleted]</w:t>
      </w:r>
    </w:p>
    <w:p>
      <w:pPr>
        <w:pStyle w:val="Subsection"/>
        <w:rPr>
          <w:snapToGrid w:val="0"/>
        </w:rPr>
      </w:pPr>
      <w:r>
        <w:rPr>
          <w:snapToGrid w:val="0"/>
        </w:rPr>
        <w:tab/>
        <w:t>(3)</w:t>
      </w:r>
      <w:r>
        <w:rPr>
          <w:snapToGrid w:val="0"/>
        </w:rPr>
        <w:tab/>
        <w:t>Despite any other provision of this Act or the Agvet Code, regulations made under section 32 may provide — </w:t>
      </w:r>
    </w:p>
    <w:p>
      <w:pPr>
        <w:pStyle w:val="Indenta"/>
        <w:rPr>
          <w:snapToGrid w:val="0"/>
        </w:rPr>
      </w:pPr>
      <w:r>
        <w:rPr>
          <w:snapToGrid w:val="0"/>
        </w:rPr>
        <w:tab/>
        <w:t>(a)</w:t>
      </w:r>
      <w:r>
        <w:rPr>
          <w:snapToGrid w:val="0"/>
        </w:rPr>
        <w:tab/>
        <w:t>that a specified enactment has effect despite the Agvet Code, or a specified provision of the Agvet Code;</w:t>
      </w:r>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 by No. 4 of 2000 s. 3.]</w:t>
      </w:r>
    </w:p>
    <w:p>
      <w:pPr>
        <w:pStyle w:val="Ednotepart"/>
      </w:pPr>
      <w:r>
        <w:t>[Part 11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89" w:name="_Toc96225081"/>
      <w:bookmarkStart w:id="290" w:name="_Toc97095728"/>
      <w:bookmarkStart w:id="291" w:name="_Toc102975441"/>
      <w:bookmarkStart w:id="292" w:name="_Toc137964293"/>
      <w:bookmarkStart w:id="293" w:name="_Toc137965257"/>
    </w:p>
    <w:p>
      <w:pPr>
        <w:pStyle w:val="nHeading2"/>
      </w:pPr>
      <w:bookmarkStart w:id="294" w:name="_Toc173214417"/>
      <w:bookmarkStart w:id="295" w:name="_Toc173225378"/>
      <w:r>
        <w:t>Notes</w:t>
      </w:r>
      <w:bookmarkEnd w:id="289"/>
      <w:bookmarkEnd w:id="290"/>
      <w:bookmarkEnd w:id="291"/>
      <w:bookmarkEnd w:id="292"/>
      <w:bookmarkEnd w:id="293"/>
      <w:bookmarkEnd w:id="294"/>
      <w:bookmarkEnd w:id="295"/>
    </w:p>
    <w:p>
      <w:pPr>
        <w:pStyle w:val="nSubsection"/>
      </w:pPr>
      <w:bookmarkStart w:id="296" w:name="_Toc531597871"/>
      <w:bookmarkStart w:id="297" w:name="_Toc1537348"/>
      <w:r>
        <w:rPr>
          <w:vertAlign w:val="superscript"/>
        </w:rPr>
        <w:t>1</w:t>
      </w:r>
      <w:r>
        <w:tab/>
        <w:t xml:space="preserve">This is a compilation of the </w:t>
      </w:r>
      <w:r>
        <w:rPr>
          <w:i/>
          <w:sz w:val="19"/>
        </w:rPr>
        <w:t>Agricultural and Veterinary Chemicals (Western Australia) Act 1995</w:t>
      </w:r>
      <w:r>
        <w:rPr>
          <w:i/>
        </w:rPr>
        <w:t xml:space="preserve"> </w:t>
      </w:r>
      <w:r>
        <w:t xml:space="preserve">and includes the amendments made by the other written laws referred to in the following table </w:t>
      </w:r>
      <w:r>
        <w:rPr>
          <w:vertAlign w:val="superscript"/>
        </w:rPr>
        <w:t>2</w:t>
      </w:r>
      <w:r>
        <w:t>. The table also contains information about any reprint.</w:t>
      </w:r>
    </w:p>
    <w:p>
      <w:pPr>
        <w:pStyle w:val="nHeading3"/>
        <w:rPr>
          <w:snapToGrid w:val="0"/>
        </w:rPr>
      </w:pPr>
      <w:bookmarkStart w:id="298" w:name="_Toc102975442"/>
      <w:bookmarkStart w:id="299" w:name="_Toc173225379"/>
      <w:r>
        <w:rPr>
          <w:snapToGrid w:val="0"/>
        </w:rPr>
        <w:t>Compilation table</w:t>
      </w:r>
      <w:bookmarkEnd w:id="296"/>
      <w:bookmarkEnd w:id="297"/>
      <w:bookmarkEnd w:id="298"/>
      <w:bookmarkEnd w:id="299"/>
    </w:p>
    <w:tbl>
      <w:tblPr>
        <w:tblW w:w="7088" w:type="dxa"/>
        <w:tblInd w:w="77"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after="60"/>
              <w:ind w:right="113"/>
              <w:rPr>
                <w:sz w:val="19"/>
              </w:rPr>
            </w:pPr>
            <w:r>
              <w:rPr>
                <w:i/>
                <w:sz w:val="19"/>
              </w:rPr>
              <w:t>Agricultural and Veterinary Chemicals (Western Australia) Act 1995</w:t>
            </w:r>
          </w:p>
        </w:tc>
        <w:tc>
          <w:tcPr>
            <w:tcW w:w="1134" w:type="dxa"/>
          </w:tcPr>
          <w:p>
            <w:pPr>
              <w:pStyle w:val="nTable"/>
              <w:spacing w:before="120"/>
              <w:rPr>
                <w:sz w:val="19"/>
              </w:rPr>
            </w:pPr>
            <w:r>
              <w:rPr>
                <w:sz w:val="19"/>
              </w:rPr>
              <w:t>3 of 1995</w:t>
            </w:r>
          </w:p>
        </w:tc>
        <w:tc>
          <w:tcPr>
            <w:tcW w:w="1134" w:type="dxa"/>
          </w:tcPr>
          <w:p>
            <w:pPr>
              <w:pStyle w:val="nTable"/>
              <w:spacing w:before="120"/>
              <w:rPr>
                <w:sz w:val="19"/>
              </w:rPr>
            </w:pPr>
            <w:r>
              <w:rPr>
                <w:sz w:val="19"/>
              </w:rPr>
              <w:t>17 May 1995</w:t>
            </w:r>
          </w:p>
        </w:tc>
        <w:tc>
          <w:tcPr>
            <w:tcW w:w="2552" w:type="dxa"/>
          </w:tcPr>
          <w:p>
            <w:pPr>
              <w:pStyle w:val="nTable"/>
              <w:spacing w:before="120"/>
              <w:rPr>
                <w:sz w:val="19"/>
              </w:rPr>
            </w:pPr>
            <w:r>
              <w:rPr>
                <w:sz w:val="19"/>
              </w:rPr>
              <w:t>24 Jun 1995 (see s. 2 and </w:t>
            </w:r>
            <w:r>
              <w:rPr>
                <w:i/>
                <w:sz w:val="19"/>
              </w:rPr>
              <w:t>Gazette</w:t>
            </w:r>
            <w:r>
              <w:rPr>
                <w:sz w:val="19"/>
              </w:rPr>
              <w:t xml:space="preserve"> 23 Jun 1995 p. 2419)</w:t>
            </w:r>
          </w:p>
        </w:tc>
      </w:tr>
      <w:tr>
        <w:trPr>
          <w:cantSplit/>
        </w:trPr>
        <w:tc>
          <w:tcPr>
            <w:tcW w:w="2268" w:type="dxa"/>
          </w:tcPr>
          <w:p>
            <w:pPr>
              <w:pStyle w:val="nTable"/>
              <w:spacing w:before="120" w:after="60"/>
              <w:ind w:right="113"/>
              <w:rPr>
                <w:i/>
                <w:sz w:val="19"/>
              </w:rPr>
            </w:pPr>
            <w:r>
              <w:rPr>
                <w:i/>
                <w:sz w:val="19"/>
              </w:rPr>
              <w:t>Agricultural and Veterinary Chemicals (Western Australia) Amendment Act 2000</w:t>
            </w:r>
          </w:p>
        </w:tc>
        <w:tc>
          <w:tcPr>
            <w:tcW w:w="1134" w:type="dxa"/>
          </w:tcPr>
          <w:p>
            <w:pPr>
              <w:pStyle w:val="nTable"/>
              <w:spacing w:before="120"/>
              <w:rPr>
                <w:sz w:val="19"/>
              </w:rPr>
            </w:pPr>
            <w:r>
              <w:rPr>
                <w:sz w:val="19"/>
              </w:rPr>
              <w:t>4 of 2000</w:t>
            </w:r>
          </w:p>
        </w:tc>
        <w:tc>
          <w:tcPr>
            <w:tcW w:w="1134" w:type="dxa"/>
          </w:tcPr>
          <w:p>
            <w:pPr>
              <w:pStyle w:val="nTable"/>
              <w:spacing w:before="120"/>
              <w:rPr>
                <w:sz w:val="19"/>
              </w:rPr>
            </w:pPr>
            <w:r>
              <w:rPr>
                <w:sz w:val="19"/>
              </w:rPr>
              <w:t>10 Apr 2000</w:t>
            </w:r>
          </w:p>
        </w:tc>
        <w:tc>
          <w:tcPr>
            <w:tcW w:w="2552" w:type="dxa"/>
          </w:tcPr>
          <w:p>
            <w:pPr>
              <w:pStyle w:val="nTable"/>
              <w:spacing w:before="120"/>
              <w:rPr>
                <w:sz w:val="19"/>
              </w:rPr>
            </w:pPr>
            <w:r>
              <w:rPr>
                <w:sz w:val="19"/>
              </w:rPr>
              <w:t>10 Apr 2000 (see s. 2)</w:t>
            </w:r>
          </w:p>
        </w:tc>
      </w:tr>
      <w:tr>
        <w:trPr>
          <w:cantSplit/>
        </w:trPr>
        <w:tc>
          <w:tcPr>
            <w:tcW w:w="2268" w:type="dxa"/>
          </w:tcPr>
          <w:p>
            <w:pPr>
              <w:pStyle w:val="nTable"/>
              <w:spacing w:before="120" w:after="60"/>
              <w:ind w:right="113"/>
              <w:rPr>
                <w:sz w:val="19"/>
              </w:rPr>
            </w:pPr>
            <w:r>
              <w:rPr>
                <w:i/>
                <w:sz w:val="19"/>
              </w:rPr>
              <w:t>Agricultural and Veterinary Chemicals (Western Australia) Amendment Act 2001</w:t>
            </w:r>
          </w:p>
        </w:tc>
        <w:tc>
          <w:tcPr>
            <w:tcW w:w="1134" w:type="dxa"/>
          </w:tcPr>
          <w:p>
            <w:pPr>
              <w:pStyle w:val="nTable"/>
              <w:spacing w:before="120"/>
              <w:rPr>
                <w:sz w:val="19"/>
              </w:rPr>
            </w:pPr>
            <w:r>
              <w:rPr>
                <w:sz w:val="19"/>
              </w:rPr>
              <w:t>21 of 2</w:t>
            </w:r>
            <w:bookmarkStart w:id="300" w:name="UpToHere"/>
            <w:bookmarkEnd w:id="300"/>
            <w:r>
              <w:rPr>
                <w:sz w:val="19"/>
              </w:rPr>
              <w:t>001</w:t>
            </w:r>
          </w:p>
        </w:tc>
        <w:tc>
          <w:tcPr>
            <w:tcW w:w="1134" w:type="dxa"/>
          </w:tcPr>
          <w:p>
            <w:pPr>
              <w:pStyle w:val="nTable"/>
              <w:spacing w:before="120"/>
              <w:rPr>
                <w:sz w:val="19"/>
              </w:rPr>
            </w:pPr>
            <w:r>
              <w:rPr>
                <w:sz w:val="19"/>
              </w:rPr>
              <w:t>26 Nov 2001</w:t>
            </w:r>
          </w:p>
        </w:tc>
        <w:tc>
          <w:tcPr>
            <w:tcW w:w="2552" w:type="dxa"/>
          </w:tcPr>
          <w:p>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trPr>
          <w:cantSplit/>
        </w:trPr>
        <w:tc>
          <w:tcPr>
            <w:tcW w:w="2268" w:type="dxa"/>
          </w:tcPr>
          <w:p>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120" w:after="60"/>
              <w:ind w:right="113"/>
              <w:rPr>
                <w:i/>
                <w:iCs/>
                <w:snapToGrid w:val="0"/>
                <w:sz w:val="19"/>
                <w:lang w:val="en-US"/>
              </w:rPr>
            </w:pPr>
            <w:r>
              <w:rPr>
                <w:i/>
                <w:sz w:val="19"/>
              </w:rPr>
              <w:t>Gene Technology Act 2006</w:t>
            </w:r>
            <w:r>
              <w:rPr>
                <w:iCs/>
                <w:sz w:val="19"/>
              </w:rPr>
              <w:t xml:space="preserve"> Pt. 13 </w:t>
            </w:r>
          </w:p>
        </w:tc>
        <w:tc>
          <w:tcPr>
            <w:tcW w:w="1134" w:type="dxa"/>
          </w:tcPr>
          <w:p>
            <w:pPr>
              <w:pStyle w:val="nTable"/>
              <w:spacing w:before="120"/>
              <w:rPr>
                <w:snapToGrid w:val="0"/>
                <w:sz w:val="19"/>
                <w:lang w:val="en-US"/>
              </w:rPr>
            </w:pPr>
            <w:r>
              <w:rPr>
                <w:sz w:val="19"/>
              </w:rPr>
              <w:t>20 of 2006</w:t>
            </w:r>
          </w:p>
        </w:tc>
        <w:tc>
          <w:tcPr>
            <w:tcW w:w="1134" w:type="dxa"/>
          </w:tcPr>
          <w:p>
            <w:pPr>
              <w:pStyle w:val="nTable"/>
              <w:spacing w:before="120"/>
              <w:rPr>
                <w:sz w:val="19"/>
              </w:rPr>
            </w:pPr>
            <w:r>
              <w:rPr>
                <w:sz w:val="19"/>
              </w:rPr>
              <w:t>9 Jun 2006</w:t>
            </w:r>
          </w:p>
        </w:tc>
        <w:tc>
          <w:tcPr>
            <w:tcW w:w="2552" w:type="dxa"/>
          </w:tcPr>
          <w:p>
            <w:pPr>
              <w:pStyle w:val="nTable"/>
              <w:spacing w:before="120"/>
              <w:rPr>
                <w:snapToGrid w:val="0"/>
                <w:sz w:val="19"/>
                <w:lang w:val="en-US"/>
              </w:rPr>
            </w:pPr>
            <w:r>
              <w:rPr>
                <w:sz w:val="19"/>
              </w:rPr>
              <w:t xml:space="preserve">28 Jul 2007 (see s. 2 and </w:t>
            </w:r>
            <w:r>
              <w:rPr>
                <w:i/>
                <w:iCs/>
                <w:sz w:val="19"/>
              </w:rPr>
              <w:t>Gazette</w:t>
            </w:r>
            <w:r>
              <w:rPr>
                <w:sz w:val="19"/>
              </w:rPr>
              <w:t xml:space="preserve"> 27 Jul 2007 p. 3735)</w:t>
            </w:r>
          </w:p>
        </w:tc>
      </w:tr>
      <w:tr>
        <w:trPr>
          <w:cantSplit/>
        </w:trPr>
        <w:tc>
          <w:tcPr>
            <w:tcW w:w="2268" w:type="dxa"/>
            <w:tcBorders>
              <w:bottom w:val="single" w:sz="4" w:space="0" w:color="auto"/>
            </w:tcBorders>
          </w:tcPr>
          <w:p>
            <w:pPr>
              <w:pStyle w:val="nTable"/>
              <w:spacing w:before="120" w:after="60"/>
              <w:ind w:right="113"/>
              <w:rPr>
                <w:i/>
                <w:sz w:val="19"/>
              </w:rPr>
            </w:pPr>
            <w:r>
              <w:rPr>
                <w:i/>
                <w:sz w:val="19"/>
              </w:rPr>
              <w:t>Statutes (Repeals and Miscellaneous Amendments) Act 2009</w:t>
            </w:r>
            <w:r>
              <w:rPr>
                <w:iCs/>
                <w:sz w:val="19"/>
              </w:rPr>
              <w:t xml:space="preserve"> s. 19</w:t>
            </w:r>
          </w:p>
        </w:tc>
        <w:tc>
          <w:tcPr>
            <w:tcW w:w="1134" w:type="dxa"/>
            <w:tcBorders>
              <w:bottom w:val="single" w:sz="4" w:space="0" w:color="auto"/>
            </w:tcBorders>
          </w:tcPr>
          <w:p>
            <w:pPr>
              <w:pStyle w:val="nTable"/>
              <w:spacing w:before="120"/>
              <w:rPr>
                <w:sz w:val="19"/>
              </w:rPr>
            </w:pPr>
            <w:r>
              <w:rPr>
                <w:sz w:val="19"/>
              </w:rPr>
              <w:t xml:space="preserve">8 of 2009 </w:t>
            </w:r>
          </w:p>
        </w:tc>
        <w:tc>
          <w:tcPr>
            <w:tcW w:w="1134" w:type="dxa"/>
            <w:tcBorders>
              <w:bottom w:val="single" w:sz="4" w:space="0" w:color="auto"/>
            </w:tcBorders>
          </w:tcPr>
          <w:p>
            <w:pPr>
              <w:pStyle w:val="nTable"/>
              <w:spacing w:before="120"/>
              <w:rPr>
                <w:sz w:val="19"/>
              </w:rPr>
            </w:pPr>
            <w:r>
              <w:rPr>
                <w:sz w:val="19"/>
              </w:rPr>
              <w:t>21 May 2009</w:t>
            </w:r>
          </w:p>
        </w:tc>
        <w:tc>
          <w:tcPr>
            <w:tcW w:w="2552" w:type="dxa"/>
            <w:tcBorders>
              <w:bottom w:val="single" w:sz="4" w:space="0" w:color="auto"/>
            </w:tcBorders>
          </w:tcPr>
          <w:p>
            <w:pPr>
              <w:pStyle w:val="nTable"/>
              <w:spacing w:before="120"/>
              <w:rPr>
                <w:sz w:val="19"/>
              </w:rPr>
            </w:pPr>
            <w:r>
              <w:rPr>
                <w:sz w:val="19"/>
              </w:rPr>
              <w:t>22 May 2009 (see s. 2(b))</w:t>
            </w:r>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had not come into operation when it was deleted by the </w:t>
      </w:r>
      <w:r>
        <w:rPr>
          <w:i/>
          <w:iCs/>
          <w:snapToGrid w:val="0"/>
        </w:rPr>
        <w:t xml:space="preserve">Statutes (Repeals and Miscellaneous Amendments) Act 2009 </w:t>
      </w:r>
      <w:r>
        <w:rPr>
          <w:snapToGrid w:val="0"/>
        </w:rPr>
        <w:t>s. 16.</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and Veterinary Chemicals (Western Australia)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and Veterinary Chemicals (Western Australia)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and Veterinary Chemicals (Western Australia)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DCF9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BA94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487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4FB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E56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122F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668D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857"/>
    <w:docVar w:name="WAFER_20151204114857" w:val="RemoveTrackChanges"/>
    <w:docVar w:name="WAFER_20151204114857_GUID" w:val="46cf183d-d0d3-4775-b0e8-ff10918c2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6165</Words>
  <Characters>31012</Characters>
  <Application>Microsoft Office Word</Application>
  <DocSecurity>0</DocSecurity>
  <Lines>861</Lines>
  <Paragraphs>447</Paragraphs>
  <ScaleCrop>false</ScaleCrop>
  <HeadingPairs>
    <vt:vector size="2" baseType="variant">
      <vt:variant>
        <vt:lpstr>Title</vt:lpstr>
      </vt:variant>
      <vt:variant>
        <vt:i4>1</vt:i4>
      </vt:variant>
    </vt:vector>
  </HeadingPairs>
  <TitlesOfParts>
    <vt:vector size="1" baseType="lpstr">
      <vt:lpstr>Agricultural And Veterinary Chemicals (Western Australia) Act 1995</vt:lpstr>
    </vt:vector>
  </TitlesOfParts>
  <Manager/>
  <Company/>
  <LinksUpToDate>false</LinksUpToDate>
  <CharactersWithSpaces>36730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1995 - 01-e0-05</dc:title>
  <dc:subject/>
  <dc:creator/>
  <cp:keywords/>
  <dc:description/>
  <cp:lastModifiedBy>svcMRProcess</cp:lastModifiedBy>
  <cp:revision>4</cp:revision>
  <cp:lastPrinted>2009-05-26T06:07:00Z</cp:lastPrinted>
  <dcterms:created xsi:type="dcterms:W3CDTF">2015-12-04T11:42:00Z</dcterms:created>
  <dcterms:modified xsi:type="dcterms:W3CDTF">2015-12-04T11:42:00Z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12</vt:i4>
  </property>
  <property fmtid="{D5CDD505-2E9C-101B-9397-08002B2CF9AE}" pid="6" name="AsAtDate">
    <vt:lpwstr>22 May 2009</vt:lpwstr>
  </property>
  <property fmtid="{D5CDD505-2E9C-101B-9397-08002B2CF9AE}" pid="7" name="Suffix">
    <vt:lpwstr>01-e0-05</vt:lpwstr>
  </property>
</Properties>
</file>