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Law Reform (Miscellaneous Provisions) Act 1941</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Law Reform (Miscellaneous Provisions) Act 1941</w:t>
      </w:r>
      <w:r>
        <w:fldChar w:fldCharType="end"/>
      </w:r>
    </w:p>
    <w:p>
      <w:pPr>
        <w:pStyle w:val="Arrangement"/>
      </w:pPr>
      <w:r>
        <w:t>CONTENTS</w:t>
      </w:r>
    </w:p>
    <w:p>
      <w:pPr>
        <w:pStyle w:val="TOC8"/>
        <w:rPr>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24"/>
        </w:rPr>
        <w:t>1</w:t>
      </w:r>
      <w:r>
        <w:rPr>
          <w:snapToGrid w:val="0"/>
          <w:szCs w:val="24"/>
        </w:rPr>
        <w:t>.</w:t>
      </w:r>
      <w:r>
        <w:rPr>
          <w:snapToGrid w:val="0"/>
          <w:szCs w:val="24"/>
        </w:rPr>
        <w:tab/>
        <w:t>Short title and commencement</w:t>
      </w:r>
      <w:r>
        <w:tab/>
      </w:r>
      <w:r>
        <w:fldChar w:fldCharType="begin"/>
      </w:r>
      <w:r>
        <w:instrText xml:space="preserve"> PAGEREF _Toc119993577 \h </w:instrText>
      </w:r>
      <w:r>
        <w:fldChar w:fldCharType="separate"/>
      </w:r>
      <w:r>
        <w:t>1</w:t>
      </w:r>
      <w:r>
        <w:fldChar w:fldCharType="end"/>
      </w:r>
    </w:p>
    <w:p>
      <w:pPr>
        <w:pStyle w:val="TOC8"/>
        <w:rPr>
          <w:sz w:val="24"/>
          <w:szCs w:val="24"/>
        </w:rPr>
      </w:pPr>
      <w:r>
        <w:rPr>
          <w:szCs w:val="24"/>
        </w:rPr>
        <w:t>2.</w:t>
      </w:r>
      <w:r>
        <w:rPr>
          <w:szCs w:val="24"/>
        </w:rPr>
        <w:tab/>
        <w:t>Doctrine of unity of spouses abolished</w:t>
      </w:r>
      <w:r>
        <w:tab/>
      </w:r>
      <w:r>
        <w:fldChar w:fldCharType="begin"/>
      </w:r>
      <w:r>
        <w:instrText xml:space="preserve"> PAGEREF _Toc119993578 \h </w:instrText>
      </w:r>
      <w:r>
        <w:fldChar w:fldCharType="separate"/>
      </w:r>
      <w:r>
        <w:t>1</w:t>
      </w:r>
      <w:r>
        <w:fldChar w:fldCharType="end"/>
      </w:r>
    </w:p>
    <w:p>
      <w:pPr>
        <w:pStyle w:val="TOC8"/>
        <w:rPr>
          <w:sz w:val="24"/>
          <w:szCs w:val="24"/>
        </w:rPr>
      </w:pPr>
      <w:r>
        <w:rPr>
          <w:szCs w:val="24"/>
        </w:rPr>
        <w:t>3.</w:t>
      </w:r>
      <w:r>
        <w:rPr>
          <w:szCs w:val="24"/>
        </w:rPr>
        <w:tab/>
        <w:t>Spousal capacity</w:t>
      </w:r>
      <w:r>
        <w:tab/>
      </w:r>
      <w:r>
        <w:fldChar w:fldCharType="begin"/>
      </w:r>
      <w:r>
        <w:instrText xml:space="preserve"> PAGEREF _Toc119993579 \h </w:instrText>
      </w:r>
      <w:r>
        <w:fldChar w:fldCharType="separate"/>
      </w:r>
      <w:r>
        <w:t>1</w:t>
      </w:r>
      <w:r>
        <w:fldChar w:fldCharType="end"/>
      </w:r>
    </w:p>
    <w:p>
      <w:pPr>
        <w:pStyle w:val="TOC8"/>
        <w:rPr>
          <w:sz w:val="24"/>
          <w:szCs w:val="24"/>
        </w:rPr>
      </w:pPr>
      <w:r>
        <w:rPr>
          <w:szCs w:val="24"/>
        </w:rPr>
        <w:t>4</w:t>
      </w:r>
      <w:r>
        <w:rPr>
          <w:snapToGrid w:val="0"/>
          <w:szCs w:val="24"/>
        </w:rPr>
        <w:t>.</w:t>
      </w:r>
      <w:r>
        <w:rPr>
          <w:snapToGrid w:val="0"/>
          <w:szCs w:val="24"/>
        </w:rPr>
        <w:tab/>
        <w:t>Effect of death on certain causes of action</w:t>
      </w:r>
      <w:r>
        <w:tab/>
      </w:r>
      <w:r>
        <w:fldChar w:fldCharType="begin"/>
      </w:r>
      <w:r>
        <w:instrText xml:space="preserve"> PAGEREF _Toc119993580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Discount rate applicable to damages awarded for future loss</w:t>
      </w:r>
      <w:r>
        <w:tab/>
      </w:r>
      <w:r>
        <w:fldChar w:fldCharType="begin"/>
      </w:r>
      <w:r>
        <w:instrText xml:space="preserve"> PAGEREF _Toc119993581 \h </w:instrText>
      </w:r>
      <w:r>
        <w:fldChar w:fldCharType="separate"/>
      </w:r>
      <w:r>
        <w:t>4</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_Toc119993583 \h </w:instrText>
      </w:r>
      <w:r>
        <w:fldChar w:fldCharType="separate"/>
      </w:r>
      <w:r>
        <w:t>5</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p>
    <w:p>
      <w:pPr>
        <w:pStyle w:val="Footnotesection"/>
      </w:pPr>
      <w:r>
        <w:tab/>
        <w:t>[Long title amended by No. 28 of 2003 s. 116(2); No. 8 of 2009 s. 84(2).]</w:t>
      </w:r>
    </w:p>
    <w:p>
      <w:pPr>
        <w:pStyle w:val="Heading5"/>
        <w:rPr>
          <w:snapToGrid w:val="0"/>
        </w:rPr>
      </w:pPr>
      <w:bookmarkStart w:id="1" w:name="_Toc411308532"/>
      <w:bookmarkStart w:id="2" w:name="_Toc4488890"/>
      <w:bookmarkStart w:id="3" w:name="_Toc15200323"/>
      <w:bookmarkStart w:id="4" w:name="_Toc15264678"/>
      <w:bookmarkStart w:id="5" w:name="_Toc119917143"/>
      <w:bookmarkStart w:id="6" w:name="_Toc119993577"/>
      <w:r>
        <w:rPr>
          <w:rStyle w:val="CharSectno"/>
        </w:rPr>
        <w:t>1</w:t>
      </w:r>
      <w:r>
        <w:rPr>
          <w:snapToGrid w:val="0"/>
        </w:rPr>
        <w:t>.</w:t>
      </w:r>
      <w:r>
        <w:rPr>
          <w:snapToGrid w:val="0"/>
        </w:rPr>
        <w:tab/>
        <w:t xml:space="preserve">Short </w:t>
      </w:r>
      <w:r>
        <w:t>title</w:t>
      </w:r>
      <w:r>
        <w:rPr>
          <w:snapToGrid w:val="0"/>
        </w:rPr>
        <w:t xml:space="preserve"> and commencement</w:t>
      </w:r>
      <w:bookmarkEnd w:id="1"/>
      <w:bookmarkEnd w:id="2"/>
      <w:bookmarkEnd w:id="3"/>
      <w:bookmarkEnd w:id="4"/>
      <w:bookmarkEnd w:id="5"/>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r>
        <w:rPr>
          <w:snapToGrid w:val="0"/>
          <w:vertAlign w:val="superscript"/>
        </w:rPr>
        <w:t> 1</w:t>
      </w:r>
      <w:r>
        <w:rPr>
          <w:snapToGrid w:val="0"/>
        </w:rPr>
        <w:t>.</w:t>
      </w:r>
    </w:p>
    <w:p>
      <w:pPr>
        <w:pStyle w:val="Heading5"/>
      </w:pPr>
      <w:bookmarkStart w:id="7" w:name="_Toc119917144"/>
      <w:bookmarkStart w:id="8" w:name="_Toc119993578"/>
      <w:bookmarkStart w:id="9" w:name="_Toc411308535"/>
      <w:bookmarkStart w:id="10" w:name="_Toc4488893"/>
      <w:bookmarkStart w:id="11" w:name="_Toc15200326"/>
      <w:bookmarkStart w:id="12" w:name="_Toc15264681"/>
      <w:r>
        <w:rPr>
          <w:rStyle w:val="CharSectno"/>
        </w:rPr>
        <w:t>2</w:t>
      </w:r>
      <w:r>
        <w:t>.</w:t>
      </w:r>
      <w:r>
        <w:tab/>
        <w:t>Doctrine of unity of spouses abolished</w:t>
      </w:r>
      <w:bookmarkEnd w:id="7"/>
      <w:bookmarkEnd w:id="8"/>
    </w:p>
    <w:p>
      <w:pPr>
        <w:pStyle w:val="Subsection"/>
      </w:pPr>
      <w:r>
        <w:tab/>
      </w:r>
      <w:r>
        <w:tab/>
        <w:t>The common law doctrine of unity of spouses is abolished.</w:t>
      </w:r>
    </w:p>
    <w:p>
      <w:pPr>
        <w:pStyle w:val="Footnotesection"/>
      </w:pPr>
      <w:r>
        <w:tab/>
        <w:t>[Section 2 inserted by No. 28 of 2003 s. 116(3).]</w:t>
      </w:r>
    </w:p>
    <w:p>
      <w:pPr>
        <w:pStyle w:val="Heading5"/>
      </w:pPr>
      <w:bookmarkStart w:id="13" w:name="_Toc119917145"/>
      <w:bookmarkStart w:id="14" w:name="_Toc119993579"/>
      <w:r>
        <w:rPr>
          <w:rStyle w:val="CharSectno"/>
        </w:rPr>
        <w:t>3</w:t>
      </w:r>
      <w:r>
        <w:t>.</w:t>
      </w:r>
      <w:r>
        <w:tab/>
        <w:t>Spousal capacity</w:t>
      </w:r>
      <w:bookmarkEnd w:id="13"/>
      <w:bookmarkEnd w:id="14"/>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tab/>
        <w:t>[Section 3 inserted by No. 28 of 2003 s. 116(3).]</w:t>
      </w:r>
    </w:p>
    <w:p>
      <w:pPr>
        <w:pStyle w:val="Heading5"/>
        <w:rPr>
          <w:snapToGrid w:val="0"/>
        </w:rPr>
      </w:pPr>
      <w:bookmarkStart w:id="15" w:name="_Toc119917146"/>
      <w:bookmarkStart w:id="16" w:name="_Toc119993580"/>
      <w:r>
        <w:rPr>
          <w:rStyle w:val="CharSectno"/>
        </w:rPr>
        <w:t>4</w:t>
      </w:r>
      <w:r>
        <w:rPr>
          <w:snapToGrid w:val="0"/>
        </w:rPr>
        <w:t>.</w:t>
      </w:r>
      <w:r>
        <w:rPr>
          <w:snapToGrid w:val="0"/>
        </w:rPr>
        <w:tab/>
        <w:t>Effect of death on certain causes of action</w:t>
      </w:r>
      <w:bookmarkEnd w:id="9"/>
      <w:bookmarkEnd w:id="10"/>
      <w:bookmarkEnd w:id="11"/>
      <w:bookmarkEnd w:id="12"/>
      <w:bookmarkEnd w:id="15"/>
      <w:bookmarkEnd w:id="16"/>
      <w:r>
        <w:rPr>
          <w:snapToGrid w:val="0"/>
        </w:rPr>
        <w:t xml:space="preserve"> </w:t>
      </w:r>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Ednotepara"/>
        <w:rPr>
          <w:snapToGrid w:val="0"/>
        </w:rPr>
      </w:pPr>
      <w:r>
        <w:rPr>
          <w:snapToGrid w:val="0"/>
        </w:rPr>
        <w:tab/>
        <w:t>[(ca)</w:t>
      </w:r>
      <w:r>
        <w:rPr>
          <w:snapToGrid w:val="0"/>
        </w:rPr>
        <w:tab/>
        <w:t>deleted]</w:t>
      </w:r>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shall not include any damages for the loss of the capacity of that person to earn, or for the loss of future probable earnings of that person, during such time after his death as he would have survived but for the Act or omission which gives rise to the cause of action.</w:t>
      </w:r>
    </w:p>
    <w:p>
      <w:pPr>
        <w:pStyle w:val="Subsection"/>
      </w:pPr>
      <w:r>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 </w:t>
      </w:r>
      <w:r>
        <w:rPr>
          <w:vertAlign w:val="superscript"/>
        </w:rPr>
        <w:t>1</w:t>
      </w:r>
      <w:r>
        <w:t>;</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t>deleted]</w:t>
      </w:r>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r>
        <w:rPr>
          <w:snapToGrid w:val="0"/>
          <w:vertAlign w:val="superscript"/>
        </w:rPr>
        <w:t>3</w:t>
      </w:r>
      <w:r>
        <w:rPr>
          <w:snapToGrid w:val="0"/>
        </w:rPr>
        <w:t>, and so much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pPr>
      <w:r>
        <w:tab/>
        <w:t>[Section 4 amended by No. 80 of 1982 s. 2; No. 84 of 1983 s. 11; No. 1 of 2002 s. 3; No. 20 of 2005 s. 15(1)</w:t>
      </w:r>
      <w:r>
        <w:noBreakHyphen/>
        <w:t xml:space="preserve">(3); No. 8 of 2009 s. 84(3).] </w:t>
      </w:r>
    </w:p>
    <w:p>
      <w:pPr>
        <w:pStyle w:val="Heading5"/>
        <w:rPr>
          <w:snapToGrid w:val="0"/>
        </w:rPr>
      </w:pPr>
      <w:bookmarkStart w:id="17" w:name="_Toc411308536"/>
      <w:bookmarkStart w:id="18" w:name="_Toc4488894"/>
      <w:bookmarkStart w:id="19" w:name="_Toc15200327"/>
      <w:bookmarkStart w:id="20" w:name="_Toc15264682"/>
      <w:bookmarkStart w:id="21" w:name="_Toc119917147"/>
      <w:bookmarkStart w:id="22" w:name="_Toc119993581"/>
      <w:r>
        <w:rPr>
          <w:rStyle w:val="CharSectno"/>
        </w:rPr>
        <w:t>5</w:t>
      </w:r>
      <w:r>
        <w:rPr>
          <w:snapToGrid w:val="0"/>
        </w:rPr>
        <w:t>.</w:t>
      </w:r>
      <w:r>
        <w:rPr>
          <w:snapToGrid w:val="0"/>
        </w:rPr>
        <w:tab/>
        <w:t>Discount rate applicable to damages awarded for future loss</w:t>
      </w:r>
      <w:bookmarkEnd w:id="17"/>
      <w:bookmarkEnd w:id="18"/>
      <w:bookmarkEnd w:id="19"/>
      <w:bookmarkEnd w:id="20"/>
      <w:bookmarkEnd w:id="21"/>
      <w:bookmarkEnd w:id="22"/>
      <w:r>
        <w:rPr>
          <w:snapToGrid w:val="0"/>
        </w:rPr>
        <w:t xml:space="preserve"> </w:t>
      </w:r>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 xml:space="preserve">[Section 5 inserted by No. 50 of 1986 s. 5(1).]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pPr>
        <w:pStyle w:val="nHeading2"/>
      </w:pPr>
      <w:bookmarkStart w:id="23" w:name="_Toc119917148"/>
      <w:bookmarkStart w:id="24" w:name="_Toc119917194"/>
      <w:bookmarkStart w:id="25" w:name="_Toc119993582"/>
      <w:r>
        <w:t>Notes</w:t>
      </w:r>
      <w:bookmarkEnd w:id="23"/>
      <w:bookmarkEnd w:id="24"/>
      <w:bookmarkEnd w:id="25"/>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Law Reform (Miscellaneous Provisions) Act 1941</w:t>
      </w:r>
      <w:r>
        <w:rPr>
          <w:snapToGrid w:val="0"/>
        </w:rPr>
        <w:t xml:space="preserve"> and includes the amendments made by the other written laws referred to in the following table. The table also contains information about any previous reprint.</w:t>
      </w:r>
    </w:p>
    <w:p>
      <w:pPr>
        <w:pStyle w:val="nHeading3"/>
        <w:rPr>
          <w:snapToGrid w:val="0"/>
        </w:rPr>
      </w:pPr>
      <w:bookmarkStart w:id="26" w:name="_Toc4488895"/>
      <w:bookmarkStart w:id="27" w:name="_Toc15264683"/>
      <w:bookmarkStart w:id="28" w:name="_Toc119917149"/>
      <w:bookmarkStart w:id="29" w:name="_Toc119993583"/>
      <w:r>
        <w:rPr>
          <w:snapToGrid w:val="0"/>
        </w:rPr>
        <w:t>Compilation table</w:t>
      </w:r>
      <w:bookmarkEnd w:id="26"/>
      <w:bookmarkEnd w:id="27"/>
      <w:bookmarkEnd w:id="28"/>
      <w:bookmarkEnd w:id="2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12" w:space="0" w:color="auto"/>
              <w:bottom w:val="single" w:sz="12" w:space="0" w:color="auto"/>
            </w:tcBorders>
          </w:tcPr>
          <w:p>
            <w:pPr>
              <w:pStyle w:val="nTable"/>
              <w:spacing w:before="60" w:after="60"/>
              <w:ind w:right="113"/>
              <w:rPr>
                <w:b/>
                <w:sz w:val="19"/>
              </w:rPr>
            </w:pPr>
            <w:r>
              <w:rPr>
                <w:b/>
                <w:sz w:val="19"/>
              </w:rPr>
              <w:t>Short title</w:t>
            </w:r>
          </w:p>
        </w:tc>
        <w:tc>
          <w:tcPr>
            <w:tcW w:w="1134" w:type="dxa"/>
            <w:tcBorders>
              <w:top w:val="single" w:sz="12" w:space="0" w:color="auto"/>
              <w:bottom w:val="single" w:sz="12" w:space="0" w:color="auto"/>
            </w:tcBorders>
          </w:tcPr>
          <w:p>
            <w:pPr>
              <w:pStyle w:val="nTable"/>
              <w:spacing w:before="60" w:after="60"/>
              <w:rPr>
                <w:b/>
                <w:sz w:val="19"/>
              </w:rPr>
            </w:pPr>
            <w:r>
              <w:rPr>
                <w:b/>
                <w:sz w:val="19"/>
              </w:rPr>
              <w:t>Number and year</w:t>
            </w:r>
          </w:p>
        </w:tc>
        <w:tc>
          <w:tcPr>
            <w:tcW w:w="1134" w:type="dxa"/>
            <w:tcBorders>
              <w:top w:val="single" w:sz="12" w:space="0" w:color="auto"/>
              <w:bottom w:val="single" w:sz="12" w:space="0" w:color="auto"/>
            </w:tcBorders>
          </w:tcPr>
          <w:p>
            <w:pPr>
              <w:pStyle w:val="nTable"/>
              <w:spacing w:before="60" w:after="60"/>
              <w:rPr>
                <w:b/>
                <w:sz w:val="19"/>
              </w:rPr>
            </w:pPr>
            <w:r>
              <w:rPr>
                <w:b/>
                <w:sz w:val="19"/>
              </w:rPr>
              <w:t>Assent</w:t>
            </w:r>
          </w:p>
        </w:tc>
        <w:tc>
          <w:tcPr>
            <w:tcW w:w="2552" w:type="dxa"/>
            <w:tcBorders>
              <w:top w:val="single" w:sz="12" w:space="0" w:color="auto"/>
              <w:bottom w:val="single" w:sz="12" w:space="0" w:color="auto"/>
            </w:tcBorders>
          </w:tcPr>
          <w:p>
            <w:pPr>
              <w:pStyle w:val="nTable"/>
              <w:spacing w:before="60" w:after="60"/>
              <w:rPr>
                <w:b/>
                <w:sz w:val="19"/>
              </w:rPr>
            </w:pPr>
            <w:r>
              <w:rPr>
                <w:b/>
                <w:sz w:val="19"/>
              </w:rPr>
              <w:t>Commencement</w:t>
            </w:r>
          </w:p>
        </w:tc>
      </w:tr>
      <w:tr>
        <w:trPr>
          <w:cantSplit/>
        </w:trPr>
        <w:tc>
          <w:tcPr>
            <w:tcW w:w="2268" w:type="dxa"/>
          </w:tcPr>
          <w:p>
            <w:pPr>
              <w:pStyle w:val="nTable"/>
              <w:spacing w:before="120"/>
              <w:ind w:right="113"/>
              <w:rPr>
                <w:sz w:val="19"/>
              </w:rPr>
            </w:pPr>
            <w:r>
              <w:rPr>
                <w:i/>
                <w:sz w:val="19"/>
              </w:rPr>
              <w:t>Law Reform (Miscellaneous Provisions) Act 1941</w:t>
            </w:r>
          </w:p>
        </w:tc>
        <w:tc>
          <w:tcPr>
            <w:tcW w:w="1134" w:type="dxa"/>
          </w:tcPr>
          <w:p>
            <w:pPr>
              <w:pStyle w:val="nTable"/>
              <w:spacing w:before="120"/>
              <w:rPr>
                <w:sz w:val="19"/>
              </w:rPr>
            </w:pPr>
            <w:r>
              <w:rPr>
                <w:sz w:val="19"/>
              </w:rPr>
              <w:t>29 of 1941</w:t>
            </w:r>
          </w:p>
        </w:tc>
        <w:tc>
          <w:tcPr>
            <w:tcW w:w="1134" w:type="dxa"/>
          </w:tcPr>
          <w:p>
            <w:pPr>
              <w:pStyle w:val="nTable"/>
              <w:spacing w:before="120"/>
              <w:rPr>
                <w:sz w:val="19"/>
              </w:rPr>
            </w:pPr>
            <w:r>
              <w:rPr>
                <w:sz w:val="19"/>
              </w:rPr>
              <w:t>15 Dec 1941</w:t>
            </w:r>
          </w:p>
        </w:tc>
        <w:tc>
          <w:tcPr>
            <w:tcW w:w="2552" w:type="dxa"/>
          </w:tcPr>
          <w:p>
            <w:pPr>
              <w:pStyle w:val="nTable"/>
              <w:spacing w:before="120"/>
              <w:rPr>
                <w:sz w:val="19"/>
              </w:rPr>
            </w:pPr>
            <w:r>
              <w:rPr>
                <w:sz w:val="19"/>
              </w:rPr>
              <w:t xml:space="preserve">24 Oct 1942 (see s. 1 and </w:t>
            </w:r>
            <w:r>
              <w:rPr>
                <w:i/>
                <w:sz w:val="19"/>
              </w:rPr>
              <w:t>Gazette</w:t>
            </w:r>
            <w:r>
              <w:rPr>
                <w:sz w:val="19"/>
              </w:rPr>
              <w:t xml:space="preserve"> 23 Oct 1942 p. 995)</w:t>
            </w:r>
          </w:p>
        </w:tc>
      </w:tr>
      <w:tr>
        <w:trPr>
          <w:cantSplit/>
        </w:trPr>
        <w:tc>
          <w:tcPr>
            <w:tcW w:w="2268" w:type="dxa"/>
          </w:tcPr>
          <w:p>
            <w:pPr>
              <w:pStyle w:val="nTable"/>
              <w:spacing w:before="120"/>
              <w:ind w:right="113"/>
              <w:rPr>
                <w:i/>
                <w:sz w:val="19"/>
              </w:rPr>
            </w:pPr>
            <w:r>
              <w:rPr>
                <w:i/>
                <w:sz w:val="19"/>
              </w:rPr>
              <w:t xml:space="preserve">Law Reform (Contributory Negligence and Tortfeasors’ Contribution) Act 1947 </w:t>
            </w:r>
            <w:r>
              <w:rPr>
                <w:sz w:val="19"/>
              </w:rPr>
              <w:t>s. 2</w:t>
            </w:r>
          </w:p>
        </w:tc>
        <w:tc>
          <w:tcPr>
            <w:tcW w:w="1134" w:type="dxa"/>
          </w:tcPr>
          <w:p>
            <w:pPr>
              <w:pStyle w:val="nTable"/>
              <w:spacing w:before="120"/>
              <w:rPr>
                <w:sz w:val="19"/>
              </w:rPr>
            </w:pPr>
            <w:r>
              <w:rPr>
                <w:sz w:val="19"/>
              </w:rPr>
              <w:t>23 of 1947</w:t>
            </w:r>
          </w:p>
        </w:tc>
        <w:tc>
          <w:tcPr>
            <w:tcW w:w="1134" w:type="dxa"/>
          </w:tcPr>
          <w:p>
            <w:pPr>
              <w:pStyle w:val="nTable"/>
              <w:spacing w:before="120"/>
              <w:rPr>
                <w:sz w:val="19"/>
              </w:rPr>
            </w:pPr>
            <w:r>
              <w:rPr>
                <w:sz w:val="19"/>
              </w:rPr>
              <w:t>7 Nov 1947</w:t>
            </w:r>
          </w:p>
        </w:tc>
        <w:tc>
          <w:tcPr>
            <w:tcW w:w="2552" w:type="dxa"/>
          </w:tcPr>
          <w:p>
            <w:pPr>
              <w:pStyle w:val="nTable"/>
              <w:spacing w:before="120"/>
              <w:rPr>
                <w:sz w:val="19"/>
              </w:rPr>
            </w:pPr>
            <w:r>
              <w:rPr>
                <w:sz w:val="19"/>
              </w:rPr>
              <w:t>7 Nov 1947</w:t>
            </w:r>
          </w:p>
        </w:tc>
      </w:tr>
      <w:tr>
        <w:trPr>
          <w:cantSplit/>
        </w:trPr>
        <w:tc>
          <w:tcPr>
            <w:tcW w:w="2268" w:type="dxa"/>
          </w:tcPr>
          <w:p>
            <w:pPr>
              <w:pStyle w:val="nTable"/>
              <w:spacing w:before="120"/>
              <w:ind w:right="113"/>
              <w:rPr>
                <w:sz w:val="19"/>
              </w:rPr>
            </w:pPr>
            <w:r>
              <w:rPr>
                <w:i/>
                <w:sz w:val="19"/>
              </w:rPr>
              <w:t>Law Reform (Property, Perpetuities, and Succession) Act 1962</w:t>
            </w:r>
            <w:r>
              <w:rPr>
                <w:sz w:val="19"/>
              </w:rPr>
              <w:t xml:space="preserve"> s. 9(4) </w:t>
            </w:r>
          </w:p>
        </w:tc>
        <w:tc>
          <w:tcPr>
            <w:tcW w:w="1134" w:type="dxa"/>
          </w:tcPr>
          <w:p>
            <w:pPr>
              <w:pStyle w:val="nTable"/>
              <w:spacing w:before="120"/>
              <w:rPr>
                <w:sz w:val="19"/>
              </w:rPr>
            </w:pPr>
            <w:r>
              <w:rPr>
                <w:sz w:val="19"/>
              </w:rPr>
              <w:t>83 of 1962</w:t>
            </w:r>
          </w:p>
        </w:tc>
        <w:tc>
          <w:tcPr>
            <w:tcW w:w="1134" w:type="dxa"/>
          </w:tcPr>
          <w:p>
            <w:pPr>
              <w:pStyle w:val="nTable"/>
              <w:spacing w:before="120"/>
              <w:rPr>
                <w:sz w:val="19"/>
              </w:rPr>
            </w:pPr>
            <w:r>
              <w:rPr>
                <w:sz w:val="19"/>
              </w:rPr>
              <w:t>6 Dec 1962</w:t>
            </w:r>
          </w:p>
        </w:tc>
        <w:tc>
          <w:tcPr>
            <w:tcW w:w="2552" w:type="dxa"/>
          </w:tcPr>
          <w:p>
            <w:pPr>
              <w:pStyle w:val="nTable"/>
              <w:spacing w:before="120"/>
              <w:rPr>
                <w:sz w:val="19"/>
              </w:rPr>
            </w:pPr>
            <w:r>
              <w:rPr>
                <w:sz w:val="19"/>
              </w:rPr>
              <w:t>6 Dec 1962</w:t>
            </w:r>
          </w:p>
        </w:tc>
      </w:tr>
      <w:tr>
        <w:trPr>
          <w:cantSplit/>
        </w:trPr>
        <w:tc>
          <w:tcPr>
            <w:tcW w:w="2268" w:type="dxa"/>
          </w:tcPr>
          <w:p>
            <w:pPr>
              <w:pStyle w:val="nTable"/>
              <w:spacing w:before="120"/>
              <w:ind w:right="113"/>
              <w:rPr>
                <w:sz w:val="19"/>
              </w:rPr>
            </w:pPr>
            <w:r>
              <w:rPr>
                <w:i/>
                <w:sz w:val="19"/>
              </w:rPr>
              <w:t>Law Reform (Miscellaneous Provisions) Amendment Act 1982</w:t>
            </w:r>
          </w:p>
        </w:tc>
        <w:tc>
          <w:tcPr>
            <w:tcW w:w="1134" w:type="dxa"/>
          </w:tcPr>
          <w:p>
            <w:pPr>
              <w:pStyle w:val="nTable"/>
              <w:spacing w:before="120"/>
              <w:rPr>
                <w:sz w:val="19"/>
              </w:rPr>
            </w:pPr>
            <w:r>
              <w:rPr>
                <w:sz w:val="19"/>
              </w:rPr>
              <w:t>80 of 1982</w:t>
            </w:r>
          </w:p>
        </w:tc>
        <w:tc>
          <w:tcPr>
            <w:tcW w:w="1134" w:type="dxa"/>
          </w:tcPr>
          <w:p>
            <w:pPr>
              <w:pStyle w:val="nTable"/>
              <w:spacing w:before="120"/>
              <w:rPr>
                <w:sz w:val="19"/>
              </w:rPr>
            </w:pPr>
            <w:r>
              <w:rPr>
                <w:sz w:val="19"/>
              </w:rPr>
              <w:t>22 Nov 1982</w:t>
            </w:r>
          </w:p>
        </w:tc>
        <w:tc>
          <w:tcPr>
            <w:tcW w:w="2552" w:type="dxa"/>
          </w:tcPr>
          <w:p>
            <w:pPr>
              <w:pStyle w:val="nTable"/>
              <w:spacing w:before="120"/>
              <w:rPr>
                <w:sz w:val="19"/>
              </w:rPr>
            </w:pPr>
            <w:r>
              <w:rPr>
                <w:sz w:val="19"/>
              </w:rPr>
              <w:t>22 Nov 1982</w:t>
            </w:r>
          </w:p>
        </w:tc>
      </w:tr>
      <w:tr>
        <w:trPr>
          <w:cantSplit/>
        </w:trPr>
        <w:tc>
          <w:tcPr>
            <w:tcW w:w="7088" w:type="dxa"/>
            <w:gridSpan w:val="4"/>
          </w:tcPr>
          <w:p>
            <w:pPr>
              <w:pStyle w:val="nTable"/>
              <w:spacing w:before="120"/>
              <w:rPr>
                <w:sz w:val="19"/>
              </w:rPr>
            </w:pPr>
            <w:r>
              <w:rPr>
                <w:b/>
                <w:sz w:val="19"/>
              </w:rPr>
              <w:t xml:space="preserve">Reprint of the </w:t>
            </w:r>
            <w:r>
              <w:rPr>
                <w:b/>
                <w:i/>
                <w:sz w:val="19"/>
              </w:rPr>
              <w:t xml:space="preserve">Law Reform (Miscellaneous Provisions) Act 1941 </w:t>
            </w:r>
            <w:r>
              <w:rPr>
                <w:b/>
                <w:sz w:val="19"/>
              </w:rPr>
              <w:t>approved 25 Sep 1983</w:t>
            </w:r>
            <w:r>
              <w:rPr>
                <w:sz w:val="19"/>
              </w:rPr>
              <w:t xml:space="preserve"> (includes amendments listed above)</w:t>
            </w:r>
            <w:r>
              <w:rPr>
                <w:i/>
                <w:sz w:val="19"/>
              </w:rPr>
              <w:t xml:space="preserve"> </w:t>
            </w:r>
          </w:p>
        </w:tc>
      </w:tr>
      <w:tr>
        <w:trPr>
          <w:cantSplit/>
        </w:trPr>
        <w:tc>
          <w:tcPr>
            <w:tcW w:w="2268" w:type="dxa"/>
          </w:tcPr>
          <w:p>
            <w:pPr>
              <w:pStyle w:val="nTable"/>
              <w:spacing w:before="120"/>
              <w:ind w:right="113"/>
              <w:rPr>
                <w:sz w:val="19"/>
              </w:rPr>
            </w:pPr>
            <w:r>
              <w:rPr>
                <w:i/>
                <w:sz w:val="19"/>
              </w:rPr>
              <w:t>Acts Amendment (Asbestos Related Diseases) Act 1983</w:t>
            </w:r>
            <w:r>
              <w:rPr>
                <w:sz w:val="19"/>
              </w:rPr>
              <w:t xml:space="preserve"> Pt. V</w:t>
            </w:r>
          </w:p>
        </w:tc>
        <w:tc>
          <w:tcPr>
            <w:tcW w:w="1134" w:type="dxa"/>
          </w:tcPr>
          <w:p>
            <w:pPr>
              <w:pStyle w:val="nTable"/>
              <w:spacing w:before="120"/>
              <w:rPr>
                <w:sz w:val="19"/>
              </w:rPr>
            </w:pPr>
            <w:r>
              <w:rPr>
                <w:sz w:val="19"/>
              </w:rPr>
              <w:t>84 of 1983</w:t>
            </w:r>
          </w:p>
        </w:tc>
        <w:tc>
          <w:tcPr>
            <w:tcW w:w="1134" w:type="dxa"/>
          </w:tcPr>
          <w:p>
            <w:pPr>
              <w:pStyle w:val="nTable"/>
              <w:spacing w:before="120"/>
              <w:rPr>
                <w:sz w:val="19"/>
              </w:rPr>
            </w:pPr>
            <w:r>
              <w:rPr>
                <w:sz w:val="19"/>
              </w:rPr>
              <w:t>22 Dec 1983</w:t>
            </w:r>
          </w:p>
        </w:tc>
        <w:tc>
          <w:tcPr>
            <w:tcW w:w="2552" w:type="dxa"/>
          </w:tcPr>
          <w:p>
            <w:pPr>
              <w:pStyle w:val="nTable"/>
              <w:spacing w:before="120"/>
              <w:rPr>
                <w:sz w:val="19"/>
              </w:rPr>
            </w:pPr>
            <w:r>
              <w:rPr>
                <w:sz w:val="19"/>
              </w:rPr>
              <w:t>19 Jan 1984 (see s. 2)</w:t>
            </w:r>
          </w:p>
        </w:tc>
      </w:tr>
      <w:tr>
        <w:trPr>
          <w:cantSplit/>
        </w:trPr>
        <w:tc>
          <w:tcPr>
            <w:tcW w:w="2268" w:type="dxa"/>
          </w:tcPr>
          <w:p>
            <w:pPr>
              <w:pStyle w:val="nTable"/>
              <w:spacing w:before="120"/>
              <w:ind w:right="113"/>
              <w:rPr>
                <w:sz w:val="19"/>
              </w:rPr>
            </w:pPr>
            <w:r>
              <w:rPr>
                <w:i/>
                <w:sz w:val="19"/>
              </w:rPr>
              <w:t>Acts Amendment (Actions for Damages) Act 1986</w:t>
            </w:r>
            <w:r>
              <w:rPr>
                <w:sz w:val="19"/>
              </w:rPr>
              <w:t xml:space="preserve"> Pt. II </w:t>
            </w:r>
          </w:p>
        </w:tc>
        <w:tc>
          <w:tcPr>
            <w:tcW w:w="1134" w:type="dxa"/>
          </w:tcPr>
          <w:p>
            <w:pPr>
              <w:pStyle w:val="nTable"/>
              <w:spacing w:before="120"/>
              <w:rPr>
                <w:sz w:val="19"/>
              </w:rPr>
            </w:pPr>
            <w:r>
              <w:rPr>
                <w:sz w:val="19"/>
              </w:rPr>
              <w:t>50 of 1986</w:t>
            </w:r>
          </w:p>
        </w:tc>
        <w:tc>
          <w:tcPr>
            <w:tcW w:w="1134" w:type="dxa"/>
          </w:tcPr>
          <w:p>
            <w:pPr>
              <w:pStyle w:val="nTable"/>
              <w:spacing w:before="120"/>
              <w:rPr>
                <w:sz w:val="19"/>
              </w:rPr>
            </w:pPr>
            <w:r>
              <w:rPr>
                <w:sz w:val="19"/>
              </w:rPr>
              <w:t>4 Aug 1986</w:t>
            </w:r>
          </w:p>
        </w:tc>
        <w:tc>
          <w:tcPr>
            <w:tcW w:w="2552" w:type="dxa"/>
          </w:tcPr>
          <w:p>
            <w:pPr>
              <w:pStyle w:val="nTable"/>
              <w:spacing w:before="120"/>
              <w:rPr>
                <w:sz w:val="19"/>
              </w:rPr>
            </w:pPr>
            <w:r>
              <w:rPr>
                <w:sz w:val="19"/>
              </w:rPr>
              <w:t xml:space="preserve">18 Aug 1986 (see s. 2 and </w:t>
            </w:r>
            <w:r>
              <w:rPr>
                <w:i/>
                <w:sz w:val="19"/>
              </w:rPr>
              <w:t>Gazette</w:t>
            </w:r>
            <w:r>
              <w:rPr>
                <w:sz w:val="19"/>
              </w:rPr>
              <w:t xml:space="preserve"> 15 Aug 1986 p. 2925)</w:t>
            </w:r>
          </w:p>
        </w:tc>
      </w:tr>
      <w:tr>
        <w:trPr>
          <w:cantSplit/>
        </w:trPr>
        <w:tc>
          <w:tcPr>
            <w:tcW w:w="2268" w:type="dxa"/>
          </w:tcPr>
          <w:p>
            <w:pPr>
              <w:pStyle w:val="nTable"/>
              <w:spacing w:before="120"/>
              <w:ind w:right="113"/>
              <w:rPr>
                <w:i/>
                <w:sz w:val="19"/>
              </w:rPr>
            </w:pPr>
            <w:r>
              <w:rPr>
                <w:i/>
                <w:sz w:val="19"/>
              </w:rPr>
              <w:t>Law Reform (Miscellaneous Provisions (Asbestos Diseases)) Act 2002</w:t>
            </w:r>
          </w:p>
        </w:tc>
        <w:tc>
          <w:tcPr>
            <w:tcW w:w="1134" w:type="dxa"/>
          </w:tcPr>
          <w:p>
            <w:pPr>
              <w:pStyle w:val="nTable"/>
              <w:spacing w:before="120"/>
              <w:rPr>
                <w:sz w:val="19"/>
              </w:rPr>
            </w:pPr>
            <w:r>
              <w:rPr>
                <w:sz w:val="19"/>
              </w:rPr>
              <w:t>1 of 2002</w:t>
            </w:r>
          </w:p>
        </w:tc>
        <w:tc>
          <w:tcPr>
            <w:tcW w:w="1134" w:type="dxa"/>
          </w:tcPr>
          <w:p>
            <w:pPr>
              <w:pStyle w:val="nTable"/>
              <w:spacing w:before="120"/>
              <w:rPr>
                <w:sz w:val="19"/>
              </w:rPr>
            </w:pPr>
            <w:r>
              <w:rPr>
                <w:sz w:val="19"/>
              </w:rPr>
              <w:t>20 Mar 2002</w:t>
            </w:r>
          </w:p>
        </w:tc>
        <w:tc>
          <w:tcPr>
            <w:tcW w:w="2552" w:type="dxa"/>
          </w:tcPr>
          <w:p>
            <w:pPr>
              <w:pStyle w:val="nTable"/>
              <w:spacing w:before="120"/>
              <w:rPr>
                <w:sz w:val="19"/>
              </w:rPr>
            </w:pPr>
            <w:r>
              <w:rPr>
                <w:sz w:val="19"/>
              </w:rPr>
              <w:t>21 Mar 2002 (see s. 2)</w:t>
            </w:r>
          </w:p>
        </w:tc>
      </w:tr>
      <w:tr>
        <w:trPr>
          <w:cantSplit/>
        </w:trPr>
        <w:tc>
          <w:tcPr>
            <w:tcW w:w="7088" w:type="dxa"/>
            <w:gridSpan w:val="4"/>
          </w:tcPr>
          <w:p>
            <w:pPr>
              <w:pStyle w:val="nTable"/>
              <w:spacing w:before="120"/>
              <w:rPr>
                <w:sz w:val="19"/>
              </w:rPr>
            </w:pPr>
            <w:r>
              <w:rPr>
                <w:b/>
                <w:sz w:val="19"/>
              </w:rPr>
              <w:t xml:space="preserve">Reprint of the </w:t>
            </w:r>
            <w:r>
              <w:rPr>
                <w:b/>
                <w:i/>
                <w:sz w:val="19"/>
              </w:rPr>
              <w:t xml:space="preserve">Law Reform (Miscellaneous Provisions) Act 1941 </w:t>
            </w:r>
            <w:r>
              <w:rPr>
                <w:b/>
                <w:sz w:val="19"/>
              </w:rPr>
              <w:t xml:space="preserve">as at 12 Jul 2002 </w:t>
            </w:r>
            <w:r>
              <w:rPr>
                <w:sz w:val="19"/>
              </w:rPr>
              <w:t>(includes amendments listed above)</w:t>
            </w:r>
          </w:p>
        </w:tc>
      </w:tr>
      <w:tr>
        <w:trPr>
          <w:cantSplit/>
        </w:trPr>
        <w:tc>
          <w:tcPr>
            <w:tcW w:w="2268" w:type="dxa"/>
          </w:tcPr>
          <w:p>
            <w:pPr>
              <w:pStyle w:val="nTable"/>
              <w:spacing w:before="120"/>
              <w:ind w:right="113"/>
              <w:rPr>
                <w:sz w:val="19"/>
              </w:rPr>
            </w:pPr>
            <w:r>
              <w:rPr>
                <w:i/>
                <w:sz w:val="19"/>
              </w:rPr>
              <w:t>Acts Amendment (Equality of Status) Act 2003</w:t>
            </w:r>
            <w:r>
              <w:rPr>
                <w:sz w:val="19"/>
              </w:rPr>
              <w:t xml:space="preserve"> s. 116</w:t>
            </w:r>
          </w:p>
        </w:tc>
        <w:tc>
          <w:tcPr>
            <w:tcW w:w="1134" w:type="dxa"/>
          </w:tcPr>
          <w:p>
            <w:pPr>
              <w:pStyle w:val="nTable"/>
              <w:spacing w:before="120"/>
              <w:rPr>
                <w:sz w:val="19"/>
              </w:rPr>
            </w:pPr>
            <w:r>
              <w:rPr>
                <w:sz w:val="19"/>
              </w:rPr>
              <w:t>28 of 2003</w:t>
            </w:r>
          </w:p>
        </w:tc>
        <w:tc>
          <w:tcPr>
            <w:tcW w:w="1134" w:type="dxa"/>
          </w:tcPr>
          <w:p>
            <w:pPr>
              <w:pStyle w:val="nTable"/>
              <w:spacing w:before="120"/>
              <w:rPr>
                <w:sz w:val="19"/>
              </w:rPr>
            </w:pPr>
            <w:r>
              <w:rPr>
                <w:sz w:val="19"/>
              </w:rPr>
              <w:t>22 May 2003</w:t>
            </w:r>
          </w:p>
        </w:tc>
        <w:tc>
          <w:tcPr>
            <w:tcW w:w="2552" w:type="dxa"/>
          </w:tcPr>
          <w:p>
            <w:pPr>
              <w:pStyle w:val="nTable"/>
              <w:spacing w:before="120"/>
              <w:rPr>
                <w:sz w:val="19"/>
              </w:rPr>
            </w:pPr>
            <w:r>
              <w:rPr>
                <w:sz w:val="19"/>
              </w:rPr>
              <w:t xml:space="preserve">1 Jul 2003 (see s. 2 and </w:t>
            </w:r>
            <w:r>
              <w:rPr>
                <w:i/>
                <w:sz w:val="19"/>
              </w:rPr>
              <w:t xml:space="preserve">Gazette </w:t>
            </w:r>
            <w:r>
              <w:rPr>
                <w:sz w:val="19"/>
              </w:rPr>
              <w:t>30 Jun 2003 p. 2579)</w:t>
            </w:r>
          </w:p>
        </w:tc>
      </w:tr>
      <w:tr>
        <w:tc>
          <w:tcPr>
            <w:tcW w:w="2268" w:type="dxa"/>
          </w:tcPr>
          <w:p>
            <w:pPr>
              <w:pStyle w:val="nTable"/>
              <w:spacing w:after="40"/>
              <w:rPr>
                <w:snapToGrid w:val="0"/>
                <w:sz w:val="19"/>
                <w:vertAlign w:val="superscript"/>
                <w:lang w:val="en-US"/>
              </w:rPr>
            </w:pPr>
            <w:r>
              <w:rPr>
                <w:i/>
                <w:iCs/>
                <w:snapToGrid w:val="0"/>
                <w:sz w:val="19"/>
                <w:lang w:val="en-US"/>
              </w:rPr>
              <w:t>Limitation Legislation Amendment and Repeal Act 2005</w:t>
            </w:r>
            <w:r>
              <w:rPr>
                <w:snapToGrid w:val="0"/>
                <w:sz w:val="19"/>
                <w:lang w:val="en-US"/>
              </w:rPr>
              <w:t xml:space="preserve"> Pt. 7 </w:t>
            </w:r>
            <w:r>
              <w:rPr>
                <w:snapToGrid w:val="0"/>
                <w:sz w:val="19"/>
                <w:vertAlign w:val="superscript"/>
                <w:lang w:val="en-US"/>
              </w:rPr>
              <w:t>4</w:t>
            </w:r>
          </w:p>
        </w:tc>
        <w:tc>
          <w:tcPr>
            <w:tcW w:w="1134" w:type="dxa"/>
          </w:tcPr>
          <w:p>
            <w:pPr>
              <w:pStyle w:val="nTable"/>
              <w:spacing w:after="40"/>
              <w:rPr>
                <w:snapToGrid w:val="0"/>
                <w:sz w:val="19"/>
                <w:lang w:val="en-US"/>
              </w:rPr>
            </w:pPr>
            <w:r>
              <w:rPr>
                <w:snapToGrid w:val="0"/>
                <w:sz w:val="19"/>
                <w:lang w:val="en-US"/>
              </w:rPr>
              <w:t>20 of 2005</w:t>
            </w:r>
          </w:p>
        </w:tc>
        <w:tc>
          <w:tcPr>
            <w:tcW w:w="1134" w:type="dxa"/>
          </w:tcPr>
          <w:p>
            <w:pPr>
              <w:pStyle w:val="nTable"/>
              <w:spacing w:after="40"/>
              <w:rPr>
                <w:sz w:val="19"/>
              </w:rPr>
            </w:pPr>
            <w:r>
              <w:rPr>
                <w:sz w:val="19"/>
              </w:rPr>
              <w:t>15 Nov 2005</w:t>
            </w:r>
          </w:p>
        </w:tc>
        <w:tc>
          <w:tcPr>
            <w:tcW w:w="2551" w:type="dxa"/>
          </w:tcPr>
          <w:p>
            <w:pPr>
              <w:pStyle w:val="nTable"/>
              <w:spacing w:after="40"/>
              <w:rPr>
                <w:snapToGrid w:val="0"/>
                <w:sz w:val="19"/>
                <w:lang w:val="en-US"/>
              </w:rPr>
            </w:pPr>
            <w:r>
              <w:rPr>
                <w:snapToGrid w:val="0"/>
                <w:sz w:val="19"/>
                <w:lang w:val="en-US"/>
              </w:rPr>
              <w:t>15 Nov 2005 (see s. 2)</w:t>
            </w:r>
          </w:p>
        </w:tc>
      </w:tr>
      <w:tr>
        <w:trPr>
          <w:cantSplit/>
        </w:trPr>
        <w:tc>
          <w:tcPr>
            <w:tcW w:w="2268" w:type="dxa"/>
            <w:tcBorders>
              <w:bottom w:val="single" w:sz="8" w:space="0" w:color="auto"/>
            </w:tcBorders>
          </w:tcPr>
          <w:p>
            <w:pPr>
              <w:pStyle w:val="nTable"/>
              <w:spacing w:after="40"/>
              <w:ind w:right="113"/>
              <w:rPr>
                <w:iCs/>
                <w:sz w:val="19"/>
              </w:rPr>
            </w:pPr>
            <w:r>
              <w:rPr>
                <w:i/>
                <w:sz w:val="19"/>
              </w:rPr>
              <w:t>Statutes (Repeals and Miscellaneous Amendments) Act 2009</w:t>
            </w:r>
            <w:r>
              <w:rPr>
                <w:iCs/>
                <w:sz w:val="19"/>
              </w:rPr>
              <w:t xml:space="preserve"> s. 84</w:t>
            </w:r>
          </w:p>
        </w:tc>
        <w:tc>
          <w:tcPr>
            <w:tcW w:w="1134" w:type="dxa"/>
            <w:tcBorders>
              <w:bottom w:val="single" w:sz="8" w:space="0" w:color="auto"/>
            </w:tcBorders>
          </w:tcPr>
          <w:p>
            <w:pPr>
              <w:pStyle w:val="nTable"/>
              <w:spacing w:after="40"/>
              <w:rPr>
                <w:sz w:val="19"/>
              </w:rPr>
            </w:pPr>
            <w:r>
              <w:rPr>
                <w:sz w:val="19"/>
              </w:rPr>
              <w:t xml:space="preserve">8 of 2009 </w:t>
            </w:r>
          </w:p>
        </w:tc>
        <w:tc>
          <w:tcPr>
            <w:tcW w:w="1134" w:type="dxa"/>
            <w:tcBorders>
              <w:bottom w:val="single" w:sz="8" w:space="0" w:color="auto"/>
            </w:tcBorders>
          </w:tcPr>
          <w:p>
            <w:pPr>
              <w:pStyle w:val="nTable"/>
              <w:spacing w:after="40"/>
              <w:rPr>
                <w:sz w:val="19"/>
              </w:rPr>
            </w:pPr>
            <w:r>
              <w:rPr>
                <w:sz w:val="19"/>
              </w:rPr>
              <w:t>21 May 2009</w:t>
            </w:r>
          </w:p>
        </w:tc>
        <w:tc>
          <w:tcPr>
            <w:tcW w:w="2551" w:type="dxa"/>
            <w:tcBorders>
              <w:bottom w:val="single" w:sz="8" w:space="0" w:color="auto"/>
            </w:tcBorders>
          </w:tcPr>
          <w:p>
            <w:pPr>
              <w:pStyle w:val="nTable"/>
              <w:spacing w:after="40"/>
              <w:rPr>
                <w:sz w:val="19"/>
              </w:rPr>
            </w:pPr>
            <w:r>
              <w:rPr>
                <w:sz w:val="19"/>
              </w:rPr>
              <w:t>22 May 2009 (see s. 2(b))</w:t>
            </w:r>
          </w:p>
        </w:tc>
      </w:tr>
    </w:tbl>
    <w:p>
      <w:pPr>
        <w:pStyle w:val="nSubsection"/>
        <w:spacing w:before="120"/>
        <w:rPr>
          <w:snapToGrid w:val="0"/>
        </w:rPr>
      </w:pPr>
      <w:r>
        <w:rPr>
          <w:snapToGrid w:val="0"/>
          <w:vertAlign w:val="superscript"/>
        </w:rPr>
        <w:t>2</w:t>
      </w:r>
      <w:r>
        <w:rPr>
          <w:snapToGrid w:val="0"/>
        </w:rPr>
        <w:tab/>
        <w:t xml:space="preserve">The </w:t>
      </w:r>
      <w:r>
        <w:rPr>
          <w:i/>
          <w:snapToGrid w:val="0"/>
        </w:rPr>
        <w:t>Supreme Court Act 1935</w:t>
      </w:r>
      <w:r>
        <w:rPr>
          <w:snapToGrid w:val="0"/>
        </w:rPr>
        <w:t xml:space="preserve"> s. 94 was repealed by the </w:t>
      </w:r>
      <w:r>
        <w:rPr>
          <w:i/>
        </w:rPr>
        <w:t>Matrimonial Causes and Personal Status Code 1948</w:t>
      </w:r>
      <w:r>
        <w:rPr>
          <w:snapToGrid w:val="0"/>
        </w:rPr>
        <w:t xml:space="preserve"> s. 3.</w:t>
      </w:r>
    </w:p>
    <w:p>
      <w:pPr>
        <w:pStyle w:val="nSubsection"/>
        <w:keepNext/>
        <w:keepLines/>
        <w:rPr>
          <w:snapToGrid w:val="0"/>
        </w:rPr>
      </w:pPr>
      <w:r>
        <w:rPr>
          <w:snapToGrid w:val="0"/>
          <w:vertAlign w:val="superscript"/>
        </w:rPr>
        <w:t>3</w:t>
      </w:r>
      <w:r>
        <w:rPr>
          <w:snapToGrid w:val="0"/>
          <w:vertAlign w:val="superscript"/>
        </w:rPr>
        <w:tab/>
      </w:r>
      <w:r>
        <w:rPr>
          <w:snapToGrid w:val="0"/>
        </w:rPr>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Subsection"/>
      </w:pPr>
      <w:r>
        <w:rPr>
          <w:vertAlign w:val="superscript"/>
        </w:rPr>
        <w:t>4</w:t>
      </w:r>
      <w:r>
        <w:tab/>
        <w:t xml:space="preserve">The </w:t>
      </w:r>
      <w:r>
        <w:rPr>
          <w:i/>
        </w:rPr>
        <w:t xml:space="preserve">Limitation Legislation Amendment and Repeal Act 2005 </w:t>
      </w:r>
      <w:r>
        <w:rPr>
          <w:iCs/>
        </w:rPr>
        <w:t>s. 15(4)</w:t>
      </w:r>
      <w:r>
        <w:t xml:space="preserve"> reads as follows:</w:t>
      </w:r>
    </w:p>
    <w:p>
      <w:pPr>
        <w:pStyle w:val="MiscOpen"/>
      </w:pPr>
      <w:r>
        <w:t>“</w:t>
      </w:r>
    </w:p>
    <w:p>
      <w:pPr>
        <w:pStyle w:val="nzHeading5"/>
      </w:pPr>
      <w:bookmarkStart w:id="30" w:name="_Toc86826892"/>
      <w:bookmarkStart w:id="31" w:name="_Toc119316841"/>
      <w:r>
        <w:rPr>
          <w:rStyle w:val="CharSectno"/>
        </w:rPr>
        <w:t>15</w:t>
      </w:r>
      <w:r>
        <w:t>.</w:t>
      </w:r>
      <w:r>
        <w:tab/>
        <w:t>Section 4 amended and a savings provision</w:t>
      </w:r>
      <w:bookmarkEnd w:id="30"/>
      <w:bookmarkEnd w:id="31"/>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pStyle w:val="MiscClose"/>
        <w:rPr>
          <w:snapToGrid w:val="0"/>
        </w:rPr>
      </w:pPr>
      <w:r>
        <w:rPr>
          <w:snapToGrid w:val="0"/>
        </w:rPr>
        <w:t>”.</w:t>
      </w:r>
    </w:p>
    <w:p>
      <w:pPr>
        <w:rPr>
          <w:snapToGrid w:val="0"/>
        </w:rPr>
      </w:pPr>
    </w:p>
    <w:p>
      <w:pPr>
        <w:rPr>
          <w:snapToGrid w:val="0"/>
        </w:r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738FAA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678A90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6C8F68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54439A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1FAD0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238C5D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1DC5AC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E1BC66D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F32E63A"/>
    <w:lvl w:ilvl="0">
      <w:start w:val="1"/>
      <w:numFmt w:val="decimal"/>
      <w:pStyle w:val="ListNumber"/>
      <w:lvlText w:val="%1."/>
      <w:lvlJc w:val="left"/>
      <w:pPr>
        <w:tabs>
          <w:tab w:val="num" w:pos="360"/>
        </w:tabs>
        <w:ind w:left="360" w:hanging="360"/>
      </w:pPr>
    </w:lvl>
  </w:abstractNum>
  <w:abstractNum w:abstractNumId="9">
    <w:nsid w:val="FFFFFF89"/>
    <w:multiLevelType w:val="singleLevel"/>
    <w:tmpl w:val="9F8ADE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E1DE865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53F2C72E"/>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60329"/>
    <w:docVar w:name="WAFER_20151204160329" w:val="RemoveTrackChanges"/>
    <w:docVar w:name="WAFER_20151204160329_GUID" w:val="9b2594e6-b092-4300-9938-12fc08be8e3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Repealed">
    <w:name w:val="Repealed"/>
    <w:basedOn w:val="Heading5"/>
    <w:rPr>
      <w:b w:val="0"/>
      <w:i/>
    </w:rPr>
  </w:style>
  <w:style w:type="paragraph" w:customStyle="1" w:styleId="CentredBaseLine">
    <w:name w:val="CentredBaseLine"/>
    <w:pPr>
      <w:suppressLineNumbers/>
      <w:spacing w:before="240"/>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DefinedTerms">
    <w:name w:val="Defined Terms"/>
    <w:pPr>
      <w:tabs>
        <w:tab w:val="right" w:leader="dot" w:pos="7070"/>
      </w:tabs>
      <w:ind w:left="578" w:right="578"/>
    </w:pPr>
    <w:rPr>
      <w:lang w:eastAsia="en-US"/>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Repealed">
    <w:name w:val="Repealed"/>
    <w:basedOn w:val="Heading5"/>
    <w:rPr>
      <w:b w:val="0"/>
      <w:i/>
    </w:rPr>
  </w:style>
  <w:style w:type="paragraph" w:customStyle="1" w:styleId="CentredBaseLine">
    <w:name w:val="CentredBaseLine"/>
    <w:pPr>
      <w:suppressLineNumbers/>
      <w:spacing w:before="240"/>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DefinedTerms">
    <w:name w:val="Defined Terms"/>
    <w:pPr>
      <w:tabs>
        <w:tab w:val="right" w:leader="dot" w:pos="7070"/>
      </w:tabs>
      <w:ind w:left="578" w:right="578"/>
    </w:pPr>
    <w:rPr>
      <w:lang w:eastAsia="en-US"/>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1627</Words>
  <Characters>7342</Characters>
  <Application>Microsoft Office Word</Application>
  <DocSecurity>0</DocSecurity>
  <Lines>244</Lines>
  <Paragraphs>144</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8825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1941 - 02-c0-03</dc:title>
  <dc:subject/>
  <dc:creator/>
  <cp:keywords/>
  <dc:description/>
  <cp:lastModifiedBy>svcMRProcess</cp:lastModifiedBy>
  <cp:revision>4</cp:revision>
  <cp:lastPrinted>2002-08-09T06:54:00Z</cp:lastPrinted>
  <dcterms:created xsi:type="dcterms:W3CDTF">2015-12-04T21:37:00Z</dcterms:created>
  <dcterms:modified xsi:type="dcterms:W3CDTF">2015-12-04T21:37:00Z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CommencementDate">
    <vt:lpwstr>20090522</vt:lpwstr>
  </property>
  <property fmtid="{D5CDD505-2E9C-101B-9397-08002B2CF9AE}" pid="4" name="DocumentType">
    <vt:lpwstr>Act</vt:lpwstr>
  </property>
  <property fmtid="{D5CDD505-2E9C-101B-9397-08002B2CF9AE}" pid="5" name="OwlsUID">
    <vt:i4>441</vt:i4>
  </property>
  <property fmtid="{D5CDD505-2E9C-101B-9397-08002B2CF9AE}" pid="6" name="AsAtDate">
    <vt:lpwstr>22 May 2009</vt:lpwstr>
  </property>
  <property fmtid="{D5CDD505-2E9C-101B-9397-08002B2CF9AE}" pid="7" name="Suffix">
    <vt:lpwstr>02-c0-03</vt:lpwstr>
  </property>
</Properties>
</file>