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Superannuation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_Toc139707501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_Toc139707502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_Toc139707503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_Toc139707504 \h </w:instrText>
      </w:r>
      <w:r>
        <w:fldChar w:fldCharType="separate"/>
      </w:r>
      <w:r>
        <w:t>2</w:t>
      </w:r>
      <w:r>
        <w:fldChar w:fldCharType="end"/>
      </w:r>
    </w:p>
    <w:p>
      <w:pPr>
        <w:pStyle w:val="TOC2"/>
        <w:tabs>
          <w:tab w:val="right" w:leader="dot" w:pos="7086"/>
        </w:tabs>
        <w:rPr>
          <w:b w:val="0"/>
          <w:sz w:val="24"/>
          <w:szCs w:val="24"/>
        </w:rPr>
      </w:pPr>
      <w:r>
        <w:rPr>
          <w:szCs w:val="30"/>
        </w:rPr>
        <w:t>Part II — The Parliamentary Superannuation Board</w:t>
      </w:r>
    </w:p>
    <w:p>
      <w:pPr>
        <w:pStyle w:val="TOC8"/>
        <w:rPr>
          <w:sz w:val="24"/>
          <w:szCs w:val="24"/>
        </w:rPr>
      </w:pPr>
      <w:r>
        <w:rPr>
          <w:szCs w:val="24"/>
        </w:rPr>
        <w:t>6</w:t>
      </w:r>
      <w:r>
        <w:rPr>
          <w:snapToGrid w:val="0"/>
          <w:szCs w:val="24"/>
        </w:rPr>
        <w:t>.</w:t>
      </w:r>
      <w:r>
        <w:rPr>
          <w:snapToGrid w:val="0"/>
          <w:szCs w:val="24"/>
        </w:rPr>
        <w:tab/>
        <w:t>The Board</w:t>
      </w:r>
      <w:r>
        <w:tab/>
      </w:r>
      <w:r>
        <w:fldChar w:fldCharType="begin"/>
      </w:r>
      <w:r>
        <w:instrText xml:space="preserve"> PAGEREF _Toc139707506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Proceedings</w:t>
      </w:r>
      <w:r>
        <w:tab/>
      </w:r>
      <w:r>
        <w:fldChar w:fldCharType="begin"/>
      </w:r>
      <w:r>
        <w:instrText xml:space="preserve"> PAGEREF _Toc139707507 \h </w:instrText>
      </w:r>
      <w:r>
        <w:fldChar w:fldCharType="separate"/>
      </w:r>
      <w:r>
        <w:t>7</w:t>
      </w:r>
      <w:r>
        <w:fldChar w:fldCharType="end"/>
      </w:r>
    </w:p>
    <w:p>
      <w:pPr>
        <w:pStyle w:val="TOC8"/>
        <w:rPr>
          <w:sz w:val="24"/>
          <w:szCs w:val="24"/>
        </w:rPr>
      </w:pPr>
      <w:r>
        <w:rPr>
          <w:szCs w:val="24"/>
        </w:rPr>
        <w:t>8.</w:t>
      </w:r>
      <w:r>
        <w:rPr>
          <w:szCs w:val="24"/>
        </w:rPr>
        <w:tab/>
        <w:t>Administrative assistance for the Board</w:t>
      </w:r>
      <w:r>
        <w:tab/>
      </w:r>
      <w:r>
        <w:fldChar w:fldCharType="begin"/>
      </w:r>
      <w:r>
        <w:instrText xml:space="preserve"> PAGEREF _Toc139707508 \h </w:instrText>
      </w:r>
      <w:r>
        <w:fldChar w:fldCharType="separate"/>
      </w:r>
      <w:r>
        <w:t>7</w:t>
      </w:r>
      <w:r>
        <w:fldChar w:fldCharType="end"/>
      </w:r>
    </w:p>
    <w:p>
      <w:pPr>
        <w:pStyle w:val="TOC2"/>
        <w:tabs>
          <w:tab w:val="right" w:leader="dot" w:pos="7086"/>
        </w:tabs>
        <w:rPr>
          <w:b w:val="0"/>
          <w:sz w:val="24"/>
          <w:szCs w:val="24"/>
        </w:rPr>
      </w:pPr>
      <w:r>
        <w:rPr>
          <w:szCs w:val="30"/>
        </w:rPr>
        <w:t>Part IIA — Scheme participants</w:t>
      </w:r>
    </w:p>
    <w:p>
      <w:pPr>
        <w:pStyle w:val="TOC8"/>
        <w:rPr>
          <w:sz w:val="24"/>
          <w:szCs w:val="24"/>
        </w:rPr>
      </w:pPr>
      <w:r>
        <w:rPr>
          <w:szCs w:val="24"/>
        </w:rPr>
        <w:t>9.</w:t>
      </w:r>
      <w:r>
        <w:rPr>
          <w:szCs w:val="24"/>
        </w:rPr>
        <w:tab/>
        <w:t>Scheme closed to members elected after closing day</w:t>
      </w:r>
      <w:r>
        <w:tab/>
      </w:r>
      <w:r>
        <w:fldChar w:fldCharType="begin"/>
      </w:r>
      <w:r>
        <w:instrText xml:space="preserve"> PAGEREF _Toc139707510 \h </w:instrText>
      </w:r>
      <w:r>
        <w:fldChar w:fldCharType="separate"/>
      </w:r>
      <w:r>
        <w:t>8</w:t>
      </w:r>
      <w:r>
        <w:fldChar w:fldCharType="end"/>
      </w:r>
    </w:p>
    <w:p>
      <w:pPr>
        <w:pStyle w:val="TOC8"/>
        <w:rPr>
          <w:sz w:val="24"/>
          <w:szCs w:val="24"/>
        </w:rPr>
      </w:pPr>
      <w:r>
        <w:rPr>
          <w:szCs w:val="24"/>
        </w:rPr>
        <w:t>10.</w:t>
      </w:r>
      <w:r>
        <w:rPr>
          <w:szCs w:val="24"/>
        </w:rPr>
        <w:tab/>
        <w:t>Certain participants may withdraw from scheme</w:t>
      </w:r>
      <w:r>
        <w:tab/>
      </w:r>
      <w:r>
        <w:fldChar w:fldCharType="begin"/>
      </w:r>
      <w:r>
        <w:instrText xml:space="preserve"> PAGEREF _Toc139707511 \h </w:instrText>
      </w:r>
      <w:r>
        <w:fldChar w:fldCharType="separate"/>
      </w:r>
      <w:r>
        <w:t>8</w:t>
      </w:r>
      <w:r>
        <w:fldChar w:fldCharType="end"/>
      </w:r>
    </w:p>
    <w:p>
      <w:pPr>
        <w:pStyle w:val="TOC2"/>
        <w:tabs>
          <w:tab w:val="right" w:leader="dot" w:pos="7086"/>
        </w:tabs>
        <w:rPr>
          <w:b w:val="0"/>
          <w:sz w:val="24"/>
          <w:szCs w:val="24"/>
        </w:rPr>
      </w:pPr>
      <w:r>
        <w:rPr>
          <w:szCs w:val="30"/>
        </w:rPr>
        <w:t>Part III — Contributions</w:t>
      </w:r>
    </w:p>
    <w:p>
      <w:pPr>
        <w:pStyle w:val="TOC8"/>
        <w:rPr>
          <w:sz w:val="24"/>
          <w:szCs w:val="24"/>
        </w:rPr>
      </w:pPr>
      <w:r>
        <w:rPr>
          <w:szCs w:val="24"/>
        </w:rPr>
        <w:t>11.</w:t>
      </w:r>
      <w:r>
        <w:rPr>
          <w:szCs w:val="24"/>
        </w:rPr>
        <w:tab/>
        <w:t>Contributions in respect of members</w:t>
      </w:r>
      <w:r>
        <w:tab/>
      </w:r>
      <w:r>
        <w:fldChar w:fldCharType="begin"/>
      </w:r>
      <w:r>
        <w:instrText xml:space="preserve"> PAGEREF _Toc139707513 \h </w:instrText>
      </w:r>
      <w:r>
        <w:fldChar w:fldCharType="separate"/>
      </w:r>
      <w:r>
        <w:t>10</w:t>
      </w:r>
      <w:r>
        <w:fldChar w:fldCharType="end"/>
      </w:r>
    </w:p>
    <w:p>
      <w:pPr>
        <w:pStyle w:val="TOC2"/>
        <w:tabs>
          <w:tab w:val="right" w:leader="dot" w:pos="7086"/>
        </w:tabs>
        <w:rPr>
          <w:b w:val="0"/>
          <w:sz w:val="24"/>
          <w:szCs w:val="24"/>
        </w:rPr>
      </w:pPr>
      <w:r>
        <w:rPr>
          <w:szCs w:val="30"/>
        </w:rPr>
        <w:t>Part IV — Pensions and other benefits</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_Toc139707515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Members’ superannuation benefits, etc.</w:t>
      </w:r>
      <w:r>
        <w:tab/>
      </w:r>
      <w:r>
        <w:fldChar w:fldCharType="begin"/>
      </w:r>
      <w:r>
        <w:instrText xml:space="preserve"> PAGEREF _Toc139707516 \h </w:instrText>
      </w:r>
      <w:r>
        <w:fldChar w:fldCharType="separate"/>
      </w:r>
      <w:r>
        <w:t>12</w:t>
      </w:r>
      <w:r>
        <w:fldChar w:fldCharType="end"/>
      </w:r>
    </w:p>
    <w:p>
      <w:pPr>
        <w:pStyle w:val="TOC8"/>
        <w:rPr>
          <w:sz w:val="24"/>
          <w:szCs w:val="24"/>
        </w:rPr>
      </w:pPr>
      <w:r>
        <w:rPr>
          <w:szCs w:val="24"/>
        </w:rPr>
        <w:t>15B</w:t>
      </w:r>
      <w:r>
        <w:rPr>
          <w:snapToGrid w:val="0"/>
          <w:szCs w:val="24"/>
        </w:rPr>
        <w:t>.</w:t>
      </w:r>
      <w:r>
        <w:rPr>
          <w:snapToGrid w:val="0"/>
          <w:szCs w:val="24"/>
        </w:rPr>
        <w:tab/>
        <w:t>Increases in pensions which first become payable after 1/1/1976</w:t>
      </w:r>
      <w:r>
        <w:tab/>
      </w:r>
      <w:r>
        <w:fldChar w:fldCharType="begin"/>
      </w:r>
      <w:r>
        <w:instrText xml:space="preserve"> PAGEREF _Toc139707517 \h </w:instrText>
      </w:r>
      <w:r>
        <w:fldChar w:fldCharType="separate"/>
      </w:r>
      <w:r>
        <w:t>17</w:t>
      </w:r>
      <w:r>
        <w:fldChar w:fldCharType="end"/>
      </w:r>
    </w:p>
    <w:p>
      <w:pPr>
        <w:pStyle w:val="TOC8"/>
        <w:rPr>
          <w:sz w:val="24"/>
          <w:szCs w:val="24"/>
        </w:rPr>
      </w:pPr>
      <w:r>
        <w:rPr>
          <w:szCs w:val="24"/>
        </w:rPr>
        <w:lastRenderedPageBreak/>
        <w:t>16</w:t>
      </w:r>
      <w:r>
        <w:rPr>
          <w:snapToGrid w:val="0"/>
          <w:szCs w:val="24"/>
        </w:rPr>
        <w:t>.</w:t>
      </w:r>
      <w:r>
        <w:rPr>
          <w:snapToGrid w:val="0"/>
          <w:szCs w:val="24"/>
        </w:rPr>
        <w:tab/>
        <w:t>Commutation of certain pensions</w:t>
      </w:r>
      <w:r>
        <w:tab/>
      </w:r>
      <w:r>
        <w:fldChar w:fldCharType="begin"/>
      </w:r>
      <w:r>
        <w:instrText xml:space="preserve"> PAGEREF _Toc139707518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Reduction of pension in certain cases</w:t>
      </w:r>
      <w:r>
        <w:tab/>
      </w:r>
      <w:r>
        <w:fldChar w:fldCharType="begin"/>
      </w:r>
      <w:r>
        <w:instrText xml:space="preserve"> PAGEREF _Toc139707519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 xml:space="preserve">Pensions payable to certain </w:t>
      </w:r>
      <w:r>
        <w:rPr>
          <w:szCs w:val="24"/>
        </w:rPr>
        <w:t>spouses or de facto partners</w:t>
      </w:r>
      <w:r>
        <w:tab/>
      </w:r>
      <w:r>
        <w:fldChar w:fldCharType="begin"/>
      </w:r>
      <w:r>
        <w:instrText xml:space="preserve"> PAGEREF _Toc139707520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 xml:space="preserve">Special adjustment of certain </w:t>
      </w:r>
      <w:r>
        <w:rPr>
          <w:szCs w:val="24"/>
        </w:rPr>
        <w:t>spouses’ or de facto partners’</w:t>
      </w:r>
      <w:r>
        <w:rPr>
          <w:snapToGrid w:val="0"/>
          <w:szCs w:val="24"/>
        </w:rPr>
        <w:t xml:space="preserve"> pensions</w:t>
      </w:r>
      <w:r>
        <w:tab/>
      </w:r>
      <w:r>
        <w:fldChar w:fldCharType="begin"/>
      </w:r>
      <w:r>
        <w:instrText xml:space="preserve"> PAGEREF _Toc139707521 \h </w:instrText>
      </w:r>
      <w:r>
        <w:fldChar w:fldCharType="separate"/>
      </w:r>
      <w:r>
        <w:t>21</w:t>
      </w:r>
      <w:r>
        <w:fldChar w:fldCharType="end"/>
      </w:r>
    </w:p>
    <w:p>
      <w:pPr>
        <w:pStyle w:val="TOC8"/>
        <w:rPr>
          <w:sz w:val="24"/>
          <w:szCs w:val="24"/>
        </w:rPr>
      </w:pPr>
      <w:r>
        <w:rPr>
          <w:szCs w:val="24"/>
        </w:rPr>
        <w:t>18B</w:t>
      </w:r>
      <w:r>
        <w:rPr>
          <w:snapToGrid w:val="0"/>
          <w:szCs w:val="24"/>
        </w:rPr>
        <w:t>.</w:t>
      </w:r>
      <w:r>
        <w:rPr>
          <w:snapToGrid w:val="0"/>
          <w:szCs w:val="24"/>
        </w:rPr>
        <w:tab/>
        <w:t>Adjustment of certain widows’ pensions</w:t>
      </w:r>
      <w:r>
        <w:tab/>
      </w:r>
      <w:r>
        <w:fldChar w:fldCharType="begin"/>
      </w:r>
      <w:r>
        <w:instrText xml:space="preserve"> PAGEREF _Toc139707522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Payment of pensions to spouses or de facto partners generally</w:t>
      </w:r>
      <w:r>
        <w:tab/>
      </w:r>
      <w:r>
        <w:fldChar w:fldCharType="begin"/>
      </w:r>
      <w:r>
        <w:instrText xml:space="preserve"> PAGEREF _Toc139707523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Commutation of certain spouses’ or de facto partners’ pensions</w:t>
      </w:r>
      <w:r>
        <w:tab/>
      </w:r>
      <w:r>
        <w:fldChar w:fldCharType="begin"/>
      </w:r>
      <w:r>
        <w:instrText xml:space="preserve"> PAGEREF _Toc139707524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Repayments to Fund of amounts previously paid to contributor</w:t>
      </w:r>
      <w:r>
        <w:tab/>
      </w:r>
      <w:r>
        <w:fldChar w:fldCharType="begin"/>
      </w:r>
      <w:r>
        <w:instrText xml:space="preserve"> PAGEREF _Toc139707525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Termination of pension if recipient becomes member of Parliament</w:t>
      </w:r>
      <w:r>
        <w:tab/>
      </w:r>
      <w:r>
        <w:fldChar w:fldCharType="begin"/>
      </w:r>
      <w:r>
        <w:instrText xml:space="preserve"> PAGEREF _Toc139707526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Reduction of pensions in certain cases</w:t>
      </w:r>
      <w:r>
        <w:tab/>
      </w:r>
      <w:r>
        <w:fldChar w:fldCharType="begin"/>
      </w:r>
      <w:r>
        <w:instrText xml:space="preserve"> PAGEREF _Toc139707527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Childrens’ allowances</w:t>
      </w:r>
      <w:r>
        <w:tab/>
      </w:r>
      <w:r>
        <w:fldChar w:fldCharType="begin"/>
      </w:r>
      <w:r>
        <w:instrText xml:space="preserve"> PAGEREF _Toc139707528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Spouse or de facto partner and children not entitled to more than one pension</w:t>
      </w:r>
      <w:r>
        <w:tab/>
      </w:r>
      <w:r>
        <w:fldChar w:fldCharType="begin"/>
      </w:r>
      <w:r>
        <w:instrText xml:space="preserve"> PAGEREF _Toc139707529 \h </w:instrText>
      </w:r>
      <w:r>
        <w:fldChar w:fldCharType="separate"/>
      </w:r>
      <w:r>
        <w:t>28</w:t>
      </w:r>
      <w:r>
        <w:fldChar w:fldCharType="end"/>
      </w:r>
    </w:p>
    <w:p>
      <w:pPr>
        <w:pStyle w:val="TOC8"/>
        <w:rPr>
          <w:sz w:val="24"/>
          <w:szCs w:val="24"/>
        </w:rPr>
      </w:pPr>
      <w:r>
        <w:rPr>
          <w:szCs w:val="24"/>
        </w:rPr>
        <w:t>24.</w:t>
      </w:r>
      <w:r>
        <w:rPr>
          <w:szCs w:val="24"/>
        </w:rPr>
        <w:tab/>
        <w:t>Minimum benefits</w:t>
      </w:r>
      <w:r>
        <w:tab/>
      </w:r>
      <w:r>
        <w:fldChar w:fldCharType="begin"/>
      </w:r>
      <w:r>
        <w:instrText xml:space="preserve"> PAGEREF _Toc139707530 \h </w:instrText>
      </w:r>
      <w:r>
        <w:fldChar w:fldCharType="separate"/>
      </w:r>
      <w:r>
        <w:t>28</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25</w:t>
      </w:r>
      <w:r>
        <w:rPr>
          <w:snapToGrid w:val="0"/>
          <w:szCs w:val="24"/>
        </w:rPr>
        <w:t>.</w:t>
      </w:r>
      <w:r>
        <w:rPr>
          <w:snapToGrid w:val="0"/>
          <w:szCs w:val="24"/>
        </w:rPr>
        <w:tab/>
        <w:t>Pensions payable fortnightly, etc.</w:t>
      </w:r>
      <w:r>
        <w:tab/>
      </w:r>
      <w:r>
        <w:fldChar w:fldCharType="begin"/>
      </w:r>
      <w:r>
        <w:instrText xml:space="preserve"> PAGEREF _Toc139707532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Payments to be made from Consolidated Fund</w:t>
      </w:r>
      <w:r>
        <w:tab/>
      </w:r>
      <w:r>
        <w:fldChar w:fldCharType="begin"/>
      </w:r>
      <w:r>
        <w:instrText xml:space="preserve"> PAGEREF _Toc139707533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Actuarial investigation</w:t>
      </w:r>
      <w:r>
        <w:tab/>
      </w:r>
      <w:r>
        <w:fldChar w:fldCharType="begin"/>
      </w:r>
      <w:r>
        <w:instrText xml:space="preserve"> PAGEREF _Toc139707534 \h </w:instrText>
      </w:r>
      <w:r>
        <w:fldChar w:fldCharType="separate"/>
      </w:r>
      <w:r>
        <w:t>29</w:t>
      </w:r>
      <w:r>
        <w:fldChar w:fldCharType="end"/>
      </w:r>
    </w:p>
    <w:p>
      <w:pPr>
        <w:pStyle w:val="TOC8"/>
        <w:rPr>
          <w:sz w:val="24"/>
          <w:szCs w:val="24"/>
        </w:rPr>
      </w:pPr>
      <w:r>
        <w:rPr>
          <w:szCs w:val="24"/>
        </w:rPr>
        <w:t>28.</w:t>
      </w:r>
      <w:r>
        <w:rPr>
          <w:szCs w:val="24"/>
        </w:rPr>
        <w:tab/>
        <w:t>Tribunal may change the scheme</w:t>
      </w:r>
      <w:r>
        <w:tab/>
      </w:r>
      <w:r>
        <w:fldChar w:fldCharType="begin"/>
      </w:r>
      <w:r>
        <w:instrText xml:space="preserve"> PAGEREF _Toc139707535 \h </w:instrText>
      </w:r>
      <w:r>
        <w:fldChar w:fldCharType="separate"/>
      </w:r>
      <w:r>
        <w:t>30</w:t>
      </w:r>
      <w:r>
        <w:fldChar w:fldCharType="end"/>
      </w:r>
    </w:p>
    <w:p>
      <w:pPr>
        <w:pStyle w:val="TOC8"/>
        <w:rPr>
          <w:sz w:val="24"/>
          <w:szCs w:val="24"/>
        </w:rPr>
      </w:pPr>
      <w:r>
        <w:rPr>
          <w:szCs w:val="24"/>
        </w:rPr>
        <w:t>29.</w:t>
      </w:r>
      <w:r>
        <w:rPr>
          <w:szCs w:val="24"/>
        </w:rPr>
        <w:tab/>
        <w:t>State contributions for MPs who are not participants in the scheme</w:t>
      </w:r>
      <w:r>
        <w:tab/>
      </w:r>
      <w:r>
        <w:fldChar w:fldCharType="begin"/>
      </w:r>
      <w:r>
        <w:instrText xml:space="preserve"> PAGEREF _Toc139707536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Pensions, etc., not assignable, etc.</w:t>
      </w:r>
      <w:r>
        <w:tab/>
      </w:r>
      <w:r>
        <w:fldChar w:fldCharType="begin"/>
      </w:r>
      <w:r>
        <w:instrText xml:space="preserve"> PAGEREF _Toc139707537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_Toc139707538 \h </w:instrText>
      </w:r>
      <w:r>
        <w:fldChar w:fldCharType="separate"/>
      </w:r>
      <w:r>
        <w:t>34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_Toc139707541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2" w:name="_Toc125257610"/>
      <w:bookmarkStart w:id="3" w:name="_Toc137009293"/>
      <w:bookmarkStart w:id="4" w:name="_Toc137021370"/>
      <w:bookmarkStart w:id="5" w:name="_Toc1397075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7237068"/>
      <w:bookmarkStart w:id="7" w:name="_Toc38858448"/>
      <w:bookmarkStart w:id="8" w:name="_Toc125257611"/>
      <w:bookmarkStart w:id="9" w:name="_Toc139707501"/>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10" w:name="_Toc7237069"/>
      <w:bookmarkStart w:id="11" w:name="_Toc38858449"/>
      <w:bookmarkStart w:id="12" w:name="_Toc125257612"/>
      <w:bookmarkStart w:id="13" w:name="_Toc139707502"/>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14" w:name="_Toc7237070"/>
      <w:bookmarkStart w:id="15" w:name="_Toc38858450"/>
      <w:bookmarkStart w:id="16" w:name="_Toc125257613"/>
      <w:bookmarkStart w:id="17" w:name="_Toc139707503"/>
      <w:r>
        <w:rPr>
          <w:rStyle w:val="CharSectno"/>
        </w:rPr>
        <w:t>4</w:t>
      </w:r>
      <w:r>
        <w:rPr>
          <w:snapToGrid w:val="0"/>
        </w:rPr>
        <w:t>.</w:t>
      </w:r>
      <w:r>
        <w:rPr>
          <w:snapToGrid w:val="0"/>
        </w:rPr>
        <w:tab/>
        <w:t>Repeal</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8" w:name="_Toc7237071"/>
      <w:bookmarkStart w:id="19" w:name="_Toc38858451"/>
      <w:bookmarkStart w:id="20" w:name="_Toc125257614"/>
      <w:bookmarkStart w:id="21" w:name="_Toc139707504"/>
      <w:r>
        <w:rPr>
          <w:rStyle w:val="CharSectno"/>
        </w:rPr>
        <w:t>5</w:t>
      </w:r>
      <w:r>
        <w:rPr>
          <w:snapToGrid w:val="0"/>
        </w:rPr>
        <w:t>.</w:t>
      </w:r>
      <w:r>
        <w:rPr>
          <w:snapToGrid w:val="0"/>
        </w:rPr>
        <w:tab/>
        <w:t>Interpretation</w:t>
      </w:r>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22" w:name="_Toc125257615"/>
      <w:bookmarkStart w:id="23" w:name="_Toc137009298"/>
      <w:bookmarkStart w:id="24" w:name="_Toc137021375"/>
      <w:bookmarkStart w:id="25" w:name="_Toc139707505"/>
      <w:r>
        <w:rPr>
          <w:rStyle w:val="CharPartNo"/>
        </w:rPr>
        <w:t>Part II</w:t>
      </w:r>
      <w:r>
        <w:t xml:space="preserve"> — </w:t>
      </w:r>
      <w:r>
        <w:rPr>
          <w:rStyle w:val="CharPartText"/>
        </w:rPr>
        <w:t>The Parliamentary Superannuation Board</w:t>
      </w:r>
      <w:bookmarkEnd w:id="22"/>
      <w:bookmarkEnd w:id="23"/>
      <w:bookmarkEnd w:id="24"/>
      <w:bookmarkEnd w:id="25"/>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26" w:name="_Toc7237072"/>
      <w:bookmarkStart w:id="27" w:name="_Toc38858452"/>
      <w:bookmarkStart w:id="28" w:name="_Toc125257616"/>
      <w:bookmarkStart w:id="29" w:name="_Toc139707506"/>
      <w:r>
        <w:rPr>
          <w:rStyle w:val="CharSectno"/>
        </w:rPr>
        <w:t>6</w:t>
      </w:r>
      <w:r>
        <w:rPr>
          <w:snapToGrid w:val="0"/>
        </w:rPr>
        <w:t>.</w:t>
      </w:r>
      <w:r>
        <w:rPr>
          <w:snapToGrid w:val="0"/>
        </w:rPr>
        <w:tab/>
        <w:t>The Board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Minister,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Minister may nominate a member of either House to act as chairperson on his behalf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amended by No. 28 of 2006 s. 430.] </w:t>
      </w:r>
    </w:p>
    <w:p>
      <w:pPr>
        <w:pStyle w:val="Heading5"/>
        <w:rPr>
          <w:snapToGrid w:val="0"/>
        </w:rPr>
      </w:pPr>
      <w:bookmarkStart w:id="30" w:name="_Toc7237073"/>
      <w:bookmarkStart w:id="31" w:name="_Toc38858453"/>
      <w:bookmarkStart w:id="32" w:name="_Toc125257617"/>
      <w:bookmarkStart w:id="33" w:name="_Toc139707507"/>
      <w:r>
        <w:rPr>
          <w:rStyle w:val="CharSectno"/>
        </w:rPr>
        <w:t>7</w:t>
      </w:r>
      <w:r>
        <w:rPr>
          <w:snapToGrid w:val="0"/>
        </w:rPr>
        <w:t>.</w:t>
      </w:r>
      <w:r>
        <w:rPr>
          <w:snapToGrid w:val="0"/>
        </w:rPr>
        <w:tab/>
        <w:t>Proceedings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34" w:name="_Toc7237074"/>
      <w:bookmarkStart w:id="35" w:name="_Toc38858454"/>
      <w:bookmarkStart w:id="36" w:name="_Toc125257618"/>
      <w:bookmarkStart w:id="37" w:name="_Toc139707508"/>
      <w:r>
        <w:rPr>
          <w:rStyle w:val="CharSectno"/>
        </w:rPr>
        <w:t>8</w:t>
      </w:r>
      <w:r>
        <w:t>.</w:t>
      </w:r>
      <w:r>
        <w:tab/>
        <w:t>Administrative assistance for the Board</w:t>
      </w:r>
      <w:bookmarkEnd w:id="34"/>
      <w:bookmarkEnd w:id="35"/>
      <w:bookmarkEnd w:id="36"/>
      <w:bookmarkEnd w:id="37"/>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38" w:name="_Toc125257619"/>
      <w:bookmarkStart w:id="39" w:name="_Toc137009302"/>
      <w:bookmarkStart w:id="40" w:name="_Toc137021379"/>
      <w:bookmarkStart w:id="41" w:name="_Toc139707509"/>
      <w:r>
        <w:rPr>
          <w:rStyle w:val="CharPartNo"/>
        </w:rPr>
        <w:t>Part IIA</w:t>
      </w:r>
      <w:r>
        <w:t> — </w:t>
      </w:r>
      <w:r>
        <w:rPr>
          <w:rStyle w:val="CharPartText"/>
        </w:rPr>
        <w:t>Scheme participants</w:t>
      </w:r>
      <w:bookmarkEnd w:id="38"/>
      <w:bookmarkEnd w:id="39"/>
      <w:bookmarkEnd w:id="40"/>
      <w:bookmarkEnd w:id="41"/>
    </w:p>
    <w:p>
      <w:pPr>
        <w:pStyle w:val="Footnoteheading"/>
        <w:tabs>
          <w:tab w:val="left" w:pos="851"/>
        </w:tabs>
      </w:pPr>
      <w:r>
        <w:tab/>
        <w:t>[Heading inserted by No. 37 of 2000 s. 7.]</w:t>
      </w:r>
    </w:p>
    <w:p>
      <w:pPr>
        <w:pStyle w:val="Heading5"/>
      </w:pPr>
      <w:bookmarkStart w:id="42" w:name="_Toc7237075"/>
      <w:bookmarkStart w:id="43" w:name="_Toc38858455"/>
      <w:bookmarkStart w:id="44" w:name="_Toc125257620"/>
      <w:bookmarkStart w:id="45" w:name="_Toc139707510"/>
      <w:r>
        <w:rPr>
          <w:rStyle w:val="CharSectno"/>
        </w:rPr>
        <w:t>9</w:t>
      </w:r>
      <w:r>
        <w:t>.</w:t>
      </w:r>
      <w:r>
        <w:tab/>
        <w:t>Scheme closed to members elected after closing day</w:t>
      </w:r>
      <w:bookmarkEnd w:id="42"/>
      <w:bookmarkEnd w:id="43"/>
      <w:bookmarkEnd w:id="44"/>
      <w:bookmarkEnd w:id="45"/>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46" w:name="_Toc7237076"/>
      <w:bookmarkStart w:id="47" w:name="_Toc38858456"/>
      <w:bookmarkStart w:id="48" w:name="_Toc125257621"/>
      <w:bookmarkStart w:id="49" w:name="_Toc139707511"/>
      <w:r>
        <w:rPr>
          <w:rStyle w:val="CharSectno"/>
        </w:rPr>
        <w:t>10</w:t>
      </w:r>
      <w:r>
        <w:t>.</w:t>
      </w:r>
      <w:r>
        <w:tab/>
        <w:t>Certain participants may withdraw from scheme</w:t>
      </w:r>
      <w:bookmarkEnd w:id="46"/>
      <w:bookmarkEnd w:id="47"/>
      <w:bookmarkEnd w:id="48"/>
      <w:bookmarkEnd w:id="49"/>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50" w:name="_Toc125257622"/>
      <w:bookmarkStart w:id="51" w:name="_Toc137009305"/>
      <w:bookmarkStart w:id="52" w:name="_Toc137021382"/>
      <w:bookmarkStart w:id="53" w:name="_Toc139707512"/>
      <w:r>
        <w:rPr>
          <w:rStyle w:val="CharPartNo"/>
        </w:rPr>
        <w:t>Part III</w:t>
      </w:r>
      <w:r>
        <w:t> — </w:t>
      </w:r>
      <w:r>
        <w:rPr>
          <w:rStyle w:val="CharPartText"/>
        </w:rPr>
        <w:t>Contributions</w:t>
      </w:r>
      <w:bookmarkEnd w:id="50"/>
      <w:bookmarkEnd w:id="51"/>
      <w:bookmarkEnd w:id="52"/>
      <w:bookmarkEnd w:id="53"/>
      <w:r>
        <w:t> </w:t>
      </w:r>
    </w:p>
    <w:p>
      <w:pPr>
        <w:pStyle w:val="Footnoteheading"/>
        <w:tabs>
          <w:tab w:val="left" w:pos="851"/>
        </w:tabs>
      </w:pPr>
      <w:r>
        <w:tab/>
        <w:t>[Heading inserted by No. 37 of 2000 s. 8(1).]</w:t>
      </w:r>
    </w:p>
    <w:p>
      <w:pPr>
        <w:pStyle w:val="Heading5"/>
      </w:pPr>
      <w:bookmarkStart w:id="54" w:name="_Toc7237077"/>
      <w:bookmarkStart w:id="55" w:name="_Toc38858457"/>
      <w:bookmarkStart w:id="56" w:name="_Toc125257623"/>
      <w:bookmarkStart w:id="57" w:name="_Toc139707513"/>
      <w:r>
        <w:rPr>
          <w:rStyle w:val="CharSectno"/>
        </w:rPr>
        <w:t>11</w:t>
      </w:r>
      <w:r>
        <w:t>.</w:t>
      </w:r>
      <w:r>
        <w:tab/>
        <w:t>Contributions in respect of members</w:t>
      </w:r>
      <w:bookmarkEnd w:id="54"/>
      <w:bookmarkEnd w:id="55"/>
      <w:bookmarkEnd w:id="56"/>
      <w:bookmarkEnd w:id="57"/>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The contributions in respect of a member shall be credited to the Consolidated Fund.</w:t>
      </w:r>
    </w:p>
    <w:p>
      <w:pPr>
        <w:pStyle w:val="Footnotesection"/>
      </w:pPr>
      <w:r>
        <w:tab/>
        <w:t>[Section 11 inserted by No. 37 of 2000 s. 8(1) </w:t>
      </w:r>
      <w:r>
        <w:rPr>
          <w:vertAlign w:val="superscript"/>
        </w:rPr>
        <w:t>3</w:t>
      </w:r>
      <w:r>
        <w:t>.]</w:t>
      </w:r>
    </w:p>
    <w:p>
      <w:pPr>
        <w:pStyle w:val="Ednotesection"/>
      </w:pPr>
      <w:r>
        <w:t>[</w:t>
      </w:r>
      <w:r>
        <w:rPr>
          <w:b/>
        </w:rPr>
        <w:t>12.</w:t>
      </w:r>
      <w:r>
        <w:tab/>
        <w:t xml:space="preserve">Repealed by No. 31 of 1989 s. 8.] </w:t>
      </w:r>
    </w:p>
    <w:p>
      <w:pPr>
        <w:pStyle w:val="Heading2"/>
      </w:pPr>
      <w:bookmarkStart w:id="58" w:name="_Toc125257624"/>
      <w:bookmarkStart w:id="59" w:name="_Toc137009307"/>
      <w:bookmarkStart w:id="60" w:name="_Toc137021384"/>
      <w:bookmarkStart w:id="61" w:name="_Toc139707514"/>
      <w:r>
        <w:rPr>
          <w:rStyle w:val="CharPartNo"/>
        </w:rPr>
        <w:t>Part IV</w:t>
      </w:r>
      <w:r>
        <w:rPr>
          <w:rStyle w:val="CharDivNo"/>
        </w:rPr>
        <w:t> </w:t>
      </w:r>
      <w:r>
        <w:t>—</w:t>
      </w:r>
      <w:r>
        <w:rPr>
          <w:rStyle w:val="CharDivText"/>
        </w:rPr>
        <w:t> </w:t>
      </w:r>
      <w:r>
        <w:rPr>
          <w:rStyle w:val="CharPartText"/>
        </w:rPr>
        <w:t>Pensions and other benefits</w:t>
      </w:r>
      <w:bookmarkEnd w:id="58"/>
      <w:bookmarkEnd w:id="59"/>
      <w:bookmarkEnd w:id="60"/>
      <w:bookmarkEnd w:id="61"/>
      <w:r>
        <w:rPr>
          <w:rStyle w:val="CharPartText"/>
        </w:rPr>
        <w:t xml:space="preserve"> </w:t>
      </w:r>
    </w:p>
    <w:p>
      <w:pPr>
        <w:pStyle w:val="Heading5"/>
        <w:rPr>
          <w:snapToGrid w:val="0"/>
        </w:rPr>
      </w:pPr>
      <w:bookmarkStart w:id="62" w:name="_Toc7237078"/>
      <w:bookmarkStart w:id="63" w:name="_Toc38858458"/>
      <w:bookmarkStart w:id="64" w:name="_Toc125257625"/>
      <w:bookmarkStart w:id="65" w:name="_Toc139707515"/>
      <w:r>
        <w:rPr>
          <w:rStyle w:val="CharSectno"/>
        </w:rPr>
        <w:t>13</w:t>
      </w:r>
      <w:r>
        <w:rPr>
          <w:snapToGrid w:val="0"/>
        </w:rPr>
        <w:t>.</w:t>
      </w:r>
      <w:r>
        <w:rPr>
          <w:snapToGrid w:val="0"/>
        </w:rPr>
        <w:tab/>
        <w:t>Interpretation</w:t>
      </w:r>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Fund.</w:t>
      </w:r>
    </w:p>
    <w:p>
      <w:pPr>
        <w:pStyle w:val="Footnotesection"/>
      </w:pPr>
      <w:r>
        <w:tab/>
        <w:t xml:space="preserve">[Section 13 amended by No. 94 of 1975 s. 5; No. 54 of 1980 s. 5; No. 58 of 1986 s. 6; No. 31 of 1989 s. 9; No. 6 of 1993 s. 11.] </w:t>
      </w:r>
    </w:p>
    <w:p>
      <w:pPr>
        <w:pStyle w:val="Heading5"/>
        <w:rPr>
          <w:snapToGrid w:val="0"/>
        </w:rPr>
      </w:pPr>
      <w:bookmarkStart w:id="66" w:name="_Toc7237079"/>
      <w:bookmarkStart w:id="67" w:name="_Toc38858459"/>
      <w:bookmarkStart w:id="68" w:name="_Toc125257626"/>
      <w:bookmarkStart w:id="69" w:name="_Toc139707516"/>
      <w:r>
        <w:rPr>
          <w:rStyle w:val="CharSectno"/>
        </w:rPr>
        <w:t>14</w:t>
      </w:r>
      <w:r>
        <w:rPr>
          <w:snapToGrid w:val="0"/>
        </w:rPr>
        <w:t>.</w:t>
      </w:r>
      <w:r>
        <w:rPr>
          <w:snapToGrid w:val="0"/>
        </w:rPr>
        <w:tab/>
        <w:t>Members’ superannuation benefits, etc</w:t>
      </w:r>
      <w:bookmarkEnd w:id="66"/>
      <w:r>
        <w:rPr>
          <w:snapToGrid w:val="0"/>
        </w:rPr>
        <w:t>.</w:t>
      </w:r>
      <w:bookmarkEnd w:id="67"/>
      <w:bookmarkEnd w:id="68"/>
      <w:bookmarkEnd w:id="69"/>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0" o:title=""/>
          </v:shape>
          <o:OLEObject Type="Embed" ProgID="Equation.3" ShapeID="_x0000_i1025" DrawAspect="Content" ObjectID="_1643530446"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object w:dxaOrig="1960" w:dyaOrig="620">
          <v:shape id="_x0000_i1026" type="#_x0000_t75" style="width:98.25pt;height:30.75pt" o:ole="" fillcolor="window">
            <v:imagedata r:id="rId22" o:title=""/>
          </v:shape>
          <o:OLEObject Type="Embed" ProgID="Equation.3" ShapeID="_x0000_i1026" DrawAspect="Content" ObjectID="_1643530447"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70" w:name="_Toc7237080"/>
      <w:bookmarkStart w:id="71" w:name="_Toc38858460"/>
      <w:bookmarkStart w:id="72" w:name="_Toc125257627"/>
      <w:bookmarkStart w:id="73" w:name="_Toc139707517"/>
      <w:r>
        <w:rPr>
          <w:rStyle w:val="CharSectno"/>
        </w:rPr>
        <w:t>15B</w:t>
      </w:r>
      <w:r>
        <w:rPr>
          <w:snapToGrid w:val="0"/>
        </w:rPr>
        <w:t>.</w:t>
      </w:r>
      <w:r>
        <w:rPr>
          <w:snapToGrid w:val="0"/>
        </w:rPr>
        <w:tab/>
        <w:t>Increases in pensions which first become payable after 1/1/1976</w:t>
      </w:r>
      <w:bookmarkEnd w:id="70"/>
      <w:bookmarkEnd w:id="71"/>
      <w:bookmarkEnd w:id="72"/>
      <w:bookmarkEnd w:id="7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74" w:name="_Toc7237081"/>
      <w:bookmarkStart w:id="75" w:name="_Toc38858461"/>
      <w:bookmarkStart w:id="76" w:name="_Toc125257628"/>
      <w:bookmarkStart w:id="77" w:name="_Toc139707518"/>
      <w:r>
        <w:rPr>
          <w:rStyle w:val="CharSectno"/>
        </w:rPr>
        <w:t>16</w:t>
      </w:r>
      <w:r>
        <w:rPr>
          <w:snapToGrid w:val="0"/>
        </w:rPr>
        <w:t>.</w:t>
      </w:r>
      <w:r>
        <w:rPr>
          <w:snapToGrid w:val="0"/>
        </w:rPr>
        <w:tab/>
        <w:t>Commutation of certain pensions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78" w:name="_Toc7237082"/>
      <w:bookmarkStart w:id="79" w:name="_Toc38858462"/>
      <w:bookmarkStart w:id="80" w:name="_Toc125257629"/>
      <w:bookmarkStart w:id="81" w:name="_Toc139707519"/>
      <w:r>
        <w:rPr>
          <w:rStyle w:val="CharSectno"/>
        </w:rPr>
        <w:t>17</w:t>
      </w:r>
      <w:r>
        <w:rPr>
          <w:snapToGrid w:val="0"/>
        </w:rPr>
        <w:t>.</w:t>
      </w:r>
      <w:r>
        <w:rPr>
          <w:snapToGrid w:val="0"/>
        </w:rPr>
        <w:tab/>
        <w:t>Reduction of pension in certain cases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82" w:name="_Toc7237083"/>
      <w:bookmarkStart w:id="83" w:name="_Toc38858463"/>
      <w:bookmarkStart w:id="84" w:name="_Toc125257630"/>
      <w:bookmarkStart w:id="85" w:name="_Toc139707520"/>
      <w:r>
        <w:rPr>
          <w:rStyle w:val="CharSectno"/>
        </w:rPr>
        <w:t>18</w:t>
      </w:r>
      <w:r>
        <w:rPr>
          <w:snapToGrid w:val="0"/>
        </w:rPr>
        <w:t>.</w:t>
      </w:r>
      <w:r>
        <w:rPr>
          <w:snapToGrid w:val="0"/>
        </w:rPr>
        <w:tab/>
        <w:t xml:space="preserve">Pensions payable to certain </w:t>
      </w:r>
      <w:bookmarkEnd w:id="82"/>
      <w:r>
        <w:t>spouses or de facto partners</w:t>
      </w:r>
      <w:bookmarkEnd w:id="83"/>
      <w:bookmarkEnd w:id="84"/>
      <w:bookmarkEnd w:id="85"/>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86" w:name="_Toc7237084"/>
      <w:bookmarkStart w:id="87" w:name="_Toc38858464"/>
      <w:bookmarkStart w:id="88" w:name="_Toc125257631"/>
      <w:bookmarkStart w:id="89" w:name="_Toc13970752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86"/>
      <w:bookmarkEnd w:id="87"/>
      <w:bookmarkEnd w:id="88"/>
      <w:bookmarkEnd w:id="8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90" w:name="_Toc7237085"/>
      <w:bookmarkStart w:id="91" w:name="_Toc38858465"/>
      <w:bookmarkStart w:id="92" w:name="_Toc125257632"/>
      <w:bookmarkStart w:id="93" w:name="_Toc139707522"/>
      <w:r>
        <w:rPr>
          <w:rStyle w:val="CharSectno"/>
        </w:rPr>
        <w:t>18B</w:t>
      </w:r>
      <w:r>
        <w:rPr>
          <w:snapToGrid w:val="0"/>
        </w:rPr>
        <w:t>.</w:t>
      </w:r>
      <w:r>
        <w:rPr>
          <w:snapToGrid w:val="0"/>
        </w:rPr>
        <w:tab/>
        <w:t>Adjustment of certain widows’ pensions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94" w:name="_Toc7237086"/>
      <w:bookmarkStart w:id="95" w:name="_Toc38858466"/>
      <w:bookmarkStart w:id="96" w:name="_Toc125257633"/>
      <w:bookmarkStart w:id="97" w:name="_Toc139707523"/>
      <w:r>
        <w:rPr>
          <w:rStyle w:val="CharSectno"/>
        </w:rPr>
        <w:t>19</w:t>
      </w:r>
      <w:r>
        <w:rPr>
          <w:snapToGrid w:val="0"/>
        </w:rPr>
        <w:t>.</w:t>
      </w:r>
      <w:r>
        <w:rPr>
          <w:snapToGrid w:val="0"/>
        </w:rPr>
        <w:tab/>
        <w:t>Payment of pensions to spouses or de facto partners generally</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98" w:name="_Toc7237088"/>
      <w:bookmarkStart w:id="99" w:name="_Toc38858467"/>
      <w:bookmarkStart w:id="100" w:name="_Toc125257634"/>
      <w:bookmarkStart w:id="101" w:name="_Toc139707524"/>
      <w:r>
        <w:rPr>
          <w:rStyle w:val="CharSectno"/>
        </w:rPr>
        <w:t>19B</w:t>
      </w:r>
      <w:r>
        <w:rPr>
          <w:snapToGrid w:val="0"/>
        </w:rPr>
        <w:t>.</w:t>
      </w:r>
      <w:r>
        <w:rPr>
          <w:snapToGrid w:val="0"/>
        </w:rPr>
        <w:tab/>
        <w:t>Commutation of certain spouses’ or de facto partners’ pensions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102" w:name="_Toc7237089"/>
      <w:bookmarkStart w:id="103" w:name="_Toc38858468"/>
      <w:bookmarkStart w:id="104" w:name="_Toc125257635"/>
      <w:bookmarkStart w:id="105" w:name="_Toc139707525"/>
      <w:r>
        <w:rPr>
          <w:rStyle w:val="CharSectno"/>
        </w:rPr>
        <w:t>20</w:t>
      </w:r>
      <w:r>
        <w:rPr>
          <w:snapToGrid w:val="0"/>
        </w:rPr>
        <w:t>.</w:t>
      </w:r>
      <w:r>
        <w:rPr>
          <w:snapToGrid w:val="0"/>
        </w:rPr>
        <w:tab/>
        <w:t>Repayments to Fund of amounts previously paid to contributor</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106" w:name="_Toc7237090"/>
      <w:bookmarkStart w:id="107" w:name="_Toc38858469"/>
      <w:bookmarkStart w:id="108" w:name="_Toc125257636"/>
      <w:bookmarkStart w:id="109" w:name="_Toc139707526"/>
      <w:r>
        <w:rPr>
          <w:rStyle w:val="CharSectno"/>
        </w:rPr>
        <w:t>21</w:t>
      </w:r>
      <w:r>
        <w:rPr>
          <w:snapToGrid w:val="0"/>
        </w:rPr>
        <w:t>.</w:t>
      </w:r>
      <w:r>
        <w:rPr>
          <w:snapToGrid w:val="0"/>
        </w:rPr>
        <w:tab/>
        <w:t>Termination of pension if recipient becomes member of Parliament</w:t>
      </w:r>
      <w:bookmarkEnd w:id="106"/>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110" w:name="_Toc7237091"/>
      <w:bookmarkStart w:id="111" w:name="_Toc38858470"/>
      <w:bookmarkStart w:id="112" w:name="_Toc125257637"/>
      <w:bookmarkStart w:id="113" w:name="_Toc139707527"/>
      <w:r>
        <w:rPr>
          <w:rStyle w:val="CharSectno"/>
        </w:rPr>
        <w:t>22</w:t>
      </w:r>
      <w:r>
        <w:rPr>
          <w:snapToGrid w:val="0"/>
        </w:rPr>
        <w:t>.</w:t>
      </w:r>
      <w:r>
        <w:rPr>
          <w:snapToGrid w:val="0"/>
        </w:rPr>
        <w:tab/>
        <w:t>Reduction of pensions in certain cases</w:t>
      </w:r>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114" w:name="_Toc7237092"/>
      <w:bookmarkStart w:id="115" w:name="_Toc38858471"/>
      <w:bookmarkStart w:id="116" w:name="_Toc125257638"/>
      <w:bookmarkStart w:id="117" w:name="_Toc139707528"/>
      <w:r>
        <w:rPr>
          <w:rStyle w:val="CharSectno"/>
        </w:rPr>
        <w:t>23</w:t>
      </w:r>
      <w:r>
        <w:rPr>
          <w:snapToGrid w:val="0"/>
        </w:rPr>
        <w:t>.</w:t>
      </w:r>
      <w:r>
        <w:rPr>
          <w:snapToGrid w:val="0"/>
        </w:rPr>
        <w:tab/>
        <w:t>Childrens’ allowances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118" w:name="_Toc7237093"/>
      <w:bookmarkStart w:id="119" w:name="_Toc38858472"/>
      <w:bookmarkStart w:id="120" w:name="_Toc125257639"/>
      <w:bookmarkStart w:id="121" w:name="_Toc139707529"/>
      <w:r>
        <w:rPr>
          <w:rStyle w:val="CharSectno"/>
        </w:rPr>
        <w:t>23A</w:t>
      </w:r>
      <w:r>
        <w:rPr>
          <w:snapToGrid w:val="0"/>
        </w:rPr>
        <w:t>.</w:t>
      </w:r>
      <w:r>
        <w:rPr>
          <w:snapToGrid w:val="0"/>
        </w:rPr>
        <w:tab/>
        <w:t>Spouse or de facto partner and children not entitled to more than one pension</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122" w:name="_Toc7237094"/>
      <w:bookmarkStart w:id="123" w:name="_Toc38858473"/>
      <w:bookmarkStart w:id="124" w:name="_Toc125257640"/>
      <w:bookmarkStart w:id="125" w:name="_Toc139707530"/>
      <w:r>
        <w:rPr>
          <w:rStyle w:val="CharSectno"/>
        </w:rPr>
        <w:t>24</w:t>
      </w:r>
      <w:r>
        <w:t>.</w:t>
      </w:r>
      <w:r>
        <w:tab/>
        <w:t>Minimum benefits</w:t>
      </w:r>
      <w:bookmarkEnd w:id="122"/>
      <w:bookmarkEnd w:id="123"/>
      <w:bookmarkEnd w:id="124"/>
      <w:bookmarkEnd w:id="125"/>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126" w:name="_Toc125257641"/>
      <w:bookmarkStart w:id="127" w:name="_Toc137009324"/>
      <w:bookmarkStart w:id="128" w:name="_Toc137021401"/>
      <w:bookmarkStart w:id="129" w:name="_Toc139707531"/>
      <w:r>
        <w:rPr>
          <w:rStyle w:val="CharPartNo"/>
        </w:rPr>
        <w:t>Part V</w:t>
      </w:r>
      <w:r>
        <w:rPr>
          <w:rStyle w:val="CharDivNo"/>
        </w:rPr>
        <w:t> </w:t>
      </w:r>
      <w:r>
        <w:t>—</w:t>
      </w:r>
      <w:r>
        <w:rPr>
          <w:rStyle w:val="CharDivText"/>
        </w:rPr>
        <w:t> </w:t>
      </w:r>
      <w:r>
        <w:rPr>
          <w:rStyle w:val="CharPartText"/>
        </w:rPr>
        <w:t>Miscellaneous</w:t>
      </w:r>
      <w:bookmarkEnd w:id="126"/>
      <w:bookmarkEnd w:id="127"/>
      <w:bookmarkEnd w:id="128"/>
      <w:bookmarkEnd w:id="129"/>
      <w:r>
        <w:rPr>
          <w:rStyle w:val="CharPartText"/>
        </w:rPr>
        <w:t xml:space="preserve"> </w:t>
      </w:r>
    </w:p>
    <w:p>
      <w:pPr>
        <w:pStyle w:val="Heading5"/>
        <w:rPr>
          <w:snapToGrid w:val="0"/>
        </w:rPr>
      </w:pPr>
      <w:bookmarkStart w:id="130" w:name="_Toc7237095"/>
      <w:bookmarkStart w:id="131" w:name="_Toc38858474"/>
      <w:bookmarkStart w:id="132" w:name="_Toc125257642"/>
      <w:bookmarkStart w:id="133" w:name="_Toc139707532"/>
      <w:r>
        <w:rPr>
          <w:rStyle w:val="CharSectno"/>
        </w:rPr>
        <w:t>25</w:t>
      </w:r>
      <w:r>
        <w:rPr>
          <w:snapToGrid w:val="0"/>
        </w:rPr>
        <w:t>.</w:t>
      </w:r>
      <w:r>
        <w:rPr>
          <w:snapToGrid w:val="0"/>
        </w:rPr>
        <w:tab/>
        <w:t>Pensions payable fortnightly, etc</w:t>
      </w:r>
      <w:bookmarkEnd w:id="130"/>
      <w:r>
        <w:rPr>
          <w:snapToGrid w:val="0"/>
        </w:rPr>
        <w:t>.</w:t>
      </w:r>
      <w:bookmarkEnd w:id="131"/>
      <w:bookmarkEnd w:id="132"/>
      <w:bookmarkEnd w:id="133"/>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134" w:name="_Toc7237096"/>
      <w:bookmarkStart w:id="135" w:name="_Toc38858475"/>
      <w:bookmarkStart w:id="136" w:name="_Toc125257643"/>
      <w:bookmarkStart w:id="137" w:name="_Toc139707533"/>
      <w:r>
        <w:rPr>
          <w:rStyle w:val="CharSectno"/>
        </w:rPr>
        <w:t>26</w:t>
      </w:r>
      <w:r>
        <w:rPr>
          <w:snapToGrid w:val="0"/>
        </w:rPr>
        <w:t>.</w:t>
      </w:r>
      <w:r>
        <w:rPr>
          <w:snapToGrid w:val="0"/>
        </w:rPr>
        <w:tab/>
        <w:t>Payments to be made from Consolidated Fund</w:t>
      </w:r>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There shall be charged to the Consolidated Fund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Fund is hereby appropriated accordingly.</w:t>
      </w:r>
    </w:p>
    <w:p>
      <w:pPr>
        <w:pStyle w:val="Footnotesection"/>
      </w:pPr>
      <w:r>
        <w:tab/>
        <w:t xml:space="preserve">[Section 26 inserted by No. 31 of 1989 s. 13; amended by No. 6 of 1993 s. 11; No. 49 of 1996 s. 64.] </w:t>
      </w:r>
    </w:p>
    <w:p>
      <w:pPr>
        <w:pStyle w:val="Heading5"/>
        <w:rPr>
          <w:snapToGrid w:val="0"/>
        </w:rPr>
      </w:pPr>
      <w:bookmarkStart w:id="138" w:name="_Toc7237097"/>
      <w:bookmarkStart w:id="139" w:name="_Toc38858476"/>
      <w:bookmarkStart w:id="140" w:name="_Toc125257644"/>
      <w:bookmarkStart w:id="141" w:name="_Toc139707534"/>
      <w:r>
        <w:rPr>
          <w:rStyle w:val="CharSectno"/>
        </w:rPr>
        <w:t>27</w:t>
      </w:r>
      <w:r>
        <w:rPr>
          <w:snapToGrid w:val="0"/>
        </w:rPr>
        <w:t>.</w:t>
      </w:r>
      <w:r>
        <w:rPr>
          <w:snapToGrid w:val="0"/>
        </w:rPr>
        <w:tab/>
        <w:t>Actuarial investigation</w:t>
      </w:r>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Fund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w:t>
      </w:r>
    </w:p>
    <w:p>
      <w:pPr>
        <w:pStyle w:val="Heading5"/>
      </w:pPr>
      <w:bookmarkStart w:id="142" w:name="_Toc7237098"/>
      <w:bookmarkStart w:id="143" w:name="_Toc38858477"/>
      <w:bookmarkStart w:id="144" w:name="_Toc125257645"/>
      <w:bookmarkStart w:id="145" w:name="_Toc139707535"/>
      <w:r>
        <w:rPr>
          <w:rStyle w:val="CharSectno"/>
        </w:rPr>
        <w:t>28</w:t>
      </w:r>
      <w:r>
        <w:t>.</w:t>
      </w:r>
      <w:r>
        <w:tab/>
        <w:t>Tribunal may change the scheme</w:t>
      </w:r>
      <w:bookmarkEnd w:id="142"/>
      <w:bookmarkEnd w:id="143"/>
      <w:bookmarkEnd w:id="144"/>
      <w:bookmarkEnd w:id="145"/>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iCs/>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 xml:space="preserve">Subsection (4) does not prevent the making of a determination that reduces or provides for the reduction of any benefits to which a member or former member is or will become entitled if — </w:t>
      </w:r>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Footnotesection"/>
      </w:pPr>
      <w:r>
        <w:tab/>
        <w:t>[Section 28 inserted by No. 37 of 2000 s. 17; amended by No. 18 of 2006 s. 4.]</w:t>
      </w:r>
    </w:p>
    <w:p>
      <w:pPr>
        <w:pStyle w:val="Heading5"/>
      </w:pPr>
      <w:bookmarkStart w:id="146" w:name="_Toc7237099"/>
      <w:bookmarkStart w:id="147" w:name="_Toc38858478"/>
      <w:bookmarkStart w:id="148" w:name="_Toc125257646"/>
      <w:bookmarkStart w:id="149" w:name="_Toc139707536"/>
      <w:r>
        <w:rPr>
          <w:rStyle w:val="CharSectno"/>
        </w:rPr>
        <w:t>29</w:t>
      </w:r>
      <w:r>
        <w:t>.</w:t>
      </w:r>
      <w:r>
        <w:tab/>
        <w:t>State contributions for MPs who are not participants in the scheme</w:t>
      </w:r>
      <w:bookmarkEnd w:id="146"/>
      <w:bookmarkEnd w:id="147"/>
      <w:bookmarkEnd w:id="148"/>
      <w:bookmarkEnd w:id="149"/>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The State’s contributions shall be charged to the Consolidated Fund which is appropriated accordingly.</w:t>
      </w:r>
    </w:p>
    <w:p>
      <w:pPr>
        <w:pStyle w:val="Footnotesection"/>
      </w:pPr>
      <w:r>
        <w:tab/>
        <w:t>[Section 29 inserted by No. 37 of 2000 s. 18.]</w:t>
      </w:r>
    </w:p>
    <w:p>
      <w:pPr>
        <w:pStyle w:val="Heading5"/>
        <w:rPr>
          <w:snapToGrid w:val="0"/>
        </w:rPr>
      </w:pPr>
      <w:bookmarkStart w:id="150" w:name="_Toc7237100"/>
      <w:bookmarkStart w:id="151" w:name="_Toc38858479"/>
      <w:bookmarkStart w:id="152" w:name="_Toc125257647"/>
      <w:bookmarkStart w:id="153" w:name="_Toc139707537"/>
      <w:r>
        <w:rPr>
          <w:rStyle w:val="CharSectno"/>
        </w:rPr>
        <w:t>30</w:t>
      </w:r>
      <w:r>
        <w:rPr>
          <w:snapToGrid w:val="0"/>
        </w:rPr>
        <w:t>.</w:t>
      </w:r>
      <w:r>
        <w:rPr>
          <w:snapToGrid w:val="0"/>
        </w:rPr>
        <w:tab/>
        <w:t>Pensions, etc., not assignable, etc</w:t>
      </w:r>
      <w:bookmarkEnd w:id="150"/>
      <w:r>
        <w:rPr>
          <w:snapToGrid w:val="0"/>
        </w:rPr>
        <w:t>.</w:t>
      </w:r>
      <w:bookmarkEnd w:id="151"/>
      <w:bookmarkEnd w:id="152"/>
      <w:bookmarkEnd w:id="153"/>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54" w:name="_Toc7237101"/>
      <w:bookmarkStart w:id="155" w:name="_Toc38858480"/>
      <w:bookmarkStart w:id="156" w:name="_Toc125257648"/>
      <w:bookmarkStart w:id="157" w:name="_Toc139707538"/>
      <w:r>
        <w:rPr>
          <w:rStyle w:val="CharSectno"/>
        </w:rPr>
        <w:t>31</w:t>
      </w:r>
      <w:r>
        <w:rPr>
          <w:snapToGrid w:val="0"/>
        </w:rPr>
        <w:t>.</w:t>
      </w:r>
      <w:r>
        <w:rPr>
          <w:snapToGrid w:val="0"/>
        </w:rPr>
        <w:tab/>
        <w:t>Regulations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58" w:name="_Toc38858481"/>
      <w:bookmarkStart w:id="159" w:name="_Toc125257649"/>
      <w:bookmarkStart w:id="160" w:name="_Toc137009332"/>
      <w:bookmarkStart w:id="161" w:name="_Toc137021409"/>
      <w:bookmarkStart w:id="162" w:name="_Toc139707539"/>
      <w:r>
        <w:rPr>
          <w:rStyle w:val="CharSchNo"/>
        </w:rPr>
        <w:t>Schedule</w:t>
      </w:r>
      <w:bookmarkEnd w:id="158"/>
      <w:bookmarkEnd w:id="159"/>
      <w:bookmarkEnd w:id="160"/>
      <w:bookmarkEnd w:id="161"/>
      <w:bookmarkEnd w:id="162"/>
    </w:p>
    <w:p>
      <w:pPr>
        <w:pStyle w:val="MiscellaneousHeading"/>
        <w:rPr>
          <w:b/>
          <w:snapToGrid w:val="0"/>
          <w:sz w:val="28"/>
        </w:rPr>
      </w:pPr>
      <w:r>
        <w:rPr>
          <w:b/>
          <w:snapToGrid w:val="0"/>
          <w:sz w:val="28"/>
        </w:rPr>
        <w:t>Title of Act</w:t>
      </w:r>
    </w:p>
    <w:p>
      <w:pPr>
        <w:pStyle w:val="yNumberedItem"/>
        <w:rPr>
          <w:snapToGrid w:val="0"/>
        </w:rPr>
      </w:pPr>
      <w:r>
        <w:rPr>
          <w:snapToGrid w:val="0"/>
        </w:rPr>
        <w:tab/>
      </w:r>
      <w:r>
        <w:rPr>
          <w:i/>
          <w:iCs/>
          <w:snapToGrid w:val="0"/>
        </w:rPr>
        <w:t>Parliamentary Superannuation Act 1948</w:t>
      </w:r>
      <w:r>
        <w:rPr>
          <w:snapToGrid w:val="0"/>
        </w:rPr>
        <w:t>.</w:t>
      </w:r>
    </w:p>
    <w:p>
      <w:pPr>
        <w:pStyle w:val="yNumberedItem"/>
        <w:rPr>
          <w:snapToGrid w:val="0"/>
        </w:rPr>
      </w:pPr>
      <w:r>
        <w:rPr>
          <w:snapToGrid w:val="0"/>
        </w:rPr>
        <w:tab/>
      </w:r>
      <w:r>
        <w:rPr>
          <w:i/>
          <w:iCs/>
          <w:snapToGrid w:val="0"/>
        </w:rPr>
        <w:t>Parliamentary Superannuation Act Amendment Act 1950</w:t>
      </w:r>
      <w:r>
        <w:rPr>
          <w:snapToGrid w:val="0"/>
        </w:rPr>
        <w:t>.</w:t>
      </w:r>
    </w:p>
    <w:p>
      <w:pPr>
        <w:pStyle w:val="yNumberedItem"/>
        <w:rPr>
          <w:snapToGrid w:val="0"/>
        </w:rPr>
      </w:pPr>
      <w:r>
        <w:rPr>
          <w:snapToGrid w:val="0"/>
        </w:rPr>
        <w:tab/>
      </w:r>
      <w:r>
        <w:rPr>
          <w:i/>
          <w:iCs/>
          <w:snapToGrid w:val="0"/>
        </w:rPr>
        <w:t>Parliamentary Superannuation Act Amendment Act 1951</w:t>
      </w:r>
      <w:r>
        <w:rPr>
          <w:snapToGrid w:val="0"/>
        </w:rPr>
        <w:t>.</w:t>
      </w:r>
    </w:p>
    <w:p>
      <w:pPr>
        <w:pStyle w:val="yNumberedItem"/>
        <w:rPr>
          <w:snapToGrid w:val="0"/>
        </w:rPr>
      </w:pPr>
      <w:r>
        <w:rPr>
          <w:snapToGrid w:val="0"/>
        </w:rPr>
        <w:tab/>
      </w:r>
      <w:r>
        <w:rPr>
          <w:i/>
          <w:iCs/>
          <w:snapToGrid w:val="0"/>
        </w:rPr>
        <w:t>Parliamentary Superannuation Act Amendment Act 1953</w:t>
      </w:r>
      <w:r>
        <w:rPr>
          <w:snapToGrid w:val="0"/>
        </w:rPr>
        <w:t>.</w:t>
      </w:r>
    </w:p>
    <w:p>
      <w:pPr>
        <w:pStyle w:val="yNumberedItem"/>
        <w:rPr>
          <w:snapToGrid w:val="0"/>
        </w:rPr>
      </w:pPr>
      <w:r>
        <w:rPr>
          <w:snapToGrid w:val="0"/>
        </w:rPr>
        <w:tab/>
      </w:r>
      <w:r>
        <w:rPr>
          <w:i/>
          <w:iCs/>
          <w:snapToGrid w:val="0"/>
        </w:rPr>
        <w:t>Parliamentary Superannuation Act Amendment Act 1954</w:t>
      </w:r>
      <w:r>
        <w:rPr>
          <w:snapToGrid w:val="0"/>
        </w:rPr>
        <w:t>.</w:t>
      </w:r>
    </w:p>
    <w:p>
      <w:pPr>
        <w:pStyle w:val="yNumberedItem"/>
        <w:rPr>
          <w:snapToGrid w:val="0"/>
        </w:rPr>
      </w:pPr>
      <w:r>
        <w:rPr>
          <w:snapToGrid w:val="0"/>
        </w:rPr>
        <w:tab/>
      </w:r>
      <w:r>
        <w:rPr>
          <w:i/>
          <w:iCs/>
          <w:snapToGrid w:val="0"/>
        </w:rPr>
        <w:t>Parliamentary Superannuation Act Amendment Act 1955</w:t>
      </w:r>
      <w:r>
        <w:rPr>
          <w:snapToGrid w:val="0"/>
        </w:rPr>
        <w:t>.</w:t>
      </w:r>
    </w:p>
    <w:p>
      <w:pPr>
        <w:pStyle w:val="yNumberedItem"/>
        <w:rPr>
          <w:snapToGrid w:val="0"/>
        </w:rPr>
      </w:pPr>
      <w:r>
        <w:rPr>
          <w:snapToGrid w:val="0"/>
        </w:rPr>
        <w:tab/>
      </w:r>
      <w:r>
        <w:rPr>
          <w:i/>
          <w:iCs/>
          <w:snapToGrid w:val="0"/>
        </w:rPr>
        <w:t>Parliamentary Superannuation Act Amendment Act 1957</w:t>
      </w:r>
      <w:r>
        <w:rPr>
          <w:snapToGrid w:val="0"/>
        </w:rPr>
        <w:t>.</w:t>
      </w:r>
    </w:p>
    <w:p>
      <w:pPr>
        <w:pStyle w:val="yNumberedItem"/>
        <w:rPr>
          <w:snapToGrid w:val="0"/>
        </w:rPr>
      </w:pPr>
      <w:r>
        <w:rPr>
          <w:snapToGrid w:val="0"/>
        </w:rPr>
        <w:tab/>
      </w:r>
      <w:r>
        <w:rPr>
          <w:i/>
          <w:iCs/>
          <w:snapToGrid w:val="0"/>
        </w:rPr>
        <w:t>Parliamentary Superannuation Act Amendment Act 1958</w:t>
      </w:r>
      <w:r>
        <w:rPr>
          <w:snapToGrid w:val="0"/>
        </w:rPr>
        <w:t>.</w:t>
      </w:r>
    </w:p>
    <w:p>
      <w:pPr>
        <w:pStyle w:val="yNumberedItem"/>
        <w:rPr>
          <w:snapToGrid w:val="0"/>
        </w:rPr>
      </w:pPr>
      <w:r>
        <w:rPr>
          <w:snapToGrid w:val="0"/>
        </w:rPr>
        <w:tab/>
      </w:r>
      <w:r>
        <w:rPr>
          <w:i/>
          <w:iCs/>
          <w:snapToGrid w:val="0"/>
        </w:rPr>
        <w:t>Parliamentary Superannuation Act Amendment Act 1960</w:t>
      </w:r>
      <w:r>
        <w:rPr>
          <w:snapToGrid w:val="0"/>
        </w:rPr>
        <w:t>.</w:t>
      </w:r>
    </w:p>
    <w:p>
      <w:pPr>
        <w:pStyle w:val="yNumberedItem"/>
        <w:rPr>
          <w:snapToGrid w:val="0"/>
        </w:rPr>
      </w:pPr>
      <w:r>
        <w:rPr>
          <w:snapToGrid w:val="0"/>
        </w:rPr>
        <w:tab/>
      </w:r>
      <w:r>
        <w:rPr>
          <w:i/>
          <w:iCs/>
          <w:snapToGrid w:val="0"/>
        </w:rPr>
        <w:t>Parliamentary Superannuation Act Amendment Act 1964</w:t>
      </w:r>
      <w:r>
        <w:rPr>
          <w:snapToGrid w:val="0"/>
        </w:rPr>
        <w:t>.</w:t>
      </w:r>
    </w:p>
    <w:p>
      <w:pPr>
        <w:pStyle w:val="yNumberedItem"/>
        <w:rPr>
          <w:snapToGrid w:val="0"/>
        </w:rPr>
      </w:pPr>
      <w:r>
        <w:rPr>
          <w:snapToGrid w:val="0"/>
        </w:rPr>
        <w:tab/>
      </w:r>
      <w:r>
        <w:rPr>
          <w:i/>
          <w:iCs/>
          <w:snapToGrid w:val="0"/>
        </w:rPr>
        <w:t>Parliamentary Superannuation Act Amendment Act 1968</w:t>
      </w: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63" w:name="_Toc125257650"/>
      <w:bookmarkStart w:id="164" w:name="_Toc137009333"/>
      <w:bookmarkStart w:id="165" w:name="_Toc137021410"/>
      <w:bookmarkStart w:id="166" w:name="_Toc139707540"/>
      <w:r>
        <w:t>Notes</w:t>
      </w:r>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 w:name="_Toc38858482"/>
      <w:bookmarkStart w:id="168" w:name="_Toc125257651"/>
      <w:bookmarkStart w:id="169" w:name="_Toc139707541"/>
      <w:r>
        <w:rPr>
          <w:snapToGrid w:val="0"/>
        </w:rPr>
        <w:t>Compilation table</w:t>
      </w:r>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r>
        <w:tc>
          <w:tcPr>
            <w:tcW w:w="2268" w:type="dxa"/>
          </w:tcPr>
          <w:p>
            <w:pPr>
              <w:pStyle w:val="nTable"/>
              <w:rPr>
                <w:iCs/>
                <w:sz w:val="19"/>
                <w:vertAlign w:val="superscript"/>
              </w:rPr>
            </w:pPr>
            <w:r>
              <w:rPr>
                <w:i/>
                <w:sz w:val="19"/>
              </w:rPr>
              <w:t>Superannuation Legislation Amendment and Validation Act 2006</w:t>
            </w:r>
            <w:r>
              <w:rPr>
                <w:iCs/>
                <w:sz w:val="19"/>
              </w:rPr>
              <w:t xml:space="preserve"> Pt. 2 </w:t>
            </w:r>
          </w:p>
        </w:tc>
        <w:tc>
          <w:tcPr>
            <w:tcW w:w="1134" w:type="dxa"/>
          </w:tcPr>
          <w:p>
            <w:pPr>
              <w:pStyle w:val="nTable"/>
              <w:rPr>
                <w:sz w:val="19"/>
              </w:rPr>
            </w:pPr>
            <w:r>
              <w:rPr>
                <w:sz w:val="19"/>
              </w:rPr>
              <w:t>18 of 2006</w:t>
            </w:r>
          </w:p>
        </w:tc>
        <w:tc>
          <w:tcPr>
            <w:tcW w:w="1134" w:type="dxa"/>
          </w:tcPr>
          <w:p>
            <w:pPr>
              <w:pStyle w:val="nTable"/>
              <w:rPr>
                <w:sz w:val="19"/>
              </w:rPr>
            </w:pPr>
            <w:r>
              <w:rPr>
                <w:sz w:val="19"/>
              </w:rPr>
              <w:t>31 May 2006</w:t>
            </w:r>
          </w:p>
        </w:tc>
        <w:tc>
          <w:tcPr>
            <w:tcW w:w="2551" w:type="dxa"/>
          </w:tcPr>
          <w:p>
            <w:pPr>
              <w:pStyle w:val="nTable"/>
              <w:rPr>
                <w:sz w:val="19"/>
              </w:rPr>
            </w:pPr>
            <w:r>
              <w:rPr>
                <w:sz w:val="19"/>
              </w:rPr>
              <w:t>31 May 2006 (see s. 2)</w:t>
            </w:r>
          </w:p>
        </w:tc>
      </w:tr>
      <w:tr>
        <w:tc>
          <w:tcPr>
            <w:tcW w:w="2268" w:type="dxa"/>
            <w:tcBorders>
              <w:bottom w:val="single" w:sz="4" w:space="0" w:color="auto"/>
            </w:tcBorders>
          </w:tcPr>
          <w:p>
            <w:pPr>
              <w:pStyle w:val="nTable"/>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7</w:t>
            </w:r>
          </w:p>
        </w:tc>
        <w:tc>
          <w:tcPr>
            <w:tcW w:w="1134" w:type="dxa"/>
            <w:tcBorders>
              <w:bottom w:val="single" w:sz="4" w:space="0" w:color="auto"/>
            </w:tcBorders>
          </w:tcPr>
          <w:p>
            <w:pPr>
              <w:pStyle w:val="nTable"/>
              <w:rPr>
                <w:sz w:val="19"/>
              </w:rPr>
            </w:pPr>
            <w:r>
              <w:rPr>
                <w:snapToGrid w:val="0"/>
                <w:sz w:val="19"/>
                <w:lang w:val="en-US"/>
              </w:rPr>
              <w:t>28 of 2006</w:t>
            </w:r>
          </w:p>
        </w:tc>
        <w:tc>
          <w:tcPr>
            <w:tcW w:w="1134" w:type="dxa"/>
            <w:tcBorders>
              <w:bottom w:val="single" w:sz="4" w:space="0" w:color="auto"/>
            </w:tcBorders>
          </w:tcPr>
          <w:p>
            <w:pPr>
              <w:pStyle w:val="nTable"/>
              <w:rPr>
                <w:sz w:val="19"/>
              </w:rPr>
            </w:pPr>
            <w:r>
              <w:rPr>
                <w:sz w:val="19"/>
              </w:rPr>
              <w:t>26 Jun 2006</w:t>
            </w:r>
          </w:p>
        </w:tc>
        <w:tc>
          <w:tcPr>
            <w:tcW w:w="2551" w:type="dxa"/>
            <w:tcBorders>
              <w:bottom w:val="single" w:sz="4" w:space="0" w:color="auto"/>
            </w:tcBorders>
          </w:tcPr>
          <w:p>
            <w:pPr>
              <w:pStyle w:val="nTable"/>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4A9B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F6EA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FE6A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CC5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5290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BA2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BC0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6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AEC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C8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B6E74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150C5A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39"/>
    <w:docVar w:name="WAFER_20151208154239" w:val="RemoveTrackChanges"/>
    <w:docVar w:name="WAFER_20151208154239_GUID" w:val="ef28077e-d175-4355-8354-1c43bf6b7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11245</Words>
  <Characters>51953</Characters>
  <Application>Microsoft Office Word</Application>
  <DocSecurity>0</DocSecurity>
  <Lines>1443</Lines>
  <Paragraphs>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1970 - 03-c0-04</dc:title>
  <dc:subject/>
  <dc:creator/>
  <cp:keywords/>
  <dc:description/>
  <cp:lastModifiedBy>svcMRProcess</cp:lastModifiedBy>
  <cp:revision>4</cp:revision>
  <cp:lastPrinted>2003-04-16T00:19:00Z</cp:lastPrinted>
  <dcterms:created xsi:type="dcterms:W3CDTF">2020-02-18T03:28:00Z</dcterms:created>
  <dcterms:modified xsi:type="dcterms:W3CDTF">2020-02-18T03:28:00Z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575</vt:i4>
  </property>
  <property fmtid="{D5CDD505-2E9C-101B-9397-08002B2CF9AE}" pid="6" name="AsAtDate">
    <vt:lpwstr>01 Jul 2006</vt:lpwstr>
  </property>
  <property fmtid="{D5CDD505-2E9C-101B-9397-08002B2CF9AE}" pid="7" name="Suffix">
    <vt:lpwstr>03-c0-04</vt:lpwstr>
  </property>
</Properties>
</file>