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Supreme Court Act 1935</w:t>
      </w:r>
    </w:p>
    <w:p>
      <w:pPr>
        <w:pStyle w:val="NameofActRegPage1"/>
        <w:spacing w:before="1800" w:after="4200"/>
      </w:pPr>
      <w:r>
        <w:fldChar w:fldCharType="begin"/>
      </w:r>
      <w:r>
        <w:instrText xml:space="preserve"> STYLEREF "Name Of Act/Reg"</w:instrText>
      </w:r>
      <w:r>
        <w:fldChar w:fldCharType="separate"/>
      </w:r>
      <w:r>
        <w:rPr>
          <w:noProof/>
        </w:rPr>
        <w:t>Supreme Court (Fees)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_Toc232310884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_Toc232310885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_Toc232310886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_Toc232310887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_Toc232310888 \h </w:instrText>
      </w:r>
      <w:r>
        <w:fldChar w:fldCharType="separate"/>
      </w:r>
      <w:r>
        <w:t>5</w:t>
      </w:r>
      <w:r>
        <w:fldChar w:fldCharType="end"/>
      </w:r>
    </w:p>
    <w:p>
      <w:pPr>
        <w:pStyle w:val="TOC8"/>
        <w:rPr>
          <w:sz w:val="24"/>
          <w:szCs w:val="24"/>
        </w:rPr>
      </w:pPr>
      <w:r>
        <w:rPr>
          <w:szCs w:val="24"/>
        </w:rPr>
        <w:t>5A.</w:t>
      </w:r>
      <w:r>
        <w:rPr>
          <w:szCs w:val="24"/>
        </w:rPr>
        <w:tab/>
        <w:t>Disputes regarding fees</w:t>
      </w:r>
      <w:r>
        <w:tab/>
      </w:r>
      <w:r>
        <w:fldChar w:fldCharType="begin"/>
      </w:r>
      <w:r>
        <w:instrText xml:space="preserve"> PAGEREF _Toc232310889 \h </w:instrText>
      </w:r>
      <w:r>
        <w:fldChar w:fldCharType="separate"/>
      </w:r>
      <w:r>
        <w:t>6</w:t>
      </w:r>
      <w:r>
        <w:fldChar w:fldCharType="end"/>
      </w:r>
    </w:p>
    <w:p>
      <w:pPr>
        <w:pStyle w:val="TOC8"/>
        <w:rPr>
          <w:sz w:val="24"/>
          <w:szCs w:val="24"/>
        </w:rPr>
      </w:pPr>
      <w:r>
        <w:rPr>
          <w:szCs w:val="24"/>
        </w:rPr>
        <w:t>6.</w:t>
      </w:r>
      <w:r>
        <w:rPr>
          <w:szCs w:val="24"/>
        </w:rPr>
        <w:tab/>
      </w:r>
      <w:r>
        <w:rPr>
          <w:snapToGrid w:val="0"/>
          <w:szCs w:val="24"/>
        </w:rPr>
        <w:t>Fees to be paid before documents filed or other things done</w:t>
      </w:r>
      <w:r>
        <w:tab/>
      </w:r>
      <w:r>
        <w:fldChar w:fldCharType="begin"/>
      </w:r>
      <w:r>
        <w:instrText xml:space="preserve"> PAGEREF _Toc232310890 \h </w:instrText>
      </w:r>
      <w:r>
        <w:fldChar w:fldCharType="separate"/>
      </w:r>
      <w:r>
        <w:t>6</w:t>
      </w:r>
      <w:r>
        <w:fldChar w:fldCharType="end"/>
      </w:r>
    </w:p>
    <w:p>
      <w:pPr>
        <w:pStyle w:val="TOC8"/>
        <w:rPr>
          <w:sz w:val="24"/>
          <w:szCs w:val="24"/>
        </w:rPr>
      </w:pPr>
      <w:r>
        <w:rPr>
          <w:szCs w:val="24"/>
        </w:rPr>
        <w:t>7.</w:t>
      </w:r>
      <w:r>
        <w:rPr>
          <w:szCs w:val="24"/>
        </w:rPr>
        <w:tab/>
      </w:r>
      <w:r>
        <w:rPr>
          <w:snapToGrid w:val="0"/>
          <w:szCs w:val="24"/>
        </w:rPr>
        <w:t>Court or registrar may remit fees</w:t>
      </w:r>
      <w:r>
        <w:tab/>
      </w:r>
      <w:r>
        <w:fldChar w:fldCharType="begin"/>
      </w:r>
      <w:r>
        <w:instrText xml:space="preserve"> PAGEREF _Toc232310891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Conventions</w:t>
      </w:r>
      <w:r>
        <w:tab/>
      </w:r>
      <w:r>
        <w:fldChar w:fldCharType="begin"/>
      </w:r>
      <w:r>
        <w:instrText xml:space="preserve"> PAGEREF _Toc232310892 \h </w:instrText>
      </w:r>
      <w:r>
        <w:fldChar w:fldCharType="separate"/>
      </w:r>
      <w:r>
        <w:t>9</w:t>
      </w:r>
      <w:r>
        <w:fldChar w:fldCharType="end"/>
      </w:r>
    </w:p>
    <w:p>
      <w:pPr>
        <w:pStyle w:val="TOC8"/>
        <w:rPr>
          <w:sz w:val="24"/>
          <w:szCs w:val="24"/>
        </w:rPr>
      </w:pPr>
      <w:r>
        <w:rPr>
          <w:szCs w:val="24"/>
        </w:rPr>
        <w:t>9.</w:t>
      </w:r>
      <w:r>
        <w:rPr>
          <w:szCs w:val="24"/>
        </w:rPr>
        <w:tab/>
        <w:t>Allocation of hearing date — Schedule 1 Division 1 item 6</w:t>
      </w:r>
      <w:r>
        <w:tab/>
      </w:r>
      <w:r>
        <w:fldChar w:fldCharType="begin"/>
      </w:r>
      <w:r>
        <w:instrText xml:space="preserve"> PAGEREF _Toc232310893 \h </w:instrText>
      </w:r>
      <w:r>
        <w:fldChar w:fldCharType="separate"/>
      </w:r>
      <w:r>
        <w:t>9</w:t>
      </w:r>
      <w:r>
        <w:fldChar w:fldCharType="end"/>
      </w:r>
    </w:p>
    <w:p>
      <w:pPr>
        <w:pStyle w:val="TOC8"/>
        <w:rPr>
          <w:sz w:val="24"/>
          <w:szCs w:val="24"/>
        </w:rPr>
      </w:pPr>
      <w:r>
        <w:rPr>
          <w:szCs w:val="24"/>
        </w:rPr>
        <w:t>9A.</w:t>
      </w:r>
      <w:r>
        <w:rPr>
          <w:szCs w:val="24"/>
        </w:rPr>
        <w:tab/>
        <w:t>Court of Appeal allocation of hearing date — Schedule 1 Division 2 item 6</w:t>
      </w:r>
      <w:r>
        <w:tab/>
      </w:r>
      <w:r>
        <w:fldChar w:fldCharType="begin"/>
      </w:r>
      <w:r>
        <w:instrText xml:space="preserve"> PAGEREF _Toc232310894 \h </w:instrText>
      </w:r>
      <w:r>
        <w:fldChar w:fldCharType="separate"/>
      </w:r>
      <w:r>
        <w:t>11</w:t>
      </w:r>
      <w:r>
        <w:fldChar w:fldCharType="end"/>
      </w:r>
    </w:p>
    <w:p>
      <w:pPr>
        <w:pStyle w:val="TOC8"/>
        <w:rPr>
          <w:sz w:val="24"/>
          <w:szCs w:val="24"/>
        </w:rPr>
      </w:pPr>
      <w:r>
        <w:rPr>
          <w:szCs w:val="24"/>
        </w:rPr>
        <w:t>10.</w:t>
      </w:r>
      <w:r>
        <w:rPr>
          <w:szCs w:val="24"/>
        </w:rPr>
        <w:tab/>
        <w:t>Schedule 1 Division 1 item 7 or Division 2 item 7 fee</w:t>
      </w:r>
      <w:r>
        <w:tab/>
      </w:r>
      <w:r>
        <w:fldChar w:fldCharType="begin"/>
      </w:r>
      <w:r>
        <w:instrText xml:space="preserve"> PAGEREF _Toc232310895 \h </w:instrText>
      </w:r>
      <w:r>
        <w:fldChar w:fldCharType="separate"/>
      </w:r>
      <w:r>
        <w:t>12</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_Toc232310896 \h </w:instrText>
      </w:r>
      <w:r>
        <w:fldChar w:fldCharType="separate"/>
      </w:r>
      <w:r>
        <w:t>13</w:t>
      </w:r>
      <w:r>
        <w:fldChar w:fldCharType="end"/>
      </w:r>
    </w:p>
    <w:p>
      <w:pPr>
        <w:pStyle w:val="TOC8"/>
        <w:rPr>
          <w:sz w:val="24"/>
          <w:szCs w:val="24"/>
        </w:rPr>
      </w:pPr>
      <w:r>
        <w:rPr>
          <w:szCs w:val="24"/>
        </w:rPr>
        <w:t>12.</w:t>
      </w:r>
      <w:r>
        <w:rPr>
          <w:szCs w:val="24"/>
        </w:rPr>
        <w:tab/>
        <w:t>Transitional</w:t>
      </w:r>
      <w:r>
        <w:tab/>
      </w:r>
      <w:r>
        <w:fldChar w:fldCharType="begin"/>
      </w:r>
      <w:r>
        <w:instrText xml:space="preserve"> PAGEREF _Toc232310897 \h </w:instrText>
      </w:r>
      <w:r>
        <w:fldChar w:fldCharType="separate"/>
      </w:r>
      <w:r>
        <w:t>13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General Division fees</w:t>
      </w:r>
    </w:p>
    <w:p>
      <w:pPr>
        <w:pStyle w:val="TOC4"/>
        <w:tabs>
          <w:tab w:val="right" w:leader="dot" w:pos="7086"/>
        </w:tabs>
        <w:rPr>
          <w:b w:val="0"/>
          <w:sz w:val="24"/>
          <w:szCs w:val="24"/>
        </w:rPr>
      </w:pPr>
      <w:r>
        <w:rPr>
          <w:szCs w:val="24"/>
        </w:rPr>
        <w:t>Division 2 — Court of Appeal fees</w:t>
      </w:r>
    </w:p>
    <w:p>
      <w:pPr>
        <w:pStyle w:val="TOC2"/>
        <w:tabs>
          <w:tab w:val="right" w:leader="dot" w:pos="7086"/>
        </w:tabs>
        <w:rPr>
          <w:b w:val="0"/>
          <w:sz w:val="24"/>
          <w:szCs w:val="24"/>
        </w:rPr>
      </w:pPr>
      <w:r>
        <w:rPr>
          <w:szCs w:val="28"/>
        </w:rPr>
        <w:t>Schedule 2 — Sheriff’s fees</w:t>
      </w:r>
    </w:p>
    <w:p>
      <w:pPr>
        <w:pStyle w:val="TOC2"/>
        <w:tabs>
          <w:tab w:val="right" w:leader="dot" w:pos="7086"/>
        </w:tabs>
        <w:rPr>
          <w:b w:val="0"/>
          <w:sz w:val="24"/>
          <w:szCs w:val="24"/>
        </w:rPr>
      </w:pPr>
      <w:r>
        <w:rPr>
          <w:szCs w:val="28"/>
        </w:rPr>
        <w:t>Schedule 3 — Probate fees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_Toc232310905 \h </w:instrText>
      </w:r>
      <w:r>
        <w:fldChar w:fldCharType="separate"/>
      </w:r>
      <w:r>
        <w:t>38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Supreme Court Act 1935</w:t>
      </w:r>
    </w:p>
    <w:p>
      <w:pPr>
        <w:pStyle w:val="NameofActReg"/>
      </w:pPr>
      <w:r>
        <w:t>Supreme Court (Fees) Regulations 2002</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33480345"/>
      <w:bookmarkStart w:id="9" w:name="_Toc107626230"/>
      <w:bookmarkStart w:id="10" w:name="_Toc145814150"/>
      <w:bookmarkStart w:id="11" w:name="_Toc232310884"/>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232310885"/>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on 1 January 2002</w:t>
      </w:r>
      <w:r>
        <w:t>.</w:t>
      </w:r>
    </w:p>
    <w:p>
      <w:pPr>
        <w:pStyle w:val="Heading5"/>
      </w:pPr>
      <w:bookmarkStart w:id="22" w:name="_Toc519740754"/>
      <w:bookmarkStart w:id="23" w:name="_Toc520870024"/>
      <w:bookmarkStart w:id="24" w:name="_Toc533218881"/>
      <w:bookmarkStart w:id="25" w:name="_Toc533480347"/>
      <w:bookmarkStart w:id="26" w:name="_Toc107626232"/>
      <w:bookmarkStart w:id="27" w:name="_Toc145814152"/>
      <w:bookmarkStart w:id="28" w:name="_Toc232310886"/>
      <w:r>
        <w:rPr>
          <w:rStyle w:val="CharSectno"/>
        </w:rPr>
        <w:t>3</w:t>
      </w:r>
      <w:r>
        <w:t>.</w:t>
      </w:r>
      <w:r>
        <w:tab/>
        <w:t>Interpretation</w:t>
      </w:r>
      <w:bookmarkEnd w:id="22"/>
      <w:bookmarkEnd w:id="23"/>
      <w:bookmarkEnd w:id="24"/>
      <w:bookmarkEnd w:id="25"/>
      <w:bookmarkEnd w:id="26"/>
      <w:bookmarkEnd w:id="27"/>
      <w:bookmarkEnd w:id="28"/>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80"/>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29" w:name="_Hlt510414214"/>
      <w:bookmarkStart w:id="30" w:name="_Toc437922206"/>
      <w:bookmarkStart w:id="31" w:name="_Toc483972641"/>
      <w:bookmarkStart w:id="32" w:name="_Toc506018772"/>
      <w:bookmarkStart w:id="33" w:name="_Toc519740755"/>
      <w:bookmarkStart w:id="34" w:name="_Toc520870025"/>
      <w:bookmarkStart w:id="35" w:name="_Toc533218882"/>
      <w:bookmarkStart w:id="36" w:name="_Toc533480348"/>
      <w:bookmarkStart w:id="37" w:name="_Toc107626233"/>
      <w:bookmarkStart w:id="38" w:name="_Toc145814153"/>
      <w:bookmarkStart w:id="39" w:name="_Toc232310887"/>
      <w:bookmarkEnd w:id="29"/>
      <w:r>
        <w:rPr>
          <w:rStyle w:val="CharSectno"/>
        </w:rPr>
        <w:t>4</w:t>
      </w:r>
      <w:r>
        <w:t>.</w:t>
      </w:r>
      <w:r>
        <w:tab/>
      </w:r>
      <w:r>
        <w:rPr>
          <w:snapToGrid w:val="0"/>
        </w:rPr>
        <w:t>Fees to be charged</w:t>
      </w:r>
      <w:bookmarkEnd w:id="30"/>
      <w:bookmarkEnd w:id="31"/>
      <w:bookmarkEnd w:id="32"/>
      <w:bookmarkEnd w:id="33"/>
      <w:bookmarkEnd w:id="34"/>
      <w:bookmarkEnd w:id="35"/>
      <w:bookmarkEnd w:id="36"/>
      <w:bookmarkEnd w:id="37"/>
      <w:bookmarkEnd w:id="38"/>
      <w:bookmarkEnd w:id="39"/>
    </w:p>
    <w:p>
      <w:pPr>
        <w:pStyle w:val="Subsection"/>
        <w:rPr>
          <w:snapToGrid w:val="0"/>
        </w:rPr>
      </w:pPr>
      <w:r>
        <w:rPr>
          <w:snapToGrid w:val="0"/>
        </w:rPr>
        <w:tab/>
        <w:t>(1)</w:t>
      </w:r>
      <w:r>
        <w:rPr>
          <w:snapToGrid w:val="0"/>
        </w:rPr>
        <w:tab/>
        <w:t>Subject to the provisions of these regulations, the fees specified in Schedules </w:t>
      </w:r>
      <w:bookmarkStart w:id="40" w:name="_Hlt533321613"/>
      <w:r>
        <w:rPr>
          <w:snapToGrid w:val="0"/>
        </w:rPr>
        <w:t>1</w:t>
      </w:r>
      <w:bookmarkEnd w:id="40"/>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41" w:name="_Hlt533327442"/>
      <w:bookmarkEnd w:id="41"/>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2" w:name="_Toc437922207"/>
      <w:bookmarkStart w:id="43" w:name="_Toc483972642"/>
      <w:bookmarkStart w:id="44" w:name="_Toc506018773"/>
      <w:bookmarkStart w:id="45" w:name="_Toc519740756"/>
      <w:bookmarkStart w:id="46" w:name="_Toc520870026"/>
      <w:bookmarkStart w:id="47" w:name="_Toc533218883"/>
      <w:bookmarkStart w:id="48" w:name="_Toc533480349"/>
      <w:r>
        <w:tab/>
        <w:t>[Regulation 4 amended in Gazette 30 Dec 2003 p. 5693-4; 28 Apr 2005 p. 1758.]</w:t>
      </w:r>
    </w:p>
    <w:p>
      <w:pPr>
        <w:pStyle w:val="Heading5"/>
        <w:rPr>
          <w:snapToGrid w:val="0"/>
        </w:rPr>
      </w:pPr>
      <w:bookmarkStart w:id="49" w:name="_Toc107626234"/>
      <w:bookmarkStart w:id="50" w:name="_Toc145814154"/>
      <w:bookmarkStart w:id="51" w:name="_Toc232310888"/>
      <w:r>
        <w:rPr>
          <w:rStyle w:val="CharSectno"/>
        </w:rPr>
        <w:t>5</w:t>
      </w:r>
      <w:r>
        <w:t>.</w:t>
      </w:r>
      <w:r>
        <w:tab/>
      </w:r>
      <w:r>
        <w:rPr>
          <w:snapToGrid w:val="0"/>
        </w:rPr>
        <w:t>Exemptions</w:t>
      </w:r>
      <w:bookmarkEnd w:id="42"/>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rFonts w:ascii="Times" w:hAnsi="Times"/>
          <w:iCs/>
          <w:vertAlign w:val="superscript"/>
        </w:rPr>
        <w:t> 2</w:t>
      </w:r>
      <w:r>
        <w:rPr>
          <w:snapToGrid w:val="0"/>
        </w:rPr>
        <w:t>; or</w:t>
      </w:r>
    </w:p>
    <w:p>
      <w:pPr>
        <w:pStyle w:val="Indenta"/>
        <w:rPr>
          <w:snapToGrid w:val="0"/>
        </w:rPr>
      </w:pPr>
      <w:r>
        <w:tab/>
        <w:t>(h)</w:t>
      </w:r>
      <w:r>
        <w:tab/>
        <w:t xml:space="preserve">proceedings under the </w:t>
      </w:r>
      <w:r>
        <w:rPr>
          <w:i/>
        </w:rPr>
        <w:t>Civil Judgments Enforcement Act 2004</w:t>
      </w:r>
      <w:r>
        <w:t>; or</w:t>
      </w:r>
    </w:p>
    <w:p>
      <w:pPr>
        <w:pStyle w:val="Indenta"/>
      </w:pPr>
      <w:bookmarkStart w:id="52" w:name="_Toc437922208"/>
      <w:bookmarkStart w:id="53" w:name="_Toc483972643"/>
      <w:bookmarkStart w:id="54" w:name="_Toc506018774"/>
      <w:bookmarkStart w:id="55" w:name="_Toc519740757"/>
      <w:bookmarkStart w:id="56" w:name="_Toc520870027"/>
      <w:bookmarkStart w:id="57" w:name="_Toc533218884"/>
      <w:bookmarkStart w:id="58"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w:t>
      </w:r>
    </w:p>
    <w:p>
      <w:pPr>
        <w:pStyle w:val="Heading5"/>
      </w:pPr>
      <w:bookmarkStart w:id="59" w:name="_Toc107626235"/>
      <w:bookmarkStart w:id="60" w:name="_Toc145814155"/>
      <w:bookmarkStart w:id="61" w:name="_Toc232310889"/>
      <w:r>
        <w:t>5A.</w:t>
      </w:r>
      <w:r>
        <w:tab/>
        <w:t>Disputes regarding fees</w:t>
      </w:r>
      <w:bookmarkEnd w:id="59"/>
      <w:bookmarkEnd w:id="60"/>
      <w:bookmarkEnd w:id="61"/>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2" w:name="_Toc145814156"/>
      <w:bookmarkStart w:id="63" w:name="_Toc232310890"/>
      <w:bookmarkStart w:id="64" w:name="_Toc107626236"/>
      <w:r>
        <w:rPr>
          <w:rStyle w:val="CharSectno"/>
        </w:rPr>
        <w:t>6</w:t>
      </w:r>
      <w:r>
        <w:t>.</w:t>
      </w:r>
      <w:r>
        <w:tab/>
      </w:r>
      <w:r>
        <w:rPr>
          <w:snapToGrid w:val="0"/>
        </w:rPr>
        <w:t>Fees to be paid before documents filed or other things done</w:t>
      </w:r>
      <w:bookmarkEnd w:id="62"/>
      <w:bookmarkEnd w:id="63"/>
      <w:r>
        <w:rPr>
          <w:snapToGrid w:val="0"/>
        </w:rPr>
        <w:t xml:space="preserve"> </w:t>
      </w:r>
      <w:bookmarkEnd w:id="52"/>
      <w:bookmarkEnd w:id="53"/>
      <w:bookmarkEnd w:id="54"/>
      <w:bookmarkEnd w:id="55"/>
      <w:bookmarkEnd w:id="56"/>
      <w:bookmarkEnd w:id="57"/>
      <w:bookmarkEnd w:id="58"/>
      <w:bookmarkEnd w:id="64"/>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5" w:name="_Toc437922210"/>
      <w:bookmarkStart w:id="66" w:name="_Toc483972645"/>
      <w:bookmarkStart w:id="67" w:name="_Toc506018776"/>
      <w:bookmarkStart w:id="68" w:name="_Toc519740758"/>
      <w:bookmarkStart w:id="69" w:name="_Toc520870028"/>
      <w:bookmarkStart w:id="70" w:name="_Toc533218885"/>
      <w:bookmarkStart w:id="71" w:name="_Toc533480351"/>
      <w:bookmarkStart w:id="72" w:name="_Toc107626237"/>
      <w:bookmarkStart w:id="73" w:name="_Toc145814157"/>
      <w:bookmarkStart w:id="74" w:name="_Toc232310891"/>
      <w:r>
        <w:rPr>
          <w:rStyle w:val="CharSectno"/>
        </w:rPr>
        <w:t>7</w:t>
      </w:r>
      <w:r>
        <w:t>.</w:t>
      </w:r>
      <w:r>
        <w:tab/>
      </w:r>
      <w:r>
        <w:rPr>
          <w:snapToGrid w:val="0"/>
        </w:rPr>
        <w:t>Court or registrar may remit fees</w:t>
      </w:r>
      <w:bookmarkEnd w:id="65"/>
      <w:bookmarkEnd w:id="66"/>
      <w:bookmarkEnd w:id="67"/>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5" w:name="_Hlt533327450"/>
      <w:bookmarkEnd w:id="75"/>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6" w:name="_Toc437922211"/>
      <w:bookmarkStart w:id="77" w:name="_Toc483972646"/>
      <w:bookmarkStart w:id="78" w:name="_Toc506018777"/>
      <w:bookmarkStart w:id="79" w:name="_Toc519740759"/>
      <w:bookmarkStart w:id="80" w:name="_Toc520870029"/>
      <w:bookmarkStart w:id="81" w:name="_Toc533218886"/>
      <w:bookmarkStart w:id="82"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83" w:name="_Toc107626238"/>
      <w:bookmarkStart w:id="84" w:name="_Toc145814158"/>
      <w:bookmarkStart w:id="85" w:name="_Toc232310892"/>
      <w:r>
        <w:rPr>
          <w:rStyle w:val="CharSectno"/>
        </w:rPr>
        <w:t>8</w:t>
      </w:r>
      <w:r>
        <w:t>.</w:t>
      </w:r>
      <w:r>
        <w:tab/>
      </w:r>
      <w:r>
        <w:rPr>
          <w:snapToGrid w:val="0"/>
        </w:rPr>
        <w:t>Conventions</w:t>
      </w:r>
      <w:bookmarkEnd w:id="76"/>
      <w:bookmarkEnd w:id="77"/>
      <w:bookmarkEnd w:id="78"/>
      <w:bookmarkEnd w:id="79"/>
      <w:bookmarkEnd w:id="80"/>
      <w:bookmarkEnd w:id="81"/>
      <w:bookmarkEnd w:id="82"/>
      <w:bookmarkEnd w:id="83"/>
      <w:bookmarkEnd w:id="84"/>
      <w:bookmarkEnd w:id="85"/>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6" w:name="_Hlt510414211"/>
      <w:r>
        <w:rPr>
          <w:snapToGrid w:val="0"/>
        </w:rPr>
        <w:t>4</w:t>
      </w:r>
      <w:bookmarkEnd w:id="86"/>
      <w:r>
        <w:rPr>
          <w:snapToGrid w:val="0"/>
        </w:rPr>
        <w:t xml:space="preserve"> are not be taken in respect of those proceedings.</w:t>
      </w:r>
    </w:p>
    <w:p>
      <w:pPr>
        <w:pStyle w:val="Heading5"/>
      </w:pPr>
      <w:bookmarkStart w:id="87" w:name="_Toc107626239"/>
      <w:bookmarkStart w:id="88" w:name="_Toc145814159"/>
      <w:bookmarkStart w:id="89" w:name="_Toc232310893"/>
      <w:bookmarkStart w:id="90" w:name="_Toc533218888"/>
      <w:bookmarkStart w:id="91" w:name="_Toc533480354"/>
      <w:r>
        <w:t>9.</w:t>
      </w:r>
      <w:r>
        <w:tab/>
        <w:t>Allocation of hearing date — Schedule 1 Division 1 item 6</w:t>
      </w:r>
      <w:bookmarkEnd w:id="87"/>
      <w:bookmarkEnd w:id="88"/>
      <w:bookmarkEnd w:id="89"/>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6.</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92" w:name="_Toc107626240"/>
      <w:bookmarkStart w:id="93" w:name="_Toc145814160"/>
      <w:bookmarkStart w:id="94" w:name="_Toc232310894"/>
      <w:r>
        <w:rPr>
          <w:rStyle w:val="CharSectno"/>
        </w:rPr>
        <w:t>9A</w:t>
      </w:r>
      <w:r>
        <w:t>.</w:t>
      </w:r>
      <w:r>
        <w:tab/>
        <w:t>Court of Appeal allocation of hearing date — Schedule 1 Division 2 item 6</w:t>
      </w:r>
      <w:bookmarkEnd w:id="92"/>
      <w:bookmarkEnd w:id="93"/>
      <w:bookmarkEnd w:id="94"/>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6.</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95" w:name="_Toc107626241"/>
      <w:bookmarkStart w:id="96" w:name="_Toc145814161"/>
      <w:bookmarkStart w:id="97" w:name="_Toc232310895"/>
      <w:r>
        <w:rPr>
          <w:rStyle w:val="CharSectno"/>
        </w:rPr>
        <w:t>10</w:t>
      </w:r>
      <w:r>
        <w:t>.</w:t>
      </w:r>
      <w:r>
        <w:tab/>
        <w:t>Schedule 1 Division 1 item 7 or Division 2 item 7 fee</w:t>
      </w:r>
      <w:bookmarkEnd w:id="90"/>
      <w:bookmarkEnd w:id="91"/>
      <w:bookmarkEnd w:id="95"/>
      <w:bookmarkEnd w:id="96"/>
      <w:bookmarkEnd w:id="97"/>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98" w:name="_Toc533218890"/>
      <w:bookmarkStart w:id="99" w:name="_Toc533480356"/>
      <w:r>
        <w:tab/>
        <w:t>[Regulation 10 amended in Gazette 23 Jun 2005 p. 2695.]</w:t>
      </w:r>
    </w:p>
    <w:p>
      <w:pPr>
        <w:pStyle w:val="Heading5"/>
      </w:pPr>
      <w:bookmarkStart w:id="100" w:name="_Toc107626242"/>
      <w:bookmarkStart w:id="101" w:name="_Toc145814162"/>
      <w:bookmarkStart w:id="102" w:name="_Toc232310896"/>
      <w:r>
        <w:t>11.</w:t>
      </w:r>
      <w:r>
        <w:tab/>
        <w:t>Recovery of unpaid fees</w:t>
      </w:r>
      <w:bookmarkEnd w:id="100"/>
      <w:bookmarkEnd w:id="101"/>
      <w:bookmarkEnd w:id="102"/>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103" w:name="_Toc107626243"/>
      <w:bookmarkStart w:id="104" w:name="_Toc145814163"/>
      <w:bookmarkStart w:id="105" w:name="_Toc232310897"/>
      <w:r>
        <w:rPr>
          <w:rStyle w:val="CharSectno"/>
        </w:rPr>
        <w:t>12</w:t>
      </w:r>
      <w:r>
        <w:t>.</w:t>
      </w:r>
      <w:r>
        <w:tab/>
        <w:t>Transitional</w:t>
      </w:r>
      <w:bookmarkEnd w:id="98"/>
      <w:bookmarkEnd w:id="99"/>
      <w:bookmarkEnd w:id="103"/>
      <w:bookmarkEnd w:id="104"/>
      <w:bookmarkEnd w:id="105"/>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06" w:name="_Toc533480357"/>
    </w:p>
    <w:p>
      <w:pPr>
        <w:pStyle w:val="yScheduleHeading"/>
      </w:pPr>
      <w:bookmarkStart w:id="107" w:name="_Toc107626244"/>
      <w:bookmarkStart w:id="108" w:name="_Toc139175204"/>
      <w:bookmarkStart w:id="109" w:name="_Toc139365935"/>
      <w:bookmarkStart w:id="110" w:name="_Toc141847806"/>
      <w:bookmarkStart w:id="111" w:name="_Toc142382640"/>
      <w:bookmarkStart w:id="112" w:name="_Toc144009323"/>
      <w:bookmarkStart w:id="113" w:name="_Toc144009439"/>
      <w:bookmarkStart w:id="114" w:name="_Toc144010737"/>
      <w:bookmarkStart w:id="115" w:name="_Toc144616501"/>
      <w:bookmarkStart w:id="116" w:name="_Toc145814164"/>
      <w:bookmarkStart w:id="117" w:name="_Toc170790390"/>
      <w:bookmarkStart w:id="118" w:name="_Toc171051020"/>
      <w:bookmarkStart w:id="119" w:name="_Toc202265386"/>
      <w:bookmarkStart w:id="120" w:name="_Toc232310898"/>
      <w:bookmarkEnd w:id="106"/>
      <w:r>
        <w:rPr>
          <w:rStyle w:val="CharSchNo"/>
        </w:rPr>
        <w:t>Schedule 1</w:t>
      </w:r>
      <w:r>
        <w:t> — </w:t>
      </w:r>
      <w:r>
        <w:rPr>
          <w:rStyle w:val="CharSchText"/>
        </w:rPr>
        <w:t>Fees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yShoulderClause"/>
      </w:pPr>
      <w:r>
        <w:t>[r. 4]</w:t>
      </w:r>
    </w:p>
    <w:p>
      <w:pPr>
        <w:pStyle w:val="yFootnoteheading"/>
      </w:pPr>
      <w:r>
        <w:tab/>
        <w:t>[Heading inserted in Gazette 23 Jun 2005 p. 2695.]</w:t>
      </w:r>
    </w:p>
    <w:p>
      <w:pPr>
        <w:pStyle w:val="yHeading3"/>
        <w:spacing w:before="280"/>
      </w:pPr>
      <w:bookmarkStart w:id="121" w:name="_Toc107626245"/>
      <w:bookmarkStart w:id="122" w:name="_Toc139175205"/>
      <w:bookmarkStart w:id="123" w:name="_Toc139365936"/>
      <w:bookmarkStart w:id="124" w:name="_Toc141847807"/>
      <w:bookmarkStart w:id="125" w:name="_Toc142382641"/>
      <w:bookmarkStart w:id="126" w:name="_Toc144009324"/>
      <w:bookmarkStart w:id="127" w:name="_Toc144009440"/>
      <w:bookmarkStart w:id="128" w:name="_Toc144010738"/>
      <w:bookmarkStart w:id="129" w:name="_Toc144616502"/>
      <w:bookmarkStart w:id="130" w:name="_Toc145814165"/>
      <w:bookmarkStart w:id="131" w:name="_Toc170790391"/>
      <w:bookmarkStart w:id="132" w:name="_Toc171051021"/>
      <w:bookmarkStart w:id="133" w:name="_Toc202265387"/>
      <w:bookmarkStart w:id="134" w:name="_Toc232310899"/>
      <w:r>
        <w:rPr>
          <w:rStyle w:val="CharSDivNo"/>
        </w:rPr>
        <w:t>Division 1</w:t>
      </w:r>
      <w:r>
        <w:t xml:space="preserve"> — </w:t>
      </w:r>
      <w:r>
        <w:rPr>
          <w:rStyle w:val="CharSDivText"/>
        </w:rPr>
        <w:t>General Division fees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yFootnoteheading"/>
        <w:spacing w:after="160"/>
      </w:pPr>
      <w:r>
        <w:tab/>
        <w:t>[Heading inserted in Gazette 23 Jun 2005 p. 2695.]</w:t>
      </w:r>
    </w:p>
    <w:tbl>
      <w:tblPr>
        <w:tblW w:w="7200" w:type="dxa"/>
        <w:tblInd w:w="108" w:type="dxa"/>
        <w:tblLayout w:type="fixed"/>
        <w:tblLook w:val="0000" w:firstRow="0" w:lastRow="0" w:firstColumn="0" w:lastColumn="0" w:noHBand="0" w:noVBand="0"/>
      </w:tblPr>
      <w:tblGrid>
        <w:gridCol w:w="708"/>
        <w:gridCol w:w="11"/>
        <w:gridCol w:w="3959"/>
        <w:gridCol w:w="1276"/>
        <w:gridCol w:w="1246"/>
      </w:tblGrid>
      <w:tr>
        <w:trPr>
          <w:cantSplit/>
          <w:tblHeader/>
        </w:trPr>
        <w:tc>
          <w:tcPr>
            <w:tcW w:w="708" w:type="dxa"/>
          </w:tcPr>
          <w:p>
            <w:pPr>
              <w:pStyle w:val="yTable"/>
              <w:spacing w:before="0"/>
              <w:jc w:val="center"/>
              <w:rPr>
                <w:b/>
              </w:rPr>
            </w:pPr>
            <w:r>
              <w:rPr>
                <w:b/>
              </w:rPr>
              <w:t>Item</w:t>
            </w:r>
          </w:p>
        </w:tc>
        <w:tc>
          <w:tcPr>
            <w:tcW w:w="3970" w:type="dxa"/>
            <w:gridSpan w:val="2"/>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46" w:type="dxa"/>
          </w:tcPr>
          <w:p>
            <w:pPr>
              <w:pStyle w:val="yTable"/>
              <w:spacing w:before="0"/>
              <w:jc w:val="center"/>
              <w:rPr>
                <w:b/>
              </w:rPr>
            </w:pPr>
            <w:r>
              <w:rPr>
                <w:b/>
              </w:rPr>
              <w:t>Fee for person other</w:t>
            </w:r>
            <w:r>
              <w:rPr>
                <w:b/>
              </w:rPr>
              <w:br/>
              <w:t>than an individual</w:t>
            </w:r>
            <w:r>
              <w:rPr>
                <w:b/>
              </w:rPr>
              <w:br/>
              <w:t>$</w:t>
            </w:r>
          </w:p>
        </w:tc>
      </w:tr>
      <w:tr>
        <w:trPr>
          <w:cantSplit/>
        </w:trPr>
        <w:tc>
          <w:tcPr>
            <w:tcW w:w="708" w:type="dxa"/>
          </w:tcPr>
          <w:p>
            <w:pPr>
              <w:pStyle w:val="yTable"/>
              <w:spacing w:before="0"/>
              <w:jc w:val="center"/>
            </w:pPr>
            <w:r>
              <w:t>1.</w:t>
            </w:r>
          </w:p>
        </w:tc>
        <w:tc>
          <w:tcPr>
            <w:tcW w:w="3970" w:type="dxa"/>
            <w:gridSpan w:val="2"/>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46" w:type="dxa"/>
          </w:tcPr>
          <w:p>
            <w:pPr>
              <w:pStyle w:val="yTable"/>
              <w:tabs>
                <w:tab w:val="right" w:pos="743"/>
              </w:tabs>
              <w:spacing w:before="20"/>
              <w:jc w:val="center"/>
            </w:pPr>
          </w:p>
        </w:tc>
      </w:tr>
      <w:tr>
        <w:trPr>
          <w:cantSplit/>
        </w:trPr>
        <w:tc>
          <w:tcPr>
            <w:tcW w:w="708" w:type="dxa"/>
          </w:tcPr>
          <w:p>
            <w:pPr>
              <w:pStyle w:val="yTable"/>
              <w:spacing w:before="0"/>
              <w:jc w:val="center"/>
            </w:pPr>
          </w:p>
        </w:tc>
        <w:tc>
          <w:tcPr>
            <w:tcW w:w="3970" w:type="dxa"/>
            <w:gridSpan w:val="2"/>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46" w:type="dxa"/>
          </w:tcPr>
          <w:p>
            <w:pPr>
              <w:pStyle w:val="yTable"/>
              <w:tabs>
                <w:tab w:val="right" w:pos="743"/>
              </w:tabs>
              <w:spacing w:before="20"/>
              <w:jc w:val="center"/>
            </w:pPr>
          </w:p>
        </w:tc>
      </w:tr>
      <w:tr>
        <w:trPr>
          <w:cantSplit/>
        </w:trPr>
        <w:tc>
          <w:tcPr>
            <w:tcW w:w="708" w:type="dxa"/>
          </w:tcPr>
          <w:p>
            <w:pPr>
              <w:pStyle w:val="yTable"/>
              <w:spacing w:before="0"/>
              <w:jc w:val="center"/>
            </w:pPr>
          </w:p>
        </w:tc>
        <w:tc>
          <w:tcPr>
            <w:tcW w:w="3970" w:type="dxa"/>
            <w:gridSpan w:val="2"/>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t>737.00</w:t>
            </w:r>
          </w:p>
        </w:tc>
        <w:tc>
          <w:tcPr>
            <w:tcW w:w="1246" w:type="dxa"/>
          </w:tcPr>
          <w:p>
            <w:pPr>
              <w:pStyle w:val="yTable"/>
              <w:tabs>
                <w:tab w:val="right" w:pos="743"/>
              </w:tabs>
              <w:spacing w:before="20"/>
              <w:jc w:val="center"/>
            </w:pPr>
            <w:r>
              <w:br/>
              <w:t>1 107.00</w:t>
            </w:r>
          </w:p>
        </w:tc>
      </w:tr>
      <w:tr>
        <w:trPr>
          <w:cantSplit/>
        </w:trPr>
        <w:tc>
          <w:tcPr>
            <w:tcW w:w="708" w:type="dxa"/>
          </w:tcPr>
          <w:p>
            <w:pPr>
              <w:pStyle w:val="yTable"/>
              <w:spacing w:before="0"/>
              <w:jc w:val="center"/>
            </w:pPr>
            <w:r>
              <w:t>2.</w:t>
            </w:r>
          </w:p>
        </w:tc>
        <w:tc>
          <w:tcPr>
            <w:tcW w:w="3970" w:type="dxa"/>
            <w:gridSpan w:val="2"/>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46" w:type="dxa"/>
          </w:tcPr>
          <w:p>
            <w:pPr>
              <w:pStyle w:val="yTable"/>
              <w:tabs>
                <w:tab w:val="right" w:pos="743"/>
              </w:tabs>
              <w:spacing w:before="20"/>
              <w:jc w:val="center"/>
            </w:pPr>
          </w:p>
        </w:tc>
      </w:tr>
      <w:tr>
        <w:trPr>
          <w:cantSplit/>
        </w:trPr>
        <w:tc>
          <w:tcPr>
            <w:tcW w:w="708" w:type="dxa"/>
          </w:tcPr>
          <w:p>
            <w:pPr>
              <w:pStyle w:val="yTable"/>
              <w:spacing w:before="0"/>
              <w:jc w:val="center"/>
            </w:pPr>
          </w:p>
        </w:tc>
        <w:tc>
          <w:tcPr>
            <w:tcW w:w="3970" w:type="dxa"/>
            <w:gridSpan w:val="2"/>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r>
              <w:t>737.00</w:t>
            </w:r>
          </w:p>
        </w:tc>
        <w:tc>
          <w:tcPr>
            <w:tcW w:w="1246" w:type="dxa"/>
          </w:tcPr>
          <w:p>
            <w:pPr>
              <w:pStyle w:val="yTable"/>
              <w:tabs>
                <w:tab w:val="right" w:pos="743"/>
              </w:tabs>
              <w:spacing w:before="20"/>
              <w:jc w:val="center"/>
            </w:pPr>
            <w:r>
              <w:t>1 107.00</w:t>
            </w:r>
          </w:p>
        </w:tc>
      </w:tr>
      <w:tr>
        <w:trPr>
          <w:cantSplit/>
        </w:trPr>
        <w:tc>
          <w:tcPr>
            <w:tcW w:w="708" w:type="dxa"/>
          </w:tcPr>
          <w:p>
            <w:pPr>
              <w:pStyle w:val="yTable"/>
              <w:spacing w:before="0"/>
              <w:jc w:val="center"/>
            </w:pPr>
          </w:p>
        </w:tc>
        <w:tc>
          <w:tcPr>
            <w:tcW w:w="3970" w:type="dxa"/>
            <w:gridSpan w:val="2"/>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t>737.00</w:t>
            </w:r>
          </w:p>
        </w:tc>
        <w:tc>
          <w:tcPr>
            <w:tcW w:w="1246" w:type="dxa"/>
          </w:tcPr>
          <w:p>
            <w:pPr>
              <w:pStyle w:val="yTable"/>
              <w:tabs>
                <w:tab w:val="right" w:pos="743"/>
              </w:tabs>
              <w:spacing w:before="20"/>
              <w:jc w:val="center"/>
            </w:pPr>
            <w:r>
              <w:br/>
            </w:r>
            <w:r>
              <w:br/>
              <w:t>1 107.00</w:t>
            </w:r>
          </w:p>
        </w:tc>
      </w:tr>
      <w:tr>
        <w:tc>
          <w:tcPr>
            <w:tcW w:w="708" w:type="dxa"/>
          </w:tcPr>
          <w:p>
            <w:pPr>
              <w:pStyle w:val="yTable"/>
              <w:spacing w:before="0"/>
              <w:jc w:val="center"/>
            </w:pPr>
          </w:p>
        </w:tc>
        <w:tc>
          <w:tcPr>
            <w:tcW w:w="3970" w:type="dxa"/>
            <w:gridSpan w:val="2"/>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46" w:type="dxa"/>
          </w:tcPr>
          <w:p>
            <w:pPr>
              <w:pStyle w:val="yTable"/>
              <w:tabs>
                <w:tab w:val="right" w:pos="743"/>
              </w:tabs>
              <w:spacing w:before="20"/>
              <w:jc w:val="center"/>
            </w:pPr>
          </w:p>
        </w:tc>
      </w:tr>
      <w:tr>
        <w:trPr>
          <w:cantSplit/>
        </w:trPr>
        <w:tc>
          <w:tcPr>
            <w:tcW w:w="708" w:type="dxa"/>
          </w:tcPr>
          <w:p>
            <w:pPr>
              <w:pStyle w:val="yTable"/>
              <w:spacing w:before="0"/>
              <w:jc w:val="center"/>
            </w:pPr>
          </w:p>
        </w:tc>
        <w:tc>
          <w:tcPr>
            <w:tcW w:w="3970" w:type="dxa"/>
            <w:gridSpan w:val="2"/>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t>246.00</w:t>
            </w:r>
          </w:p>
        </w:tc>
        <w:tc>
          <w:tcPr>
            <w:tcW w:w="1246" w:type="dxa"/>
          </w:tcPr>
          <w:p>
            <w:pPr>
              <w:pStyle w:val="yTable"/>
              <w:tabs>
                <w:tab w:val="right" w:pos="743"/>
              </w:tabs>
              <w:spacing w:before="20"/>
              <w:jc w:val="center"/>
            </w:pPr>
            <w:r>
              <w:br/>
            </w:r>
            <w:r>
              <w:br/>
            </w:r>
            <w:r>
              <w:br/>
            </w:r>
            <w:r>
              <w:br/>
              <w:t>370.00</w:t>
            </w:r>
          </w:p>
        </w:tc>
      </w:tr>
      <w:tr>
        <w:trPr>
          <w:cantSplit/>
        </w:trPr>
        <w:tc>
          <w:tcPr>
            <w:tcW w:w="708" w:type="dxa"/>
          </w:tcPr>
          <w:p>
            <w:pPr>
              <w:pStyle w:val="yTable"/>
              <w:spacing w:before="0"/>
              <w:jc w:val="center"/>
            </w:pPr>
          </w:p>
        </w:tc>
        <w:tc>
          <w:tcPr>
            <w:tcW w:w="3970" w:type="dxa"/>
            <w:gridSpan w:val="2"/>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t>246.00</w:t>
            </w:r>
          </w:p>
        </w:tc>
        <w:tc>
          <w:tcPr>
            <w:tcW w:w="1246" w:type="dxa"/>
          </w:tcPr>
          <w:p>
            <w:pPr>
              <w:pStyle w:val="yTable"/>
              <w:tabs>
                <w:tab w:val="right" w:pos="743"/>
              </w:tabs>
              <w:spacing w:before="20"/>
              <w:jc w:val="center"/>
            </w:pPr>
            <w:r>
              <w:br/>
            </w:r>
            <w:r>
              <w:br/>
              <w:t>370.00</w:t>
            </w:r>
          </w:p>
        </w:tc>
      </w:tr>
      <w:tr>
        <w:trPr>
          <w:cantSplit/>
        </w:trPr>
        <w:tc>
          <w:tcPr>
            <w:tcW w:w="708" w:type="dxa"/>
          </w:tcPr>
          <w:p>
            <w:pPr>
              <w:pStyle w:val="yTable"/>
              <w:jc w:val="center"/>
            </w:pPr>
            <w:r>
              <w:t>3.</w:t>
            </w:r>
          </w:p>
        </w:tc>
        <w:tc>
          <w:tcPr>
            <w:tcW w:w="3970" w:type="dxa"/>
            <w:gridSpan w:val="2"/>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t>493.00</w:t>
            </w:r>
          </w:p>
        </w:tc>
        <w:tc>
          <w:tcPr>
            <w:tcW w:w="1246" w:type="dxa"/>
          </w:tcPr>
          <w:p>
            <w:pPr>
              <w:pStyle w:val="yTable"/>
              <w:tabs>
                <w:tab w:val="right" w:pos="743"/>
              </w:tabs>
              <w:jc w:val="center"/>
            </w:pPr>
            <w:r>
              <w:br/>
            </w:r>
            <w:r>
              <w:br/>
              <w:t>740.00</w:t>
            </w:r>
          </w:p>
        </w:tc>
      </w:tr>
      <w:tr>
        <w:trPr>
          <w:cantSplit/>
        </w:trPr>
        <w:tc>
          <w:tcPr>
            <w:tcW w:w="4678" w:type="dxa"/>
            <w:gridSpan w:val="3"/>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46" w:type="dxa"/>
          </w:tcPr>
          <w:p>
            <w:pPr>
              <w:pStyle w:val="yTable"/>
              <w:tabs>
                <w:tab w:val="right" w:pos="743"/>
              </w:tabs>
              <w:spacing w:before="0"/>
              <w:jc w:val="center"/>
            </w:pPr>
          </w:p>
        </w:tc>
      </w:tr>
      <w:tr>
        <w:trPr>
          <w:cantSplit/>
        </w:trPr>
        <w:tc>
          <w:tcPr>
            <w:tcW w:w="708" w:type="dxa"/>
          </w:tcPr>
          <w:p>
            <w:pPr>
              <w:pStyle w:val="yTable"/>
              <w:jc w:val="center"/>
            </w:pPr>
            <w:r>
              <w:t>5.</w:t>
            </w:r>
          </w:p>
        </w:tc>
        <w:tc>
          <w:tcPr>
            <w:tcW w:w="3970" w:type="dxa"/>
            <w:gridSpan w:val="2"/>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br/>
            </w:r>
            <w:r>
              <w:br/>
              <w:t>737.00</w:t>
            </w:r>
          </w:p>
        </w:tc>
        <w:tc>
          <w:tcPr>
            <w:tcW w:w="1246" w:type="dxa"/>
          </w:tcPr>
          <w:p>
            <w:pPr>
              <w:pStyle w:val="yTable"/>
              <w:tabs>
                <w:tab w:val="right" w:pos="743"/>
              </w:tabs>
              <w:jc w:val="center"/>
            </w:pPr>
            <w:r>
              <w:br/>
            </w:r>
            <w:r>
              <w:br/>
              <w:t>1 107.00</w:t>
            </w:r>
          </w:p>
        </w:tc>
      </w:tr>
      <w:tr>
        <w:trPr>
          <w:cantSplit/>
        </w:trPr>
        <w:tc>
          <w:tcPr>
            <w:tcW w:w="708" w:type="dxa"/>
          </w:tcPr>
          <w:p>
            <w:pPr>
              <w:pStyle w:val="yTable"/>
              <w:jc w:val="center"/>
            </w:pPr>
            <w:r>
              <w:t>6.</w:t>
            </w:r>
          </w:p>
        </w:tc>
        <w:tc>
          <w:tcPr>
            <w:tcW w:w="3970" w:type="dxa"/>
            <w:gridSpan w:val="2"/>
          </w:tcPr>
          <w:p>
            <w:pPr>
              <w:pStyle w:val="yTable"/>
              <w:tabs>
                <w:tab w:val="left" w:pos="601"/>
              </w:tabs>
            </w:pPr>
            <w:r>
              <w:t>Allocation of hearing date, for each day allocated ....................................................</w:t>
            </w:r>
          </w:p>
        </w:tc>
        <w:tc>
          <w:tcPr>
            <w:tcW w:w="1276" w:type="dxa"/>
          </w:tcPr>
          <w:p>
            <w:pPr>
              <w:pStyle w:val="yTable"/>
              <w:tabs>
                <w:tab w:val="right" w:pos="743"/>
              </w:tabs>
              <w:jc w:val="center"/>
            </w:pPr>
            <w:r>
              <w:br/>
              <w:t>493.00</w:t>
            </w:r>
          </w:p>
        </w:tc>
        <w:tc>
          <w:tcPr>
            <w:tcW w:w="1246" w:type="dxa"/>
          </w:tcPr>
          <w:p>
            <w:pPr>
              <w:pStyle w:val="yTable"/>
              <w:tabs>
                <w:tab w:val="right" w:pos="743"/>
              </w:tabs>
              <w:jc w:val="center"/>
            </w:pPr>
            <w:r>
              <w:br/>
              <w:t>987.00</w:t>
            </w:r>
          </w:p>
        </w:tc>
      </w:tr>
      <w:tr>
        <w:trPr>
          <w:cantSplit/>
        </w:trPr>
        <w:tc>
          <w:tcPr>
            <w:tcW w:w="708" w:type="dxa"/>
          </w:tcPr>
          <w:p>
            <w:pPr>
              <w:pStyle w:val="yTable"/>
              <w:jc w:val="center"/>
            </w:pPr>
          </w:p>
        </w:tc>
        <w:tc>
          <w:tcPr>
            <w:tcW w:w="3970" w:type="dxa"/>
            <w:gridSpan w:val="2"/>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46" w:type="dxa"/>
          </w:tcPr>
          <w:p>
            <w:pPr>
              <w:pStyle w:val="yTable"/>
              <w:tabs>
                <w:tab w:val="right" w:pos="743"/>
              </w:tabs>
              <w:jc w:val="center"/>
            </w:pPr>
          </w:p>
        </w:tc>
      </w:tr>
      <w:tr>
        <w:trPr>
          <w:cantSplit/>
        </w:trPr>
        <w:tc>
          <w:tcPr>
            <w:tcW w:w="708" w:type="dxa"/>
          </w:tcPr>
          <w:p>
            <w:pPr>
              <w:pStyle w:val="yTable"/>
              <w:jc w:val="center"/>
            </w:pPr>
            <w:r>
              <w:t>7.</w:t>
            </w:r>
          </w:p>
        </w:tc>
        <w:tc>
          <w:tcPr>
            <w:tcW w:w="3970" w:type="dxa"/>
            <w:gridSpan w:val="2"/>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t>493.00</w:t>
            </w:r>
          </w:p>
        </w:tc>
        <w:tc>
          <w:tcPr>
            <w:tcW w:w="1246" w:type="dxa"/>
          </w:tcPr>
          <w:p>
            <w:pPr>
              <w:pStyle w:val="yTable"/>
              <w:tabs>
                <w:tab w:val="right" w:pos="743"/>
              </w:tabs>
              <w:jc w:val="center"/>
            </w:pPr>
            <w:r>
              <w:br/>
            </w:r>
            <w:r>
              <w:br/>
              <w:t>987.00</w:t>
            </w:r>
          </w:p>
        </w:tc>
      </w:tr>
      <w:tr>
        <w:trPr>
          <w:cantSplit/>
        </w:trPr>
        <w:tc>
          <w:tcPr>
            <w:tcW w:w="708" w:type="dxa"/>
          </w:tcPr>
          <w:p>
            <w:pPr>
              <w:pStyle w:val="yTable"/>
              <w:keepNext/>
              <w:keepLines/>
              <w:jc w:val="center"/>
            </w:pPr>
          </w:p>
        </w:tc>
        <w:tc>
          <w:tcPr>
            <w:tcW w:w="3970" w:type="dxa"/>
            <w:gridSpan w:val="2"/>
          </w:tcPr>
          <w:p>
            <w:pPr>
              <w:pStyle w:val="yTable"/>
              <w:tabs>
                <w:tab w:val="left" w:pos="601"/>
              </w:tabs>
            </w:pPr>
            <w:r>
              <w:t>NOTES:</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keepLines/>
              <w:jc w:val="center"/>
            </w:pPr>
          </w:p>
        </w:tc>
        <w:tc>
          <w:tcPr>
            <w:tcW w:w="3970" w:type="dxa"/>
            <w:gridSpan w:val="2"/>
          </w:tcPr>
          <w:p>
            <w:pPr>
              <w:pStyle w:val="yTable"/>
              <w:keepLines/>
              <w:tabs>
                <w:tab w:val="left" w:pos="601"/>
              </w:tabs>
              <w:ind w:left="601" w:hanging="601"/>
            </w:pPr>
            <w:r>
              <w:t>(1)</w:t>
            </w:r>
            <w:r>
              <w:tab/>
              <w:t>No fee is payable if the proceedings are of an interlocutory nature.</w:t>
            </w:r>
          </w:p>
        </w:tc>
        <w:tc>
          <w:tcPr>
            <w:tcW w:w="1276" w:type="dxa"/>
          </w:tcPr>
          <w:p>
            <w:pPr>
              <w:pStyle w:val="yTable"/>
              <w:keepLines/>
              <w:spacing w:before="0"/>
              <w:jc w:val="center"/>
            </w:pPr>
          </w:p>
        </w:tc>
        <w:tc>
          <w:tcPr>
            <w:tcW w:w="1246" w:type="dxa"/>
          </w:tcPr>
          <w:p>
            <w:pPr>
              <w:pStyle w:val="yTable"/>
              <w:keepLines/>
              <w:spacing w:before="0"/>
              <w:jc w:val="center"/>
            </w:pPr>
          </w:p>
        </w:tc>
      </w:tr>
      <w:tr>
        <w:trPr>
          <w:cantSplit/>
        </w:trPr>
        <w:tc>
          <w:tcPr>
            <w:tcW w:w="708" w:type="dxa"/>
          </w:tcPr>
          <w:p>
            <w:pPr>
              <w:pStyle w:val="yTable"/>
              <w:jc w:val="center"/>
            </w:pPr>
          </w:p>
        </w:tc>
        <w:tc>
          <w:tcPr>
            <w:tcW w:w="3970" w:type="dxa"/>
            <w:gridSpan w:val="2"/>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jc w:val="center"/>
            </w:pPr>
          </w:p>
        </w:tc>
        <w:tc>
          <w:tcPr>
            <w:tcW w:w="3970" w:type="dxa"/>
            <w:gridSpan w:val="2"/>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jc w:val="center"/>
            </w:pPr>
          </w:p>
        </w:tc>
        <w:tc>
          <w:tcPr>
            <w:tcW w:w="3970" w:type="dxa"/>
            <w:gridSpan w:val="2"/>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jc w:val="center"/>
            </w:pPr>
          </w:p>
        </w:tc>
        <w:tc>
          <w:tcPr>
            <w:tcW w:w="3970" w:type="dxa"/>
            <w:gridSpan w:val="2"/>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jc w:val="center"/>
            </w:pPr>
            <w:r>
              <w:t>8.</w:t>
            </w:r>
          </w:p>
        </w:tc>
        <w:tc>
          <w:tcPr>
            <w:tcW w:w="3970" w:type="dxa"/>
            <w:gridSpan w:val="2"/>
          </w:tcPr>
          <w:p>
            <w:pPr>
              <w:pStyle w:val="yTable"/>
              <w:tabs>
                <w:tab w:val="left" w:pos="601"/>
              </w:tabs>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jc w:val="center"/>
            </w:pPr>
          </w:p>
        </w:tc>
        <w:tc>
          <w:tcPr>
            <w:tcW w:w="3970" w:type="dxa"/>
            <w:gridSpan w:val="2"/>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spacing w:before="0"/>
              <w:jc w:val="center"/>
            </w:pPr>
          </w:p>
        </w:tc>
        <w:tc>
          <w:tcPr>
            <w:tcW w:w="3970" w:type="dxa"/>
            <w:gridSpan w:val="2"/>
          </w:tcPr>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t>173.00</w:t>
            </w:r>
          </w:p>
        </w:tc>
        <w:tc>
          <w:tcPr>
            <w:tcW w:w="1246" w:type="dxa"/>
          </w:tcPr>
          <w:p>
            <w:pPr>
              <w:pStyle w:val="yTable"/>
              <w:spacing w:before="0"/>
              <w:jc w:val="center"/>
            </w:pPr>
            <w:r>
              <w:br/>
            </w:r>
            <w:r>
              <w:br/>
            </w:r>
            <w:r>
              <w:br/>
            </w:r>
            <w:r>
              <w:br/>
            </w:r>
            <w:r>
              <w:br/>
              <w:t>259.00</w:t>
            </w:r>
          </w:p>
        </w:tc>
      </w:tr>
      <w:tr>
        <w:trPr>
          <w:cantSplit/>
        </w:trPr>
        <w:tc>
          <w:tcPr>
            <w:tcW w:w="708" w:type="dxa"/>
          </w:tcPr>
          <w:p>
            <w:pPr>
              <w:pStyle w:val="yTable"/>
              <w:spacing w:before="0"/>
              <w:jc w:val="center"/>
              <w:rPr>
                <w:i/>
              </w:rPr>
            </w:pPr>
          </w:p>
        </w:tc>
        <w:tc>
          <w:tcPr>
            <w:tcW w:w="3970" w:type="dxa"/>
            <w:gridSpan w:val="2"/>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46" w:type="dxa"/>
          </w:tcPr>
          <w:p>
            <w:pPr>
              <w:pStyle w:val="yTable"/>
              <w:tabs>
                <w:tab w:val="right" w:pos="743"/>
              </w:tabs>
              <w:jc w:val="center"/>
              <w:rPr>
                <w:i/>
              </w:rPr>
            </w:pPr>
          </w:p>
        </w:tc>
      </w:tr>
      <w:tr>
        <w:trPr>
          <w:cantSplit/>
        </w:trPr>
        <w:tc>
          <w:tcPr>
            <w:tcW w:w="708" w:type="dxa"/>
          </w:tcPr>
          <w:p>
            <w:pPr>
              <w:pStyle w:val="yTable"/>
              <w:spacing w:before="0"/>
              <w:jc w:val="center"/>
              <w:rPr>
                <w:i/>
              </w:rPr>
            </w:pPr>
          </w:p>
        </w:tc>
        <w:tc>
          <w:tcPr>
            <w:tcW w:w="3970" w:type="dxa"/>
            <w:gridSpan w:val="2"/>
          </w:tcPr>
          <w:p>
            <w:pPr>
              <w:pStyle w:val="yTable"/>
              <w:tabs>
                <w:tab w:val="left" w:pos="601"/>
              </w:tabs>
              <w:spacing w:before="0"/>
              <w:ind w:left="601" w:hanging="601"/>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spacing w:before="0"/>
              <w:jc w:val="center"/>
              <w:rPr>
                <w:i/>
              </w:rPr>
            </w:pPr>
          </w:p>
        </w:tc>
        <w:tc>
          <w:tcPr>
            <w:tcW w:w="1246" w:type="dxa"/>
          </w:tcPr>
          <w:p>
            <w:pPr>
              <w:pStyle w:val="yTable"/>
              <w:tabs>
                <w:tab w:val="right" w:pos="743"/>
              </w:tabs>
              <w:spacing w:before="0"/>
              <w:jc w:val="center"/>
              <w:rPr>
                <w:i/>
              </w:rPr>
            </w:pPr>
          </w:p>
        </w:tc>
      </w:tr>
      <w:tr>
        <w:trPr>
          <w:cantSplit/>
        </w:trPr>
        <w:tc>
          <w:tcPr>
            <w:tcW w:w="708" w:type="dxa"/>
          </w:tcPr>
          <w:p>
            <w:pPr>
              <w:pStyle w:val="yTable"/>
              <w:spacing w:before="0"/>
              <w:jc w:val="center"/>
              <w:rPr>
                <w:i/>
              </w:rPr>
            </w:pPr>
          </w:p>
        </w:tc>
        <w:tc>
          <w:tcPr>
            <w:tcW w:w="3970" w:type="dxa"/>
            <w:gridSpan w:val="2"/>
          </w:tcPr>
          <w:p>
            <w:pPr>
              <w:pStyle w:val="yTable"/>
              <w:tabs>
                <w:tab w:val="left" w:pos="601"/>
              </w:tabs>
              <w:spacing w:before="0"/>
              <w:ind w:left="601" w:hanging="601"/>
            </w:pPr>
            <w:r>
              <w:t>(3)</w:t>
            </w:r>
            <w:r>
              <w:tab/>
              <w:t>The fee includes the first day of the hearing of the application or summons and includes any adjournment of the hearing.</w:t>
            </w:r>
          </w:p>
        </w:tc>
        <w:tc>
          <w:tcPr>
            <w:tcW w:w="1276" w:type="dxa"/>
          </w:tcPr>
          <w:p>
            <w:pPr>
              <w:pStyle w:val="yTable"/>
              <w:tabs>
                <w:tab w:val="right" w:pos="743"/>
              </w:tabs>
              <w:spacing w:before="0"/>
              <w:jc w:val="center"/>
              <w:rPr>
                <w:i/>
              </w:rPr>
            </w:pPr>
          </w:p>
        </w:tc>
        <w:tc>
          <w:tcPr>
            <w:tcW w:w="1246" w:type="dxa"/>
          </w:tcPr>
          <w:p>
            <w:pPr>
              <w:pStyle w:val="yTable"/>
              <w:tabs>
                <w:tab w:val="right" w:pos="743"/>
              </w:tabs>
              <w:spacing w:before="0"/>
              <w:jc w:val="center"/>
              <w:rPr>
                <w:i/>
              </w:rPr>
            </w:pPr>
          </w:p>
        </w:tc>
      </w:tr>
      <w:tr>
        <w:trPr>
          <w:cantSplit/>
        </w:trPr>
        <w:tc>
          <w:tcPr>
            <w:tcW w:w="708" w:type="dxa"/>
          </w:tcPr>
          <w:p>
            <w:pPr>
              <w:pStyle w:val="yTable"/>
              <w:spacing w:before="0"/>
              <w:jc w:val="center"/>
              <w:rPr>
                <w:i/>
              </w:rPr>
            </w:pPr>
          </w:p>
        </w:tc>
        <w:tc>
          <w:tcPr>
            <w:tcW w:w="3970" w:type="dxa"/>
            <w:gridSpan w:val="2"/>
          </w:tcPr>
          <w:p>
            <w:pPr>
              <w:pStyle w:val="yTable"/>
              <w:tabs>
                <w:tab w:val="left" w:pos="601"/>
              </w:tabs>
              <w:spacing w:before="0"/>
              <w:ind w:left="601" w:hanging="601"/>
            </w:pPr>
            <w:r>
              <w:t>(4)</w:t>
            </w:r>
            <w:r>
              <w:tab/>
              <w:t>The fee is payable in respect of an application for liberty to apply to relist.</w:t>
            </w:r>
          </w:p>
        </w:tc>
        <w:tc>
          <w:tcPr>
            <w:tcW w:w="1276" w:type="dxa"/>
          </w:tcPr>
          <w:p>
            <w:pPr>
              <w:pStyle w:val="yTable"/>
              <w:tabs>
                <w:tab w:val="right" w:pos="743"/>
              </w:tabs>
              <w:spacing w:before="0"/>
              <w:jc w:val="center"/>
              <w:rPr>
                <w:i/>
              </w:rPr>
            </w:pPr>
          </w:p>
        </w:tc>
        <w:tc>
          <w:tcPr>
            <w:tcW w:w="1246" w:type="dxa"/>
          </w:tcPr>
          <w:p>
            <w:pPr>
              <w:pStyle w:val="yTable"/>
              <w:tabs>
                <w:tab w:val="right" w:pos="743"/>
              </w:tabs>
              <w:spacing w:before="0"/>
              <w:jc w:val="center"/>
              <w:rPr>
                <w:i/>
              </w:rPr>
            </w:pPr>
          </w:p>
        </w:tc>
      </w:tr>
      <w:tr>
        <w:tc>
          <w:tcPr>
            <w:tcW w:w="708" w:type="dxa"/>
          </w:tcPr>
          <w:p>
            <w:pPr>
              <w:pStyle w:val="yTable"/>
              <w:spacing w:before="40"/>
              <w:jc w:val="center"/>
            </w:pPr>
            <w:r>
              <w:t>9.</w:t>
            </w:r>
          </w:p>
        </w:tc>
        <w:tc>
          <w:tcPr>
            <w:tcW w:w="3970" w:type="dxa"/>
            <w:gridSpan w:val="2"/>
          </w:tcPr>
          <w:p>
            <w:pPr>
              <w:pStyle w:val="yTable"/>
              <w:tabs>
                <w:tab w:val="left" w:pos="601"/>
              </w:tabs>
              <w:spacing w:before="40"/>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spacing w:before="40"/>
              <w:jc w:val="center"/>
            </w:pPr>
          </w:p>
        </w:tc>
        <w:tc>
          <w:tcPr>
            <w:tcW w:w="1246" w:type="dxa"/>
          </w:tcPr>
          <w:p>
            <w:pPr>
              <w:pStyle w:val="yTable"/>
              <w:tabs>
                <w:tab w:val="right" w:pos="743"/>
              </w:tabs>
              <w:spacing w:before="40"/>
              <w:jc w:val="center"/>
            </w:pPr>
          </w:p>
        </w:tc>
      </w:tr>
      <w:tr>
        <w:trPr>
          <w:cantSplit/>
        </w:trPr>
        <w:tc>
          <w:tcPr>
            <w:tcW w:w="708" w:type="dxa"/>
          </w:tcPr>
          <w:p>
            <w:pPr>
              <w:pStyle w:val="yTable"/>
              <w:spacing w:before="40"/>
              <w:jc w:val="center"/>
            </w:pPr>
          </w:p>
        </w:tc>
        <w:tc>
          <w:tcPr>
            <w:tcW w:w="3970" w:type="dxa"/>
            <w:gridSpan w:val="2"/>
          </w:tcPr>
          <w:p>
            <w:pPr>
              <w:pStyle w:val="yTable"/>
              <w:tabs>
                <w:tab w:val="left" w:pos="601"/>
              </w:tabs>
              <w:spacing w:before="30"/>
              <w:ind w:left="885" w:hanging="885"/>
            </w:pPr>
            <w:r>
              <w:t>NOTE:</w:t>
            </w:r>
            <w:r>
              <w:tab/>
              <w:t>The daily fee becomes payable on a day to day basis and is payable before the daily reconvening of the hearing.</w:t>
            </w:r>
          </w:p>
        </w:tc>
        <w:tc>
          <w:tcPr>
            <w:tcW w:w="1276" w:type="dxa"/>
          </w:tcPr>
          <w:p>
            <w:pPr>
              <w:pStyle w:val="yTable"/>
              <w:tabs>
                <w:tab w:val="right" w:pos="743"/>
              </w:tabs>
              <w:spacing w:before="40"/>
              <w:jc w:val="center"/>
            </w:pPr>
          </w:p>
        </w:tc>
        <w:tc>
          <w:tcPr>
            <w:tcW w:w="1246" w:type="dxa"/>
          </w:tcPr>
          <w:p>
            <w:pPr>
              <w:pStyle w:val="yTable"/>
              <w:tabs>
                <w:tab w:val="right" w:pos="743"/>
              </w:tabs>
              <w:spacing w:before="40"/>
              <w:jc w:val="center"/>
            </w:pPr>
          </w:p>
        </w:tc>
      </w:tr>
      <w:tr>
        <w:trPr>
          <w:cantSplit/>
        </w:trPr>
        <w:tc>
          <w:tcPr>
            <w:tcW w:w="708" w:type="dxa"/>
          </w:tcPr>
          <w:p>
            <w:pPr>
              <w:pStyle w:val="yTable"/>
              <w:jc w:val="center"/>
            </w:pPr>
            <w:r>
              <w:t>10.</w:t>
            </w:r>
          </w:p>
        </w:tc>
        <w:tc>
          <w:tcPr>
            <w:tcW w:w="3970" w:type="dxa"/>
            <w:gridSpan w:val="2"/>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46" w:type="dxa"/>
          </w:tcPr>
          <w:p>
            <w:pPr>
              <w:pStyle w:val="yTable"/>
              <w:tabs>
                <w:tab w:val="right" w:pos="743"/>
              </w:tabs>
              <w:jc w:val="center"/>
            </w:pPr>
          </w:p>
        </w:tc>
      </w:tr>
      <w:tr>
        <w:trPr>
          <w:cantSplit/>
        </w:trPr>
        <w:tc>
          <w:tcPr>
            <w:tcW w:w="708" w:type="dxa"/>
          </w:tcPr>
          <w:p>
            <w:pPr>
              <w:pStyle w:val="yTable"/>
              <w:jc w:val="center"/>
            </w:pPr>
          </w:p>
        </w:tc>
        <w:tc>
          <w:tcPr>
            <w:tcW w:w="3970" w:type="dxa"/>
            <w:gridSpan w:val="2"/>
          </w:tcPr>
          <w:p>
            <w:pPr>
              <w:pStyle w:val="yTable"/>
              <w:tabs>
                <w:tab w:val="left" w:pos="601"/>
              </w:tabs>
              <w:ind w:left="601" w:hanging="601"/>
            </w:pPr>
            <w:r>
              <w:t>(a)</w:t>
            </w:r>
            <w:r>
              <w:tab/>
              <w:t>lodgment fee ...................................</w:t>
            </w:r>
          </w:p>
        </w:tc>
        <w:tc>
          <w:tcPr>
            <w:tcW w:w="1276" w:type="dxa"/>
          </w:tcPr>
          <w:p>
            <w:pPr>
              <w:pStyle w:val="yTable"/>
              <w:tabs>
                <w:tab w:val="right" w:pos="743"/>
              </w:tabs>
              <w:jc w:val="center"/>
            </w:pPr>
            <w:r>
              <w:t>173.00</w:t>
            </w:r>
          </w:p>
        </w:tc>
        <w:tc>
          <w:tcPr>
            <w:tcW w:w="1246" w:type="dxa"/>
          </w:tcPr>
          <w:p>
            <w:pPr>
              <w:pStyle w:val="yTable"/>
              <w:tabs>
                <w:tab w:val="right" w:pos="743"/>
              </w:tabs>
              <w:jc w:val="center"/>
            </w:pPr>
            <w:r>
              <w:t>259.00</w:t>
            </w:r>
          </w:p>
        </w:tc>
      </w:tr>
      <w:tr>
        <w:trPr>
          <w:cantSplit/>
        </w:trPr>
        <w:tc>
          <w:tcPr>
            <w:tcW w:w="708" w:type="dxa"/>
          </w:tcPr>
          <w:p>
            <w:pPr>
              <w:pStyle w:val="yTable"/>
              <w:jc w:val="center"/>
            </w:pPr>
          </w:p>
        </w:tc>
        <w:tc>
          <w:tcPr>
            <w:tcW w:w="3970" w:type="dxa"/>
            <w:gridSpan w:val="2"/>
          </w:tcPr>
          <w:p>
            <w:pPr>
              <w:pStyle w:val="yTable"/>
              <w:tabs>
                <w:tab w:val="left" w:pos="601"/>
                <w:tab w:val="left" w:pos="1168"/>
              </w:tabs>
              <w:ind w:left="601" w:hanging="601"/>
            </w:pPr>
            <w:r>
              <w:t>(b)</w:t>
            </w:r>
            <w:r>
              <w:tab/>
              <w:t>in addition to the lodgment fee, a taxing fee at the rate of ...................</w:t>
            </w:r>
          </w:p>
        </w:tc>
        <w:tc>
          <w:tcPr>
            <w:tcW w:w="1276" w:type="dxa"/>
          </w:tcPr>
          <w:p>
            <w:pPr>
              <w:pStyle w:val="yTable"/>
              <w:jc w:val="center"/>
            </w:pPr>
            <w:r>
              <w:br/>
              <w:t>2.5%</w:t>
            </w:r>
          </w:p>
        </w:tc>
        <w:tc>
          <w:tcPr>
            <w:tcW w:w="1246" w:type="dxa"/>
          </w:tcPr>
          <w:p>
            <w:pPr>
              <w:pStyle w:val="yTable"/>
              <w:jc w:val="center"/>
            </w:pPr>
            <w:r>
              <w:br/>
              <w:t>2.5%</w:t>
            </w:r>
          </w:p>
        </w:tc>
      </w:tr>
      <w:tr>
        <w:tc>
          <w:tcPr>
            <w:tcW w:w="708" w:type="dxa"/>
          </w:tcPr>
          <w:p>
            <w:pPr>
              <w:pStyle w:val="yTable"/>
              <w:jc w:val="center"/>
            </w:pPr>
          </w:p>
        </w:tc>
        <w:tc>
          <w:tcPr>
            <w:tcW w:w="3970" w:type="dxa"/>
            <w:gridSpan w:val="2"/>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pPr>
            <w:r>
              <w:tab/>
              <w:t>(b)</w:t>
            </w:r>
            <w:r>
              <w:tab/>
              <w:t>if the appointment is cancelled 3 days or more and less than 10 days before the day of the appointment, 50%;</w:t>
            </w:r>
          </w:p>
        </w:tc>
        <w:tc>
          <w:tcPr>
            <w:tcW w:w="1276" w:type="dxa"/>
          </w:tcPr>
          <w:p>
            <w:pPr>
              <w:pStyle w:val="yTable"/>
              <w:jc w:val="center"/>
            </w:pPr>
          </w:p>
        </w:tc>
        <w:tc>
          <w:tcPr>
            <w:tcW w:w="1246" w:type="dxa"/>
          </w:tcPr>
          <w:p>
            <w:pPr>
              <w:pStyle w:val="yTable"/>
              <w:jc w:val="center"/>
            </w:pPr>
          </w:p>
        </w:tc>
      </w:tr>
      <w:tr>
        <w:trPr>
          <w:cantSplit/>
        </w:trPr>
        <w:tc>
          <w:tcPr>
            <w:tcW w:w="708" w:type="dxa"/>
          </w:tcPr>
          <w:p>
            <w:pPr>
              <w:pStyle w:val="yTable"/>
              <w:jc w:val="center"/>
            </w:pPr>
          </w:p>
        </w:tc>
        <w:tc>
          <w:tcPr>
            <w:tcW w:w="3970" w:type="dxa"/>
            <w:gridSpan w:val="2"/>
          </w:tcPr>
          <w:p>
            <w:pPr>
              <w:pStyle w:val="yTable"/>
              <w:keepNext/>
              <w:keepLines/>
              <w:tabs>
                <w:tab w:val="left" w:pos="601"/>
                <w:tab w:val="left" w:pos="1168"/>
              </w:tabs>
              <w:ind w:left="1168" w:hanging="1168"/>
            </w:pPr>
            <w:r>
              <w:tab/>
              <w:t>(c)</w:t>
            </w:r>
            <w:r>
              <w:tab/>
              <w:t>if the appointment is cancelled 10 or more days before the day of the appointment, 80%.</w:t>
            </w:r>
          </w:p>
        </w:tc>
        <w:tc>
          <w:tcPr>
            <w:tcW w:w="1276" w:type="dxa"/>
          </w:tcPr>
          <w:p>
            <w:pPr>
              <w:pStyle w:val="yTable"/>
              <w:jc w:val="center"/>
            </w:pPr>
          </w:p>
        </w:tc>
        <w:tc>
          <w:tcPr>
            <w:tcW w:w="1246" w:type="dxa"/>
          </w:tcPr>
          <w:p>
            <w:pPr>
              <w:pStyle w:val="yTable"/>
              <w:jc w:val="center"/>
            </w:pPr>
          </w:p>
        </w:tc>
      </w:tr>
      <w:tr>
        <w:trPr>
          <w:cantSplit/>
        </w:trPr>
        <w:tc>
          <w:tcPr>
            <w:tcW w:w="708" w:type="dxa"/>
          </w:tcPr>
          <w:p>
            <w:pPr>
              <w:pStyle w:val="yTable"/>
              <w:jc w:val="center"/>
            </w:pPr>
            <w:r>
              <w:t>11.</w:t>
            </w:r>
          </w:p>
        </w:tc>
        <w:tc>
          <w:tcPr>
            <w:tcW w:w="3970" w:type="dxa"/>
            <w:gridSpan w:val="2"/>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t>25.00</w:t>
            </w:r>
          </w:p>
        </w:tc>
        <w:tc>
          <w:tcPr>
            <w:tcW w:w="1246" w:type="dxa"/>
          </w:tcPr>
          <w:p>
            <w:pPr>
              <w:pStyle w:val="yTable"/>
              <w:tabs>
                <w:tab w:val="right" w:pos="743"/>
              </w:tabs>
              <w:jc w:val="center"/>
            </w:pPr>
            <w:r>
              <w:br/>
            </w:r>
            <w:r>
              <w:br/>
              <w:t>25.00</w:t>
            </w:r>
          </w:p>
        </w:tc>
      </w:tr>
      <w:tr>
        <w:trPr>
          <w:cantSplit/>
        </w:trPr>
        <w:tc>
          <w:tcPr>
            <w:tcW w:w="708" w:type="dxa"/>
          </w:tcPr>
          <w:p>
            <w:pPr>
              <w:pStyle w:val="yTable"/>
              <w:jc w:val="center"/>
            </w:pPr>
          </w:p>
        </w:tc>
        <w:tc>
          <w:tcPr>
            <w:tcW w:w="3970" w:type="dxa"/>
            <w:gridSpan w:val="2"/>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46" w:type="dxa"/>
          </w:tcPr>
          <w:p>
            <w:pPr>
              <w:pStyle w:val="yTable"/>
              <w:tabs>
                <w:tab w:val="right" w:pos="743"/>
              </w:tabs>
              <w:jc w:val="center"/>
            </w:pPr>
          </w:p>
        </w:tc>
      </w:tr>
      <w:tr>
        <w:trPr>
          <w:cantSplit/>
        </w:trPr>
        <w:tc>
          <w:tcPr>
            <w:tcW w:w="708" w:type="dxa"/>
          </w:tcPr>
          <w:p>
            <w:pPr>
              <w:pStyle w:val="yTable"/>
              <w:jc w:val="center"/>
            </w:pPr>
            <w:r>
              <w:t>12.</w:t>
            </w:r>
          </w:p>
        </w:tc>
        <w:tc>
          <w:tcPr>
            <w:tcW w:w="3970" w:type="dxa"/>
            <w:gridSpan w:val="2"/>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t>36.50</w:t>
            </w:r>
          </w:p>
        </w:tc>
        <w:tc>
          <w:tcPr>
            <w:tcW w:w="1246" w:type="dxa"/>
          </w:tcPr>
          <w:p>
            <w:pPr>
              <w:pStyle w:val="yTable"/>
              <w:tabs>
                <w:tab w:val="right" w:pos="743"/>
              </w:tabs>
              <w:jc w:val="center"/>
            </w:pPr>
            <w:r>
              <w:br/>
            </w:r>
            <w:r>
              <w:br/>
            </w:r>
            <w:r>
              <w:br/>
            </w:r>
            <w:r>
              <w:br/>
              <w:t>36.50</w:t>
            </w:r>
          </w:p>
        </w:tc>
      </w:tr>
      <w:tr>
        <w:trPr>
          <w:cantSplit/>
        </w:trPr>
        <w:tc>
          <w:tcPr>
            <w:tcW w:w="708" w:type="dxa"/>
          </w:tcPr>
          <w:p>
            <w:pPr>
              <w:pStyle w:val="yTable"/>
              <w:spacing w:before="0"/>
              <w:jc w:val="center"/>
            </w:pPr>
          </w:p>
        </w:tc>
        <w:tc>
          <w:tcPr>
            <w:tcW w:w="3970" w:type="dxa"/>
            <w:gridSpan w:val="2"/>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t>61.50</w:t>
            </w:r>
          </w:p>
        </w:tc>
        <w:tc>
          <w:tcPr>
            <w:tcW w:w="1246" w:type="dxa"/>
          </w:tcPr>
          <w:p>
            <w:pPr>
              <w:pStyle w:val="yTable"/>
              <w:tabs>
                <w:tab w:val="right" w:pos="743"/>
              </w:tabs>
              <w:jc w:val="center"/>
            </w:pPr>
            <w:r>
              <w:br/>
            </w:r>
            <w:r>
              <w:br/>
            </w:r>
            <w:r>
              <w:br/>
            </w:r>
            <w:r>
              <w:br/>
            </w:r>
            <w:r>
              <w:br/>
            </w:r>
            <w:r>
              <w:br/>
            </w:r>
            <w:r>
              <w:br/>
              <w:t>61.50</w:t>
            </w:r>
          </w:p>
        </w:tc>
      </w:tr>
      <w:tr>
        <w:trPr>
          <w:cantSplit/>
        </w:trPr>
        <w:tc>
          <w:tcPr>
            <w:tcW w:w="708" w:type="dxa"/>
          </w:tcPr>
          <w:p>
            <w:pPr>
              <w:pStyle w:val="yTable"/>
              <w:jc w:val="center"/>
            </w:pPr>
            <w:r>
              <w:t>13.</w:t>
            </w:r>
          </w:p>
        </w:tc>
        <w:tc>
          <w:tcPr>
            <w:tcW w:w="3970" w:type="dxa"/>
            <w:gridSpan w:val="2"/>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1.50</w:t>
            </w:r>
          </w:p>
        </w:tc>
        <w:tc>
          <w:tcPr>
            <w:tcW w:w="1246" w:type="dxa"/>
          </w:tcPr>
          <w:p>
            <w:pPr>
              <w:pStyle w:val="yTable"/>
              <w:tabs>
                <w:tab w:val="right" w:pos="743"/>
              </w:tabs>
              <w:jc w:val="center"/>
            </w:pPr>
            <w:r>
              <w:br/>
            </w:r>
            <w:r>
              <w:br/>
            </w:r>
            <w:r>
              <w:br/>
            </w:r>
            <w:r>
              <w:br/>
              <w:t>1.50</w:t>
            </w:r>
          </w:p>
        </w:tc>
      </w:tr>
      <w:tr>
        <w:tc>
          <w:tcPr>
            <w:tcW w:w="708" w:type="dxa"/>
          </w:tcPr>
          <w:p>
            <w:pPr>
              <w:pStyle w:val="yTable"/>
              <w:jc w:val="center"/>
            </w:pPr>
          </w:p>
        </w:tc>
        <w:tc>
          <w:tcPr>
            <w:tcW w:w="3970" w:type="dxa"/>
            <w:gridSpan w:val="2"/>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8.65</w:t>
            </w:r>
            <w:r>
              <w:br/>
            </w:r>
          </w:p>
          <w:p>
            <w:pPr>
              <w:pStyle w:val="yTable"/>
              <w:tabs>
                <w:tab w:val="right" w:pos="743"/>
              </w:tabs>
              <w:jc w:val="center"/>
            </w:pPr>
            <w:r>
              <w:br/>
              <w:t>1.10</w:t>
            </w:r>
          </w:p>
        </w:tc>
        <w:tc>
          <w:tcPr>
            <w:tcW w:w="1246" w:type="dxa"/>
          </w:tcPr>
          <w:p>
            <w:pPr>
              <w:pStyle w:val="yTable"/>
              <w:tabs>
                <w:tab w:val="right" w:pos="743"/>
              </w:tabs>
              <w:jc w:val="center"/>
            </w:pPr>
            <w:r>
              <w:br/>
            </w:r>
          </w:p>
          <w:p>
            <w:pPr>
              <w:pStyle w:val="yTable"/>
              <w:tabs>
                <w:tab w:val="right" w:pos="743"/>
              </w:tabs>
              <w:jc w:val="center"/>
            </w:pPr>
            <w:r>
              <w:br/>
            </w:r>
            <w:r>
              <w:br/>
            </w:r>
            <w:r>
              <w:br/>
            </w:r>
            <w:r>
              <w:br/>
            </w:r>
            <w:r>
              <w:br/>
              <w:t>8.65</w:t>
            </w:r>
            <w:r>
              <w:br/>
            </w:r>
          </w:p>
          <w:p>
            <w:pPr>
              <w:pStyle w:val="yTable"/>
              <w:tabs>
                <w:tab w:val="right" w:pos="743"/>
              </w:tabs>
              <w:jc w:val="center"/>
            </w:pPr>
            <w:r>
              <w:br/>
              <w:t>1.10</w:t>
            </w:r>
          </w:p>
        </w:tc>
      </w:tr>
      <w:tr>
        <w:trPr>
          <w:cantSplit/>
        </w:trPr>
        <w:tc>
          <w:tcPr>
            <w:tcW w:w="708" w:type="dxa"/>
          </w:tcPr>
          <w:p>
            <w:pPr>
              <w:pStyle w:val="yTable"/>
              <w:jc w:val="center"/>
            </w:pPr>
          </w:p>
        </w:tc>
        <w:tc>
          <w:tcPr>
            <w:tcW w:w="3970" w:type="dxa"/>
            <w:gridSpan w:val="2"/>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12.00</w:t>
            </w:r>
          </w:p>
        </w:tc>
        <w:tc>
          <w:tcPr>
            <w:tcW w:w="1246" w:type="dxa"/>
          </w:tcPr>
          <w:p>
            <w:pPr>
              <w:pStyle w:val="yTable"/>
              <w:tabs>
                <w:tab w:val="right" w:pos="743"/>
              </w:tabs>
              <w:jc w:val="center"/>
            </w:pPr>
            <w:r>
              <w:br/>
            </w:r>
            <w:r>
              <w:br/>
              <w:t>12.00</w:t>
            </w:r>
          </w:p>
        </w:tc>
      </w:tr>
      <w:tr>
        <w:trPr>
          <w:cantSplit/>
        </w:trPr>
        <w:tc>
          <w:tcPr>
            <w:tcW w:w="708" w:type="dxa"/>
          </w:tcPr>
          <w:p>
            <w:pPr>
              <w:pStyle w:val="yTable"/>
              <w:jc w:val="center"/>
            </w:pPr>
          </w:p>
        </w:tc>
        <w:tc>
          <w:tcPr>
            <w:tcW w:w="3970" w:type="dxa"/>
            <w:gridSpan w:val="2"/>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t>26.00</w:t>
            </w:r>
          </w:p>
        </w:tc>
        <w:tc>
          <w:tcPr>
            <w:tcW w:w="1246" w:type="dxa"/>
          </w:tcPr>
          <w:p>
            <w:pPr>
              <w:pStyle w:val="yTable"/>
              <w:tabs>
                <w:tab w:val="right" w:pos="743"/>
              </w:tabs>
              <w:jc w:val="center"/>
            </w:pPr>
            <w:r>
              <w:br/>
              <w:t>26.00</w:t>
            </w:r>
          </w:p>
        </w:tc>
      </w:tr>
      <w:tr>
        <w:trPr>
          <w:cantSplit/>
        </w:trPr>
        <w:tc>
          <w:tcPr>
            <w:tcW w:w="708" w:type="dxa"/>
          </w:tcPr>
          <w:p>
            <w:pPr>
              <w:pStyle w:val="yTable"/>
              <w:jc w:val="center"/>
            </w:pPr>
          </w:p>
        </w:tc>
        <w:tc>
          <w:tcPr>
            <w:tcW w:w="3970" w:type="dxa"/>
            <w:gridSpan w:val="2"/>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t>49.50</w:t>
            </w:r>
          </w:p>
        </w:tc>
        <w:tc>
          <w:tcPr>
            <w:tcW w:w="1246" w:type="dxa"/>
          </w:tcPr>
          <w:p>
            <w:pPr>
              <w:pStyle w:val="yTable"/>
              <w:tabs>
                <w:tab w:val="right" w:pos="743"/>
              </w:tabs>
              <w:jc w:val="center"/>
            </w:pPr>
            <w:r>
              <w:br/>
            </w:r>
            <w:r>
              <w:br/>
            </w:r>
            <w:r>
              <w:br/>
            </w:r>
            <w:r>
              <w:br/>
              <w:t>49.50</w:t>
            </w:r>
          </w:p>
        </w:tc>
      </w:tr>
      <w:tr>
        <w:trPr>
          <w:cantSplit/>
        </w:trPr>
        <w:tc>
          <w:tcPr>
            <w:tcW w:w="708" w:type="dxa"/>
          </w:tcPr>
          <w:p>
            <w:pPr>
              <w:pStyle w:val="yTable"/>
              <w:jc w:val="center"/>
            </w:pPr>
            <w:r>
              <w:t>13A.</w:t>
            </w:r>
          </w:p>
        </w:tc>
        <w:tc>
          <w:tcPr>
            <w:tcW w:w="3970" w:type="dxa"/>
            <w:gridSpan w:val="2"/>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t>4.85</w:t>
            </w:r>
          </w:p>
        </w:tc>
        <w:tc>
          <w:tcPr>
            <w:tcW w:w="1246" w:type="dxa"/>
          </w:tcPr>
          <w:p>
            <w:pPr>
              <w:pStyle w:val="yTable"/>
              <w:tabs>
                <w:tab w:val="right" w:pos="743"/>
              </w:tabs>
              <w:jc w:val="center"/>
            </w:pPr>
            <w:r>
              <w:br/>
              <w:t>4.85</w:t>
            </w:r>
          </w:p>
        </w:tc>
      </w:tr>
      <w:tr>
        <w:trPr>
          <w:cantSplit/>
        </w:trPr>
        <w:tc>
          <w:tcPr>
            <w:tcW w:w="708" w:type="dxa"/>
          </w:tcPr>
          <w:p>
            <w:pPr>
              <w:pStyle w:val="yTable"/>
              <w:jc w:val="center"/>
            </w:pPr>
          </w:p>
        </w:tc>
        <w:tc>
          <w:tcPr>
            <w:tcW w:w="3970" w:type="dxa"/>
            <w:gridSpan w:val="2"/>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12.00</w:t>
            </w:r>
          </w:p>
        </w:tc>
        <w:tc>
          <w:tcPr>
            <w:tcW w:w="1246" w:type="dxa"/>
          </w:tcPr>
          <w:p>
            <w:pPr>
              <w:pStyle w:val="yTable"/>
              <w:tabs>
                <w:tab w:val="right" w:pos="743"/>
              </w:tabs>
              <w:jc w:val="center"/>
            </w:pPr>
            <w:r>
              <w:br/>
            </w:r>
            <w:r>
              <w:br/>
            </w:r>
            <w:r>
              <w:br/>
            </w:r>
            <w:r>
              <w:br/>
              <w:t>12.00</w:t>
            </w:r>
          </w:p>
        </w:tc>
      </w:tr>
      <w:tr>
        <w:trPr>
          <w:cantSplit/>
        </w:trPr>
        <w:tc>
          <w:tcPr>
            <w:tcW w:w="708" w:type="dxa"/>
          </w:tcPr>
          <w:p>
            <w:pPr>
              <w:pStyle w:val="yTable"/>
              <w:jc w:val="center"/>
            </w:pPr>
          </w:p>
        </w:tc>
        <w:tc>
          <w:tcPr>
            <w:tcW w:w="3970" w:type="dxa"/>
            <w:gridSpan w:val="2"/>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46" w:type="dxa"/>
          </w:tcPr>
          <w:p>
            <w:pPr>
              <w:pStyle w:val="yTable"/>
              <w:tabs>
                <w:tab w:val="right" w:pos="743"/>
              </w:tabs>
              <w:jc w:val="center"/>
            </w:pPr>
            <w:r>
              <w:br/>
            </w:r>
            <w:r>
              <w:br/>
            </w:r>
            <w:r>
              <w:br/>
            </w:r>
            <w:r>
              <w:br/>
            </w:r>
            <w:r>
              <w:br/>
              <w:t>1.50</w:t>
            </w:r>
          </w:p>
        </w:tc>
      </w:tr>
      <w:tr>
        <w:tc>
          <w:tcPr>
            <w:tcW w:w="719" w:type="dxa"/>
            <w:gridSpan w:val="2"/>
          </w:tcPr>
          <w:p>
            <w:pPr>
              <w:pStyle w:val="yTable"/>
              <w:keepNext/>
              <w:keepLines/>
              <w:tabs>
                <w:tab w:val="left" w:pos="601"/>
              </w:tabs>
              <w:ind w:left="601" w:hanging="601"/>
            </w:pPr>
            <w:bookmarkStart w:id="135" w:name="_Toc533218892"/>
            <w:bookmarkStart w:id="136" w:name="_Toc533480358"/>
            <w:r>
              <w:t>14.</w:t>
            </w:r>
          </w:p>
        </w:tc>
        <w:tc>
          <w:tcPr>
            <w:tcW w:w="3959" w:type="dxa"/>
          </w:tcPr>
          <w:p>
            <w:pPr>
              <w:pStyle w:val="yTable"/>
              <w:keepNext/>
              <w:keepLines/>
              <w:tabs>
                <w:tab w:val="left" w:pos="601"/>
              </w:tabs>
              <w:ind w:left="601" w:hanging="601"/>
            </w:pPr>
            <w:r>
              <w:t>On filing an application —</w:t>
            </w:r>
          </w:p>
        </w:tc>
        <w:tc>
          <w:tcPr>
            <w:tcW w:w="1276" w:type="dxa"/>
          </w:tcPr>
          <w:p>
            <w:pPr>
              <w:pStyle w:val="zyTableNAm"/>
            </w:pPr>
          </w:p>
        </w:tc>
        <w:tc>
          <w:tcPr>
            <w:tcW w:w="1246" w:type="dxa"/>
          </w:tcPr>
          <w:p>
            <w:pPr>
              <w:pStyle w:val="zyTableNAm"/>
            </w:pPr>
          </w:p>
        </w:tc>
      </w:tr>
      <w:tr>
        <w:tc>
          <w:tcPr>
            <w:tcW w:w="719" w:type="dxa"/>
            <w:gridSpan w:val="2"/>
          </w:tcPr>
          <w:p>
            <w:pPr>
              <w:pStyle w:val="zyTableNAm"/>
            </w:pPr>
          </w:p>
        </w:tc>
        <w:tc>
          <w:tcPr>
            <w:tcW w:w="3959" w:type="dxa"/>
          </w:tcPr>
          <w:p>
            <w:pPr>
              <w:pStyle w:val="yTable"/>
              <w:keepNext/>
              <w:keepLines/>
              <w:tabs>
                <w:tab w:val="left" w:pos="601"/>
              </w:tabs>
              <w:ind w:left="601" w:hanging="601"/>
            </w:pPr>
            <w:r>
              <w:t>(a)</w:t>
            </w:r>
            <w:r>
              <w:tab/>
              <w:t>for the commission to take affidavits or for sealing any other commission, unless otherwise prescribed ......................................</w:t>
            </w:r>
          </w:p>
        </w:tc>
        <w:tc>
          <w:tcPr>
            <w:tcW w:w="1276" w:type="dxa"/>
          </w:tcPr>
          <w:p>
            <w:pPr>
              <w:pStyle w:val="yTable"/>
              <w:tabs>
                <w:tab w:val="right" w:pos="743"/>
              </w:tabs>
              <w:jc w:val="center"/>
            </w:pPr>
            <w:r>
              <w:br/>
            </w:r>
            <w:r>
              <w:br/>
            </w:r>
            <w:r>
              <w:br/>
              <w:t>246.00</w:t>
            </w:r>
          </w:p>
        </w:tc>
        <w:tc>
          <w:tcPr>
            <w:tcW w:w="1246" w:type="dxa"/>
          </w:tcPr>
          <w:p>
            <w:pPr>
              <w:pStyle w:val="yTable"/>
              <w:tabs>
                <w:tab w:val="right" w:pos="743"/>
              </w:tabs>
              <w:jc w:val="center"/>
            </w:pPr>
            <w:r>
              <w:br/>
            </w:r>
            <w:r>
              <w:br/>
            </w:r>
            <w:r>
              <w:br/>
              <w:t>N/A</w:t>
            </w:r>
          </w:p>
        </w:tc>
      </w:tr>
      <w:tr>
        <w:tc>
          <w:tcPr>
            <w:tcW w:w="719" w:type="dxa"/>
            <w:gridSpan w:val="2"/>
          </w:tcPr>
          <w:p>
            <w:pPr>
              <w:pStyle w:val="zyTableNAm"/>
            </w:pPr>
          </w:p>
        </w:tc>
        <w:tc>
          <w:tcPr>
            <w:tcW w:w="395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r>
              <w:t>207.00</w:t>
            </w:r>
          </w:p>
        </w:tc>
        <w:tc>
          <w:tcPr>
            <w:tcW w:w="1246" w:type="dxa"/>
          </w:tcPr>
          <w:p>
            <w:pPr>
              <w:pStyle w:val="yTable"/>
              <w:tabs>
                <w:tab w:val="right" w:pos="743"/>
              </w:tabs>
              <w:jc w:val="center"/>
            </w:pPr>
            <w:r>
              <w:t>N/A</w:t>
            </w:r>
          </w:p>
        </w:tc>
      </w:tr>
    </w:tbl>
    <w:p>
      <w:pPr>
        <w:pStyle w:val="yFootnotesection"/>
      </w:pPr>
      <w:r>
        <w:tab/>
        <w:t>[Division 1 amended in Gazette 15 Feb 2002 p. 643; 30 Dec 2003 p. 5696-8; 28 Apr 2005 p. 1761-2; 23 Jun 2005 p. 2695-7; 23 Jun 2006 p. 2184</w:t>
      </w:r>
      <w:r>
        <w:noBreakHyphen/>
        <w:t>5; 26 Jun 2007 p. 3042-3; 27 Jun 2008 p. 3060; 9 Jun 2009 p. 1921</w:t>
      </w:r>
      <w:r>
        <w:noBreakHyphen/>
        <w:t>2.]</w:t>
      </w:r>
    </w:p>
    <w:p>
      <w:pPr>
        <w:pStyle w:val="yHeading3"/>
      </w:pPr>
      <w:bookmarkStart w:id="137" w:name="_Toc107626246"/>
      <w:bookmarkStart w:id="138" w:name="_Toc139175206"/>
      <w:bookmarkStart w:id="139" w:name="_Toc139365937"/>
      <w:bookmarkStart w:id="140" w:name="_Toc141847808"/>
      <w:bookmarkStart w:id="141" w:name="_Toc142382642"/>
      <w:bookmarkStart w:id="142" w:name="_Toc144009325"/>
      <w:bookmarkStart w:id="143" w:name="_Toc144009441"/>
      <w:bookmarkStart w:id="144" w:name="_Toc144010739"/>
      <w:bookmarkStart w:id="145" w:name="_Toc144616503"/>
      <w:bookmarkStart w:id="146" w:name="_Toc145814166"/>
      <w:bookmarkStart w:id="147" w:name="_Toc170790392"/>
      <w:bookmarkStart w:id="148" w:name="_Toc171051022"/>
      <w:bookmarkStart w:id="149" w:name="_Toc202265388"/>
      <w:bookmarkStart w:id="150" w:name="_Toc232310900"/>
      <w:r>
        <w:rPr>
          <w:rStyle w:val="CharSDivNo"/>
        </w:rPr>
        <w:t>Division 2</w:t>
      </w:r>
      <w:r>
        <w:t> — </w:t>
      </w:r>
      <w:r>
        <w:rPr>
          <w:rStyle w:val="CharSDivText"/>
        </w:rPr>
        <w:t>Court of Appeal fees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pPr>
      <w:bookmarkStart w:id="151"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r>
              <w:t>123.00</w:t>
            </w:r>
          </w:p>
        </w:tc>
        <w:tc>
          <w:tcPr>
            <w:tcW w:w="1195" w:type="dxa"/>
          </w:tcPr>
          <w:p>
            <w:pPr>
              <w:pStyle w:val="yTable"/>
              <w:jc w:val="center"/>
            </w:pPr>
            <w:r>
              <w:t>246.00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1 853.00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3 706.00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t>246.00</w:t>
            </w:r>
          </w:p>
        </w:tc>
        <w:tc>
          <w:tcPr>
            <w:tcW w:w="1195" w:type="dxa"/>
          </w:tcPr>
          <w:p>
            <w:pPr>
              <w:pStyle w:val="yTable"/>
              <w:tabs>
                <w:tab w:val="right" w:pos="743"/>
              </w:tabs>
              <w:jc w:val="center"/>
            </w:pPr>
            <w:r>
              <w:br/>
            </w:r>
            <w:r>
              <w:br/>
            </w:r>
            <w:r>
              <w:br/>
            </w:r>
            <w:r>
              <w:br/>
              <w:t>370.00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r>
              <w:t>173.00</w:t>
            </w:r>
          </w:p>
        </w:tc>
        <w:tc>
          <w:tcPr>
            <w:tcW w:w="1195" w:type="dxa"/>
          </w:tcPr>
          <w:p>
            <w:pPr>
              <w:pStyle w:val="yTable"/>
              <w:tabs>
                <w:tab w:val="left" w:pos="496"/>
              </w:tabs>
              <w:ind w:left="493" w:hanging="493"/>
              <w:jc w:val="center"/>
            </w:pPr>
          </w:p>
          <w:p>
            <w:pPr>
              <w:pStyle w:val="yTable"/>
              <w:jc w:val="center"/>
            </w:pPr>
            <w:r>
              <w:br/>
            </w:r>
          </w:p>
          <w:p>
            <w:pPr>
              <w:pStyle w:val="yTable"/>
              <w:jc w:val="center"/>
            </w:pPr>
            <w:r>
              <w:t>259.00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r>
              <w:t>617.00</w:t>
            </w:r>
          </w:p>
        </w:tc>
        <w:tc>
          <w:tcPr>
            <w:tcW w:w="1195" w:type="dxa"/>
          </w:tcPr>
          <w:p>
            <w:pPr>
              <w:pStyle w:val="yTable"/>
              <w:tabs>
                <w:tab w:val="right" w:pos="743"/>
              </w:tabs>
              <w:jc w:val="center"/>
            </w:pPr>
            <w:r>
              <w:t>926.00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keepLines/>
              <w:spacing w:before="0"/>
              <w:jc w:val="center"/>
            </w:pPr>
          </w:p>
        </w:tc>
        <w:tc>
          <w:tcPr>
            <w:tcW w:w="4008" w:type="dxa"/>
          </w:tcPr>
          <w:p>
            <w:pPr>
              <w:pStyle w:val="yTable"/>
              <w:keepLines/>
              <w:tabs>
                <w:tab w:val="left" w:pos="496"/>
              </w:tabs>
              <w:spacing w:before="0"/>
              <w:ind w:left="496" w:hanging="496"/>
            </w:pPr>
            <w:r>
              <w:t>(2)</w:t>
            </w:r>
            <w:r>
              <w:tab/>
              <w:t>This fee includes the fee for the first day of hearing.</w:t>
            </w:r>
          </w:p>
        </w:tc>
        <w:tc>
          <w:tcPr>
            <w:tcW w:w="1213" w:type="dxa"/>
          </w:tcPr>
          <w:p>
            <w:pPr>
              <w:pStyle w:val="yTable"/>
              <w:keepLines/>
              <w:rPr>
                <w:sz w:val="20"/>
              </w:rPr>
            </w:pPr>
          </w:p>
        </w:tc>
        <w:tc>
          <w:tcPr>
            <w:tcW w:w="1195" w:type="dxa"/>
          </w:tcPr>
          <w:p>
            <w:pPr>
              <w:pStyle w:val="yTable"/>
              <w:keepLines/>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t>493.00</w:t>
            </w:r>
          </w:p>
        </w:tc>
        <w:tc>
          <w:tcPr>
            <w:tcW w:w="1195" w:type="dxa"/>
          </w:tcPr>
          <w:p>
            <w:pPr>
              <w:pStyle w:val="yTable"/>
              <w:jc w:val="center"/>
              <w:rPr>
                <w:sz w:val="20"/>
              </w:rPr>
            </w:pPr>
            <w:r>
              <w:br/>
              <w:t>987.00</w:t>
            </w:r>
          </w:p>
        </w:tc>
      </w:tr>
      <w:tr>
        <w:trPr>
          <w:cantSplit/>
        </w:trPr>
        <w:tc>
          <w:tcPr>
            <w:tcW w:w="672" w:type="dxa"/>
            <w:gridSpan w:val="2"/>
          </w:tcPr>
          <w:p>
            <w:pPr>
              <w:pStyle w:val="yTable"/>
              <w:spacing w:before="0"/>
              <w:jc w:val="cente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rPr>
            </w:pPr>
            <w:r>
              <w:t>This fee is payable on the number of days in excess of the first hearing day estimated for the hearing by the Court of Appeal Registrar.</w:t>
            </w:r>
          </w:p>
        </w:tc>
        <w:tc>
          <w:tcPr>
            <w:tcW w:w="1213" w:type="dxa"/>
          </w:tcPr>
          <w:p>
            <w:pPr>
              <w:pStyle w:val="yTable"/>
              <w:spacing w:before="240"/>
              <w:jc w:val="center"/>
            </w:pPr>
          </w:p>
        </w:tc>
        <w:tc>
          <w:tcPr>
            <w:tcW w:w="1195" w:type="dxa"/>
          </w:tcPr>
          <w:p>
            <w:pPr>
              <w:pStyle w:val="yTable"/>
              <w:spacing w:before="240"/>
              <w:jc w:val="center"/>
            </w:pPr>
          </w:p>
        </w:tc>
      </w:tr>
      <w:tr>
        <w:trPr>
          <w:cantSplit/>
        </w:trPr>
        <w:tc>
          <w:tcPr>
            <w:tcW w:w="672" w:type="dxa"/>
            <w:gridSpan w:val="2"/>
          </w:tcPr>
          <w:p>
            <w:pPr>
              <w:pStyle w:val="yTable"/>
              <w:keepNext/>
              <w:jc w:val="center"/>
            </w:pPr>
            <w:r>
              <w:t>7.</w:t>
            </w:r>
          </w:p>
        </w:tc>
        <w:tc>
          <w:tcPr>
            <w:tcW w:w="4008" w:type="dxa"/>
          </w:tcPr>
          <w:p>
            <w:pPr>
              <w:pStyle w:val="yTable"/>
              <w:keepNext/>
              <w:rPr>
                <w:iCs/>
              </w:rPr>
            </w:pPr>
            <w:r>
              <w:rPr>
                <w:iCs/>
              </w:rPr>
              <w:t>Daily hearing fee ........................................</w:t>
            </w:r>
          </w:p>
        </w:tc>
        <w:tc>
          <w:tcPr>
            <w:tcW w:w="1213" w:type="dxa"/>
          </w:tcPr>
          <w:p>
            <w:pPr>
              <w:pStyle w:val="yTable"/>
              <w:keepNext/>
              <w:tabs>
                <w:tab w:val="right" w:pos="743"/>
              </w:tabs>
              <w:jc w:val="center"/>
            </w:pPr>
            <w:r>
              <w:t>493.00</w:t>
            </w:r>
          </w:p>
        </w:tc>
        <w:tc>
          <w:tcPr>
            <w:tcW w:w="1195" w:type="dxa"/>
          </w:tcPr>
          <w:p>
            <w:pPr>
              <w:pStyle w:val="yTable"/>
              <w:keepNext/>
              <w:tabs>
                <w:tab w:val="right" w:pos="743"/>
              </w:tabs>
              <w:jc w:val="center"/>
            </w:pPr>
            <w:r>
              <w:t>987.00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rPr>
                <w:iCs/>
              </w:rPr>
            </w:pPr>
            <w:r>
              <w:rPr>
                <w:iCs/>
              </w:rPr>
              <w:t>(1)</w:t>
            </w:r>
            <w:r>
              <w:rPr>
                <w:iCs/>
              </w:rPr>
              <w:tab/>
              <w:t xml:space="preserve">This fee is not payable in relation to an application for, or to amend or cancel an </w:t>
            </w:r>
            <w:r>
              <w:t>interim</w:t>
            </w:r>
            <w:r>
              <w:rPr>
                <w:iCs/>
              </w:rPr>
              <w:t xml:space="preserve"> order.</w:t>
            </w:r>
          </w:p>
          <w:p>
            <w:pPr>
              <w:pStyle w:val="yTable"/>
              <w:tabs>
                <w:tab w:val="left" w:pos="496"/>
              </w:tabs>
              <w:spacing w:before="0"/>
              <w:ind w:left="496" w:hanging="496"/>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pPr>
            <w:r>
              <w:rPr>
                <w:iCs/>
              </w:rPr>
              <w:t>(3)</w:t>
            </w:r>
            <w:r>
              <w:rPr>
                <w:iCs/>
              </w:rPr>
              <w:tab/>
              <w:t xml:space="preserve">If the Court allocates a half day or less for the </w:t>
            </w:r>
            <w:r>
              <w:t>continuation</w:t>
            </w:r>
            <w:r>
              <w:rPr>
                <w:iCs/>
              </w:rPr>
              <w:t xml:space="preserve"> of the hearing, a fee equal to half the prescribed amount is payable for that period.</w:t>
            </w:r>
          </w:p>
          <w:p>
            <w:pPr>
              <w:pStyle w:val="yTable"/>
              <w:tabs>
                <w:tab w:val="left" w:pos="496"/>
              </w:tabs>
              <w:spacing w:before="0"/>
              <w:ind w:left="496" w:hanging="496"/>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t>25.00</w:t>
            </w:r>
          </w:p>
        </w:tc>
        <w:tc>
          <w:tcPr>
            <w:tcW w:w="1195" w:type="dxa"/>
          </w:tcPr>
          <w:p>
            <w:pPr>
              <w:pStyle w:val="yTable"/>
              <w:tabs>
                <w:tab w:val="right" w:pos="743"/>
              </w:tabs>
              <w:jc w:val="center"/>
            </w:pPr>
            <w:r>
              <w:br/>
            </w:r>
            <w:r>
              <w:br/>
              <w:t>25.00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1.50</w:t>
            </w:r>
          </w:p>
        </w:tc>
        <w:tc>
          <w:tcPr>
            <w:tcW w:w="1195" w:type="dxa"/>
          </w:tcPr>
          <w:p>
            <w:pPr>
              <w:pStyle w:val="yTable"/>
              <w:tabs>
                <w:tab w:val="right" w:pos="743"/>
              </w:tabs>
              <w:jc w:val="center"/>
            </w:pPr>
            <w:r>
              <w:br/>
            </w:r>
            <w:r>
              <w:br/>
            </w:r>
            <w:r>
              <w:br/>
              <w:t>1.50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8.65</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8.65</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1.10</w:t>
            </w:r>
          </w:p>
        </w:tc>
        <w:tc>
          <w:tcPr>
            <w:tcW w:w="1195" w:type="dxa"/>
          </w:tcPr>
          <w:p>
            <w:pPr>
              <w:pStyle w:val="yTable"/>
              <w:tabs>
                <w:tab w:val="right" w:pos="743"/>
              </w:tabs>
              <w:jc w:val="center"/>
            </w:pPr>
            <w:r>
              <w:br/>
            </w:r>
            <w:r>
              <w:br/>
              <w:t>1.10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12.00</w:t>
            </w:r>
          </w:p>
        </w:tc>
        <w:tc>
          <w:tcPr>
            <w:tcW w:w="1195" w:type="dxa"/>
          </w:tcPr>
          <w:p>
            <w:pPr>
              <w:pStyle w:val="yTable"/>
              <w:tabs>
                <w:tab w:val="right" w:pos="743"/>
              </w:tabs>
              <w:jc w:val="center"/>
            </w:pPr>
            <w:r>
              <w:br/>
            </w:r>
            <w:r>
              <w:br/>
              <w:t>12.00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t>26.00</w:t>
            </w:r>
          </w:p>
        </w:tc>
        <w:tc>
          <w:tcPr>
            <w:tcW w:w="1195" w:type="dxa"/>
          </w:tcPr>
          <w:p>
            <w:pPr>
              <w:pStyle w:val="yTable"/>
              <w:tabs>
                <w:tab w:val="right" w:pos="743"/>
              </w:tabs>
              <w:jc w:val="center"/>
            </w:pPr>
            <w:r>
              <w:br/>
              <w:t>26.00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4.85</w:t>
            </w:r>
          </w:p>
        </w:tc>
        <w:tc>
          <w:tcPr>
            <w:tcW w:w="1195" w:type="dxa"/>
          </w:tcPr>
          <w:p>
            <w:pPr>
              <w:pStyle w:val="yTable"/>
              <w:tabs>
                <w:tab w:val="right" w:pos="743"/>
              </w:tabs>
              <w:jc w:val="center"/>
            </w:pPr>
            <w:r>
              <w:br/>
              <w:t>4.85</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t>12.00</w:t>
            </w:r>
          </w:p>
        </w:tc>
        <w:tc>
          <w:tcPr>
            <w:tcW w:w="1195" w:type="dxa"/>
          </w:tcPr>
          <w:p>
            <w:pPr>
              <w:pStyle w:val="yTable"/>
              <w:tabs>
                <w:tab w:val="right" w:pos="743"/>
              </w:tabs>
              <w:jc w:val="center"/>
            </w:pPr>
            <w:r>
              <w:br/>
            </w:r>
            <w:r>
              <w:br/>
            </w:r>
            <w:r>
              <w:br/>
            </w:r>
            <w:r>
              <w:br/>
              <w:t>12.00</w:t>
            </w:r>
          </w:p>
        </w:tc>
      </w:tr>
      <w:tr>
        <w:trPr>
          <w:cantSplit/>
        </w:trPr>
        <w:tc>
          <w:tcPr>
            <w:tcW w:w="658" w:type="dxa"/>
          </w:tcPr>
          <w:p>
            <w:pPr>
              <w:pStyle w:val="yTable"/>
              <w:keepNext/>
              <w:keepLines/>
            </w:pPr>
          </w:p>
        </w:tc>
        <w:tc>
          <w:tcPr>
            <w:tcW w:w="4022" w:type="dxa"/>
            <w:gridSpan w:val="2"/>
          </w:tcPr>
          <w:p>
            <w:pPr>
              <w:pStyle w:val="yTable"/>
              <w:keepNext/>
              <w:keepLines/>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keepNext/>
              <w:keepLines/>
              <w:tabs>
                <w:tab w:val="right" w:pos="743"/>
              </w:tabs>
              <w:jc w:val="center"/>
            </w:pPr>
            <w:r>
              <w:br/>
            </w:r>
            <w:r>
              <w:br/>
            </w:r>
            <w:r>
              <w:br/>
            </w:r>
            <w:r>
              <w:br/>
              <w:t>1.50</w:t>
            </w:r>
          </w:p>
        </w:tc>
        <w:tc>
          <w:tcPr>
            <w:tcW w:w="1195" w:type="dxa"/>
          </w:tcPr>
          <w:p>
            <w:pPr>
              <w:pStyle w:val="yTable"/>
              <w:keepNext/>
              <w:keepLines/>
              <w:tabs>
                <w:tab w:val="right" w:pos="743"/>
              </w:tabs>
              <w:jc w:val="center"/>
            </w:pPr>
            <w:r>
              <w:br/>
            </w:r>
            <w:r>
              <w:br/>
            </w:r>
            <w:r>
              <w:br/>
            </w:r>
            <w:r>
              <w:br/>
              <w:t>1.50</w:t>
            </w:r>
          </w:p>
        </w:tc>
      </w:tr>
    </w:tbl>
    <w:bookmarkEnd w:id="151"/>
    <w:p>
      <w:pPr>
        <w:pStyle w:val="yFootnotesection"/>
      </w:pPr>
      <w:r>
        <w:tab/>
        <w:t>[Division 2 inserted in Gazette 23 Jun 2005 p. 2697-9; amended in Gazette 23 Jun 2006 p. 2185-6; 26 Jun 2007 p. 3043; 27 Jun 2008 p. 3061; 9 Jun 2009 p. 1921</w:t>
      </w:r>
      <w:r>
        <w:noBreakHyphen/>
        <w:t>2.]</w:t>
      </w:r>
    </w:p>
    <w:p>
      <w:pPr>
        <w:pStyle w:val="yScheduleHeading"/>
      </w:pPr>
      <w:bookmarkStart w:id="152" w:name="_Toc107626247"/>
      <w:bookmarkStart w:id="153" w:name="_Toc139175207"/>
      <w:bookmarkStart w:id="154" w:name="_Toc139365938"/>
      <w:bookmarkStart w:id="155" w:name="_Toc141847809"/>
      <w:bookmarkStart w:id="156" w:name="_Toc142382643"/>
      <w:bookmarkStart w:id="157" w:name="_Toc144009326"/>
      <w:bookmarkStart w:id="158" w:name="_Toc144009442"/>
      <w:bookmarkStart w:id="159" w:name="_Toc144010740"/>
      <w:bookmarkStart w:id="160" w:name="_Toc144616504"/>
      <w:bookmarkStart w:id="161" w:name="_Toc145814167"/>
      <w:bookmarkStart w:id="162" w:name="_Toc170790393"/>
      <w:bookmarkStart w:id="163" w:name="_Toc171051023"/>
      <w:bookmarkStart w:id="164" w:name="_Toc202265389"/>
      <w:bookmarkStart w:id="165" w:name="_Toc232310901"/>
      <w:bookmarkStart w:id="166" w:name="_Toc533218893"/>
      <w:bookmarkStart w:id="167" w:name="_Toc533480359"/>
      <w:bookmarkEnd w:id="135"/>
      <w:bookmarkEnd w:id="136"/>
      <w:r>
        <w:rPr>
          <w:rStyle w:val="CharSchNo"/>
        </w:rPr>
        <w:t>Schedule 2</w:t>
      </w:r>
      <w:r>
        <w:rPr>
          <w:rStyle w:val="CharSDivNo"/>
          <w:sz w:val="28"/>
        </w:rPr>
        <w:t> </w:t>
      </w:r>
      <w:r>
        <w:t>—</w:t>
      </w:r>
      <w:r>
        <w:rPr>
          <w:rStyle w:val="CharSDivText"/>
          <w:sz w:val="28"/>
        </w:rPr>
        <w:t> </w:t>
      </w:r>
      <w:r>
        <w:rPr>
          <w:rStyle w:val="CharSchText"/>
        </w:rPr>
        <w:t>Sheriff’s fees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4]</w:t>
      </w:r>
    </w:p>
    <w:p>
      <w:pPr>
        <w:pStyle w:val="yFootnoteheading"/>
        <w:spacing w:after="120"/>
      </w:pPr>
      <w:r>
        <w:tab/>
        <w:t>[Heading inserted in Gazette 28 Apr 2005 p. 1762; amended in Gazette 23 Jun 2005 p. 2699.]</w:t>
      </w:r>
    </w:p>
    <w:tbl>
      <w:tblPr>
        <w:tblW w:w="7080" w:type="dxa"/>
        <w:tblInd w:w="108" w:type="dxa"/>
        <w:tblLayout w:type="fixed"/>
        <w:tblLook w:val="0000" w:firstRow="0" w:lastRow="0" w:firstColumn="0" w:lastColumn="0" w:noHBand="0" w:noVBand="0"/>
      </w:tblPr>
      <w:tblGrid>
        <w:gridCol w:w="840"/>
        <w:gridCol w:w="5114"/>
        <w:gridCol w:w="1126"/>
      </w:tblGrid>
      <w:tr>
        <w:trPr>
          <w:cantSplit/>
          <w:tblHeader/>
        </w:trPr>
        <w:tc>
          <w:tcPr>
            <w:tcW w:w="840" w:type="dxa"/>
            <w:tcBorders>
              <w:top w:val="single" w:sz="4" w:space="0" w:color="auto"/>
              <w:bottom w:val="single" w:sz="4" w:space="0" w:color="auto"/>
            </w:tcBorders>
          </w:tcPr>
          <w:p>
            <w:pPr>
              <w:pStyle w:val="yTable"/>
            </w:pPr>
            <w:r>
              <w:rPr>
                <w:rFonts w:ascii="Times" w:hAnsi="Times"/>
                <w:b/>
                <w:bCs/>
                <w:spacing w:val="-4"/>
              </w:rPr>
              <w:t>Item</w:t>
            </w:r>
          </w:p>
        </w:tc>
        <w:tc>
          <w:tcPr>
            <w:tcW w:w="5114" w:type="dxa"/>
            <w:tcBorders>
              <w:top w:val="single" w:sz="4" w:space="0" w:color="auto"/>
              <w:bottom w:val="single" w:sz="4" w:space="0" w:color="auto"/>
            </w:tcBorders>
          </w:tcPr>
          <w:p>
            <w:pPr>
              <w:pStyle w:val="yTable"/>
              <w:jc w:val="center"/>
            </w:pPr>
            <w:r>
              <w:rPr>
                <w:b/>
                <w:bCs/>
              </w:rPr>
              <w:t>Matter</w:t>
            </w:r>
          </w:p>
        </w:tc>
        <w:tc>
          <w:tcPr>
            <w:tcW w:w="1126" w:type="dxa"/>
            <w:tcBorders>
              <w:top w:val="single" w:sz="4" w:space="0" w:color="auto"/>
              <w:bottom w:val="single" w:sz="4" w:space="0" w:color="auto"/>
            </w:tcBorders>
          </w:tcPr>
          <w:p>
            <w:pPr>
              <w:pStyle w:val="yTable"/>
              <w:tabs>
                <w:tab w:val="right" w:pos="743"/>
              </w:tabs>
              <w:rPr>
                <w:b/>
                <w:bCs/>
              </w:rPr>
            </w:pPr>
            <w:r>
              <w:t xml:space="preserve">   </w:t>
            </w:r>
            <w:r>
              <w:rPr>
                <w:b/>
                <w:bCs/>
              </w:rPr>
              <w:t>Fee</w:t>
            </w:r>
          </w:p>
          <w:p>
            <w:pPr>
              <w:pStyle w:val="yTable"/>
              <w:tabs>
                <w:tab w:val="right" w:pos="743"/>
              </w:tabs>
            </w:pPr>
            <w:r>
              <w:rPr>
                <w:b/>
                <w:bCs/>
              </w:rPr>
              <w:t xml:space="preserve">     $</w:t>
            </w:r>
          </w:p>
        </w:tc>
      </w:tr>
      <w:tr>
        <w:trPr>
          <w:cantSplit/>
        </w:trPr>
        <w:tc>
          <w:tcPr>
            <w:tcW w:w="840" w:type="dxa"/>
          </w:tcPr>
          <w:p>
            <w:pPr>
              <w:pStyle w:val="yTable"/>
            </w:pPr>
            <w:r>
              <w:t>1.</w:t>
            </w:r>
          </w:p>
        </w:tc>
        <w:tc>
          <w:tcPr>
            <w:tcW w:w="5114" w:type="dxa"/>
          </w:tcPr>
          <w:p>
            <w:pPr>
              <w:pStyle w:val="yTable"/>
            </w:pPr>
            <w:r>
              <w:t>On the execution of an arrest warrant of any kind —</w:t>
            </w:r>
          </w:p>
        </w:tc>
        <w:tc>
          <w:tcPr>
            <w:tcW w:w="1126" w:type="dxa"/>
          </w:tcPr>
          <w:p>
            <w:pPr>
              <w:pStyle w:val="yTable"/>
              <w:tabs>
                <w:tab w:val="right" w:pos="743"/>
              </w:tabs>
            </w:pPr>
          </w:p>
        </w:tc>
      </w:tr>
      <w:tr>
        <w:trPr>
          <w:cantSplit/>
        </w:trPr>
        <w:tc>
          <w:tcPr>
            <w:tcW w:w="840" w:type="dxa"/>
          </w:tcPr>
          <w:p>
            <w:pPr>
              <w:pStyle w:val="yTable"/>
            </w:pPr>
          </w:p>
        </w:tc>
        <w:tc>
          <w:tcPr>
            <w:tcW w:w="5114" w:type="dxa"/>
          </w:tcPr>
          <w:p>
            <w:pPr>
              <w:pStyle w:val="yTable"/>
              <w:tabs>
                <w:tab w:val="left" w:pos="601"/>
              </w:tabs>
              <w:ind w:left="601" w:hanging="601"/>
            </w:pPr>
            <w:r>
              <w:t>(a)</w:t>
            </w:r>
            <w:r>
              <w:tab/>
              <w:t>for arresting the person .......................................</w:t>
            </w:r>
          </w:p>
        </w:tc>
        <w:tc>
          <w:tcPr>
            <w:tcW w:w="1126" w:type="dxa"/>
          </w:tcPr>
          <w:p>
            <w:pPr>
              <w:pStyle w:val="yTable"/>
              <w:tabs>
                <w:tab w:val="right" w:pos="743"/>
              </w:tabs>
            </w:pPr>
            <w:r>
              <w:t>78.00</w:t>
            </w:r>
          </w:p>
        </w:tc>
      </w:tr>
      <w:tr>
        <w:trPr>
          <w:cantSplit/>
        </w:trPr>
        <w:tc>
          <w:tcPr>
            <w:tcW w:w="840" w:type="dxa"/>
          </w:tcPr>
          <w:p>
            <w:pPr>
              <w:pStyle w:val="yTable"/>
            </w:pPr>
          </w:p>
        </w:tc>
        <w:tc>
          <w:tcPr>
            <w:tcW w:w="5114" w:type="dxa"/>
          </w:tcPr>
          <w:p>
            <w:pPr>
              <w:pStyle w:val="yTable"/>
              <w:tabs>
                <w:tab w:val="left" w:pos="601"/>
              </w:tabs>
              <w:ind w:left="601" w:hanging="601"/>
            </w:pPr>
            <w:r>
              <w:t>(b)</w:t>
            </w:r>
            <w:r>
              <w:tab/>
              <w:t>for conveying the person to a court or a custodial place and releasing the person from arrest or custody ..................................................</w:t>
            </w:r>
          </w:p>
        </w:tc>
        <w:tc>
          <w:tcPr>
            <w:tcW w:w="1126" w:type="dxa"/>
          </w:tcPr>
          <w:p>
            <w:pPr>
              <w:pStyle w:val="yTable"/>
              <w:tabs>
                <w:tab w:val="right" w:pos="743"/>
              </w:tabs>
            </w:pPr>
            <w:r>
              <w:br/>
            </w:r>
            <w:r>
              <w:br/>
              <w:t>78.00</w:t>
            </w:r>
          </w:p>
        </w:tc>
      </w:tr>
      <w:tr>
        <w:trPr>
          <w:cantSplit/>
        </w:trPr>
        <w:tc>
          <w:tcPr>
            <w:tcW w:w="840" w:type="dxa"/>
          </w:tcPr>
          <w:p>
            <w:pPr>
              <w:pStyle w:val="yTable"/>
            </w:pPr>
          </w:p>
        </w:tc>
        <w:tc>
          <w:tcPr>
            <w:tcW w:w="5114" w:type="dxa"/>
          </w:tcPr>
          <w:p>
            <w:pPr>
              <w:pStyle w:val="yTable"/>
              <w:tabs>
                <w:tab w:val="left" w:pos="601"/>
              </w:tabs>
              <w:ind w:left="601" w:hanging="601"/>
            </w:pPr>
            <w:r>
              <w:t>(c)</w:t>
            </w:r>
            <w:r>
              <w:tab/>
              <w:t xml:space="preserve">for each 30 minutes after 2 hours and 30 minutes that an enforcement officer is required to keep the person in custody until he or she is conveyed to a court or a custodial place </w:t>
            </w:r>
          </w:p>
        </w:tc>
        <w:tc>
          <w:tcPr>
            <w:tcW w:w="1126" w:type="dxa"/>
          </w:tcPr>
          <w:p>
            <w:pPr>
              <w:pStyle w:val="yTable"/>
              <w:tabs>
                <w:tab w:val="right" w:pos="743"/>
              </w:tabs>
            </w:pPr>
            <w:r>
              <w:br/>
            </w:r>
            <w:r>
              <w:br/>
            </w:r>
            <w:r>
              <w:br/>
              <w:t>20.50</w:t>
            </w:r>
          </w:p>
        </w:tc>
      </w:tr>
      <w:tr>
        <w:trPr>
          <w:cantSplit/>
        </w:trPr>
        <w:tc>
          <w:tcPr>
            <w:tcW w:w="7080" w:type="dxa"/>
            <w:gridSpan w:val="3"/>
          </w:tcPr>
          <w:p>
            <w:pPr>
              <w:pStyle w:val="yTable"/>
            </w:pPr>
            <w:r>
              <w:t>NOTE 1:</w:t>
            </w:r>
          </w:p>
          <w:p>
            <w:pPr>
              <w:pStyle w:val="yTable"/>
              <w:tabs>
                <w:tab w:val="right" w:pos="743"/>
              </w:tabs>
            </w:pPr>
            <w:r>
              <w:t>The fee under paragraph (a) is payable whether or not the sheriff’s functions under the warrant are performed and includes up to 3 attempts to perform the functions at the same address.</w:t>
            </w:r>
          </w:p>
        </w:tc>
      </w:tr>
      <w:tr>
        <w:trPr>
          <w:cantSplit/>
        </w:trPr>
        <w:tc>
          <w:tcPr>
            <w:tcW w:w="7080"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840" w:type="dxa"/>
          </w:tcPr>
          <w:p>
            <w:pPr>
              <w:pStyle w:val="yTable"/>
            </w:pPr>
            <w:r>
              <w:t>2.</w:t>
            </w:r>
          </w:p>
        </w:tc>
        <w:tc>
          <w:tcPr>
            <w:tcW w:w="5114" w:type="dxa"/>
          </w:tcPr>
          <w:p>
            <w:pPr>
              <w:pStyle w:val="yTable"/>
            </w:pPr>
            <w:r>
              <w:t>For the service of any writ, application, summons, originating process, notice or order of the Court or any other process requiring service ......................................</w:t>
            </w:r>
          </w:p>
        </w:tc>
        <w:tc>
          <w:tcPr>
            <w:tcW w:w="1126" w:type="dxa"/>
          </w:tcPr>
          <w:p>
            <w:pPr>
              <w:pStyle w:val="yTable"/>
              <w:tabs>
                <w:tab w:val="right" w:pos="743"/>
              </w:tabs>
            </w:pPr>
            <w:r>
              <w:br/>
            </w:r>
            <w:r>
              <w:br/>
              <w:t>42.50</w:t>
            </w:r>
          </w:p>
        </w:tc>
      </w:tr>
      <w:tr>
        <w:trPr>
          <w:cantSplit/>
        </w:trPr>
        <w:tc>
          <w:tcPr>
            <w:tcW w:w="7080"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840" w:type="dxa"/>
          </w:tcPr>
          <w:p>
            <w:pPr>
              <w:pStyle w:val="yTable"/>
            </w:pPr>
            <w:r>
              <w:t>3.</w:t>
            </w:r>
          </w:p>
        </w:tc>
        <w:tc>
          <w:tcPr>
            <w:tcW w:w="5114"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126" w:type="dxa"/>
          </w:tcPr>
          <w:p>
            <w:pPr>
              <w:pStyle w:val="yTable"/>
              <w:tabs>
                <w:tab w:val="right" w:pos="743"/>
              </w:tabs>
            </w:pPr>
          </w:p>
        </w:tc>
      </w:tr>
      <w:tr>
        <w:trPr>
          <w:cantSplit/>
        </w:trPr>
        <w:tc>
          <w:tcPr>
            <w:tcW w:w="840" w:type="dxa"/>
          </w:tcPr>
          <w:p>
            <w:pPr>
              <w:pStyle w:val="zytable"/>
              <w:ind w:left="0"/>
            </w:pPr>
          </w:p>
        </w:tc>
        <w:tc>
          <w:tcPr>
            <w:tcW w:w="5114" w:type="dxa"/>
          </w:tcPr>
          <w:p>
            <w:pPr>
              <w:pStyle w:val="yTable"/>
              <w:tabs>
                <w:tab w:val="left" w:pos="601"/>
              </w:tabs>
              <w:ind w:left="601" w:hanging="601"/>
            </w:pPr>
            <w:r>
              <w:t>(a)</w:t>
            </w:r>
            <w:r>
              <w:tab/>
              <w:t>for each kilometre travelled (one way) in the metropolitan area .................................................</w:t>
            </w:r>
          </w:p>
        </w:tc>
        <w:tc>
          <w:tcPr>
            <w:tcW w:w="1126" w:type="dxa"/>
          </w:tcPr>
          <w:p>
            <w:pPr>
              <w:pStyle w:val="yTable"/>
              <w:tabs>
                <w:tab w:val="right" w:pos="743"/>
              </w:tabs>
            </w:pPr>
            <w:r>
              <w:br/>
              <w:t>1.10</w:t>
            </w:r>
          </w:p>
        </w:tc>
      </w:tr>
      <w:tr>
        <w:trPr>
          <w:cantSplit/>
        </w:trPr>
        <w:tc>
          <w:tcPr>
            <w:tcW w:w="840" w:type="dxa"/>
          </w:tcPr>
          <w:p>
            <w:pPr>
              <w:pStyle w:val="zytable"/>
              <w:ind w:left="0"/>
            </w:pPr>
          </w:p>
        </w:tc>
        <w:tc>
          <w:tcPr>
            <w:tcW w:w="5114"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126" w:type="dxa"/>
          </w:tcPr>
          <w:p>
            <w:pPr>
              <w:pStyle w:val="yTable"/>
              <w:tabs>
                <w:tab w:val="right" w:pos="743"/>
              </w:tabs>
            </w:pPr>
            <w:r>
              <w:br/>
              <w:t>1.20</w:t>
            </w:r>
          </w:p>
        </w:tc>
      </w:tr>
      <w:tr>
        <w:trPr>
          <w:cantSplit/>
        </w:trPr>
        <w:tc>
          <w:tcPr>
            <w:tcW w:w="7080"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840" w:type="dxa"/>
          </w:tcPr>
          <w:p>
            <w:pPr>
              <w:pStyle w:val="yTable"/>
            </w:pPr>
            <w:r>
              <w:t>4.</w:t>
            </w:r>
          </w:p>
        </w:tc>
        <w:tc>
          <w:tcPr>
            <w:tcW w:w="5114" w:type="dxa"/>
          </w:tcPr>
          <w:p>
            <w:pPr>
              <w:pStyle w:val="yTable"/>
            </w:pPr>
            <w:r>
              <w:t>Fee to the sheriff for attending a view — per hour or part of an hour ................................................................</w:t>
            </w:r>
          </w:p>
        </w:tc>
        <w:tc>
          <w:tcPr>
            <w:tcW w:w="1126" w:type="dxa"/>
          </w:tcPr>
          <w:p>
            <w:pPr>
              <w:pStyle w:val="yTable"/>
              <w:tabs>
                <w:tab w:val="right" w:pos="743"/>
              </w:tabs>
            </w:pPr>
            <w:r>
              <w:br/>
              <w:t>41.50</w:t>
            </w:r>
          </w:p>
        </w:tc>
      </w:tr>
      <w:tr>
        <w:trPr>
          <w:cantSplit/>
        </w:trPr>
        <w:tc>
          <w:tcPr>
            <w:tcW w:w="840" w:type="dxa"/>
          </w:tcPr>
          <w:p>
            <w:pPr>
              <w:pStyle w:val="yTable"/>
            </w:pPr>
            <w:r>
              <w:t>5.</w:t>
            </w:r>
          </w:p>
        </w:tc>
        <w:tc>
          <w:tcPr>
            <w:tcW w:w="5114" w:type="dxa"/>
          </w:tcPr>
          <w:p>
            <w:pPr>
              <w:pStyle w:val="yTable"/>
              <w:tabs>
                <w:tab w:val="left" w:pos="601"/>
              </w:tabs>
              <w:ind w:left="601" w:hanging="601"/>
            </w:pPr>
            <w:r>
              <w:t>(a)</w:t>
            </w:r>
            <w:r>
              <w:tab/>
              <w:t>For striking a jury and preparing jury panel .......</w:t>
            </w:r>
          </w:p>
        </w:tc>
        <w:tc>
          <w:tcPr>
            <w:tcW w:w="1126" w:type="dxa"/>
          </w:tcPr>
          <w:p>
            <w:pPr>
              <w:pStyle w:val="yTable"/>
              <w:tabs>
                <w:tab w:val="right" w:pos="743"/>
              </w:tabs>
            </w:pPr>
            <w:r>
              <w:t>133.00</w:t>
            </w:r>
          </w:p>
        </w:tc>
      </w:tr>
      <w:tr>
        <w:trPr>
          <w:cantSplit/>
        </w:trPr>
        <w:tc>
          <w:tcPr>
            <w:tcW w:w="840" w:type="dxa"/>
            <w:tcBorders>
              <w:bottom w:val="single" w:sz="4" w:space="0" w:color="auto"/>
            </w:tcBorders>
          </w:tcPr>
          <w:p>
            <w:pPr>
              <w:pStyle w:val="zytable"/>
              <w:ind w:left="0"/>
            </w:pPr>
          </w:p>
        </w:tc>
        <w:tc>
          <w:tcPr>
            <w:tcW w:w="5114"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126" w:type="dxa"/>
            <w:tcBorders>
              <w:bottom w:val="single" w:sz="4" w:space="0" w:color="auto"/>
            </w:tcBorders>
          </w:tcPr>
          <w:p>
            <w:pPr>
              <w:pStyle w:val="yTable"/>
              <w:ind w:right="-108"/>
            </w:pPr>
            <w:r>
              <w:br/>
              <w:t>The sum actually and reasonably paid.</w:t>
            </w:r>
          </w:p>
        </w:tc>
      </w:tr>
    </w:tbl>
    <w:p>
      <w:pPr>
        <w:pStyle w:val="Footnotesection"/>
      </w:pPr>
      <w:r>
        <w:tab/>
        <w:t>[Schedule 2 inserted in Gazette 28 Apr 2005 p. 1762; amended in Gazette 23 Jun 2005 p. 2699; 23 Jun 2006 p. 2186</w:t>
      </w:r>
      <w:r>
        <w:noBreakHyphen/>
        <w:t>7; 26 Jun 2007 p. 3043-4; 27 Jun 2008 p. 3061.]</w:t>
      </w:r>
    </w:p>
    <w:p>
      <w:pPr>
        <w:pStyle w:val="yScheduleHeading"/>
      </w:pPr>
      <w:bookmarkStart w:id="168" w:name="_Toc107626248"/>
      <w:bookmarkStart w:id="169" w:name="_Toc139175208"/>
      <w:bookmarkStart w:id="170" w:name="_Toc139365939"/>
      <w:bookmarkStart w:id="171" w:name="_Toc141847810"/>
      <w:bookmarkStart w:id="172" w:name="_Toc142382644"/>
      <w:bookmarkStart w:id="173" w:name="_Toc144009327"/>
      <w:bookmarkStart w:id="174" w:name="_Toc144009443"/>
      <w:bookmarkStart w:id="175" w:name="_Toc144010741"/>
      <w:bookmarkStart w:id="176" w:name="_Toc144616505"/>
      <w:bookmarkStart w:id="177" w:name="_Toc145814168"/>
      <w:bookmarkStart w:id="178" w:name="_Toc170790394"/>
      <w:bookmarkStart w:id="179" w:name="_Toc171051024"/>
      <w:bookmarkStart w:id="180" w:name="_Toc202265390"/>
      <w:bookmarkStart w:id="181" w:name="_Toc232310902"/>
      <w:r>
        <w:rPr>
          <w:rStyle w:val="CharSchNo"/>
        </w:rPr>
        <w:t>Schedule 3</w:t>
      </w:r>
      <w:r>
        <w:t xml:space="preserve"> — </w:t>
      </w:r>
      <w:bookmarkEnd w:id="166"/>
      <w:bookmarkEnd w:id="167"/>
      <w:r>
        <w:rPr>
          <w:rStyle w:val="CharSchText"/>
        </w:rPr>
        <w:t>Probate fees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On filing an application for an original grant or, for a second subsequent grant in relation to the same deceased, or to reseal a foreign grant</w:t>
            </w:r>
          </w:p>
        </w:tc>
        <w:tc>
          <w:tcPr>
            <w:tcW w:w="1382" w:type="dxa"/>
          </w:tcPr>
          <w:p>
            <w:pPr>
              <w:pStyle w:val="yTable"/>
              <w:spacing w:before="80"/>
            </w:pPr>
            <w:r>
              <w:br/>
            </w:r>
            <w:r>
              <w:br/>
              <w:t>182.00</w:t>
            </w:r>
          </w:p>
        </w:tc>
      </w:tr>
      <w:tr>
        <w:trPr>
          <w:cantSplit/>
        </w:trPr>
        <w:tc>
          <w:tcPr>
            <w:tcW w:w="993" w:type="dxa"/>
          </w:tcPr>
          <w:p>
            <w:pPr>
              <w:pStyle w:val="yTable"/>
              <w:spacing w:before="80"/>
              <w:jc w:val="center"/>
            </w:pPr>
          </w:p>
        </w:tc>
        <w:tc>
          <w:tcPr>
            <w:tcW w:w="4819" w:type="dxa"/>
          </w:tcPr>
          <w:p>
            <w:pPr>
              <w:pStyle w:val="yTable"/>
              <w:spacing w:before="80"/>
            </w:pPr>
            <w:r>
              <w:t>NOTES:</w:t>
            </w:r>
          </w:p>
        </w:tc>
        <w:tc>
          <w:tcPr>
            <w:tcW w:w="1382" w:type="dxa"/>
          </w:tcPr>
          <w:p>
            <w:pPr>
              <w:pStyle w:val="yTable"/>
              <w:spacing w:before="80"/>
            </w:pPr>
          </w:p>
        </w:tc>
      </w:tr>
      <w:tr>
        <w:trPr>
          <w:cantSplit/>
        </w:trPr>
        <w:tc>
          <w:tcPr>
            <w:tcW w:w="993" w:type="dxa"/>
          </w:tcPr>
          <w:p>
            <w:pPr>
              <w:pStyle w:val="yTable"/>
              <w:spacing w:before="80"/>
              <w:jc w:val="center"/>
            </w:pPr>
          </w:p>
        </w:tc>
        <w:tc>
          <w:tcPr>
            <w:tcW w:w="4819" w:type="dxa"/>
          </w:tcPr>
          <w:p>
            <w:pPr>
              <w:pStyle w:val="yTable"/>
              <w:spacing w:before="80"/>
            </w:pPr>
            <w:r>
              <w:t>This fee covers:</w:t>
            </w:r>
          </w:p>
        </w:tc>
        <w:tc>
          <w:tcPr>
            <w:tcW w:w="1382" w:type="dxa"/>
          </w:tcPr>
          <w:p>
            <w:pPr>
              <w:pStyle w:val="yTable"/>
              <w:spacing w:before="80"/>
            </w:pPr>
          </w:p>
        </w:tc>
      </w:tr>
      <w:tr>
        <w:trPr>
          <w:cantSplit/>
        </w:trPr>
        <w:tc>
          <w:tcPr>
            <w:tcW w:w="993" w:type="dxa"/>
          </w:tcPr>
          <w:p>
            <w:pPr>
              <w:pStyle w:val="yTable"/>
              <w:spacing w:before="80"/>
              <w:jc w:val="center"/>
            </w:pPr>
          </w:p>
        </w:tc>
        <w:tc>
          <w:tcPr>
            <w:tcW w:w="4819" w:type="dxa"/>
          </w:tcPr>
          <w:p>
            <w:pPr>
              <w:pStyle w:val="yTable"/>
              <w:tabs>
                <w:tab w:val="left" w:pos="579"/>
              </w:tabs>
              <w:spacing w:before="80"/>
              <w:ind w:left="579" w:hanging="579"/>
            </w:pPr>
            <w:r>
              <w:t>(a)</w:t>
            </w:r>
            <w:r>
              <w:tab/>
              <w:t>all documents filed in support of the application; and</w:t>
            </w:r>
          </w:p>
        </w:tc>
        <w:tc>
          <w:tcPr>
            <w:tcW w:w="1382" w:type="dxa"/>
          </w:tcPr>
          <w:p>
            <w:pPr>
              <w:pStyle w:val="yTable"/>
              <w:tabs>
                <w:tab w:val="left" w:pos="579"/>
              </w:tabs>
              <w:spacing w:before="80"/>
              <w:ind w:left="579" w:hanging="579"/>
            </w:pPr>
          </w:p>
        </w:tc>
      </w:tr>
      <w:tr>
        <w:trPr>
          <w:cantSplit/>
        </w:trPr>
        <w:tc>
          <w:tcPr>
            <w:tcW w:w="993" w:type="dxa"/>
          </w:tcPr>
          <w:p>
            <w:pPr>
              <w:pStyle w:val="yTable"/>
              <w:spacing w:before="80"/>
              <w:jc w:val="center"/>
            </w:pPr>
          </w:p>
        </w:tc>
        <w:tc>
          <w:tcPr>
            <w:tcW w:w="4819" w:type="dxa"/>
          </w:tcPr>
          <w:p>
            <w:pPr>
              <w:pStyle w:val="yTable"/>
              <w:tabs>
                <w:tab w:val="left" w:pos="579"/>
              </w:tabs>
              <w:spacing w:before="80"/>
              <w:ind w:left="579" w:hanging="579"/>
            </w:pPr>
            <w:r>
              <w:t>(b)</w:t>
            </w:r>
            <w:r>
              <w:tab/>
              <w:t>preparation of the necessary photographic copies of documents including will (if any) required for the grant and Court files; and</w:t>
            </w:r>
          </w:p>
        </w:tc>
        <w:tc>
          <w:tcPr>
            <w:tcW w:w="1382" w:type="dxa"/>
          </w:tcPr>
          <w:p>
            <w:pPr>
              <w:pStyle w:val="yTable"/>
              <w:tabs>
                <w:tab w:val="left" w:pos="579"/>
              </w:tabs>
              <w:spacing w:before="80"/>
              <w:ind w:left="579" w:hanging="579"/>
            </w:pPr>
          </w:p>
        </w:tc>
      </w:tr>
      <w:tr>
        <w:trPr>
          <w:cantSplit/>
        </w:trPr>
        <w:tc>
          <w:tcPr>
            <w:tcW w:w="993" w:type="dxa"/>
          </w:tcPr>
          <w:p>
            <w:pPr>
              <w:pStyle w:val="yTable"/>
              <w:spacing w:before="80"/>
              <w:jc w:val="center"/>
            </w:pPr>
          </w:p>
        </w:tc>
        <w:tc>
          <w:tcPr>
            <w:tcW w:w="4819" w:type="dxa"/>
          </w:tcPr>
          <w:p>
            <w:pPr>
              <w:pStyle w:val="yTable"/>
              <w:tabs>
                <w:tab w:val="left" w:pos="579"/>
              </w:tabs>
              <w:spacing w:before="80"/>
              <w:ind w:left="579" w:hanging="579"/>
            </w:pPr>
            <w:r>
              <w:t>(c)</w:t>
            </w:r>
            <w:r>
              <w:tab/>
              <w:t>the issue of the grant.</w:t>
            </w:r>
          </w:p>
        </w:tc>
        <w:tc>
          <w:tcPr>
            <w:tcW w:w="1382" w:type="dxa"/>
          </w:tcPr>
          <w:p>
            <w:pPr>
              <w:pStyle w:val="yTable"/>
              <w:tabs>
                <w:tab w:val="left" w:pos="579"/>
              </w:tabs>
              <w:spacing w:before="80"/>
              <w:ind w:left="579" w:hanging="579"/>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49.50</w:t>
            </w:r>
          </w:p>
        </w:tc>
      </w:tr>
      <w:tr>
        <w:trPr>
          <w:cantSplit/>
        </w:trPr>
        <w:tc>
          <w:tcPr>
            <w:tcW w:w="993" w:type="dxa"/>
          </w:tcPr>
          <w:p>
            <w:pPr>
              <w:pStyle w:val="yTable"/>
              <w:jc w:val="center"/>
            </w:pPr>
            <w:r>
              <w:t>2A.</w:t>
            </w:r>
          </w:p>
        </w:tc>
        <w:tc>
          <w:tcPr>
            <w:tcW w:w="4819" w:type="dxa"/>
          </w:tcPr>
          <w:p>
            <w:pPr>
              <w:pStyle w:val="yTable"/>
            </w:pPr>
            <w:r>
              <w:t xml:space="preserve">For depositing a will or instrument under the </w:t>
            </w:r>
            <w:r>
              <w:rPr>
                <w:i/>
                <w:iCs/>
              </w:rPr>
              <w:t>Wills Act 1970</w:t>
            </w:r>
            <w:r>
              <w:t xml:space="preserve"> section 44(1) .............................................</w:t>
            </w:r>
          </w:p>
        </w:tc>
        <w:tc>
          <w:tcPr>
            <w:tcW w:w="1382" w:type="dxa"/>
          </w:tcPr>
          <w:p>
            <w:pPr>
              <w:pStyle w:val="yTable"/>
              <w:tabs>
                <w:tab w:val="right" w:pos="743"/>
              </w:tabs>
            </w:pPr>
            <w:r>
              <w:br/>
            </w:r>
            <w:r>
              <w:tab/>
              <w:t>49.50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1.50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12.00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t>61.50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25.00</w:t>
            </w:r>
          </w:p>
        </w:tc>
      </w:tr>
    </w:tbl>
    <w:p>
      <w:pPr>
        <w:pStyle w:val="yFootnotesection"/>
      </w:pPr>
      <w:bookmarkStart w:id="182" w:name="_Toc533218894"/>
      <w:bookmarkStart w:id="183" w:name="_Toc533480360"/>
      <w:r>
        <w:tab/>
        <w:t>[Schedule 3 amended in Gazette 30 Dec 2003 p. 5699; 23 Jun 2005 p. 2700; 23 Jun 2006 p. 2187; 26 Jun 2007 p. 3044; 8 Feb 2008 p. 314; 27 Jun 2008 p. 3061-2; 9 Jun 2009 p. 1922.]</w:t>
      </w:r>
    </w:p>
    <w:p>
      <w:pPr>
        <w:pStyle w:val="yScheduleHeading"/>
      </w:pPr>
      <w:bookmarkStart w:id="184" w:name="_Toc107626249"/>
      <w:bookmarkStart w:id="185" w:name="_Toc139175209"/>
      <w:bookmarkStart w:id="186" w:name="_Toc139365940"/>
      <w:bookmarkStart w:id="187" w:name="_Toc141847811"/>
      <w:bookmarkStart w:id="188" w:name="_Toc142382645"/>
      <w:bookmarkStart w:id="189" w:name="_Toc144009328"/>
      <w:bookmarkStart w:id="190" w:name="_Toc144009444"/>
      <w:bookmarkStart w:id="191" w:name="_Toc144010742"/>
      <w:bookmarkStart w:id="192" w:name="_Toc144616506"/>
      <w:bookmarkStart w:id="193" w:name="_Toc145814169"/>
      <w:bookmarkStart w:id="194" w:name="_Toc170790395"/>
      <w:bookmarkStart w:id="195" w:name="_Toc171051025"/>
      <w:bookmarkStart w:id="196" w:name="_Toc202265391"/>
      <w:bookmarkStart w:id="197" w:name="_Toc232310903"/>
      <w:r>
        <w:rPr>
          <w:rStyle w:val="CharSchNo"/>
        </w:rPr>
        <w:t>Schedule 4</w:t>
      </w:r>
      <w:r>
        <w:t xml:space="preserve"> — </w:t>
      </w:r>
      <w:r>
        <w:rPr>
          <w:rStyle w:val="CharSchText"/>
        </w:rPr>
        <w:t>Forms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houlderClause"/>
        <w:spacing w:after="120"/>
      </w:pPr>
      <w:r>
        <w:t xml:space="preserve">[r. </w:t>
      </w:r>
      <w:bookmarkStart w:id="198" w:name="_Hlt533327436"/>
      <w:r>
        <w:t>4(7)</w:t>
      </w:r>
      <w:bookmarkEnd w:id="198"/>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9" w:name="_Toc102891015"/>
      <w:bookmarkStart w:id="200" w:name="_Toc107626250"/>
      <w:bookmarkStart w:id="201" w:name="_Toc139175210"/>
      <w:bookmarkStart w:id="202" w:name="_Toc139365941"/>
      <w:bookmarkStart w:id="203" w:name="_Toc141847812"/>
      <w:bookmarkStart w:id="204" w:name="_Toc142382646"/>
      <w:bookmarkStart w:id="205" w:name="_Toc144009329"/>
      <w:bookmarkStart w:id="206" w:name="_Toc144009445"/>
      <w:bookmarkStart w:id="207" w:name="_Toc144010743"/>
      <w:bookmarkStart w:id="208" w:name="_Toc144616507"/>
      <w:bookmarkStart w:id="209" w:name="_Toc145814170"/>
      <w:bookmarkStart w:id="210" w:name="_Toc170790396"/>
      <w:bookmarkStart w:id="211" w:name="_Toc171051026"/>
      <w:bookmarkStart w:id="212" w:name="_Toc202265392"/>
      <w:bookmarkStart w:id="213" w:name="_Toc232310904"/>
      <w:r>
        <w:t>Notes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14" w:name="_Toc232310905"/>
      <w:r>
        <w:t>Compilation table</w:t>
      </w:r>
      <w:bookmarkEnd w:id="214"/>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91"/>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2" w:type="dxa"/>
            <w:gridSpan w:val="2"/>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2" w:type="dxa"/>
            <w:gridSpan w:val="2"/>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8"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8" w:type="dxa"/>
            <w:gridSpan w:val="2"/>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8"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8" w:type="dxa"/>
            <w:gridSpan w:val="2"/>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8" w:type="dxa"/>
            <w:gridSpan w:val="2"/>
          </w:tcPr>
          <w:p>
            <w:pPr>
              <w:pStyle w:val="nTable"/>
              <w:spacing w:after="40"/>
              <w:rPr>
                <w:sz w:val="19"/>
              </w:rPr>
            </w:pPr>
            <w:r>
              <w:rPr>
                <w:sz w:val="19"/>
              </w:rPr>
              <w:t>1 Jul 2006 (see r. 2)</w:t>
            </w:r>
          </w:p>
        </w:tc>
      </w:tr>
      <w:tr>
        <w:trPr>
          <w:cantSplit/>
        </w:trPr>
        <w:tc>
          <w:tcPr>
            <w:tcW w:w="7097" w:type="dxa"/>
            <w:gridSpan w:val="4"/>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88" w:type="dxa"/>
            <w:gridSpan w:val="2"/>
          </w:tcPr>
          <w:p>
            <w:pPr>
              <w:pStyle w:val="nTable"/>
              <w:spacing w:after="40"/>
              <w:rPr>
                <w:sz w:val="19"/>
              </w:rPr>
            </w:pPr>
            <w:r>
              <w:rPr>
                <w:sz w:val="19"/>
              </w:rPr>
              <w:t>26 Jun 2007 p. 3042-4</w:t>
            </w:r>
          </w:p>
        </w:tc>
        <w:tc>
          <w:tcPr>
            <w:tcW w:w="2687" w:type="dxa"/>
          </w:tcPr>
          <w:p>
            <w:pPr>
              <w:pStyle w:val="nTable"/>
              <w:spacing w:after="40"/>
              <w:rPr>
                <w:sz w:val="19"/>
              </w:rPr>
            </w:pPr>
            <w:r>
              <w:rPr>
                <w:sz w:val="19"/>
              </w:rPr>
              <w:t>r. 1 and 2: 26 Jun 2007 (see r. 2(a));</w:t>
            </w:r>
          </w:p>
          <w:p>
            <w:pPr>
              <w:pStyle w:val="nTable"/>
              <w:spacing w:after="40"/>
              <w:rPr>
                <w:sz w:val="19"/>
              </w:rPr>
            </w:pPr>
            <w:r>
              <w:rPr>
                <w:sz w:val="19"/>
              </w:rPr>
              <w:t>Regulations other than r. 1 and 2: 1 Jul 2007 (see r. 2(b)(i))</w:t>
            </w:r>
          </w:p>
        </w:tc>
      </w:tr>
      <w:tr>
        <w:trPr>
          <w:cantSplit/>
        </w:trPr>
        <w:tc>
          <w:tcPr>
            <w:tcW w:w="3122" w:type="dxa"/>
          </w:tcPr>
          <w:p>
            <w:pPr>
              <w:pStyle w:val="nTable"/>
              <w:spacing w:after="40"/>
              <w:ind w:right="113"/>
              <w:rPr>
                <w:i/>
                <w:sz w:val="19"/>
              </w:rPr>
            </w:pPr>
            <w:r>
              <w:rPr>
                <w:i/>
                <w:sz w:val="19"/>
              </w:rPr>
              <w:t>Supreme Court (Fees) Amendment Regulations 2008</w:t>
            </w:r>
          </w:p>
        </w:tc>
        <w:tc>
          <w:tcPr>
            <w:tcW w:w="1288" w:type="dxa"/>
            <w:gridSpan w:val="2"/>
          </w:tcPr>
          <w:p>
            <w:pPr>
              <w:pStyle w:val="nTable"/>
              <w:spacing w:after="40"/>
              <w:rPr>
                <w:sz w:val="19"/>
              </w:rPr>
            </w:pPr>
            <w:r>
              <w:rPr>
                <w:sz w:val="19"/>
              </w:rPr>
              <w:t>8 Feb 2008 p. 313-14</w:t>
            </w:r>
          </w:p>
        </w:tc>
        <w:tc>
          <w:tcPr>
            <w:tcW w:w="2687" w:type="dxa"/>
          </w:tcPr>
          <w:p>
            <w:pPr>
              <w:pStyle w:val="nTable"/>
              <w:spacing w:after="40"/>
              <w:rPr>
                <w:sz w:val="19"/>
              </w:rPr>
            </w:pPr>
            <w:r>
              <w:rPr>
                <w:sz w:val="19"/>
              </w:rPr>
              <w:t>r. 1 and 2: 8 Feb 2008 (see r. 2(a));</w:t>
            </w:r>
          </w:p>
          <w:p>
            <w:pPr>
              <w:pStyle w:val="nTable"/>
              <w:spacing w:before="0" w:after="40"/>
              <w:rPr>
                <w:sz w:val="19"/>
              </w:rPr>
            </w:pPr>
            <w:r>
              <w:rPr>
                <w:sz w:val="19"/>
              </w:rPr>
              <w:t xml:space="preserve">Regulations other than r. 1 and 2: 9 Feb 2008 (see r. 2(b) and </w:t>
            </w:r>
            <w:r>
              <w:rPr>
                <w:i/>
                <w:iCs/>
                <w:sz w:val="19"/>
              </w:rPr>
              <w:t>Gazette</w:t>
            </w:r>
            <w:r>
              <w:rPr>
                <w:sz w:val="19"/>
              </w:rPr>
              <w:t xml:space="preserve"> 8 Feb 2008 p. 313)</w:t>
            </w:r>
          </w:p>
        </w:tc>
      </w:tr>
      <w:tr>
        <w:trPr>
          <w:cantSplit/>
        </w:trPr>
        <w:tc>
          <w:tcPr>
            <w:tcW w:w="3122" w:type="dxa"/>
          </w:tcPr>
          <w:p>
            <w:pPr>
              <w:pStyle w:val="nTable"/>
              <w:spacing w:after="40"/>
              <w:ind w:right="113"/>
              <w:rPr>
                <w:i/>
                <w:sz w:val="19"/>
              </w:rPr>
            </w:pPr>
            <w:r>
              <w:rPr>
                <w:i/>
                <w:sz w:val="19"/>
              </w:rPr>
              <w:t>Supreme Court (Fees) Amendment Regulations (No. 2) 2008</w:t>
            </w:r>
          </w:p>
        </w:tc>
        <w:tc>
          <w:tcPr>
            <w:tcW w:w="1288" w:type="dxa"/>
            <w:gridSpan w:val="2"/>
          </w:tcPr>
          <w:p>
            <w:pPr>
              <w:pStyle w:val="nTable"/>
              <w:spacing w:after="40"/>
              <w:rPr>
                <w:sz w:val="19"/>
              </w:rPr>
            </w:pPr>
            <w:r>
              <w:rPr>
                <w:sz w:val="19"/>
              </w:rPr>
              <w:t>27 Jun 2008 p. 3059-62</w:t>
            </w:r>
          </w:p>
        </w:tc>
        <w:tc>
          <w:tcPr>
            <w:tcW w:w="2687"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3122" w:type="dxa"/>
            <w:tcBorders>
              <w:bottom w:val="single" w:sz="8" w:space="0" w:color="auto"/>
            </w:tcBorders>
          </w:tcPr>
          <w:p>
            <w:pPr>
              <w:pStyle w:val="nTable"/>
              <w:spacing w:after="40"/>
              <w:ind w:right="113"/>
              <w:rPr>
                <w:i/>
                <w:sz w:val="19"/>
              </w:rPr>
            </w:pPr>
            <w:r>
              <w:rPr>
                <w:i/>
                <w:sz w:val="19"/>
              </w:rPr>
              <w:t>Supreme Court (Fees) Amendment Regulations 2009</w:t>
            </w:r>
          </w:p>
        </w:tc>
        <w:tc>
          <w:tcPr>
            <w:tcW w:w="1288" w:type="dxa"/>
            <w:gridSpan w:val="2"/>
            <w:tcBorders>
              <w:bottom w:val="single" w:sz="8" w:space="0" w:color="auto"/>
            </w:tcBorders>
          </w:tcPr>
          <w:p>
            <w:pPr>
              <w:pStyle w:val="nTable"/>
              <w:spacing w:after="40"/>
              <w:rPr>
                <w:sz w:val="19"/>
              </w:rPr>
            </w:pPr>
            <w:r>
              <w:rPr>
                <w:sz w:val="19"/>
              </w:rPr>
              <w:t>9 Jun 2009 p. 1921</w:t>
            </w:r>
            <w:r>
              <w:rPr>
                <w:sz w:val="19"/>
              </w:rPr>
              <w:noBreakHyphen/>
              <w:t>2</w:t>
            </w:r>
          </w:p>
        </w:tc>
        <w:tc>
          <w:tcPr>
            <w:tcW w:w="2687" w:type="dxa"/>
            <w:tcBorders>
              <w:bottom w:val="single" w:sz="8" w:space="0" w:color="auto"/>
            </w:tcBorders>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bl>
    <w:p>
      <w:pPr>
        <w:pStyle w:val="nSubsection"/>
      </w:pPr>
      <w:r>
        <w:rPr>
          <w:vertAlign w:val="superscript"/>
        </w:rPr>
        <w:t>2</w:t>
      </w:r>
      <w:r>
        <w:tab/>
        <w:t xml:space="preserve">Repealed by the </w:t>
      </w:r>
      <w:r>
        <w:rPr>
          <w:i/>
          <w:iCs/>
          <w:snapToGrid w:val="0"/>
        </w:rPr>
        <w:t>Defamation Act 2005</w:t>
      </w: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8009</Words>
  <Characters>42531</Characters>
  <Application>Microsoft Office Word</Application>
  <DocSecurity>0</DocSecurity>
  <Lines>1933</Lines>
  <Paragraphs>935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2002 - 01-e0-01</dc:title>
  <dc:subject/>
  <dc:creator/>
  <cp:keywords/>
  <dc:description/>
  <cp:lastModifiedBy>svcMRProcess</cp:lastModifiedBy>
  <cp:revision>4</cp:revision>
  <cp:lastPrinted>2006-09-06T07:35:00Z</cp:lastPrinted>
  <dcterms:created xsi:type="dcterms:W3CDTF">2018-09-16T21:33:00Z</dcterms:created>
  <dcterms:modified xsi:type="dcterms:W3CDTF">2018-09-16T21:33:00Z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3576</vt:i4>
  </property>
  <property fmtid="{D5CDD505-2E9C-101B-9397-08002B2CF9AE}" pid="6" name="ReprintNo">
    <vt:lpwstr>1</vt:lpwstr>
  </property>
  <property fmtid="{D5CDD505-2E9C-101B-9397-08002B2CF9AE}" pid="7" name="AsAtDate">
    <vt:lpwstr>10 Jun 2009</vt:lpwstr>
  </property>
  <property fmtid="{D5CDD505-2E9C-101B-9397-08002B2CF9AE}" pid="8" name="Suffix">
    <vt:lpwstr>01-e0-01</vt:lpwstr>
  </property>
</Properties>
</file>