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_Toc389741222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_Toc389741223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_Toc389741224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_Toc389741225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wages</w:t>
      </w:r>
      <w:r>
        <w:tab/>
      </w:r>
      <w:r>
        <w:fldChar w:fldCharType="begin"/>
      </w:r>
      <w:r>
        <w:instrText xml:space="preserve"> PAGEREF _Toc389741228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_Toc389741229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_Toc389741230 \h </w:instrText>
      </w:r>
      <w:r>
        <w:fldChar w:fldCharType="separate"/>
      </w:r>
      <w:r>
        <w:t>3</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_Toc389741231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_Toc389741233 \h </w:instrText>
      </w:r>
      <w:r>
        <w:fldChar w:fldCharType="separate"/>
      </w:r>
      <w:r>
        <w:t>4</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_Toc389741234 \h </w:instrText>
      </w:r>
      <w:r>
        <w:fldChar w:fldCharType="separate"/>
      </w:r>
      <w:r>
        <w:t>5</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_Toc389741235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_Toc389741236 \h </w:instrText>
      </w:r>
      <w:r>
        <w:fldChar w:fldCharType="separate"/>
      </w:r>
      <w:r>
        <w:t>6</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_Toc389741237 \h </w:instrText>
      </w:r>
      <w:r>
        <w:fldChar w:fldCharType="separate"/>
      </w:r>
      <w:r>
        <w:t>7</w:t>
      </w:r>
      <w:r>
        <w:fldChar w:fldCharType="end"/>
      </w:r>
    </w:p>
    <w:p>
      <w:pPr>
        <w:pStyle w:val="TOC8"/>
        <w:rPr>
          <w:rFonts w:asciiTheme="minorHAnsi" w:eastAsiaTheme="minorEastAsia" w:hAnsiTheme="minorHAnsi" w:cstheme="minorBidi"/>
          <w:szCs w:val="22"/>
        </w:rPr>
      </w:pPr>
      <w:r>
        <w:t>15.</w:t>
      </w:r>
      <w:r>
        <w:tab/>
        <w:t>Tax payable with progressive returns — interstate non</w:t>
      </w:r>
      <w:r>
        <w:noBreakHyphen/>
        <w:t>group employers</w:t>
      </w:r>
      <w:r>
        <w:tab/>
      </w:r>
      <w:r>
        <w:fldChar w:fldCharType="begin"/>
      </w:r>
      <w:r>
        <w:instrText xml:space="preserve"> PAGEREF _Toc389741238 \h </w:instrText>
      </w:r>
      <w:r>
        <w:fldChar w:fldCharType="separate"/>
      </w:r>
      <w:r>
        <w:t>7</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_Toc389741239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_Toc389741241 \h </w:instrText>
      </w:r>
      <w:r>
        <w:fldChar w:fldCharType="separate"/>
      </w:r>
      <w:r>
        <w:t>9</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_Toc389741242 \h </w:instrText>
      </w:r>
      <w:r>
        <w:fldChar w:fldCharType="separate"/>
      </w:r>
      <w:r>
        <w:t>10</w:t>
      </w:r>
      <w:r>
        <w:fldChar w:fldCharType="end"/>
      </w:r>
    </w:p>
    <w:p>
      <w:pPr>
        <w:pStyle w:val="TOC8"/>
        <w:rPr>
          <w:rFonts w:asciiTheme="minorHAnsi" w:eastAsiaTheme="minorEastAsia" w:hAnsiTheme="minorHAnsi" w:cstheme="minorBidi"/>
          <w:szCs w:val="22"/>
        </w:rPr>
      </w:pPr>
      <w:r>
        <w:t>19.</w:t>
      </w:r>
      <w:r>
        <w:tab/>
        <w:t>Tax payable with progressive returns — groups</w:t>
      </w:r>
      <w:r>
        <w:tab/>
      </w:r>
      <w:r>
        <w:fldChar w:fldCharType="begin"/>
      </w:r>
      <w:r>
        <w:instrText xml:space="preserve"> PAGEREF _Toc389741243 \h </w:instrText>
      </w:r>
      <w:r>
        <w:fldChar w:fldCharType="separate"/>
      </w:r>
      <w:r>
        <w:t>11</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_Toc389741244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_Toc389741246 \h </w:instrText>
      </w:r>
      <w:r>
        <w:fldChar w:fldCharType="separate"/>
      </w:r>
      <w:r>
        <w:t>13</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_Toc389741247 \h </w:instrText>
      </w:r>
      <w:r>
        <w:fldChar w:fldCharType="separate"/>
      </w:r>
      <w:r>
        <w:t>14</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_Toc389741248 \h </w:instrText>
      </w:r>
      <w:r>
        <w:fldChar w:fldCharType="separate"/>
      </w:r>
      <w:r>
        <w:t>14</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_Toc389741249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_Toc389741251 \h </w:instrText>
      </w:r>
      <w:r>
        <w:fldChar w:fldCharType="separate"/>
      </w:r>
      <w:r>
        <w:t>18</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_Toc389741252 \h </w:instrText>
      </w:r>
      <w:r>
        <w:fldChar w:fldCharType="separate"/>
      </w:r>
      <w:r>
        <w:t>18</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_Toc389741253 \h </w:instrText>
      </w:r>
      <w:r>
        <w:fldChar w:fldCharType="separate"/>
      </w:r>
      <w:r>
        <w:t>19</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_Toc389741254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_Toc389741255 \h </w:instrText>
      </w:r>
      <w:r>
        <w:fldChar w:fldCharType="separate"/>
      </w:r>
      <w:r>
        <w:t>20</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_Toc389741256 \h </w:instrText>
      </w:r>
      <w:r>
        <w:fldChar w:fldCharType="separate"/>
      </w:r>
      <w:r>
        <w:t>20</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_Toc389741257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_Toc389741259 \h </w:instrText>
      </w:r>
      <w:r>
        <w:fldChar w:fldCharType="separate"/>
      </w:r>
      <w:r>
        <w:t>25</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_Toc389741260 \h </w:instrText>
      </w:r>
      <w:r>
        <w:fldChar w:fldCharType="separate"/>
      </w:r>
      <w:r>
        <w:t>25</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_Toc389741261 \h </w:instrText>
      </w:r>
      <w:r>
        <w:fldChar w:fldCharType="separate"/>
      </w:r>
      <w:r>
        <w:t>26</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_Toc389741262 \h </w:instrText>
      </w:r>
      <w:r>
        <w:fldChar w:fldCharType="separate"/>
      </w:r>
      <w:r>
        <w:t>27</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_Toc389741263 \h </w:instrText>
      </w:r>
      <w:r>
        <w:fldChar w:fldCharType="separate"/>
      </w:r>
      <w:r>
        <w:t>28</w:t>
      </w:r>
      <w:r>
        <w:fldChar w:fldCharType="end"/>
      </w:r>
    </w:p>
    <w:p>
      <w:pPr>
        <w:pStyle w:val="TOC8"/>
        <w:rPr>
          <w:rFonts w:asciiTheme="minorHAnsi" w:eastAsiaTheme="minorEastAsia" w:hAnsiTheme="minorHAnsi" w:cstheme="minorBidi"/>
          <w:szCs w:val="22"/>
        </w:rPr>
      </w:pPr>
      <w:r>
        <w:t>35.</w:t>
      </w:r>
      <w:r>
        <w:tab/>
        <w:t>Grouping head and branch businesses</w:t>
      </w:r>
      <w:r>
        <w:tab/>
      </w:r>
      <w:r>
        <w:fldChar w:fldCharType="begin"/>
      </w:r>
      <w:r>
        <w:instrText xml:space="preserve"> PAGEREF _Toc389741264 \h </w:instrText>
      </w:r>
      <w:r>
        <w:fldChar w:fldCharType="separate"/>
      </w:r>
      <w:r>
        <w:t>29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_Toc389741265 \h </w:instrText>
      </w:r>
      <w:r>
        <w:fldChar w:fldCharType="separate"/>
      </w:r>
      <w:r>
        <w:t>29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_Toc389741266 \h </w:instrText>
      </w:r>
      <w:r>
        <w:fldChar w:fldCharType="separate"/>
      </w:r>
      <w:r>
        <w:t>30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_Toc389741267 \h </w:instrText>
      </w:r>
      <w:r>
        <w:fldChar w:fldCharType="separate"/>
      </w:r>
      <w:r>
        <w:t>30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_Toc389741268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_Toc389741270 \h </w:instrText>
      </w:r>
      <w:r>
        <w:fldChar w:fldCharType="separate"/>
      </w:r>
      <w:r>
        <w:t>32</w:t>
      </w:r>
      <w:r>
        <w:fldChar w:fldCharType="end"/>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_Toc389741271 \h </w:instrText>
      </w:r>
      <w:r>
        <w:fldChar w:fldCharType="separate"/>
      </w:r>
      <w:r>
        <w:t>34</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_Toc389741272 \h </w:instrText>
      </w:r>
      <w:r>
        <w:fldChar w:fldCharType="separate"/>
      </w:r>
      <w:r>
        <w:t>35</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_Toc389741273 \h </w:instrText>
      </w:r>
      <w:r>
        <w:fldChar w:fldCharType="separate"/>
      </w:r>
      <w:r>
        <w:t>35</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_Toc389741274 \h </w:instrText>
      </w:r>
      <w:r>
        <w:fldChar w:fldCharType="separate"/>
      </w:r>
      <w:r>
        <w:t>37</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_Toc389741275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_Toc389741277 \h </w:instrText>
      </w:r>
      <w:r>
        <w:fldChar w:fldCharType="separate"/>
      </w:r>
      <w:r>
        <w:t>39</w:t>
      </w:r>
      <w:r>
        <w:fldChar w:fldCharType="end"/>
      </w:r>
    </w:p>
    <w:p>
      <w:pPr>
        <w:pStyle w:val="TOC8"/>
        <w:rPr>
          <w:rFonts w:asciiTheme="minorHAnsi" w:eastAsiaTheme="minorEastAsia" w:hAnsiTheme="minorHAnsi" w:cstheme="minorBidi"/>
          <w:szCs w:val="22"/>
        </w:rPr>
      </w:pPr>
      <w:r>
        <w:t>2.</w:t>
      </w:r>
      <w:r>
        <w:tab/>
        <w:t>Wages — meaning</w:t>
      </w:r>
      <w:r>
        <w:tab/>
      </w:r>
      <w:r>
        <w:fldChar w:fldCharType="begin"/>
      </w:r>
      <w:r>
        <w:instrText xml:space="preserve"> PAGEREF _Toc389741278 \h </w:instrText>
      </w:r>
      <w:r>
        <w:fldChar w:fldCharType="separate"/>
      </w:r>
      <w:r>
        <w:t>45</w:t>
      </w:r>
      <w:r>
        <w:fldChar w:fldCharType="end"/>
      </w:r>
    </w:p>
    <w:p>
      <w:pPr>
        <w:pStyle w:val="TOC8"/>
        <w:rPr>
          <w:rFonts w:asciiTheme="minorHAnsi" w:eastAsiaTheme="minorEastAsia" w:hAnsiTheme="minorHAnsi" w:cstheme="minorBidi"/>
          <w:szCs w:val="22"/>
        </w:rPr>
      </w:pPr>
      <w:r>
        <w:t>3.</w:t>
      </w:r>
      <w:r>
        <w:tab/>
        <w:t>GST excluded from wages</w:t>
      </w:r>
      <w:r>
        <w:tab/>
      </w:r>
      <w:r>
        <w:fldChar w:fldCharType="begin"/>
      </w:r>
      <w:r>
        <w:instrText xml:space="preserve"> PAGEREF _Toc389741279 \h </w:instrText>
      </w:r>
      <w:r>
        <w:fldChar w:fldCharType="separate"/>
      </w:r>
      <w:r>
        <w:t>47</w:t>
      </w:r>
      <w:r>
        <w:fldChar w:fldCharType="end"/>
      </w:r>
    </w:p>
    <w:p>
      <w:pPr>
        <w:pStyle w:val="TOC8"/>
        <w:rPr>
          <w:rFonts w:asciiTheme="minorHAnsi" w:eastAsiaTheme="minorEastAsia" w:hAnsiTheme="minorHAnsi" w:cstheme="minorBidi"/>
          <w:szCs w:val="22"/>
        </w:rPr>
      </w:pPr>
      <w:r>
        <w:t>4.</w:t>
      </w:r>
      <w:r>
        <w:tab/>
        <w:t>Place of payment of wages</w:t>
      </w:r>
      <w:r>
        <w:tab/>
      </w:r>
      <w:r>
        <w:fldChar w:fldCharType="begin"/>
      </w:r>
      <w:r>
        <w:instrText xml:space="preserve"> PAGEREF _Toc389741280 \h </w:instrText>
      </w:r>
      <w:r>
        <w:fldChar w:fldCharType="separate"/>
      </w:r>
      <w:r>
        <w:t>47</w:t>
      </w:r>
      <w:r>
        <w:fldChar w:fldCharType="end"/>
      </w:r>
    </w:p>
    <w:p>
      <w:pPr>
        <w:pStyle w:val="TOC8"/>
        <w:rPr>
          <w:rFonts w:asciiTheme="minorHAnsi" w:eastAsiaTheme="minorEastAsia" w:hAnsiTheme="minorHAnsi" w:cstheme="minorBidi"/>
          <w:szCs w:val="22"/>
        </w:rPr>
      </w:pPr>
      <w:r>
        <w:t>5.</w:t>
      </w:r>
      <w:r>
        <w:tab/>
        <w:t>Provider of fringe benefits or specified taxable benefits</w:t>
      </w:r>
      <w:r>
        <w:tab/>
      </w:r>
      <w:r>
        <w:fldChar w:fldCharType="begin"/>
      </w:r>
      <w:r>
        <w:instrText xml:space="preserve"> PAGEREF _Toc389741281 \h </w:instrText>
      </w:r>
      <w:r>
        <w:fldChar w:fldCharType="separate"/>
      </w:r>
      <w:r>
        <w:t>48</w:t>
      </w:r>
      <w:r>
        <w:fldChar w:fldCharType="end"/>
      </w:r>
    </w:p>
    <w:p>
      <w:pPr>
        <w:pStyle w:val="TOC8"/>
        <w:rPr>
          <w:rFonts w:asciiTheme="minorHAnsi" w:eastAsiaTheme="minorEastAsia" w:hAnsiTheme="minorHAnsi" w:cstheme="minorBidi"/>
          <w:szCs w:val="22"/>
        </w:rPr>
      </w:pPr>
      <w:r>
        <w:t>6.</w:t>
      </w:r>
      <w:r>
        <w:tab/>
        <w:t>Value of wages paid in kind and other benefits</w:t>
      </w:r>
      <w:r>
        <w:tab/>
      </w:r>
      <w:r>
        <w:fldChar w:fldCharType="begin"/>
      </w:r>
      <w:r>
        <w:instrText xml:space="preserve"> PAGEREF _Toc389741282 \h </w:instrText>
      </w:r>
      <w:r>
        <w:fldChar w:fldCharType="separate"/>
      </w:r>
      <w:r>
        <w:t>48</w:t>
      </w:r>
      <w:r>
        <w:fldChar w:fldCharType="end"/>
      </w:r>
    </w:p>
    <w:p>
      <w:pPr>
        <w:pStyle w:val="TOC8"/>
        <w:rPr>
          <w:rFonts w:asciiTheme="minorHAnsi" w:eastAsiaTheme="minorEastAsia" w:hAnsiTheme="minorHAnsi" w:cstheme="minorBidi"/>
          <w:szCs w:val="22"/>
        </w:rPr>
      </w:pPr>
      <w:r>
        <w:t>7.</w:t>
      </w:r>
      <w:r>
        <w:tab/>
        <w:t>The value of fringe benefits</w:t>
      </w:r>
      <w:r>
        <w:tab/>
      </w:r>
      <w:r>
        <w:fldChar w:fldCharType="begin"/>
      </w:r>
      <w:r>
        <w:instrText xml:space="preserve"> PAGEREF _Toc389741283 \h </w:instrText>
      </w:r>
      <w:r>
        <w:fldChar w:fldCharType="separate"/>
      </w:r>
      <w:r>
        <w:t>48</w:t>
      </w:r>
      <w:r>
        <w:fldChar w:fldCharType="end"/>
      </w:r>
    </w:p>
    <w:p>
      <w:pPr>
        <w:pStyle w:val="TOC8"/>
        <w:rPr>
          <w:rFonts w:asciiTheme="minorHAnsi" w:eastAsiaTheme="minorEastAsia" w:hAnsiTheme="minorHAnsi" w:cstheme="minorBidi"/>
          <w:szCs w:val="22"/>
        </w:rPr>
      </w:pPr>
      <w:r>
        <w:t>8.</w:t>
      </w:r>
      <w:r>
        <w:tab/>
        <w:t>Superannuation benefits</w:t>
      </w:r>
      <w:r>
        <w:tab/>
      </w:r>
      <w:r>
        <w:fldChar w:fldCharType="begin"/>
      </w:r>
      <w:r>
        <w:instrText xml:space="preserve"> PAGEREF _Toc389741284 \h </w:instrText>
      </w:r>
      <w:r>
        <w:fldChar w:fldCharType="separate"/>
      </w:r>
      <w:r>
        <w:t>49</w:t>
      </w:r>
      <w:r>
        <w:fldChar w:fldCharType="end"/>
      </w:r>
    </w:p>
    <w:p>
      <w:pPr>
        <w:pStyle w:val="TOC8"/>
        <w:rPr>
          <w:rFonts w:asciiTheme="minorHAnsi" w:eastAsiaTheme="minorEastAsia" w:hAnsiTheme="minorHAnsi" w:cstheme="minorBidi"/>
          <w:szCs w:val="22"/>
        </w:rPr>
      </w:pPr>
      <w:r>
        <w:t>9.</w:t>
      </w:r>
      <w:r>
        <w:tab/>
        <w:t>Superannuation fund contributions</w:t>
      </w:r>
      <w:r>
        <w:tab/>
      </w:r>
      <w:r>
        <w:fldChar w:fldCharType="begin"/>
      </w:r>
      <w:r>
        <w:instrText xml:space="preserve"> PAGEREF _Toc389741285 \h </w:instrText>
      </w:r>
      <w:r>
        <w:fldChar w:fldCharType="separate"/>
      </w:r>
      <w:r>
        <w:t>50</w:t>
      </w:r>
      <w:r>
        <w:fldChar w:fldCharType="end"/>
      </w:r>
    </w:p>
    <w:p>
      <w:pPr>
        <w:pStyle w:val="TOC8"/>
        <w:rPr>
          <w:rFonts w:asciiTheme="minorHAnsi" w:eastAsiaTheme="minorEastAsia" w:hAnsiTheme="minorHAnsi" w:cstheme="minorBidi"/>
          <w:szCs w:val="22"/>
        </w:rPr>
      </w:pPr>
      <w:r>
        <w:t>10.</w:t>
      </w:r>
      <w:r>
        <w:tab/>
        <w:t>Contributions to defined superannuation benefit schemes</w:t>
      </w:r>
      <w:r>
        <w:tab/>
      </w:r>
      <w:r>
        <w:fldChar w:fldCharType="begin"/>
      </w:r>
      <w:r>
        <w:instrText xml:space="preserve"> PAGEREF _Toc389741286 \h </w:instrText>
      </w:r>
      <w:r>
        <w:fldChar w:fldCharType="separate"/>
      </w:r>
      <w:r>
        <w:t>50</w:t>
      </w:r>
      <w:r>
        <w:fldChar w:fldCharType="end"/>
      </w:r>
    </w:p>
    <w:p>
      <w:pPr>
        <w:pStyle w:val="TOC8"/>
        <w:rPr>
          <w:rFonts w:asciiTheme="minorHAnsi" w:eastAsiaTheme="minorEastAsia" w:hAnsiTheme="minorHAnsi" w:cstheme="minorBidi"/>
          <w:szCs w:val="22"/>
        </w:rPr>
      </w:pPr>
      <w:r>
        <w:t>11.</w:t>
      </w:r>
      <w:r>
        <w:tab/>
        <w:t>Unfunded credit to certain unregulated schemes</w:t>
      </w:r>
      <w:r>
        <w:tab/>
      </w:r>
      <w:r>
        <w:fldChar w:fldCharType="begin"/>
      </w:r>
      <w:r>
        <w:instrText xml:space="preserve"> PAGEREF _Toc389741287 \h </w:instrText>
      </w:r>
      <w:r>
        <w:fldChar w:fldCharType="separate"/>
      </w:r>
      <w:r>
        <w:t>51</w:t>
      </w:r>
      <w:r>
        <w:fldChar w:fldCharType="end"/>
      </w:r>
    </w:p>
    <w:p>
      <w:pPr>
        <w:pStyle w:val="TOC8"/>
        <w:rPr>
          <w:rFonts w:asciiTheme="minorHAnsi" w:eastAsiaTheme="minorEastAsia" w:hAnsiTheme="minorHAnsi" w:cstheme="minorBidi"/>
          <w:szCs w:val="22"/>
        </w:rPr>
      </w:pPr>
      <w:r>
        <w:t>12.</w:t>
      </w:r>
      <w:r>
        <w:tab/>
        <w:t>Superannuation guarantee charge</w:t>
      </w:r>
      <w:r>
        <w:tab/>
      </w:r>
      <w:r>
        <w:fldChar w:fldCharType="begin"/>
      </w:r>
      <w:r>
        <w:instrText xml:space="preserve"> PAGEREF _Toc389741288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_Toc389741290 \h </w:instrText>
      </w:r>
      <w:r>
        <w:fldChar w:fldCharType="separate"/>
      </w:r>
      <w:r>
        <w:t>54</w:t>
      </w:r>
      <w:r>
        <w:fldChar w:fldCharType="end"/>
      </w:r>
    </w:p>
    <w:p>
      <w:pPr>
        <w:pStyle w:val="TOC8"/>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22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22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223"/>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224"/>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225"/>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226"/>
      <w:r>
        <w:rPr>
          <w:rStyle w:val="CharPartNo"/>
        </w:rPr>
        <w:t>Part 2</w:t>
      </w:r>
      <w:r>
        <w:t xml:space="preserve"> — </w:t>
      </w:r>
      <w:r>
        <w:rPr>
          <w:rStyle w:val="CharPartText"/>
        </w:rPr>
        <w:t>Liability and assessment</w:t>
      </w:r>
      <w:bookmarkEnd w:id="6"/>
    </w:p>
    <w:p>
      <w:pPr>
        <w:pStyle w:val="Heading3"/>
      </w:pPr>
      <w:bookmarkStart w:id="7" w:name="_Toc389741227"/>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228"/>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229"/>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230"/>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231"/>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Deleted by No. 40 of 2003 s. 13.]</w:t>
      </w:r>
    </w:p>
    <w:p>
      <w:pPr>
        <w:pStyle w:val="Heading3"/>
      </w:pPr>
      <w:bookmarkStart w:id="12" w:name="_Toc389741232"/>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233"/>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234"/>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235"/>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33.75pt" o:ole="" fillcolor="window">
            <v:imagedata r:id="rId19" o:title=""/>
          </v:shape>
          <o:OLEObject Type="Embed" ProgID="Equation.3" ShapeID="_x0000_i1025" DrawAspect="Content" ObjectID="_1643574803"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object w:dxaOrig="1620" w:dyaOrig="680">
          <v:shape id="_x0000_i1026" type="#_x0000_t75" style="width:81pt;height:33.75pt" o:ole="" fillcolor="window">
            <v:imagedata r:id="rId21" o:title=""/>
          </v:shape>
          <o:OLEObject Type="Embed" ProgID="Equation.3" ShapeID="_x0000_i1026" DrawAspect="Content" ObjectID="_1643574804" r:id="rId22"/>
        </w:obje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236"/>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237"/>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4pt;height:38.25pt" o:ole="" fillcolor="window">
            <v:imagedata r:id="rId23" o:title=""/>
          </v:shape>
          <o:OLEObject Type="Embed" ProgID="Equation.3" ShapeID="_x0000_i1027" DrawAspect="Content" ObjectID="_1643574805" r:id="rId24"/>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2.5pt;height:38.25pt" o:ole="" fillcolor="window">
            <v:imagedata r:id="rId25" o:title=""/>
          </v:shape>
          <o:OLEObject Type="Embed" ProgID="Equation.3" ShapeID="_x0000_i1028" DrawAspect="Content" ObjectID="_1643574806"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238"/>
      <w:r>
        <w:rPr>
          <w:rStyle w:val="CharSectno"/>
        </w:rPr>
        <w:t>15</w:t>
      </w:r>
      <w:r>
        <w:t>.</w:t>
      </w:r>
      <w:r>
        <w:tab/>
        <w:t>Tax payable with progressive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19" w:name="_Toc389741239"/>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0" w:name="_Toc389741240"/>
      <w:r>
        <w:rPr>
          <w:rStyle w:val="CharDivNo"/>
        </w:rPr>
        <w:t>Division 3</w:t>
      </w:r>
      <w:r>
        <w:t xml:space="preserve"> — </w:t>
      </w:r>
      <w:r>
        <w:rPr>
          <w:rStyle w:val="CharDivText"/>
        </w:rPr>
        <w:t>Group employers’ liability</w:t>
      </w:r>
      <w:bookmarkEnd w:id="20"/>
    </w:p>
    <w:p>
      <w:pPr>
        <w:pStyle w:val="Heading5"/>
      </w:pPr>
      <w:bookmarkStart w:id="21" w:name="_Toc389741241"/>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242"/>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4pt;height:38.25pt" o:ole="" fillcolor="window">
            <v:imagedata r:id="rId27" o:title=""/>
          </v:shape>
          <o:OLEObject Type="Embed" ProgID="Equation.3" ShapeID="_x0000_i1029" DrawAspect="Content" ObjectID="_1643574807"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2.5pt;height:38.25pt" o:ole="" fillcolor="window">
            <v:imagedata r:id="rId29" o:title=""/>
          </v:shape>
          <o:OLEObject Type="Embed" ProgID="Equation.3" ShapeID="_x0000_i1030" DrawAspect="Content" ObjectID="_1643574808"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243"/>
      <w:r>
        <w:rPr>
          <w:rStyle w:val="CharSectno"/>
        </w:rPr>
        <w:t>19</w:t>
      </w:r>
      <w:r>
        <w:t>.</w:t>
      </w:r>
      <w:r>
        <w:tab/>
        <w:t>Tax payable with progressive returns — groups</w:t>
      </w:r>
      <w:bookmarkEnd w:id="2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 w:name="_Toc389741244"/>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5" w:name="_Toc389741245"/>
      <w:r>
        <w:rPr>
          <w:rStyle w:val="CharDivNo"/>
        </w:rPr>
        <w:t>Division 4</w:t>
      </w:r>
      <w:r>
        <w:t xml:space="preserve"> — </w:t>
      </w:r>
      <w:r>
        <w:rPr>
          <w:rStyle w:val="CharDivText"/>
        </w:rPr>
        <w:t>Assessment generally</w:t>
      </w:r>
      <w:bookmarkEnd w:id="25"/>
    </w:p>
    <w:p>
      <w:pPr>
        <w:pStyle w:val="Heading5"/>
      </w:pPr>
      <w:bookmarkStart w:id="26" w:name="_Toc389741246"/>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247"/>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248"/>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pPr>
      <w:r>
        <w:rPr>
          <w:position w:val="-24"/>
        </w:rPr>
        <w:object w:dxaOrig="780" w:dyaOrig="620">
          <v:shape id="_x0000_i1031" type="#_x0000_t75" style="width:39pt;height:31.5pt" o:ole="">
            <v:imagedata r:id="rId31" o:title=""/>
          </v:shape>
          <o:OLEObject Type="Embed" ProgID="Equation.3" ShapeID="_x0000_i1031" DrawAspect="Content" ObjectID="_1643574809" r:id="rId32"/>
        </w:object>
      </w:r>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249"/>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250"/>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251"/>
      <w:r>
        <w:rPr>
          <w:rStyle w:val="CharSectno"/>
        </w:rPr>
        <w:t>24</w:t>
      </w:r>
      <w:r>
        <w:t>.</w:t>
      </w:r>
      <w:r>
        <w:tab/>
        <w:t>Applications for registration as an employer</w:t>
      </w:r>
      <w:bookmarkEnd w:id="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252"/>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253"/>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254"/>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35" w:name="_Toc389741255"/>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256"/>
      <w:r>
        <w:rPr>
          <w:rStyle w:val="CharSectno"/>
        </w:rPr>
        <w:t>28A</w:t>
      </w:r>
      <w:r>
        <w:t>.</w:t>
      </w:r>
      <w:r>
        <w:tab/>
        <w:t>Manner of lodging and paying in certain cases</w:t>
      </w:r>
      <w:bookmarkEnd w:id="3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7" w:name="_Toc389741257"/>
      <w:r>
        <w:rPr>
          <w:rStyle w:val="CharSectno"/>
        </w:rPr>
        <w:t>29</w:t>
      </w:r>
      <w:r>
        <w:t>.</w:t>
      </w:r>
      <w:r>
        <w:tab/>
        <w:t>Exemptions from lodging monthly returns</w:t>
      </w:r>
      <w:bookmarkEnd w:id="37"/>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38" w:name="_Toc389741258"/>
      <w:r>
        <w:rPr>
          <w:rStyle w:val="CharPartNo"/>
        </w:rPr>
        <w:t>Part 4</w:t>
      </w:r>
      <w:r>
        <w:t xml:space="preserve"> — </w:t>
      </w:r>
      <w:r>
        <w:rPr>
          <w:rStyle w:val="CharPartText"/>
        </w:rPr>
        <w:t>Constitution of business groups</w:t>
      </w:r>
      <w:bookmarkEnd w:id="38"/>
    </w:p>
    <w:p>
      <w:pPr>
        <w:pStyle w:val="Heading5"/>
      </w:pPr>
      <w:bookmarkStart w:id="39" w:name="_Toc389741259"/>
      <w:r>
        <w:rPr>
          <w:rStyle w:val="CharSectno"/>
        </w:rPr>
        <w:t>30</w:t>
      </w:r>
      <w:r>
        <w:t>.</w:t>
      </w:r>
      <w:r>
        <w:tab/>
        <w:t>Grouping corporations</w:t>
      </w:r>
      <w:bookmarkEnd w:id="39"/>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0" w:name="_Toc389741260"/>
      <w:r>
        <w:rPr>
          <w:rStyle w:val="CharSectno"/>
        </w:rPr>
        <w:t>31</w:t>
      </w:r>
      <w:r>
        <w:t>.</w:t>
      </w:r>
      <w:r>
        <w:tab/>
        <w:t>Grouping where employees used in another business</w:t>
      </w:r>
      <w:bookmarkEnd w:id="40"/>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1" w:name="_Toc389741261"/>
      <w:r>
        <w:rPr>
          <w:rStyle w:val="CharSectno"/>
        </w:rPr>
        <w:t>32</w:t>
      </w:r>
      <w:r>
        <w:t>.</w:t>
      </w:r>
      <w:r>
        <w:tab/>
        <w:t>Grouping commonly controlled businesses</w:t>
      </w:r>
      <w:bookmarkEnd w:id="41"/>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2" w:name="_Toc389741262"/>
      <w:r>
        <w:rPr>
          <w:rStyle w:val="CharSectno"/>
        </w:rPr>
        <w:t>33</w:t>
      </w:r>
      <w:r>
        <w:t>.</w:t>
      </w:r>
      <w:r>
        <w:tab/>
        <w:t>Controlling interest in business</w:t>
      </w:r>
      <w:bookmarkEnd w:id="42"/>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3" w:name="_Toc389741263"/>
      <w:r>
        <w:rPr>
          <w:rStyle w:val="CharSectno"/>
        </w:rPr>
        <w:t>34</w:t>
      </w:r>
      <w:r>
        <w:t>.</w:t>
      </w:r>
      <w:r>
        <w:tab/>
        <w:t>Value of beneficial interest in discretionary trusts</w:t>
      </w:r>
      <w:bookmarkEnd w:id="43"/>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4" w:name="_Toc389741264"/>
      <w:r>
        <w:rPr>
          <w:rStyle w:val="CharSectno"/>
        </w:rPr>
        <w:t>35</w:t>
      </w:r>
      <w:r>
        <w:t>.</w:t>
      </w:r>
      <w:r>
        <w:tab/>
        <w:t>Grouping head and branch businesses</w:t>
      </w:r>
      <w:bookmarkEnd w:id="44"/>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5" w:name="_Toc389741265"/>
      <w:r>
        <w:rPr>
          <w:rStyle w:val="CharSectno"/>
        </w:rPr>
        <w:t>36</w:t>
      </w:r>
      <w:r>
        <w:t>.</w:t>
      </w:r>
      <w:r>
        <w:tab/>
        <w:t>Smaller groups subsumed into larger groups</w:t>
      </w:r>
      <w:bookmarkEnd w:id="45"/>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6" w:name="_Toc389741266"/>
      <w:r>
        <w:rPr>
          <w:rStyle w:val="CharSectno"/>
        </w:rPr>
        <w:t>37</w:t>
      </w:r>
      <w:r>
        <w:t>.</w:t>
      </w:r>
      <w:r>
        <w:tab/>
        <w:t>Grouping provisions operate independently</w:t>
      </w:r>
      <w:bookmarkEnd w:id="46"/>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7" w:name="_Toc389741267"/>
      <w:r>
        <w:rPr>
          <w:rStyle w:val="CharSectno"/>
        </w:rPr>
        <w:t>38</w:t>
      </w:r>
      <w:r>
        <w:t>.</w:t>
      </w:r>
      <w:r>
        <w:tab/>
        <w:t>Exclusion from groups</w:t>
      </w:r>
      <w:bookmarkEnd w:id="47"/>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8" w:name="_Toc389741268"/>
      <w:r>
        <w:rPr>
          <w:rStyle w:val="CharSectno"/>
        </w:rPr>
        <w:t>39</w:t>
      </w:r>
      <w:r>
        <w:t>.</w:t>
      </w:r>
      <w:r>
        <w:tab/>
        <w:t>Designated group employer</w:t>
      </w:r>
      <w:bookmarkEnd w:id="48"/>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9" w:name="_Toc389741269"/>
      <w:r>
        <w:rPr>
          <w:rStyle w:val="CharPartNo"/>
        </w:rPr>
        <w:t>Part 5</w:t>
      </w:r>
      <w:r>
        <w:rPr>
          <w:rStyle w:val="CharDivNo"/>
        </w:rPr>
        <w:t xml:space="preserve"> </w:t>
      </w:r>
      <w:r>
        <w:t>—</w:t>
      </w:r>
      <w:r>
        <w:rPr>
          <w:rStyle w:val="CharDivText"/>
        </w:rPr>
        <w:t xml:space="preserve"> </w:t>
      </w:r>
      <w:r>
        <w:rPr>
          <w:rStyle w:val="CharPartText"/>
        </w:rPr>
        <w:t>Miscellaneous</w:t>
      </w:r>
      <w:bookmarkEnd w:id="49"/>
    </w:p>
    <w:p>
      <w:pPr>
        <w:pStyle w:val="Heading5"/>
      </w:pPr>
      <w:bookmarkStart w:id="50" w:name="_Toc389741270"/>
      <w:r>
        <w:rPr>
          <w:rStyle w:val="CharSectno"/>
        </w:rPr>
        <w:t>40</w:t>
      </w:r>
      <w:r>
        <w:t>.</w:t>
      </w:r>
      <w:r>
        <w:tab/>
        <w:t>Exempt wages</w:t>
      </w:r>
      <w:bookmarkEnd w:id="50"/>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Ednotepara"/>
      </w:pPr>
      <w:r>
        <w:tab/>
        <w:t>[(p)</w:t>
      </w:r>
      <w:r>
        <w:tab/>
        <w:t>deleted]</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4; No. 44 of 2008 s. 59.]</w:t>
      </w:r>
    </w:p>
    <w:p>
      <w:pPr>
        <w:pStyle w:val="Heading5"/>
      </w:pPr>
      <w:bookmarkStart w:id="51" w:name="_Toc389741271"/>
      <w:r>
        <w:rPr>
          <w:rStyle w:val="CharSectno"/>
        </w:rPr>
        <w:t>41</w:t>
      </w:r>
      <w:r>
        <w:t>.</w:t>
      </w:r>
      <w:r>
        <w:tab/>
        <w:t>Exempting charitable bodies or organisations</w:t>
      </w:r>
      <w:bookmarkEnd w:id="51"/>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deleted]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2" w:name="_Toc389741272"/>
      <w:r>
        <w:rPr>
          <w:rStyle w:val="CharSectno"/>
        </w:rPr>
        <w:t>42</w:t>
      </w:r>
      <w:r>
        <w:t>.</w:t>
      </w:r>
      <w:r>
        <w:tab/>
        <w:t>Tax payable when employer leaves Australia</w:t>
      </w:r>
      <w:bookmarkEnd w:id="52"/>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273"/>
      <w:r>
        <w:rPr>
          <w:rStyle w:val="CharSectno"/>
        </w:rPr>
        <w:t>43</w:t>
      </w:r>
      <w:r>
        <w:t>.</w:t>
      </w:r>
      <w:r>
        <w:tab/>
        <w:t>Agents and trustees</w:t>
      </w:r>
      <w:bookmarkEnd w:id="5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4" w:name="_Toc389741274"/>
      <w:r>
        <w:rPr>
          <w:rStyle w:val="CharSectno"/>
        </w:rPr>
        <w:t>44</w:t>
      </w:r>
      <w:r>
        <w:t>.</w:t>
      </w:r>
      <w:r>
        <w:tab/>
        <w:t>Keeping books and accounts</w:t>
      </w:r>
      <w:bookmarkEnd w:id="5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5" w:name="_Toc389741275"/>
      <w:r>
        <w:rPr>
          <w:rStyle w:val="CharSectno"/>
        </w:rPr>
        <w:t>45</w:t>
      </w:r>
      <w:r>
        <w:t>.</w:t>
      </w:r>
      <w:r>
        <w:tab/>
        <w:t>Regulations</w:t>
      </w:r>
      <w:bookmarkEnd w:id="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56" w:name="_Toc389741276"/>
      <w:r>
        <w:rPr>
          <w:rStyle w:val="CharSchNo"/>
        </w:rPr>
        <w:t>Glossary</w:t>
      </w:r>
      <w:bookmarkEnd w:id="56"/>
      <w:r>
        <w:t xml:space="preserve"> </w:t>
      </w:r>
    </w:p>
    <w:p>
      <w:pPr>
        <w:pStyle w:val="yShoulderClause"/>
      </w:pPr>
      <w:r>
        <w:t>[s. 4]</w:t>
      </w:r>
    </w:p>
    <w:p>
      <w:pPr>
        <w:pStyle w:val="yHeading5"/>
        <w:outlineLvl w:val="9"/>
      </w:pPr>
      <w:bookmarkStart w:id="57" w:name="_Toc389741277"/>
      <w:r>
        <w:rPr>
          <w:rStyle w:val="CharSClsNo"/>
        </w:rPr>
        <w:t>1</w:t>
      </w:r>
      <w:r>
        <w:t>.</w:t>
      </w:r>
      <w:r>
        <w:tab/>
        <w:t>Definitions</w:t>
      </w:r>
      <w:bookmarkEnd w:id="57"/>
    </w:p>
    <w:p>
      <w:pPr>
        <w:pStyle w:val="ySubsection"/>
      </w:pPr>
      <w:r>
        <w:tab/>
      </w:r>
      <w:r>
        <w:tab/>
        <w:t>In a pay</w:t>
      </w:r>
      <w:r>
        <w:noBreakHyphen/>
        <w:t>roll tax Act, unless the contrary intention appears —</w:t>
      </w:r>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r>
      <w:r>
        <w:rPr>
          <w:rStyle w:val="CharDefText"/>
          <w:color w:val="000000"/>
        </w:rPr>
        <w:t>assessable income</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pPr>
      <w:r>
        <w:tab/>
      </w:r>
      <w:r>
        <w:rPr>
          <w:rStyle w:val="CharDefText"/>
        </w:rPr>
        <w:t>Australian superannuation scheme</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33;</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rStyle w:val="CharDefText"/>
        </w:rPr>
        <w:t>defined superannuation benefit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rPr>
          <w:b/>
        </w:rPr>
        <w:tab/>
      </w:r>
      <w:r>
        <w:rPr>
          <w:rStyle w:val="CharDefText"/>
          <w:color w:val="000000"/>
        </w:rPr>
        <w:t>eligible termination payment</w:t>
      </w:r>
      <w:r>
        <w:t xml:space="preserve"> has the meaning given in section 27A of the </w:t>
      </w:r>
      <w:r>
        <w:rPr>
          <w:i/>
        </w:rPr>
        <w:t xml:space="preserve">Income Tax Assessment Act 1936 </w:t>
      </w:r>
      <w:r>
        <w:t>of the Commonwealth;</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rStyle w:val="CharDefText"/>
        </w:rPr>
        <w:t>exempt</w:t>
      </w:r>
      <w:r>
        <w:t>, in relation to wages, means exempt from pay</w:t>
      </w:r>
      <w:r>
        <w:noBreakHyphen/>
        <w:t>roll tax under section 40;</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w:t>
      </w:r>
      <w:r>
        <w:rPr>
          <w:i/>
        </w:rPr>
        <w:t>Superannuation Guarantee (Administration) Act 1992</w:t>
      </w:r>
      <w:r>
        <w:t xml:space="preserve"> of the Commonwealth;</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‘otherwise deductible’ rule</w:t>
      </w:r>
      <w:r>
        <w:rPr>
          <w:b/>
        </w:rPr>
        <w:t>”</w:t>
      </w:r>
      <w:r>
        <w:t xml:space="preserve"> has the meaning given in clause 7(3);</w:t>
      </w:r>
    </w:p>
    <w:p>
      <w:pPr>
        <w:pStyle w:val="yDefstart"/>
        <w:keepNext/>
        <w:keepLines/>
      </w:pPr>
      <w:r>
        <w:tab/>
      </w:r>
      <w:r>
        <w:rPr>
          <w:rStyle w:val="CharDefText"/>
        </w:rPr>
        <w:t>participant</w:t>
      </w:r>
      <w:r>
        <w:t>, in relation to a superannuation scheme, means a person in respect of whom the fund provides for benefits that are, or are to be, funded to any extent by the employer’s contributions;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25;</w:t>
      </w:r>
    </w:p>
    <w:p>
      <w:pPr>
        <w:pStyle w:val="yDefstart"/>
      </w:pPr>
      <w:r>
        <w:tab/>
      </w:r>
      <w:r>
        <w:rPr>
          <w:rStyle w:val="CharDefText"/>
        </w:rPr>
        <w:t>regulated superannuation fund</w:t>
      </w:r>
      <w:r>
        <w:t xml:space="preserve"> has the same definition as in the </w:t>
      </w:r>
      <w:r>
        <w:rPr>
          <w:i/>
        </w:rPr>
        <w:t>Superannuation Industry (Supervision) Act 1993</w:t>
      </w:r>
      <w:r>
        <w:t xml:space="preserve"> of the Commonwealth;</w:t>
      </w:r>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t xml:space="preserve">and includes the Superannuation Holding Accounts Reserve established by the </w:t>
      </w:r>
      <w:r>
        <w:rPr>
          <w:i/>
        </w:rPr>
        <w:t>Small Superannuation Accounts Act 1995</w:t>
      </w:r>
      <w:r>
        <w:t xml:space="preserve"> of the Commonwealth;</w:t>
      </w:r>
    </w:p>
    <w:p>
      <w:pPr>
        <w:pStyle w:val="yDefstart"/>
      </w:pPr>
      <w:r>
        <w:tab/>
      </w:r>
      <w:r>
        <w:rPr>
          <w:rStyle w:val="CharDefText"/>
        </w:rPr>
        <w:t>superannuation guarantee charge</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rStyle w:val="CharDefText"/>
        </w:rPr>
        <w:t>superannuation scheme</w:t>
      </w:r>
      <w:r>
        <w:t xml:space="preserve"> includes a provident or retirement fund or scheme;</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unfunded public sector superannuation scheme</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rStyle w:val="CharDefText"/>
        </w:rPr>
        <w:t>value</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wages</w:t>
      </w:r>
      <w:r>
        <w:t xml:space="preserve"> has the definition given in clause 2;</w:t>
      </w:r>
    </w:p>
    <w:p>
      <w:pPr>
        <w:pStyle w:val="yDefstart"/>
      </w:pPr>
      <w:r>
        <w:tab/>
      </w:r>
      <w:r>
        <w:rPr>
          <w:rStyle w:val="CharDefText"/>
        </w:rPr>
        <w:t>WA taxable wages</w:t>
      </w:r>
      <w:r>
        <w:t xml:space="preserve"> means wages that are taxable in Western Australia under section 5(2);</w:t>
      </w:r>
    </w:p>
    <w:p>
      <w:pPr>
        <w:pStyle w:val="yDefstart"/>
      </w:pPr>
      <w:r>
        <w:tab/>
      </w:r>
      <w:r>
        <w:rPr>
          <w:rStyle w:val="CharDefText"/>
        </w:rPr>
        <w:t>work</w:t>
      </w:r>
      <w:r>
        <w:rPr>
          <w:rStyle w:val="CharDefText"/>
        </w:rPr>
        <w:noBreakHyphen/>
        <w:t>related benefit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58" w:name="_Toc389741278"/>
      <w:r>
        <w:rPr>
          <w:rStyle w:val="CharSClsNo"/>
        </w:rPr>
        <w:t>2</w:t>
      </w:r>
      <w:r>
        <w:t>.</w:t>
      </w:r>
      <w:r>
        <w:tab/>
        <w:t>Wages — meaning</w:t>
      </w:r>
      <w:bookmarkEnd w:id="58"/>
    </w:p>
    <w:p>
      <w:pPr>
        <w:pStyle w:val="ySubsection"/>
      </w:pPr>
      <w:r>
        <w:tab/>
        <w:t>(1)</w:t>
      </w:r>
      <w:r>
        <w:tab/>
        <w:t>In a pay</w:t>
      </w:r>
      <w:r>
        <w:noBreakHyphen/>
        <w:t>roll tax Act, unless the contrary intention appears —</w:t>
      </w:r>
    </w:p>
    <w:p>
      <w:pPr>
        <w:pStyle w:val="yDefstart"/>
      </w:pPr>
      <w:r>
        <w:tab/>
      </w:r>
      <w:r>
        <w:rPr>
          <w:rStyle w:val="CharDefText"/>
        </w:rPr>
        <w:t>wages</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rStyle w:val="CharDefText"/>
          <w:color w:val="000000"/>
        </w:rPr>
        <w:t>retiree</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9" w:name="_Toc389741279"/>
      <w:r>
        <w:rPr>
          <w:rStyle w:val="CharSClsNo"/>
        </w:rPr>
        <w:t>3</w:t>
      </w:r>
      <w:r>
        <w:t>.</w:t>
      </w:r>
      <w:r>
        <w:tab/>
        <w:t>GST excluded from wages</w:t>
      </w:r>
      <w:bookmarkEnd w:id="59"/>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rStyle w:val="CharDefText"/>
        </w:rPr>
        <w:t>consideration</w:t>
      </w:r>
      <w:r>
        <w:t xml:space="preserve"> has the same meaning as in the </w:t>
      </w:r>
      <w:r>
        <w:rPr>
          <w:i/>
        </w:rPr>
        <w:t xml:space="preserve">A New Tax System (Goods and Services Tax) Act 1999 </w:t>
      </w:r>
      <w:r>
        <w:t>of the Commonwealth;</w:t>
      </w:r>
    </w:p>
    <w:p>
      <w:pPr>
        <w:pStyle w:val="yDefstart"/>
      </w:pPr>
      <w:r>
        <w:tab/>
      </w:r>
      <w:r>
        <w:rPr>
          <w:rStyle w:val="CharDefText"/>
        </w:rPr>
        <w:t>relevant proportion</w:t>
      </w:r>
      <w:r>
        <w:t>, in relation to GST payable on a supply to which wages relate, means the proportion that the amount or value of the wages bears to the consideration for the supply to which the wages relate.</w:t>
      </w:r>
    </w:p>
    <w:p>
      <w:pPr>
        <w:pStyle w:val="yHeading5"/>
        <w:outlineLvl w:val="9"/>
      </w:pPr>
      <w:bookmarkStart w:id="60" w:name="_Toc389741280"/>
      <w:r>
        <w:rPr>
          <w:rStyle w:val="CharSClsNo"/>
        </w:rPr>
        <w:t>4</w:t>
      </w:r>
      <w:r>
        <w:t>.</w:t>
      </w:r>
      <w:r>
        <w:tab/>
        <w:t>Place of payment of wages</w:t>
      </w:r>
      <w:bookmarkEnd w:id="60"/>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1" w:name="_Toc389741281"/>
      <w:r>
        <w:rPr>
          <w:rStyle w:val="CharSClsNo"/>
        </w:rPr>
        <w:t>5</w:t>
      </w:r>
      <w:r>
        <w:t>.</w:t>
      </w:r>
      <w:r>
        <w:tab/>
        <w:t>Provider of fringe benefits or specified taxable benefits</w:t>
      </w:r>
      <w:bookmarkEnd w:id="61"/>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2" w:name="_Toc389741282"/>
      <w:r>
        <w:rPr>
          <w:rStyle w:val="CharSClsNo"/>
        </w:rPr>
        <w:t>6</w:t>
      </w:r>
      <w:r>
        <w:t>.</w:t>
      </w:r>
      <w:r>
        <w:tab/>
        <w:t>Value of wages paid in kind and other benefits</w:t>
      </w:r>
      <w:bookmarkEnd w:id="62"/>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3" w:name="_Toc389741283"/>
      <w:r>
        <w:rPr>
          <w:rStyle w:val="CharSClsNo"/>
        </w:rPr>
        <w:t>7</w:t>
      </w:r>
      <w:r>
        <w:t>.</w:t>
      </w:r>
      <w:r>
        <w:tab/>
        <w:t>The value of fringe benefits</w:t>
      </w:r>
      <w:bookmarkEnd w:id="63"/>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object w:dxaOrig="1060" w:dyaOrig="320">
          <v:shape id="_x0000_i1032" type="#_x0000_t75" style="width:53.25pt;height:16.5pt" o:ole="">
            <v:imagedata r:id="rId39" o:title=""/>
          </v:shape>
          <o:OLEObject Type="Embed" ProgID="Equation.3" ShapeID="_x0000_i1032" DrawAspect="Content" ObjectID="_1643574810" r:id="rId40"/>
        </w:obje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4" w:name="_Toc389741284"/>
      <w:r>
        <w:rPr>
          <w:rStyle w:val="CharSClsNo"/>
        </w:rPr>
        <w:t>8</w:t>
      </w:r>
      <w:r>
        <w:t>.</w:t>
      </w:r>
      <w:r>
        <w:tab/>
        <w:t>Superannuation benefits</w:t>
      </w:r>
      <w:bookmarkEnd w:id="6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5" w:name="_Toc389741285"/>
      <w:r>
        <w:rPr>
          <w:rStyle w:val="CharSClsNo"/>
        </w:rPr>
        <w:t>9</w:t>
      </w:r>
      <w:r>
        <w:t>.</w:t>
      </w:r>
      <w:r>
        <w:tab/>
        <w:t>Superannuation fund contributions</w:t>
      </w:r>
      <w:bookmarkEnd w:id="65"/>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6" w:name="_Toc389741286"/>
      <w:r>
        <w:rPr>
          <w:rStyle w:val="CharSClsNo"/>
        </w:rPr>
        <w:t>10</w:t>
      </w:r>
      <w:r>
        <w:t>.</w:t>
      </w:r>
      <w:r>
        <w:tab/>
      </w:r>
      <w:r>
        <w:rPr>
          <w:rStyle w:val="CharSectno"/>
        </w:rPr>
        <w:t>Contributions to defined superannuation benefit schemes</w:t>
      </w:r>
      <w:bookmarkEnd w:id="66"/>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7" w:name="_Toc389741287"/>
      <w:r>
        <w:rPr>
          <w:rStyle w:val="CharSClsNo"/>
        </w:rPr>
        <w:t>11</w:t>
      </w:r>
      <w:r>
        <w:t>.</w:t>
      </w:r>
      <w:r>
        <w:tab/>
        <w:t>Unfunded credit to certain unregulated schemes</w:t>
      </w:r>
      <w:bookmarkEnd w:id="67"/>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8" w:name="_Toc389741288"/>
      <w:r>
        <w:rPr>
          <w:rStyle w:val="CharSClsNo"/>
        </w:rPr>
        <w:t>12</w:t>
      </w:r>
      <w:r>
        <w:t>.</w:t>
      </w:r>
      <w:r>
        <w:tab/>
        <w:t>Superannuation guarantee charge</w:t>
      </w:r>
      <w:bookmarkEnd w:id="68"/>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pPr>
      <w:bookmarkStart w:id="69" w:name="_Toc389741289"/>
      <w:r>
        <w:t>Notes</w:t>
      </w:r>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4, 5</w:t>
      </w:r>
      <w:r>
        <w:rPr>
          <w:snapToGrid w:val="0"/>
        </w:rPr>
        <w:t>.  The table also contains information about any reprint.</w:t>
      </w:r>
    </w:p>
    <w:p>
      <w:pPr>
        <w:pStyle w:val="nHeading3"/>
        <w:rPr>
          <w:snapToGrid w:val="0"/>
        </w:rPr>
      </w:pPr>
      <w:bookmarkStart w:id="70" w:name="_Toc389741290"/>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r>
        <w:tc>
          <w:tcPr>
            <w:tcW w:w="2268" w:type="dxa"/>
            <w:tcBorders>
              <w:bottom w:val="single" w:sz="4" w:space="0" w:color="auto"/>
            </w:tcBorders>
          </w:tcPr>
          <w:p>
            <w:pPr>
              <w:pStyle w:val="nTable"/>
              <w:spacing w:after="40"/>
              <w:rPr>
                <w:iCs/>
                <w:snapToGrid w:val="0"/>
                <w:sz w:val="19"/>
              </w:rPr>
            </w:pPr>
            <w:r>
              <w:rPr>
                <w:i/>
                <w:snapToGrid w:val="0"/>
                <w:sz w:val="19"/>
              </w:rPr>
              <w:t>Training Legislation Amendment and Repeal Act 2008</w:t>
            </w:r>
            <w:r>
              <w:rPr>
                <w:iCs/>
                <w:snapToGrid w:val="0"/>
                <w:sz w:val="19"/>
              </w:rPr>
              <w:t xml:space="preserve"> s. 59</w:t>
            </w:r>
          </w:p>
        </w:tc>
        <w:tc>
          <w:tcPr>
            <w:tcW w:w="1134" w:type="dxa"/>
            <w:tcBorders>
              <w:bottom w:val="single" w:sz="4" w:space="0" w:color="auto"/>
            </w:tcBorders>
          </w:tcPr>
          <w:p>
            <w:pPr>
              <w:pStyle w:val="nTable"/>
              <w:spacing w:after="40"/>
              <w:rPr>
                <w:snapToGrid w:val="0"/>
                <w:sz w:val="19"/>
              </w:rPr>
            </w:pPr>
            <w:r>
              <w:rPr>
                <w:snapToGrid w:val="0"/>
                <w:sz w:val="19"/>
              </w:rPr>
              <w:t>44 of 2008</w:t>
            </w:r>
          </w:p>
        </w:tc>
        <w:tc>
          <w:tcPr>
            <w:tcW w:w="1134" w:type="dxa"/>
            <w:tcBorders>
              <w:bottom w:val="single" w:sz="4" w:space="0" w:color="auto"/>
            </w:tcBorders>
          </w:tcPr>
          <w:p>
            <w:pPr>
              <w:pStyle w:val="nTable"/>
              <w:spacing w:after="40"/>
              <w:rPr>
                <w:snapToGrid w:val="0"/>
                <w:sz w:val="19"/>
              </w:rPr>
            </w:pPr>
            <w:r>
              <w:rPr>
                <w:snapToGrid w:val="0"/>
                <w:sz w:val="19"/>
              </w:rPr>
              <w:t>10 Dec 2008</w:t>
            </w:r>
          </w:p>
        </w:tc>
        <w:tc>
          <w:tcPr>
            <w:tcW w:w="2552" w:type="dxa"/>
            <w:tcBorders>
              <w:bottom w:val="single" w:sz="4" w:space="0" w:color="auto"/>
            </w:tcBorders>
          </w:tcPr>
          <w:p>
            <w:pPr>
              <w:pStyle w:val="nTable"/>
              <w:spacing w:after="40"/>
              <w:rPr>
                <w:snapToGrid w:val="0"/>
                <w:sz w:val="19"/>
              </w:rPr>
            </w:pPr>
            <w:r>
              <w:rPr>
                <w:snapToGrid w:val="0"/>
                <w:sz w:val="19"/>
              </w:rPr>
              <w:t>10 Jun 2008 (see s. 2(2))</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2 — The </w:t>
      </w:r>
      <w:r>
        <w:rPr>
          <w:i/>
          <w:iCs/>
        </w:rPr>
        <w:t>Pay</w:t>
      </w:r>
      <w:r>
        <w:rPr>
          <w:i/>
          <w:iCs/>
        </w:rPr>
        <w:noBreakHyphen/>
        <w:t>roll Tax Assessment Act 2002</w:t>
      </w:r>
    </w:p>
    <w:p>
      <w:pPr>
        <w:pStyle w:val="nzHeading5"/>
      </w:pPr>
      <w:r>
        <w:t>27.</w:t>
      </w:r>
      <w:r>
        <w:tab/>
        <w:t xml:space="preserve">Modification of the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r>
        <w:t>28.</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r>
        <w:rPr>
          <w:rStyle w:val="CharSectno"/>
        </w:rPr>
        <w:t>29</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r>
        <w:rPr>
          <w:rStyle w:val="CharSectno"/>
        </w:rPr>
        <w:t>30</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16A.</w:t>
      </w:r>
      <w:r>
        <w:rPr>
          <w:b/>
        </w:rPr>
        <w:tab/>
        <w:t>Dual liability — non</w:t>
      </w:r>
      <w:r>
        <w:rPr>
          <w:b/>
        </w:rPr>
        <w:noBreakHyphen/>
        <w:t>group employers</w:t>
      </w:r>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r>
        <w:rPr>
          <w:rStyle w:val="CharSectno"/>
        </w:rPr>
        <w:t>31</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20A.</w:t>
      </w:r>
      <w:r>
        <w:rPr>
          <w:b/>
        </w:rPr>
        <w:tab/>
        <w:t>Dual liability — groups</w:t>
      </w:r>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r>
        <w:rPr>
          <w:rStyle w:val="CharSectno"/>
        </w:rPr>
        <w:t>32</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r>
        <w:rPr>
          <w:rStyle w:val="CharSectno"/>
        </w:rPr>
        <w:t>33</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zHeading5"/>
        <w:spacing w:before="0"/>
      </w:pPr>
      <w:r>
        <w:t>29A.</w:t>
      </w:r>
      <w:r>
        <w:tab/>
        <w:t>Dual liability — returns</w:t>
      </w:r>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r>
        <w:rPr>
          <w:rStyle w:val="CharSectno"/>
        </w:rPr>
        <w:t>34</w:t>
      </w:r>
      <w:r>
        <w:t>.</w:t>
      </w:r>
      <w:r>
        <w:tab/>
        <w:t>Glossary modified</w:t>
      </w:r>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Pay-roll tax</w:t>
      </w:r>
    </w:p>
    <w:p>
      <w:pPr>
        <w:pStyle w:val="nzHeading3"/>
      </w:pPr>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p>
    <w:p>
      <w:pPr>
        <w:pStyle w:val="nzHeading5"/>
      </w:pPr>
      <w:r>
        <w:rPr>
          <w:rStyle w:val="CharSectno"/>
        </w:rPr>
        <w:t>28</w:t>
      </w:r>
      <w:r>
        <w:t>.</w:t>
      </w:r>
      <w:r>
        <w:tab/>
        <w:t xml:space="preserve">Modification of the applied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r>
        <w:rPr>
          <w:rStyle w:val="CharSectno"/>
        </w:rPr>
        <w:t>29</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r>
        <w:rPr>
          <w:rStyle w:val="CharSectno"/>
        </w:rPr>
        <w:t>30</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r>
        <w:rPr>
          <w:rStyle w:val="CharSectno"/>
        </w:rPr>
        <w:t>31</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Heading5"/>
      </w:pPr>
      <w:r>
        <w:t>16A.</w:t>
      </w:r>
      <w:r>
        <w:tab/>
        <w:t>Dual liability — non</w:t>
      </w:r>
      <w:r>
        <w:noBreakHyphen/>
        <w:t>group employers</w:t>
      </w:r>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r>
        <w:rPr>
          <w:rStyle w:val="CharSectno"/>
        </w:rPr>
        <w:t>32</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Heading5"/>
      </w:pPr>
      <w:r>
        <w:t>20A.</w:t>
      </w:r>
      <w:r>
        <w:tab/>
        <w:t>Dual liability — groups</w:t>
      </w:r>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r>
        <w:rPr>
          <w:rStyle w:val="CharSectno"/>
        </w:rPr>
        <w:t>33</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r>
        <w:rPr>
          <w:rStyle w:val="CharSectno"/>
        </w:rPr>
        <w:t>34</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Heading5"/>
      </w:pPr>
      <w:r>
        <w:t>29A.</w:t>
      </w:r>
      <w:r>
        <w:tab/>
        <w:t>Dual liability — returns</w:t>
      </w:r>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r>
        <w:rPr>
          <w:rStyle w:val="CharSectno"/>
        </w:rPr>
        <w:t>35</w:t>
      </w:r>
      <w:r>
        <w:t>.</w:t>
      </w:r>
      <w:r>
        <w:tab/>
        <w:t>Glossary modified</w:t>
      </w:r>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Glossary</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fldSimple w:instr=" STYLEREF CharSchNo \* MERGEFORMAT ">
            <w:r>
              <w:rPr>
                <w:noProof/>
              </w:rPr>
              <w:t>Glossary</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529"/>
    <w:docVar w:name="WAFER_20140605140529" w:val="RemoveTocBookmarks,RemoveUnusedBookmarks,RemoveLanguageTags,UsedStyles,ResetPageSize"/>
    <w:docVar w:name="WAFER_20140605140529_GUID" w:val="3506dcec-75e9-4ee3-86cb-423d64dde0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18831</Words>
  <Characters>89074</Characters>
  <Application>Microsoft Office Word</Application>
  <DocSecurity>0</DocSecurity>
  <Lines>2283</Lines>
  <Paragraphs>1198</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106707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2002 - 01-f0-04</dc:title>
  <dc:subject/>
  <dc:creator/>
  <cp:keywords/>
  <dc:description/>
  <cp:lastModifiedBy>svcMRProcess</cp:lastModifiedBy>
  <cp:revision>4</cp:revision>
  <cp:lastPrinted>2006-01-11T07:15:00Z</cp:lastPrinted>
  <dcterms:created xsi:type="dcterms:W3CDTF">2020-02-18T15:46:00Z</dcterms:created>
  <dcterms:modified xsi:type="dcterms:W3CDTF">2020-02-18T15:46:00Z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6335</vt:i4>
  </property>
  <property fmtid="{D5CDD505-2E9C-101B-9397-08002B2CF9AE}" pid="6" name="AsAtDate">
    <vt:lpwstr>10 Jun 2009</vt:lpwstr>
  </property>
  <property fmtid="{D5CDD505-2E9C-101B-9397-08002B2CF9AE}" pid="7" name="Suffix">
    <vt:lpwstr>01-f0-04</vt:lpwstr>
  </property>
</Properties>
</file>