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Pawnbrokers and Second-hand Dealers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_Toc147895238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_Toc147895239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_Toc147895240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_Toc147895241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Deeming of loan and interest under “buy back” contracts</w:t>
      </w:r>
      <w:r>
        <w:tab/>
      </w:r>
      <w:r>
        <w:fldChar w:fldCharType="begin"/>
      </w:r>
      <w:r>
        <w:instrText xml:space="preserve"> PAGEREF _Toc147895242 \h </w:instrText>
      </w:r>
      <w:r>
        <w:fldChar w:fldCharType="separate"/>
      </w:r>
      <w:r>
        <w:t>4</w:t>
      </w:r>
      <w:r>
        <w:fldChar w:fldCharType="end"/>
      </w:r>
    </w:p>
    <w:p>
      <w:pPr>
        <w:pStyle w:val="TOC2"/>
        <w:tabs>
          <w:tab w:val="right" w:leader="dot" w:pos="7086"/>
        </w:tabs>
        <w:rPr>
          <w:b w:val="0"/>
          <w:sz w:val="24"/>
          <w:szCs w:val="24"/>
        </w:rPr>
      </w:pPr>
      <w:r>
        <w:rPr>
          <w:szCs w:val="30"/>
        </w:rPr>
        <w:t>Part 2 — Licensing of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Requirement for licences</w:t>
      </w:r>
    </w:p>
    <w:p>
      <w:pPr>
        <w:pStyle w:val="TOC8"/>
        <w:rPr>
          <w:sz w:val="24"/>
          <w:szCs w:val="24"/>
        </w:rPr>
      </w:pPr>
      <w:r>
        <w:rPr>
          <w:szCs w:val="24"/>
        </w:rPr>
        <w:t>6</w:t>
      </w:r>
      <w:r>
        <w:rPr>
          <w:snapToGrid w:val="0"/>
          <w:szCs w:val="24"/>
        </w:rPr>
        <w:t>.</w:t>
      </w:r>
      <w:r>
        <w:rPr>
          <w:snapToGrid w:val="0"/>
          <w:szCs w:val="24"/>
        </w:rPr>
        <w:tab/>
        <w:t>Pawnbrokers to be licensed</w:t>
      </w:r>
      <w:r>
        <w:tab/>
      </w:r>
      <w:r>
        <w:fldChar w:fldCharType="begin"/>
      </w:r>
      <w:r>
        <w:instrText xml:space="preserve"> PAGEREF _Toc147895245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to be licensed</w:t>
      </w:r>
      <w:r>
        <w:tab/>
      </w:r>
      <w:r>
        <w:fldChar w:fldCharType="begin"/>
      </w:r>
      <w:r>
        <w:instrText xml:space="preserve"> PAGEREF _Toc147895246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Natural persons only to be licensed</w:t>
      </w:r>
      <w:r>
        <w:tab/>
      </w:r>
      <w:r>
        <w:fldChar w:fldCharType="begin"/>
      </w:r>
      <w:r>
        <w:instrText xml:space="preserve"> PAGEREF _Toc147895247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Offence of holding out, etc.</w:t>
      </w:r>
      <w:r>
        <w:tab/>
      </w:r>
      <w:r>
        <w:fldChar w:fldCharType="begin"/>
      </w:r>
      <w:r>
        <w:instrText xml:space="preserve"> PAGEREF _Toc147895248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w:t>
      </w:r>
    </w:p>
    <w:p>
      <w:pPr>
        <w:pStyle w:val="TOC8"/>
        <w:rPr>
          <w:sz w:val="24"/>
          <w:szCs w:val="24"/>
        </w:rPr>
      </w:pPr>
      <w:r>
        <w:rPr>
          <w:szCs w:val="24"/>
        </w:rPr>
        <w:t>10</w:t>
      </w:r>
      <w:r>
        <w:rPr>
          <w:snapToGrid w:val="0"/>
          <w:szCs w:val="24"/>
        </w:rPr>
        <w:t>.</w:t>
      </w:r>
      <w:r>
        <w:rPr>
          <w:snapToGrid w:val="0"/>
          <w:szCs w:val="24"/>
        </w:rPr>
        <w:tab/>
        <w:t>Licensing officers</w:t>
      </w:r>
      <w:r>
        <w:tab/>
      </w:r>
      <w:r>
        <w:fldChar w:fldCharType="begin"/>
      </w:r>
      <w:r>
        <w:instrText xml:space="preserve"> PAGEREF _Toc147895250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Notice of intention to apply for licence</w:t>
      </w:r>
      <w:r>
        <w:tab/>
      </w:r>
      <w:r>
        <w:fldChar w:fldCharType="begin"/>
      </w:r>
      <w:r>
        <w:instrText xml:space="preserve"> PAGEREF _Toc147895251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Expedited applications</w:t>
      </w:r>
      <w:r>
        <w:tab/>
      </w:r>
      <w:r>
        <w:fldChar w:fldCharType="begin"/>
      </w:r>
      <w:r>
        <w:instrText xml:space="preserve"> PAGEREF _Toc147895252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How to apply for issue of licence</w:t>
      </w:r>
      <w:r>
        <w:tab/>
      </w:r>
      <w:r>
        <w:fldChar w:fldCharType="begin"/>
      </w:r>
      <w:r>
        <w:instrText xml:space="preserve"> PAGEREF _Toc147895253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Documentation in support of application for issue of licence</w:t>
      </w:r>
      <w:r>
        <w:tab/>
      </w:r>
      <w:r>
        <w:fldChar w:fldCharType="begin"/>
      </w:r>
      <w:r>
        <w:instrText xml:space="preserve"> PAGEREF _Toc147895254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How and when to apply for renewal of licence</w:t>
      </w:r>
      <w:r>
        <w:tab/>
      </w:r>
      <w:r>
        <w:fldChar w:fldCharType="begin"/>
      </w:r>
      <w:r>
        <w:instrText xml:space="preserve"> PAGEREF _Toc147895255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Documentation in support of application for renewal of licence</w:t>
      </w:r>
      <w:r>
        <w:tab/>
      </w:r>
      <w:r>
        <w:fldChar w:fldCharType="begin"/>
      </w:r>
      <w:r>
        <w:instrText xml:space="preserve"> PAGEREF _Toc147895256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Offences in relation to licence applications</w:t>
      </w:r>
      <w:r>
        <w:tab/>
      </w:r>
      <w:r>
        <w:fldChar w:fldCharType="begin"/>
      </w:r>
      <w:r>
        <w:instrText xml:space="preserve"> PAGEREF _Toc147895257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Objections to issue or renewal of licences</w:t>
      </w:r>
      <w:r>
        <w:tab/>
      </w:r>
      <w:r>
        <w:fldChar w:fldCharType="begin"/>
      </w:r>
      <w:r>
        <w:instrText xml:space="preserve"> PAGEREF _Toc147895258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Issue of licences</w:t>
      </w:r>
      <w:r>
        <w:tab/>
      </w:r>
      <w:r>
        <w:fldChar w:fldCharType="begin"/>
      </w:r>
      <w:r>
        <w:instrText xml:space="preserve"> PAGEREF _Toc147895259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Renewal of licences</w:t>
      </w:r>
      <w:r>
        <w:tab/>
      </w:r>
      <w:r>
        <w:fldChar w:fldCharType="begin"/>
      </w:r>
      <w:r>
        <w:instrText xml:space="preserve"> PAGEREF _Toc147895260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Issue and renewal of licences held on behalf of partnerships and bodies corporate</w:t>
      </w:r>
      <w:r>
        <w:tab/>
      </w:r>
      <w:r>
        <w:fldChar w:fldCharType="begin"/>
      </w:r>
      <w:r>
        <w:instrText xml:space="preserve"> PAGEREF _Toc147895261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Declining issue or renewal of licence</w:t>
      </w:r>
      <w:r>
        <w:tab/>
      </w:r>
      <w:r>
        <w:fldChar w:fldCharType="begin"/>
      </w:r>
      <w:r>
        <w:instrText xml:space="preserve"> PAGEREF _Toc147895262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Form of licences</w:t>
      </w:r>
      <w:r>
        <w:tab/>
      </w:r>
      <w:r>
        <w:fldChar w:fldCharType="begin"/>
      </w:r>
      <w:r>
        <w:instrText xml:space="preserve"> PAGEREF _Toc147895263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Conditions and restrictions</w:t>
      </w:r>
      <w:r>
        <w:tab/>
      </w:r>
      <w:r>
        <w:fldChar w:fldCharType="begin"/>
      </w:r>
      <w:r>
        <w:instrText xml:space="preserve"> PAGEREF _Toc147895264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Not transferable</w:t>
      </w:r>
      <w:r>
        <w:tab/>
      </w:r>
      <w:r>
        <w:fldChar w:fldCharType="begin"/>
      </w:r>
      <w:r>
        <w:instrText xml:space="preserve"> PAGEREF _Toc147895265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Duration of licences</w:t>
      </w:r>
      <w:r>
        <w:tab/>
      </w:r>
      <w:r>
        <w:fldChar w:fldCharType="begin"/>
      </w:r>
      <w:r>
        <w:instrText xml:space="preserve"> PAGEREF _Toc147895266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Suspension, revocation of licences and disqualification</w:t>
      </w:r>
      <w:r>
        <w:tab/>
      </w:r>
      <w:r>
        <w:fldChar w:fldCharType="begin"/>
      </w:r>
      <w:r>
        <w:instrText xml:space="preserve"> PAGEREF _Toc147895267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Commissioner to keep register of licences</w:t>
      </w:r>
      <w:r>
        <w:tab/>
      </w:r>
      <w:r>
        <w:fldChar w:fldCharType="begin"/>
      </w:r>
      <w:r>
        <w:instrText xml:space="preserve"> PAGEREF _Toc147895268 \h </w:instrText>
      </w:r>
      <w:r>
        <w:fldChar w:fldCharType="separate"/>
      </w:r>
      <w:r>
        <w:t>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Review of licensing decisions</w:t>
      </w:r>
    </w:p>
    <w:p>
      <w:pPr>
        <w:pStyle w:val="TOC8"/>
        <w:rPr>
          <w:sz w:val="24"/>
          <w:szCs w:val="24"/>
        </w:rPr>
      </w:pPr>
      <w:r>
        <w:rPr>
          <w:szCs w:val="24"/>
        </w:rPr>
        <w:t>30</w:t>
      </w:r>
      <w:r>
        <w:rPr>
          <w:snapToGrid w:val="0"/>
          <w:szCs w:val="24"/>
        </w:rPr>
        <w:t>.</w:t>
      </w:r>
      <w:r>
        <w:rPr>
          <w:snapToGrid w:val="0"/>
          <w:szCs w:val="24"/>
        </w:rPr>
        <w:tab/>
        <w:t>Appeal</w:t>
      </w:r>
      <w:r>
        <w:tab/>
      </w:r>
      <w:r>
        <w:fldChar w:fldCharType="begin"/>
      </w:r>
      <w:r>
        <w:instrText xml:space="preserve"> PAGEREF _Toc147895270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Returns by executive officer of the State Administrative Tribunal</w:t>
      </w:r>
      <w:r>
        <w:tab/>
      </w:r>
      <w:r>
        <w:fldChar w:fldCharType="begin"/>
      </w:r>
      <w:r>
        <w:instrText xml:space="preserve"> PAGEREF _Toc147895271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Effect of charges pending on Court hearings</w:t>
      </w:r>
      <w:r>
        <w:tab/>
      </w:r>
      <w:r>
        <w:fldChar w:fldCharType="begin"/>
      </w:r>
      <w:r>
        <w:instrText xml:space="preserve"> PAGEREF _Toc147895272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Powers of courts generally in relation to licences</w:t>
      </w:r>
    </w:p>
    <w:p>
      <w:pPr>
        <w:pStyle w:val="TOC8"/>
        <w:rPr>
          <w:sz w:val="24"/>
          <w:szCs w:val="24"/>
        </w:rPr>
      </w:pPr>
      <w:r>
        <w:rPr>
          <w:szCs w:val="24"/>
        </w:rPr>
        <w:t>34</w:t>
      </w:r>
      <w:r>
        <w:rPr>
          <w:snapToGrid w:val="0"/>
          <w:szCs w:val="24"/>
        </w:rPr>
        <w:t>.</w:t>
      </w:r>
      <w:r>
        <w:rPr>
          <w:snapToGrid w:val="0"/>
          <w:szCs w:val="24"/>
        </w:rPr>
        <w:tab/>
        <w:t>Courts may suspend, revoke licence or disqualify person upon conviction</w:t>
      </w:r>
      <w:r>
        <w:tab/>
      </w:r>
      <w:r>
        <w:fldChar w:fldCharType="begin"/>
      </w:r>
      <w:r>
        <w:instrText xml:space="preserve"> PAGEREF _Toc147895274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Returns by courts</w:t>
      </w:r>
      <w:r>
        <w:tab/>
      </w:r>
      <w:r>
        <w:fldChar w:fldCharType="begin"/>
      </w:r>
      <w:r>
        <w:instrText xml:space="preserve"> PAGEREF _Toc147895275 \h </w:instrText>
      </w:r>
      <w:r>
        <w:fldChar w:fldCharType="separate"/>
      </w:r>
      <w:r>
        <w:t>18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requirements in relation to licences</w:t>
      </w:r>
    </w:p>
    <w:p>
      <w:pPr>
        <w:pStyle w:val="TOC8"/>
        <w:rPr>
          <w:sz w:val="24"/>
          <w:szCs w:val="24"/>
        </w:rPr>
      </w:pPr>
      <w:r>
        <w:rPr>
          <w:szCs w:val="24"/>
        </w:rPr>
        <w:t>36</w:t>
      </w:r>
      <w:r>
        <w:rPr>
          <w:snapToGrid w:val="0"/>
          <w:szCs w:val="24"/>
        </w:rPr>
        <w:t>.</w:t>
      </w:r>
      <w:r>
        <w:rPr>
          <w:snapToGrid w:val="0"/>
          <w:szCs w:val="24"/>
        </w:rPr>
        <w:tab/>
        <w:t>Sign to be displayed</w:t>
      </w:r>
      <w:r>
        <w:tab/>
      </w:r>
      <w:r>
        <w:fldChar w:fldCharType="begin"/>
      </w:r>
      <w:r>
        <w:instrText xml:space="preserve"> PAGEREF _Toc147895277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Certain employee records to be kept, provided to police</w:t>
      </w:r>
      <w:r>
        <w:tab/>
      </w:r>
      <w:r>
        <w:fldChar w:fldCharType="begin"/>
      </w:r>
      <w:r>
        <w:instrText xml:space="preserve"> PAGEREF _Toc147895278 \h </w:instrText>
      </w:r>
      <w:r>
        <w:fldChar w:fldCharType="separate"/>
      </w:r>
      <w:r>
        <w:t>19</w:t>
      </w:r>
      <w:r>
        <w:fldChar w:fldCharType="end"/>
      </w:r>
    </w:p>
    <w:p>
      <w:pPr>
        <w:pStyle w:val="TOC2"/>
        <w:tabs>
          <w:tab w:val="right" w:leader="dot" w:pos="7086"/>
        </w:tabs>
        <w:rPr>
          <w:b w:val="0"/>
          <w:sz w:val="24"/>
          <w:szCs w:val="24"/>
        </w:rPr>
      </w:pPr>
      <w:r>
        <w:rPr>
          <w:szCs w:val="30"/>
        </w:rPr>
        <w:t>Part 3 — Contracts with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Duties of pawnbrokers and second</w:t>
      </w:r>
      <w:r>
        <w:rPr>
          <w:szCs w:val="26"/>
        </w:rPr>
        <w:noBreakHyphen/>
        <w:t>hand dealers</w:t>
      </w:r>
    </w:p>
    <w:p>
      <w:pPr>
        <w:pStyle w:val="TOC8"/>
        <w:rPr>
          <w:sz w:val="24"/>
          <w:szCs w:val="24"/>
        </w:rPr>
      </w:pPr>
      <w:r>
        <w:rPr>
          <w:szCs w:val="24"/>
        </w:rPr>
        <w:t>38</w:t>
      </w:r>
      <w:r>
        <w:rPr>
          <w:snapToGrid w:val="0"/>
          <w:szCs w:val="24"/>
        </w:rPr>
        <w:t>.</w:t>
      </w:r>
      <w:r>
        <w:rPr>
          <w:snapToGrid w:val="0"/>
          <w:szCs w:val="24"/>
        </w:rPr>
        <w:tab/>
        <w:t>Persons under 18 or affected by alcohol or drugs</w:t>
      </w:r>
      <w:r>
        <w:tab/>
      </w:r>
      <w:r>
        <w:fldChar w:fldCharType="begin"/>
      </w:r>
      <w:r>
        <w:instrText xml:space="preserve"> PAGEREF _Toc147895281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Identification of persons</w:t>
      </w:r>
      <w:r>
        <w:tab/>
      </w:r>
      <w:r>
        <w:fldChar w:fldCharType="begin"/>
      </w:r>
      <w:r>
        <w:instrText xml:space="preserve"> PAGEREF _Toc147895282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Offences in relation to false information</w:t>
      </w:r>
      <w:r>
        <w:tab/>
      </w:r>
      <w:r>
        <w:fldChar w:fldCharType="begin"/>
      </w:r>
      <w:r>
        <w:instrText xml:space="preserve"> PAGEREF _Toc147895283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Records to be made by pawnbrokers</w:t>
      </w:r>
      <w:r>
        <w:tab/>
      </w:r>
      <w:r>
        <w:fldChar w:fldCharType="begin"/>
      </w:r>
      <w:r>
        <w:instrText xml:space="preserve"> PAGEREF _Toc147895284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Pawn tickets</w:t>
      </w:r>
      <w:r>
        <w:tab/>
      </w:r>
      <w:r>
        <w:fldChar w:fldCharType="begin"/>
      </w:r>
      <w:r>
        <w:instrText xml:space="preserve"> PAGEREF _Toc147895285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Records to be made by second</w:t>
      </w:r>
      <w:r>
        <w:rPr>
          <w:snapToGrid w:val="0"/>
          <w:szCs w:val="24"/>
        </w:rPr>
        <w:noBreakHyphen/>
        <w:t>hand dealers</w:t>
      </w:r>
      <w:r>
        <w:tab/>
      </w:r>
      <w:r>
        <w:fldChar w:fldCharType="begin"/>
      </w:r>
      <w:r>
        <w:instrText xml:space="preserve"> PAGEREF _Toc147895286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Records to be provided by second</w:t>
      </w:r>
      <w:r>
        <w:rPr>
          <w:snapToGrid w:val="0"/>
          <w:szCs w:val="24"/>
        </w:rPr>
        <w:noBreakHyphen/>
        <w:t>hand dealers</w:t>
      </w:r>
      <w:r>
        <w:tab/>
      </w:r>
      <w:r>
        <w:fldChar w:fldCharType="begin"/>
      </w:r>
      <w:r>
        <w:instrText xml:space="preserve"> PAGEREF _Toc147895287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Keeping of records</w:t>
      </w:r>
      <w:r>
        <w:tab/>
      </w:r>
      <w:r>
        <w:fldChar w:fldCharType="begin"/>
      </w:r>
      <w:r>
        <w:instrText xml:space="preserve"> PAGEREF _Toc147895288 \h </w:instrText>
      </w:r>
      <w:r>
        <w:fldChar w:fldCharType="separate"/>
      </w:r>
      <w:r>
        <w:t>24</w:t>
      </w:r>
      <w:r>
        <w:fldChar w:fldCharType="end"/>
      </w:r>
    </w:p>
    <w:p>
      <w:pPr>
        <w:pStyle w:val="TOC8"/>
        <w:rPr>
          <w:sz w:val="24"/>
          <w:szCs w:val="24"/>
        </w:rPr>
      </w:pPr>
      <w:r>
        <w:rPr>
          <w:szCs w:val="24"/>
        </w:rPr>
        <w:t>46</w:t>
      </w:r>
      <w:r>
        <w:rPr>
          <w:snapToGrid w:val="0"/>
          <w:szCs w:val="24"/>
        </w:rPr>
        <w:t>.</w:t>
      </w:r>
      <w:r>
        <w:rPr>
          <w:snapToGrid w:val="0"/>
          <w:szCs w:val="24"/>
        </w:rPr>
        <w:tab/>
        <w:t>Tampering with records</w:t>
      </w:r>
      <w:r>
        <w:tab/>
      </w:r>
      <w:r>
        <w:fldChar w:fldCharType="begin"/>
      </w:r>
      <w:r>
        <w:instrText xml:space="preserve"> PAGEREF _Toc147895289 \h </w:instrText>
      </w:r>
      <w:r>
        <w:fldChar w:fldCharType="separate"/>
      </w:r>
      <w:r>
        <w:t>25</w:t>
      </w:r>
      <w:r>
        <w:fldChar w:fldCharType="end"/>
      </w:r>
    </w:p>
    <w:p>
      <w:pPr>
        <w:pStyle w:val="TOC8"/>
        <w:rPr>
          <w:sz w:val="24"/>
          <w:szCs w:val="24"/>
        </w:rPr>
      </w:pPr>
      <w:r>
        <w:rPr>
          <w:szCs w:val="24"/>
        </w:rPr>
        <w:t>47</w:t>
      </w:r>
      <w:r>
        <w:rPr>
          <w:snapToGrid w:val="0"/>
          <w:szCs w:val="24"/>
        </w:rPr>
        <w:t>.</w:t>
      </w:r>
      <w:r>
        <w:rPr>
          <w:snapToGrid w:val="0"/>
          <w:szCs w:val="24"/>
        </w:rPr>
        <w:tab/>
        <w:t>Goods to carry contract number</w:t>
      </w:r>
      <w:r>
        <w:tab/>
      </w:r>
      <w:r>
        <w:fldChar w:fldCharType="begin"/>
      </w:r>
      <w:r>
        <w:instrText xml:space="preserve"> PAGEREF _Toc147895290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Pawn ticket “lost” or “stolen”</w:t>
      </w:r>
      <w:r>
        <w:tab/>
      </w:r>
      <w:r>
        <w:fldChar w:fldCharType="begin"/>
      </w:r>
      <w:r>
        <w:instrText xml:space="preserve"> PAGEREF _Toc147895291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Redemption and sale of goods</w:t>
      </w:r>
    </w:p>
    <w:p>
      <w:pPr>
        <w:pStyle w:val="TOC8"/>
        <w:rPr>
          <w:sz w:val="24"/>
          <w:szCs w:val="24"/>
        </w:rPr>
      </w:pPr>
      <w:r>
        <w:rPr>
          <w:szCs w:val="24"/>
        </w:rPr>
        <w:t>49</w:t>
      </w:r>
      <w:r>
        <w:rPr>
          <w:snapToGrid w:val="0"/>
          <w:szCs w:val="24"/>
        </w:rPr>
        <w:t>.</w:t>
      </w:r>
      <w:r>
        <w:rPr>
          <w:snapToGrid w:val="0"/>
          <w:szCs w:val="24"/>
        </w:rPr>
        <w:tab/>
        <w:t>Interpretation</w:t>
      </w:r>
      <w:r>
        <w:tab/>
      </w:r>
      <w:r>
        <w:fldChar w:fldCharType="begin"/>
      </w:r>
      <w:r>
        <w:instrText xml:space="preserve"> PAGEREF _Toc147895293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When goods may be redeemed</w:t>
      </w:r>
      <w:r>
        <w:tab/>
      </w:r>
      <w:r>
        <w:fldChar w:fldCharType="begin"/>
      </w:r>
      <w:r>
        <w:instrText xml:space="preserve"> PAGEREF _Toc147895294 \h </w:instrText>
      </w:r>
      <w:r>
        <w:fldChar w:fldCharType="separate"/>
      </w:r>
      <w:r>
        <w:t>26</w:t>
      </w:r>
      <w:r>
        <w:fldChar w:fldCharType="end"/>
      </w:r>
    </w:p>
    <w:p>
      <w:pPr>
        <w:pStyle w:val="TOC8"/>
        <w:rPr>
          <w:sz w:val="24"/>
          <w:szCs w:val="24"/>
        </w:rPr>
      </w:pPr>
      <w:r>
        <w:rPr>
          <w:szCs w:val="24"/>
        </w:rPr>
        <w:t>51</w:t>
      </w:r>
      <w:r>
        <w:rPr>
          <w:snapToGrid w:val="0"/>
          <w:szCs w:val="24"/>
        </w:rPr>
        <w:t>.</w:t>
      </w:r>
      <w:r>
        <w:rPr>
          <w:snapToGrid w:val="0"/>
          <w:szCs w:val="24"/>
        </w:rPr>
        <w:tab/>
        <w:t>Where pawned goods to be kept</w:t>
      </w:r>
      <w:r>
        <w:tab/>
      </w:r>
      <w:r>
        <w:fldChar w:fldCharType="begin"/>
      </w:r>
      <w:r>
        <w:instrText xml:space="preserve"> PAGEREF _Toc147895295 \h </w:instrText>
      </w:r>
      <w:r>
        <w:fldChar w:fldCharType="separate"/>
      </w:r>
      <w:r>
        <w:t>27</w:t>
      </w:r>
      <w:r>
        <w:fldChar w:fldCharType="end"/>
      </w:r>
    </w:p>
    <w:p>
      <w:pPr>
        <w:pStyle w:val="TOC8"/>
        <w:rPr>
          <w:sz w:val="24"/>
          <w:szCs w:val="24"/>
        </w:rPr>
      </w:pPr>
      <w:r>
        <w:rPr>
          <w:szCs w:val="24"/>
        </w:rPr>
        <w:t>52</w:t>
      </w:r>
      <w:r>
        <w:rPr>
          <w:snapToGrid w:val="0"/>
          <w:szCs w:val="24"/>
        </w:rPr>
        <w:t>.</w:t>
      </w:r>
      <w:r>
        <w:rPr>
          <w:snapToGrid w:val="0"/>
          <w:szCs w:val="24"/>
        </w:rPr>
        <w:tab/>
        <w:t>When goods to be redeemed</w:t>
      </w:r>
      <w:r>
        <w:tab/>
      </w:r>
      <w:r>
        <w:fldChar w:fldCharType="begin"/>
      </w:r>
      <w:r>
        <w:instrText xml:space="preserve"> PAGEREF _Toc147895296 \h </w:instrText>
      </w:r>
      <w:r>
        <w:fldChar w:fldCharType="separate"/>
      </w:r>
      <w:r>
        <w:t>27</w:t>
      </w:r>
      <w:r>
        <w:fldChar w:fldCharType="end"/>
      </w:r>
    </w:p>
    <w:p>
      <w:pPr>
        <w:pStyle w:val="TOC8"/>
        <w:rPr>
          <w:sz w:val="24"/>
          <w:szCs w:val="24"/>
        </w:rPr>
      </w:pPr>
      <w:r>
        <w:rPr>
          <w:szCs w:val="24"/>
        </w:rPr>
        <w:t>53</w:t>
      </w:r>
      <w:r>
        <w:rPr>
          <w:snapToGrid w:val="0"/>
          <w:szCs w:val="24"/>
        </w:rPr>
        <w:t>.</w:t>
      </w:r>
      <w:r>
        <w:rPr>
          <w:snapToGrid w:val="0"/>
          <w:szCs w:val="24"/>
        </w:rPr>
        <w:tab/>
        <w:t>When goods not to be redeemed</w:t>
      </w:r>
      <w:r>
        <w:tab/>
      </w:r>
      <w:r>
        <w:fldChar w:fldCharType="begin"/>
      </w:r>
      <w:r>
        <w:instrText xml:space="preserve"> PAGEREF _Toc147895297 \h </w:instrText>
      </w:r>
      <w:r>
        <w:fldChar w:fldCharType="separate"/>
      </w:r>
      <w:r>
        <w:t>27</w:t>
      </w:r>
      <w:r>
        <w:fldChar w:fldCharType="end"/>
      </w:r>
    </w:p>
    <w:p>
      <w:pPr>
        <w:pStyle w:val="TOC8"/>
        <w:rPr>
          <w:sz w:val="24"/>
          <w:szCs w:val="24"/>
        </w:rPr>
      </w:pPr>
      <w:r>
        <w:rPr>
          <w:szCs w:val="24"/>
        </w:rPr>
        <w:t>54</w:t>
      </w:r>
      <w:r>
        <w:rPr>
          <w:snapToGrid w:val="0"/>
          <w:szCs w:val="24"/>
        </w:rPr>
        <w:t>.</w:t>
      </w:r>
      <w:r>
        <w:rPr>
          <w:snapToGrid w:val="0"/>
          <w:szCs w:val="24"/>
        </w:rPr>
        <w:tab/>
        <w:t>Redemption only to holder of pawn ticket</w:t>
      </w:r>
      <w:r>
        <w:tab/>
      </w:r>
      <w:r>
        <w:fldChar w:fldCharType="begin"/>
      </w:r>
      <w:r>
        <w:instrText xml:space="preserve"> PAGEREF _Toc147895298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Sale of unredeemed goods</w:t>
      </w:r>
      <w:r>
        <w:tab/>
      </w:r>
      <w:r>
        <w:fldChar w:fldCharType="begin"/>
      </w:r>
      <w:r>
        <w:instrText xml:space="preserve"> PAGEREF _Toc147895299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Unredeemed goods not to be bought by or on behalf of pawnbroker</w:t>
      </w:r>
      <w:r>
        <w:tab/>
      </w:r>
      <w:r>
        <w:fldChar w:fldCharType="begin"/>
      </w:r>
      <w:r>
        <w:instrText xml:space="preserve"> PAGEREF _Toc147895300 \h </w:instrText>
      </w:r>
      <w:r>
        <w:fldChar w:fldCharType="separate"/>
      </w:r>
      <w:r>
        <w:t>29</w:t>
      </w:r>
      <w:r>
        <w:fldChar w:fldCharType="end"/>
      </w:r>
    </w:p>
    <w:p>
      <w:pPr>
        <w:pStyle w:val="TOC8"/>
        <w:rPr>
          <w:sz w:val="24"/>
          <w:szCs w:val="24"/>
        </w:rPr>
      </w:pPr>
      <w:r>
        <w:rPr>
          <w:szCs w:val="24"/>
        </w:rPr>
        <w:t>57</w:t>
      </w:r>
      <w:r>
        <w:rPr>
          <w:snapToGrid w:val="0"/>
          <w:szCs w:val="24"/>
        </w:rPr>
        <w:t>.</w:t>
      </w:r>
      <w:r>
        <w:rPr>
          <w:snapToGrid w:val="0"/>
          <w:szCs w:val="24"/>
        </w:rPr>
        <w:tab/>
        <w:t>Application of proceeds of sale</w:t>
      </w:r>
      <w:r>
        <w:tab/>
      </w:r>
      <w:r>
        <w:fldChar w:fldCharType="begin"/>
      </w:r>
      <w:r>
        <w:instrText xml:space="preserve"> PAGEREF _Toc147895301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t>Records to be made on sale of unredeemed goods</w:t>
      </w:r>
      <w:r>
        <w:tab/>
      </w:r>
      <w:r>
        <w:fldChar w:fldCharType="begin"/>
      </w:r>
      <w:r>
        <w:instrText xml:space="preserve"> PAGEREF _Toc147895302 \h </w:instrText>
      </w:r>
      <w:r>
        <w:fldChar w:fldCharType="separate"/>
      </w:r>
      <w:r>
        <w:t>30</w:t>
      </w:r>
      <w:r>
        <w:fldChar w:fldCharType="end"/>
      </w:r>
    </w:p>
    <w:p>
      <w:pPr>
        <w:pStyle w:val="TOC8"/>
        <w:rPr>
          <w:sz w:val="24"/>
          <w:szCs w:val="24"/>
        </w:rPr>
      </w:pPr>
      <w:r>
        <w:rPr>
          <w:szCs w:val="24"/>
        </w:rPr>
        <w:t>59</w:t>
      </w:r>
      <w:r>
        <w:rPr>
          <w:snapToGrid w:val="0"/>
          <w:szCs w:val="24"/>
        </w:rPr>
        <w:t>.</w:t>
      </w:r>
      <w:r>
        <w:rPr>
          <w:snapToGrid w:val="0"/>
          <w:szCs w:val="24"/>
        </w:rPr>
        <w:tab/>
        <w:t>Notice as to surplus</w:t>
      </w:r>
      <w:r>
        <w:tab/>
      </w:r>
      <w:r>
        <w:fldChar w:fldCharType="begin"/>
      </w:r>
      <w:r>
        <w:instrText xml:space="preserve"> PAGEREF _Toc147895303 \h </w:instrText>
      </w:r>
      <w:r>
        <w:fldChar w:fldCharType="separate"/>
      </w:r>
      <w:r>
        <w:t>30</w:t>
      </w:r>
      <w:r>
        <w:fldChar w:fldCharType="end"/>
      </w:r>
    </w:p>
    <w:p>
      <w:pPr>
        <w:pStyle w:val="TOC8"/>
        <w:rPr>
          <w:sz w:val="24"/>
          <w:szCs w:val="24"/>
        </w:rPr>
      </w:pPr>
      <w:r>
        <w:rPr>
          <w:szCs w:val="24"/>
        </w:rPr>
        <w:t>60</w:t>
      </w:r>
      <w:r>
        <w:rPr>
          <w:snapToGrid w:val="0"/>
          <w:szCs w:val="24"/>
        </w:rPr>
        <w:t>.</w:t>
      </w:r>
      <w:r>
        <w:rPr>
          <w:snapToGrid w:val="0"/>
          <w:szCs w:val="24"/>
        </w:rPr>
        <w:tab/>
        <w:t>Payment of surplus on demand</w:t>
      </w:r>
      <w:r>
        <w:tab/>
      </w:r>
      <w:r>
        <w:fldChar w:fldCharType="begin"/>
      </w:r>
      <w:r>
        <w:instrText xml:space="preserve"> PAGEREF _Toc147895304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Retention of second</w:t>
      </w:r>
      <w:r>
        <w:rPr>
          <w:szCs w:val="26"/>
        </w:rPr>
        <w:noBreakHyphen/>
        <w:t>hand goods</w:t>
      </w:r>
    </w:p>
    <w:p>
      <w:pPr>
        <w:pStyle w:val="TOC8"/>
        <w:rPr>
          <w:sz w:val="24"/>
          <w:szCs w:val="24"/>
        </w:rPr>
      </w:pPr>
      <w:r>
        <w:rPr>
          <w:szCs w:val="24"/>
        </w:rPr>
        <w:t>61</w:t>
      </w:r>
      <w:r>
        <w:rPr>
          <w:snapToGrid w:val="0"/>
          <w:szCs w:val="24"/>
        </w:rPr>
        <w:t>.</w:t>
      </w:r>
      <w:r>
        <w:rPr>
          <w:snapToGrid w:val="0"/>
          <w:szCs w:val="24"/>
        </w:rPr>
        <w:tab/>
        <w:t>Second</w:t>
      </w:r>
      <w:r>
        <w:rPr>
          <w:snapToGrid w:val="0"/>
          <w:szCs w:val="24"/>
        </w:rPr>
        <w:noBreakHyphen/>
        <w:t>hand goods to be kept unchanged at least 14 days</w:t>
      </w:r>
      <w:r>
        <w:tab/>
      </w:r>
      <w:r>
        <w:fldChar w:fldCharType="begin"/>
      </w:r>
      <w:r>
        <w:instrText xml:space="preserve"> PAGEREF _Toc147895306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Where second</w:t>
      </w:r>
      <w:r>
        <w:rPr>
          <w:snapToGrid w:val="0"/>
          <w:szCs w:val="24"/>
        </w:rPr>
        <w:noBreakHyphen/>
        <w:t>hand goods to be kept</w:t>
      </w:r>
      <w:r>
        <w:tab/>
      </w:r>
      <w:r>
        <w:fldChar w:fldCharType="begin"/>
      </w:r>
      <w:r>
        <w:instrText xml:space="preserve"> PAGEREF _Toc147895307 \h </w:instrText>
      </w:r>
      <w:r>
        <w:fldChar w:fldCharType="separate"/>
      </w:r>
      <w:r>
        <w:t>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matters relating to contracts with pawnbrokers and second</w:t>
      </w:r>
      <w:r>
        <w:rPr>
          <w:szCs w:val="26"/>
        </w:rPr>
        <w:noBreakHyphen/>
        <w:t>hand dealers</w:t>
      </w:r>
    </w:p>
    <w:p>
      <w:pPr>
        <w:pStyle w:val="TOC8"/>
        <w:rPr>
          <w:sz w:val="24"/>
          <w:szCs w:val="24"/>
        </w:rPr>
      </w:pPr>
      <w:r>
        <w:rPr>
          <w:szCs w:val="24"/>
        </w:rPr>
        <w:t>63</w:t>
      </w:r>
      <w:r>
        <w:rPr>
          <w:snapToGrid w:val="0"/>
          <w:szCs w:val="24"/>
        </w:rPr>
        <w:t>.</w:t>
      </w:r>
      <w:r>
        <w:rPr>
          <w:snapToGrid w:val="0"/>
          <w:szCs w:val="24"/>
        </w:rPr>
        <w:tab/>
        <w:t>Pawnbroker not to charge establishment fee</w:t>
      </w:r>
      <w:r>
        <w:tab/>
      </w:r>
      <w:r>
        <w:fldChar w:fldCharType="begin"/>
      </w:r>
      <w:r>
        <w:instrText xml:space="preserve"> PAGEREF _Toc147895309 \h </w:instrText>
      </w:r>
      <w:r>
        <w:fldChar w:fldCharType="separate"/>
      </w:r>
      <w:r>
        <w:t>32</w:t>
      </w:r>
      <w:r>
        <w:fldChar w:fldCharType="end"/>
      </w:r>
    </w:p>
    <w:p>
      <w:pPr>
        <w:pStyle w:val="TOC8"/>
        <w:rPr>
          <w:sz w:val="24"/>
          <w:szCs w:val="24"/>
        </w:rPr>
      </w:pPr>
      <w:r>
        <w:rPr>
          <w:szCs w:val="24"/>
        </w:rPr>
        <w:t>64</w:t>
      </w:r>
      <w:r>
        <w:rPr>
          <w:snapToGrid w:val="0"/>
          <w:szCs w:val="24"/>
        </w:rPr>
        <w:t>.</w:t>
      </w:r>
      <w:r>
        <w:rPr>
          <w:snapToGrid w:val="0"/>
          <w:szCs w:val="24"/>
        </w:rPr>
        <w:tab/>
        <w:t>Re</w:t>
      </w:r>
      <w:r>
        <w:rPr>
          <w:snapToGrid w:val="0"/>
          <w:szCs w:val="24"/>
        </w:rPr>
        <w:noBreakHyphen/>
        <w:t>pledging of goods prohibited</w:t>
      </w:r>
      <w:r>
        <w:tab/>
      </w:r>
      <w:r>
        <w:fldChar w:fldCharType="begin"/>
      </w:r>
      <w:r>
        <w:instrText xml:space="preserve"> PAGEREF _Toc147895310 \h </w:instrText>
      </w:r>
      <w:r>
        <w:fldChar w:fldCharType="separate"/>
      </w:r>
      <w:r>
        <w:t>32</w:t>
      </w:r>
      <w:r>
        <w:fldChar w:fldCharType="end"/>
      </w:r>
    </w:p>
    <w:p>
      <w:pPr>
        <w:pStyle w:val="TOC8"/>
        <w:rPr>
          <w:sz w:val="24"/>
          <w:szCs w:val="24"/>
        </w:rPr>
      </w:pPr>
      <w:r>
        <w:rPr>
          <w:szCs w:val="24"/>
        </w:rPr>
        <w:t>65</w:t>
      </w:r>
      <w:r>
        <w:rPr>
          <w:snapToGrid w:val="0"/>
          <w:szCs w:val="24"/>
        </w:rPr>
        <w:t>.</w:t>
      </w:r>
      <w:r>
        <w:rPr>
          <w:snapToGrid w:val="0"/>
          <w:szCs w:val="24"/>
        </w:rPr>
        <w:tab/>
        <w:t>No contracting out of liability for loss or damage</w:t>
      </w:r>
      <w:r>
        <w:tab/>
      </w:r>
      <w:r>
        <w:fldChar w:fldCharType="begin"/>
      </w:r>
      <w:r>
        <w:instrText xml:space="preserve"> PAGEREF _Toc147895311 \h </w:instrText>
      </w:r>
      <w:r>
        <w:fldChar w:fldCharType="separate"/>
      </w:r>
      <w:r>
        <w:t>32</w:t>
      </w:r>
      <w:r>
        <w:fldChar w:fldCharType="end"/>
      </w:r>
    </w:p>
    <w:p>
      <w:pPr>
        <w:pStyle w:val="TOC8"/>
        <w:rPr>
          <w:sz w:val="24"/>
          <w:szCs w:val="24"/>
        </w:rPr>
      </w:pPr>
      <w:r>
        <w:rPr>
          <w:szCs w:val="24"/>
        </w:rPr>
        <w:t>66</w:t>
      </w:r>
      <w:r>
        <w:rPr>
          <w:snapToGrid w:val="0"/>
          <w:szCs w:val="24"/>
        </w:rPr>
        <w:t>.</w:t>
      </w:r>
      <w:r>
        <w:rPr>
          <w:snapToGrid w:val="0"/>
          <w:szCs w:val="24"/>
        </w:rPr>
        <w:tab/>
        <w:t>Buyer may be compensated</w:t>
      </w:r>
      <w:r>
        <w:tab/>
      </w:r>
      <w:r>
        <w:fldChar w:fldCharType="begin"/>
      </w:r>
      <w:r>
        <w:instrText xml:space="preserve"> PAGEREF _Toc147895312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Certain rights etc. saved</w:t>
      </w:r>
      <w:r>
        <w:tab/>
      </w:r>
      <w:r>
        <w:fldChar w:fldCharType="begin"/>
      </w:r>
      <w:r>
        <w:instrText xml:space="preserve"> PAGEREF _Toc147895313 \h </w:instrText>
      </w:r>
      <w:r>
        <w:fldChar w:fldCharType="separate"/>
      </w:r>
      <w:r>
        <w:t>33</w:t>
      </w:r>
      <w:r>
        <w:fldChar w:fldCharType="end"/>
      </w:r>
    </w:p>
    <w:p>
      <w:pPr>
        <w:pStyle w:val="TOC8"/>
        <w:rPr>
          <w:sz w:val="24"/>
          <w:szCs w:val="24"/>
        </w:rPr>
      </w:pPr>
      <w:r>
        <w:rPr>
          <w:szCs w:val="24"/>
        </w:rPr>
        <w:t>68</w:t>
      </w:r>
      <w:r>
        <w:rPr>
          <w:snapToGrid w:val="0"/>
          <w:szCs w:val="24"/>
        </w:rPr>
        <w:t>.</w:t>
      </w:r>
      <w:r>
        <w:rPr>
          <w:snapToGrid w:val="0"/>
          <w:szCs w:val="24"/>
        </w:rPr>
        <w:tab/>
        <w:t>Reopening pawnbroking contracts</w:t>
      </w:r>
      <w:r>
        <w:tab/>
      </w:r>
      <w:r>
        <w:fldChar w:fldCharType="begin"/>
      </w:r>
      <w:r>
        <w:instrText xml:space="preserve"> PAGEREF _Toc147895314 \h </w:instrText>
      </w:r>
      <w:r>
        <w:fldChar w:fldCharType="separate"/>
      </w:r>
      <w:r>
        <w:t>33</w:t>
      </w:r>
      <w:r>
        <w:fldChar w:fldCharType="end"/>
      </w:r>
    </w:p>
    <w:p>
      <w:pPr>
        <w:pStyle w:val="TOC8"/>
        <w:rPr>
          <w:sz w:val="24"/>
          <w:szCs w:val="24"/>
        </w:rPr>
      </w:pPr>
      <w:r>
        <w:rPr>
          <w:szCs w:val="24"/>
        </w:rPr>
        <w:t>69</w:t>
      </w:r>
      <w:r>
        <w:rPr>
          <w:snapToGrid w:val="0"/>
          <w:szCs w:val="24"/>
        </w:rPr>
        <w:t>.</w:t>
      </w:r>
      <w:r>
        <w:rPr>
          <w:snapToGrid w:val="0"/>
          <w:szCs w:val="24"/>
        </w:rPr>
        <w:tab/>
        <w:t>Civil consequences of breach of section 6</w:t>
      </w:r>
      <w:r>
        <w:tab/>
      </w:r>
      <w:r>
        <w:fldChar w:fldCharType="begin"/>
      </w:r>
      <w:r>
        <w:instrText xml:space="preserve"> PAGEREF _Toc147895315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Civil consequences of breach of section 42</w:t>
      </w:r>
      <w:r>
        <w:tab/>
      </w:r>
      <w:r>
        <w:fldChar w:fldCharType="begin"/>
      </w:r>
      <w:r>
        <w:instrText xml:space="preserve"> PAGEREF _Toc147895316 \h </w:instrText>
      </w:r>
      <w:r>
        <w:fldChar w:fldCharType="separate"/>
      </w:r>
      <w:r>
        <w:t>33</w:t>
      </w:r>
      <w:r>
        <w:fldChar w:fldCharType="end"/>
      </w:r>
    </w:p>
    <w:p>
      <w:pPr>
        <w:pStyle w:val="TOC8"/>
        <w:rPr>
          <w:sz w:val="24"/>
          <w:szCs w:val="24"/>
        </w:rPr>
      </w:pPr>
      <w:r>
        <w:rPr>
          <w:szCs w:val="24"/>
        </w:rPr>
        <w:t>71</w:t>
      </w:r>
      <w:r>
        <w:rPr>
          <w:snapToGrid w:val="0"/>
          <w:szCs w:val="24"/>
        </w:rPr>
        <w:t>.</w:t>
      </w:r>
      <w:r>
        <w:rPr>
          <w:snapToGrid w:val="0"/>
          <w:szCs w:val="24"/>
        </w:rPr>
        <w:tab/>
        <w:t>Criminal liability</w:t>
      </w:r>
      <w:r>
        <w:tab/>
      </w:r>
      <w:r>
        <w:fldChar w:fldCharType="begin"/>
      </w:r>
      <w:r>
        <w:instrText xml:space="preserve"> PAGEREF _Toc147895317 \h </w:instrText>
      </w:r>
      <w:r>
        <w:fldChar w:fldCharType="separate"/>
      </w:r>
      <w:r>
        <w:t>34</w:t>
      </w:r>
      <w:r>
        <w:fldChar w:fldCharType="end"/>
      </w:r>
    </w:p>
    <w:p>
      <w:pPr>
        <w:pStyle w:val="TOC8"/>
        <w:rPr>
          <w:sz w:val="24"/>
          <w:szCs w:val="24"/>
        </w:rPr>
      </w:pPr>
      <w:r>
        <w:rPr>
          <w:szCs w:val="24"/>
        </w:rPr>
        <w:t>72</w:t>
      </w:r>
      <w:r>
        <w:rPr>
          <w:snapToGrid w:val="0"/>
          <w:szCs w:val="24"/>
        </w:rPr>
        <w:t>.</w:t>
      </w:r>
      <w:r>
        <w:rPr>
          <w:snapToGrid w:val="0"/>
          <w:szCs w:val="24"/>
        </w:rPr>
        <w:tab/>
        <w:t>Breach does not otherwise vitiate contract</w:t>
      </w:r>
      <w:r>
        <w:tab/>
      </w:r>
      <w:r>
        <w:fldChar w:fldCharType="begin"/>
      </w:r>
      <w:r>
        <w:instrText xml:space="preserve"> PAGEREF _Toc147895318 \h </w:instrText>
      </w:r>
      <w:r>
        <w:fldChar w:fldCharType="separate"/>
      </w:r>
      <w:r>
        <w:t>34</w:t>
      </w:r>
      <w:r>
        <w:fldChar w:fldCharType="end"/>
      </w:r>
    </w:p>
    <w:p>
      <w:pPr>
        <w:pStyle w:val="TOC8"/>
        <w:rPr>
          <w:sz w:val="24"/>
          <w:szCs w:val="24"/>
        </w:rPr>
      </w:pPr>
      <w:r>
        <w:rPr>
          <w:szCs w:val="24"/>
        </w:rPr>
        <w:t>73</w:t>
      </w:r>
      <w:r>
        <w:rPr>
          <w:snapToGrid w:val="0"/>
          <w:szCs w:val="24"/>
        </w:rPr>
        <w:t>.</w:t>
      </w:r>
      <w:r>
        <w:rPr>
          <w:snapToGrid w:val="0"/>
          <w:szCs w:val="24"/>
        </w:rPr>
        <w:tab/>
        <w:t>Relief from sections 69 and 70</w:t>
      </w:r>
      <w:r>
        <w:tab/>
      </w:r>
      <w:r>
        <w:fldChar w:fldCharType="begin"/>
      </w:r>
      <w:r>
        <w:instrText xml:space="preserve"> PAGEREF _Toc147895319 \h </w:instrText>
      </w:r>
      <w:r>
        <w:fldChar w:fldCharType="separate"/>
      </w:r>
      <w:r>
        <w:t>34</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74</w:t>
      </w:r>
      <w:r>
        <w:rPr>
          <w:snapToGrid w:val="0"/>
          <w:szCs w:val="24"/>
        </w:rPr>
        <w:t>.</w:t>
      </w:r>
      <w:r>
        <w:rPr>
          <w:snapToGrid w:val="0"/>
          <w:szCs w:val="24"/>
        </w:rPr>
        <w:tab/>
        <w:t>Entry to and inspection of licensed premises without warrant</w:t>
      </w:r>
      <w:r>
        <w:tab/>
      </w:r>
      <w:r>
        <w:fldChar w:fldCharType="begin"/>
      </w:r>
      <w:r>
        <w:instrText xml:space="preserve"> PAGEREF _Toc147895321 \h </w:instrText>
      </w:r>
      <w:r>
        <w:fldChar w:fldCharType="separate"/>
      </w:r>
      <w:r>
        <w:t>36</w:t>
      </w:r>
      <w:r>
        <w:fldChar w:fldCharType="end"/>
      </w:r>
    </w:p>
    <w:p>
      <w:pPr>
        <w:pStyle w:val="TOC8"/>
        <w:rPr>
          <w:sz w:val="24"/>
          <w:szCs w:val="24"/>
        </w:rPr>
      </w:pPr>
      <w:r>
        <w:rPr>
          <w:szCs w:val="24"/>
        </w:rPr>
        <w:t>75</w:t>
      </w:r>
      <w:r>
        <w:rPr>
          <w:snapToGrid w:val="0"/>
          <w:szCs w:val="24"/>
        </w:rPr>
        <w:t>.</w:t>
      </w:r>
      <w:r>
        <w:rPr>
          <w:snapToGrid w:val="0"/>
          <w:szCs w:val="24"/>
        </w:rPr>
        <w:tab/>
        <w:t>Assistance in the location of goods at licensed premises</w:t>
      </w:r>
      <w:r>
        <w:tab/>
      </w:r>
      <w:r>
        <w:fldChar w:fldCharType="begin"/>
      </w:r>
      <w:r>
        <w:instrText xml:space="preserve"> PAGEREF _Toc147895322 \h </w:instrText>
      </w:r>
      <w:r>
        <w:fldChar w:fldCharType="separate"/>
      </w:r>
      <w:r>
        <w:t>36</w:t>
      </w:r>
      <w:r>
        <w:fldChar w:fldCharType="end"/>
      </w:r>
    </w:p>
    <w:p>
      <w:pPr>
        <w:pStyle w:val="TOC8"/>
        <w:rPr>
          <w:sz w:val="24"/>
          <w:szCs w:val="24"/>
        </w:rPr>
      </w:pPr>
      <w:r>
        <w:rPr>
          <w:szCs w:val="24"/>
        </w:rPr>
        <w:t>76</w:t>
      </w:r>
      <w:r>
        <w:rPr>
          <w:snapToGrid w:val="0"/>
          <w:szCs w:val="24"/>
        </w:rPr>
        <w:t>.</w:t>
      </w:r>
      <w:r>
        <w:rPr>
          <w:snapToGrid w:val="0"/>
          <w:szCs w:val="24"/>
        </w:rPr>
        <w:tab/>
        <w:t>Provision of, and assistance in relation to, records etc.</w:t>
      </w:r>
      <w:r>
        <w:tab/>
      </w:r>
      <w:r>
        <w:fldChar w:fldCharType="begin"/>
      </w:r>
      <w:r>
        <w:instrText xml:space="preserve"> PAGEREF _Toc147895323 \h </w:instrText>
      </w:r>
      <w:r>
        <w:fldChar w:fldCharType="separate"/>
      </w:r>
      <w:r>
        <w:t>37</w:t>
      </w:r>
      <w:r>
        <w:fldChar w:fldCharType="end"/>
      </w:r>
    </w:p>
    <w:p>
      <w:pPr>
        <w:pStyle w:val="TOC8"/>
        <w:rPr>
          <w:sz w:val="24"/>
          <w:szCs w:val="24"/>
        </w:rPr>
      </w:pPr>
      <w:r>
        <w:rPr>
          <w:szCs w:val="24"/>
        </w:rPr>
        <w:t>77</w:t>
      </w:r>
      <w:r>
        <w:rPr>
          <w:snapToGrid w:val="0"/>
          <w:szCs w:val="24"/>
        </w:rPr>
        <w:t>.</w:t>
      </w:r>
      <w:r>
        <w:rPr>
          <w:snapToGrid w:val="0"/>
          <w:szCs w:val="24"/>
        </w:rPr>
        <w:tab/>
        <w:t>Police may seize records for certain purposes</w:t>
      </w:r>
      <w:r>
        <w:tab/>
      </w:r>
      <w:r>
        <w:fldChar w:fldCharType="begin"/>
      </w:r>
      <w:r>
        <w:instrText xml:space="preserve"> PAGEREF _Toc147895324 \h </w:instrText>
      </w:r>
      <w:r>
        <w:fldChar w:fldCharType="separate"/>
      </w:r>
      <w:r>
        <w:t>38</w:t>
      </w:r>
      <w:r>
        <w:fldChar w:fldCharType="end"/>
      </w:r>
    </w:p>
    <w:p>
      <w:pPr>
        <w:pStyle w:val="TOC8"/>
        <w:rPr>
          <w:sz w:val="24"/>
          <w:szCs w:val="24"/>
        </w:rPr>
      </w:pPr>
      <w:r>
        <w:rPr>
          <w:szCs w:val="24"/>
        </w:rPr>
        <w:t>78</w:t>
      </w:r>
      <w:r>
        <w:rPr>
          <w:snapToGrid w:val="0"/>
          <w:szCs w:val="24"/>
        </w:rPr>
        <w:t>.</w:t>
      </w:r>
      <w:r>
        <w:rPr>
          <w:snapToGrid w:val="0"/>
          <w:szCs w:val="24"/>
        </w:rPr>
        <w:tab/>
        <w:t>Police to be informed in certain circumstances</w:t>
      </w:r>
      <w:r>
        <w:tab/>
      </w:r>
      <w:r>
        <w:fldChar w:fldCharType="begin"/>
      </w:r>
      <w:r>
        <w:instrText xml:space="preserve"> PAGEREF _Toc147895325 \h </w:instrText>
      </w:r>
      <w:r>
        <w:fldChar w:fldCharType="separate"/>
      </w:r>
      <w:r>
        <w:t>38</w:t>
      </w:r>
      <w:r>
        <w:fldChar w:fldCharType="end"/>
      </w:r>
    </w:p>
    <w:p>
      <w:pPr>
        <w:pStyle w:val="TOC8"/>
        <w:rPr>
          <w:sz w:val="24"/>
          <w:szCs w:val="24"/>
        </w:rPr>
      </w:pPr>
      <w:r>
        <w:rPr>
          <w:szCs w:val="24"/>
        </w:rPr>
        <w:t>79</w:t>
      </w:r>
      <w:r>
        <w:rPr>
          <w:snapToGrid w:val="0"/>
          <w:szCs w:val="24"/>
        </w:rPr>
        <w:t>.</w:t>
      </w:r>
      <w:r>
        <w:rPr>
          <w:snapToGrid w:val="0"/>
          <w:szCs w:val="24"/>
        </w:rPr>
        <w:tab/>
        <w:t>Information about goods to be given to Commissioner in accordance with regulations</w:t>
      </w:r>
      <w:r>
        <w:tab/>
      </w:r>
      <w:r>
        <w:fldChar w:fldCharType="begin"/>
      </w:r>
      <w:r>
        <w:instrText xml:space="preserve"> PAGEREF _Toc147895326 \h </w:instrText>
      </w:r>
      <w:r>
        <w:fldChar w:fldCharType="separate"/>
      </w:r>
      <w:r>
        <w:t>39</w:t>
      </w:r>
      <w:r>
        <w:fldChar w:fldCharType="end"/>
      </w:r>
    </w:p>
    <w:p>
      <w:pPr>
        <w:pStyle w:val="TOC8"/>
        <w:rPr>
          <w:sz w:val="24"/>
          <w:szCs w:val="24"/>
        </w:rPr>
      </w:pPr>
      <w:r>
        <w:rPr>
          <w:szCs w:val="24"/>
        </w:rPr>
        <w:t>80</w:t>
      </w:r>
      <w:r>
        <w:rPr>
          <w:snapToGrid w:val="0"/>
          <w:szCs w:val="24"/>
        </w:rPr>
        <w:t>.</w:t>
      </w:r>
      <w:r>
        <w:rPr>
          <w:snapToGrid w:val="0"/>
          <w:szCs w:val="24"/>
        </w:rPr>
        <w:tab/>
        <w:t>Notice to stop dealing</w:t>
      </w:r>
      <w:r>
        <w:tab/>
      </w:r>
      <w:r>
        <w:fldChar w:fldCharType="begin"/>
      </w:r>
      <w:r>
        <w:instrText xml:space="preserve"> PAGEREF _Toc147895327 \h </w:instrText>
      </w:r>
      <w:r>
        <w:fldChar w:fldCharType="separate"/>
      </w:r>
      <w:r>
        <w:t>39</w:t>
      </w:r>
      <w:r>
        <w:fldChar w:fldCharType="end"/>
      </w:r>
    </w:p>
    <w:p>
      <w:pPr>
        <w:pStyle w:val="TOC8"/>
        <w:rPr>
          <w:sz w:val="24"/>
          <w:szCs w:val="24"/>
        </w:rPr>
      </w:pPr>
      <w:r>
        <w:rPr>
          <w:szCs w:val="24"/>
        </w:rPr>
        <w:t>81</w:t>
      </w:r>
      <w:r>
        <w:rPr>
          <w:snapToGrid w:val="0"/>
          <w:szCs w:val="24"/>
        </w:rPr>
        <w:t>.</w:t>
      </w:r>
      <w:r>
        <w:rPr>
          <w:snapToGrid w:val="0"/>
          <w:szCs w:val="24"/>
        </w:rPr>
        <w:tab/>
        <w:t>Seizure of goods suspected stolen</w:t>
      </w:r>
      <w:r>
        <w:tab/>
      </w:r>
      <w:r>
        <w:fldChar w:fldCharType="begin"/>
      </w:r>
      <w:r>
        <w:instrText xml:space="preserve"> PAGEREF _Toc147895328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Name and address</w:t>
      </w:r>
      <w:r>
        <w:tab/>
      </w:r>
      <w:r>
        <w:fldChar w:fldCharType="begin"/>
      </w:r>
      <w:r>
        <w:instrText xml:space="preserve"> PAGEREF _Toc147895329 \h </w:instrText>
      </w:r>
      <w:r>
        <w:fldChar w:fldCharType="separate"/>
      </w:r>
      <w:r>
        <w:t>41</w:t>
      </w:r>
      <w:r>
        <w:fldChar w:fldCharType="end"/>
      </w:r>
    </w:p>
    <w:p>
      <w:pPr>
        <w:pStyle w:val="TOC8"/>
        <w:rPr>
          <w:sz w:val="24"/>
          <w:szCs w:val="24"/>
        </w:rPr>
      </w:pPr>
      <w:r>
        <w:rPr>
          <w:szCs w:val="24"/>
        </w:rPr>
        <w:t>83</w:t>
      </w:r>
      <w:r>
        <w:rPr>
          <w:snapToGrid w:val="0"/>
          <w:szCs w:val="24"/>
        </w:rPr>
        <w:t>.</w:t>
      </w:r>
      <w:r>
        <w:rPr>
          <w:snapToGrid w:val="0"/>
          <w:szCs w:val="24"/>
        </w:rPr>
        <w:tab/>
        <w:t>Power of pawnbrokers, dealers etc. to arrest</w:t>
      </w:r>
      <w:r>
        <w:tab/>
      </w:r>
      <w:r>
        <w:fldChar w:fldCharType="begin"/>
      </w:r>
      <w:r>
        <w:instrText xml:space="preserve"> PAGEREF _Toc147895330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Offence of hindering police</w:t>
      </w:r>
      <w:r>
        <w:tab/>
      </w:r>
      <w:r>
        <w:fldChar w:fldCharType="begin"/>
      </w:r>
      <w:r>
        <w:instrText xml:space="preserve"> PAGEREF _Toc147895331 \h </w:instrText>
      </w:r>
      <w:r>
        <w:fldChar w:fldCharType="separate"/>
      </w:r>
      <w:r>
        <w:t>42</w:t>
      </w:r>
      <w:r>
        <w:fldChar w:fldCharType="end"/>
      </w:r>
    </w:p>
    <w:p>
      <w:pPr>
        <w:pStyle w:val="TOC8"/>
        <w:rPr>
          <w:sz w:val="24"/>
          <w:szCs w:val="24"/>
        </w:rPr>
      </w:pPr>
      <w:r>
        <w:rPr>
          <w:szCs w:val="24"/>
        </w:rPr>
        <w:t>85</w:t>
      </w:r>
      <w:r>
        <w:rPr>
          <w:snapToGrid w:val="0"/>
          <w:szCs w:val="24"/>
        </w:rPr>
        <w:t>.</w:t>
      </w:r>
      <w:r>
        <w:rPr>
          <w:snapToGrid w:val="0"/>
          <w:szCs w:val="24"/>
        </w:rPr>
        <w:tab/>
        <w:t>Summary orders where goods stolen, pawned etc.</w:t>
      </w:r>
      <w:r>
        <w:tab/>
      </w:r>
      <w:r>
        <w:fldChar w:fldCharType="begin"/>
      </w:r>
      <w:r>
        <w:instrText xml:space="preserve"> PAGEREF _Toc147895332 \h </w:instrText>
      </w:r>
      <w:r>
        <w:fldChar w:fldCharType="separate"/>
      </w:r>
      <w:r>
        <w:t>42</w:t>
      </w:r>
      <w:r>
        <w:fldChar w:fldCharType="end"/>
      </w:r>
    </w:p>
    <w:p>
      <w:pPr>
        <w:pStyle w:val="TOC8"/>
        <w:rPr>
          <w:sz w:val="24"/>
          <w:szCs w:val="24"/>
        </w:rPr>
      </w:pPr>
      <w:r>
        <w:rPr>
          <w:szCs w:val="24"/>
        </w:rPr>
        <w:t>86</w:t>
      </w:r>
      <w:r>
        <w:rPr>
          <w:snapToGrid w:val="0"/>
          <w:szCs w:val="24"/>
        </w:rPr>
        <w:t>.</w:t>
      </w:r>
      <w:r>
        <w:rPr>
          <w:snapToGrid w:val="0"/>
          <w:szCs w:val="24"/>
        </w:rPr>
        <w:tab/>
        <w:t>Summary orders where competing claims to goods</w:t>
      </w:r>
      <w:r>
        <w:tab/>
      </w:r>
      <w:r>
        <w:fldChar w:fldCharType="begin"/>
      </w:r>
      <w:r>
        <w:instrText xml:space="preserve"> PAGEREF _Toc147895333 \h </w:instrText>
      </w:r>
      <w:r>
        <w:fldChar w:fldCharType="separate"/>
      </w:r>
      <w:r>
        <w:t>43</w:t>
      </w:r>
      <w:r>
        <w:fldChar w:fldCharType="end"/>
      </w:r>
    </w:p>
    <w:p>
      <w:pPr>
        <w:pStyle w:val="TOC8"/>
        <w:rPr>
          <w:sz w:val="24"/>
          <w:szCs w:val="24"/>
        </w:rPr>
      </w:pPr>
      <w:r>
        <w:rPr>
          <w:szCs w:val="24"/>
        </w:rPr>
        <w:t>87</w:t>
      </w:r>
      <w:r>
        <w:rPr>
          <w:snapToGrid w:val="0"/>
          <w:szCs w:val="24"/>
        </w:rPr>
        <w:t>.</w:t>
      </w:r>
      <w:r>
        <w:rPr>
          <w:snapToGrid w:val="0"/>
          <w:szCs w:val="24"/>
        </w:rPr>
        <w:tab/>
        <w:t>Procedure for sections 85 and 86</w:t>
      </w:r>
      <w:r>
        <w:tab/>
      </w:r>
      <w:r>
        <w:fldChar w:fldCharType="begin"/>
      </w:r>
      <w:r>
        <w:instrText xml:space="preserve"> PAGEREF _Toc147895334 \h </w:instrText>
      </w:r>
      <w:r>
        <w:fldChar w:fldCharType="separate"/>
      </w:r>
      <w:r>
        <w:t>44</w:t>
      </w:r>
      <w:r>
        <w:fldChar w:fldCharType="end"/>
      </w:r>
    </w:p>
    <w:p>
      <w:pPr>
        <w:pStyle w:val="TOC8"/>
        <w:rPr>
          <w:sz w:val="24"/>
          <w:szCs w:val="24"/>
        </w:rPr>
      </w:pPr>
      <w:r>
        <w:rPr>
          <w:szCs w:val="24"/>
        </w:rPr>
        <w:t>88</w:t>
      </w:r>
      <w:r>
        <w:rPr>
          <w:snapToGrid w:val="0"/>
          <w:szCs w:val="24"/>
        </w:rPr>
        <w:t>.</w:t>
      </w:r>
      <w:r>
        <w:rPr>
          <w:snapToGrid w:val="0"/>
          <w:szCs w:val="24"/>
        </w:rPr>
        <w:tab/>
        <w:t>Licensee’s liability for employees, agents</w:t>
      </w:r>
      <w:r>
        <w:tab/>
      </w:r>
      <w:r>
        <w:fldChar w:fldCharType="begin"/>
      </w:r>
      <w:r>
        <w:instrText xml:space="preserve"> PAGEREF _Toc147895335 \h </w:instrText>
      </w:r>
      <w:r>
        <w:fldChar w:fldCharType="separate"/>
      </w:r>
      <w:r>
        <w:t>44</w:t>
      </w:r>
      <w:r>
        <w:fldChar w:fldCharType="end"/>
      </w:r>
    </w:p>
    <w:p>
      <w:pPr>
        <w:pStyle w:val="TOC8"/>
        <w:rPr>
          <w:sz w:val="24"/>
          <w:szCs w:val="24"/>
        </w:rPr>
      </w:pPr>
      <w:r>
        <w:rPr>
          <w:szCs w:val="24"/>
        </w:rPr>
        <w:t>89</w:t>
      </w:r>
      <w:r>
        <w:rPr>
          <w:snapToGrid w:val="0"/>
          <w:szCs w:val="24"/>
        </w:rPr>
        <w:t>.</w:t>
      </w:r>
      <w:r>
        <w:rPr>
          <w:snapToGrid w:val="0"/>
          <w:szCs w:val="24"/>
        </w:rPr>
        <w:tab/>
        <w:t>Liability of partners, bodies corporate and officers</w:t>
      </w:r>
      <w:r>
        <w:tab/>
      </w:r>
      <w:r>
        <w:fldChar w:fldCharType="begin"/>
      </w:r>
      <w:r>
        <w:instrText xml:space="preserve"> PAGEREF _Toc147895336 \h </w:instrText>
      </w:r>
      <w:r>
        <w:fldChar w:fldCharType="separate"/>
      </w:r>
      <w:r>
        <w:t>45</w:t>
      </w:r>
      <w:r>
        <w:fldChar w:fldCharType="end"/>
      </w:r>
    </w:p>
    <w:p>
      <w:pPr>
        <w:pStyle w:val="TOC8"/>
        <w:rPr>
          <w:sz w:val="24"/>
          <w:szCs w:val="24"/>
        </w:rPr>
      </w:pPr>
      <w:r>
        <w:rPr>
          <w:szCs w:val="24"/>
        </w:rPr>
        <w:t>90</w:t>
      </w:r>
      <w:r>
        <w:rPr>
          <w:snapToGrid w:val="0"/>
          <w:szCs w:val="24"/>
        </w:rPr>
        <w:t>.</w:t>
      </w:r>
      <w:r>
        <w:rPr>
          <w:snapToGrid w:val="0"/>
          <w:szCs w:val="24"/>
        </w:rPr>
        <w:tab/>
        <w:t>Infringement notices</w:t>
      </w:r>
      <w:r>
        <w:tab/>
      </w:r>
      <w:r>
        <w:fldChar w:fldCharType="begin"/>
      </w:r>
      <w:r>
        <w:instrText xml:space="preserve"> PAGEREF _Toc147895337 \h </w:instrText>
      </w:r>
      <w:r>
        <w:fldChar w:fldCharType="separate"/>
      </w:r>
      <w:r>
        <w:t>46</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91</w:t>
      </w:r>
      <w:r>
        <w:rPr>
          <w:snapToGrid w:val="0"/>
          <w:szCs w:val="24"/>
        </w:rPr>
        <w:t>.</w:t>
      </w:r>
      <w:r>
        <w:rPr>
          <w:snapToGrid w:val="0"/>
          <w:szCs w:val="24"/>
        </w:rPr>
        <w:tab/>
        <w:t>Delegation by Commissioner</w:t>
      </w:r>
      <w:r>
        <w:tab/>
      </w:r>
      <w:r>
        <w:fldChar w:fldCharType="begin"/>
      </w:r>
      <w:r>
        <w:instrText xml:space="preserve"> PAGEREF _Toc147895339 \h </w:instrText>
      </w:r>
      <w:r>
        <w:fldChar w:fldCharType="separate"/>
      </w:r>
      <w:r>
        <w:t>48</w:t>
      </w:r>
      <w:r>
        <w:fldChar w:fldCharType="end"/>
      </w:r>
    </w:p>
    <w:p>
      <w:pPr>
        <w:pStyle w:val="TOC8"/>
        <w:rPr>
          <w:sz w:val="24"/>
          <w:szCs w:val="24"/>
        </w:rPr>
      </w:pPr>
      <w:r>
        <w:rPr>
          <w:szCs w:val="24"/>
        </w:rPr>
        <w:t>92</w:t>
      </w:r>
      <w:r>
        <w:rPr>
          <w:snapToGrid w:val="0"/>
          <w:szCs w:val="24"/>
        </w:rPr>
        <w:t>.</w:t>
      </w:r>
      <w:r>
        <w:rPr>
          <w:snapToGrid w:val="0"/>
          <w:szCs w:val="24"/>
        </w:rPr>
        <w:tab/>
      </w:r>
      <w:r>
        <w:rPr>
          <w:i/>
          <w:snapToGrid w:val="0"/>
          <w:szCs w:val="24"/>
        </w:rPr>
        <w:t>Financial Administration and Audit Act 1985</w:t>
      </w:r>
      <w:r>
        <w:tab/>
      </w:r>
      <w:r>
        <w:fldChar w:fldCharType="begin"/>
      </w:r>
      <w:r>
        <w:instrText xml:space="preserve"> PAGEREF _Toc147895340 \h </w:instrText>
      </w:r>
      <w:r>
        <w:fldChar w:fldCharType="separate"/>
      </w:r>
      <w:r>
        <w:t>48</w:t>
      </w:r>
      <w:r>
        <w:fldChar w:fldCharType="end"/>
      </w:r>
    </w:p>
    <w:p>
      <w:pPr>
        <w:pStyle w:val="TOC8"/>
        <w:rPr>
          <w:sz w:val="24"/>
          <w:szCs w:val="24"/>
        </w:rPr>
      </w:pPr>
      <w:r>
        <w:rPr>
          <w:szCs w:val="24"/>
        </w:rPr>
        <w:t>93</w:t>
      </w:r>
      <w:r>
        <w:rPr>
          <w:snapToGrid w:val="0"/>
          <w:szCs w:val="24"/>
        </w:rPr>
        <w:t>.</w:t>
      </w:r>
      <w:r>
        <w:rPr>
          <w:snapToGrid w:val="0"/>
          <w:szCs w:val="24"/>
        </w:rPr>
        <w:tab/>
        <w:t>Orders to enable redemption of goods where licence revoked etc.</w:t>
      </w:r>
      <w:r>
        <w:tab/>
      </w:r>
      <w:r>
        <w:fldChar w:fldCharType="begin"/>
      </w:r>
      <w:r>
        <w:instrText xml:space="preserve"> PAGEREF _Toc147895341 \h </w:instrText>
      </w:r>
      <w:r>
        <w:fldChar w:fldCharType="separate"/>
      </w:r>
      <w:r>
        <w:t>48</w:t>
      </w:r>
      <w:r>
        <w:fldChar w:fldCharType="end"/>
      </w:r>
    </w:p>
    <w:p>
      <w:pPr>
        <w:pStyle w:val="TOC8"/>
        <w:rPr>
          <w:sz w:val="24"/>
          <w:szCs w:val="24"/>
        </w:rPr>
      </w:pPr>
      <w:r>
        <w:rPr>
          <w:szCs w:val="24"/>
        </w:rPr>
        <w:t>94</w:t>
      </w:r>
      <w:r>
        <w:rPr>
          <w:snapToGrid w:val="0"/>
          <w:szCs w:val="24"/>
        </w:rPr>
        <w:t>.</w:t>
      </w:r>
      <w:r>
        <w:rPr>
          <w:snapToGrid w:val="0"/>
          <w:szCs w:val="24"/>
        </w:rPr>
        <w:tab/>
        <w:t>Service</w:t>
      </w:r>
      <w:r>
        <w:tab/>
      </w:r>
      <w:r>
        <w:fldChar w:fldCharType="begin"/>
      </w:r>
      <w:r>
        <w:instrText xml:space="preserve"> PAGEREF _Toc147895342 \h </w:instrText>
      </w:r>
      <w:r>
        <w:fldChar w:fldCharType="separate"/>
      </w:r>
      <w:r>
        <w:t>49</w:t>
      </w:r>
      <w:r>
        <w:fldChar w:fldCharType="end"/>
      </w:r>
    </w:p>
    <w:p>
      <w:pPr>
        <w:pStyle w:val="TOC8"/>
        <w:rPr>
          <w:sz w:val="24"/>
          <w:szCs w:val="24"/>
        </w:rPr>
      </w:pPr>
      <w:r>
        <w:rPr>
          <w:szCs w:val="24"/>
        </w:rPr>
        <w:t>95</w:t>
      </w:r>
      <w:r>
        <w:rPr>
          <w:snapToGrid w:val="0"/>
          <w:szCs w:val="24"/>
        </w:rPr>
        <w:t>.</w:t>
      </w:r>
      <w:r>
        <w:rPr>
          <w:snapToGrid w:val="0"/>
          <w:szCs w:val="24"/>
        </w:rPr>
        <w:tab/>
        <w:t>Secrecy</w:t>
      </w:r>
      <w:r>
        <w:tab/>
      </w:r>
      <w:r>
        <w:fldChar w:fldCharType="begin"/>
      </w:r>
      <w:r>
        <w:instrText xml:space="preserve"> PAGEREF _Toc147895343 \h </w:instrText>
      </w:r>
      <w:r>
        <w:fldChar w:fldCharType="separate"/>
      </w:r>
      <w:r>
        <w:t>49</w:t>
      </w:r>
      <w:r>
        <w:fldChar w:fldCharType="end"/>
      </w:r>
    </w:p>
    <w:p>
      <w:pPr>
        <w:pStyle w:val="TOC8"/>
        <w:rPr>
          <w:sz w:val="24"/>
          <w:szCs w:val="24"/>
        </w:rPr>
      </w:pPr>
      <w:r>
        <w:rPr>
          <w:szCs w:val="24"/>
        </w:rPr>
        <w:t>96</w:t>
      </w:r>
      <w:r>
        <w:rPr>
          <w:snapToGrid w:val="0"/>
          <w:szCs w:val="24"/>
        </w:rPr>
        <w:t>.</w:t>
      </w:r>
      <w:r>
        <w:rPr>
          <w:snapToGrid w:val="0"/>
          <w:szCs w:val="24"/>
        </w:rPr>
        <w:tab/>
        <w:t>Protection from liability</w:t>
      </w:r>
      <w:r>
        <w:tab/>
      </w:r>
      <w:r>
        <w:fldChar w:fldCharType="begin"/>
      </w:r>
      <w:r>
        <w:instrText xml:space="preserve"> PAGEREF _Toc147895344 \h </w:instrText>
      </w:r>
      <w:r>
        <w:fldChar w:fldCharType="separate"/>
      </w:r>
      <w:r>
        <w:t>50</w:t>
      </w:r>
      <w:r>
        <w:fldChar w:fldCharType="end"/>
      </w:r>
    </w:p>
    <w:p>
      <w:pPr>
        <w:pStyle w:val="TOC8"/>
        <w:rPr>
          <w:sz w:val="24"/>
          <w:szCs w:val="24"/>
        </w:rPr>
      </w:pPr>
      <w:r>
        <w:rPr>
          <w:szCs w:val="24"/>
        </w:rPr>
        <w:t>97</w:t>
      </w:r>
      <w:r>
        <w:rPr>
          <w:snapToGrid w:val="0"/>
          <w:szCs w:val="24"/>
        </w:rPr>
        <w:t>.</w:t>
      </w:r>
      <w:r>
        <w:rPr>
          <w:snapToGrid w:val="0"/>
          <w:szCs w:val="24"/>
        </w:rPr>
        <w:tab/>
        <w:t>Evidentiary provisions</w:t>
      </w:r>
      <w:r>
        <w:tab/>
      </w:r>
      <w:r>
        <w:fldChar w:fldCharType="begin"/>
      </w:r>
      <w:r>
        <w:instrText xml:space="preserve"> PAGEREF _Toc147895345 \h </w:instrText>
      </w:r>
      <w:r>
        <w:fldChar w:fldCharType="separate"/>
      </w:r>
      <w:r>
        <w:t>50</w:t>
      </w:r>
      <w:r>
        <w:fldChar w:fldCharType="end"/>
      </w:r>
    </w:p>
    <w:p>
      <w:pPr>
        <w:pStyle w:val="TOC8"/>
        <w:rPr>
          <w:sz w:val="24"/>
          <w:szCs w:val="24"/>
        </w:rPr>
      </w:pPr>
      <w:r>
        <w:rPr>
          <w:szCs w:val="24"/>
        </w:rPr>
        <w:t>98</w:t>
      </w:r>
      <w:r>
        <w:rPr>
          <w:snapToGrid w:val="0"/>
          <w:szCs w:val="24"/>
        </w:rPr>
        <w:t>.</w:t>
      </w:r>
      <w:r>
        <w:rPr>
          <w:snapToGrid w:val="0"/>
          <w:szCs w:val="24"/>
        </w:rPr>
        <w:tab/>
        <w:t>Regulations</w:t>
      </w:r>
      <w:r>
        <w:tab/>
      </w:r>
      <w:r>
        <w:fldChar w:fldCharType="begin"/>
      </w:r>
      <w:r>
        <w:instrText xml:space="preserve"> PAGEREF _Toc147895346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_Toc147895348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_Toc147895349 \h </w:instrText>
      </w:r>
      <w:r>
        <w:fldChar w:fldCharType="separate"/>
      </w:r>
      <w:r>
        <w:t>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 xml:space="preserve">hand dealers, to repeal the —  </w:t>
      </w:r>
    </w:p>
    <w:p>
      <w:pPr>
        <w:pStyle w:val="LongTitle2"/>
        <w:rPr>
          <w:snapToGrid w:val="0"/>
        </w:rPr>
      </w:pPr>
      <w:r>
        <w:rPr>
          <w:snapToGrid w:val="0"/>
        </w:rPr>
        <w:tab/>
        <w:t>•</w:t>
      </w:r>
      <w:r>
        <w:rPr>
          <w:snapToGrid w:val="0"/>
        </w:rPr>
        <w:tab/>
      </w:r>
      <w:r>
        <w:rPr>
          <w:i/>
          <w:iCs/>
          <w:snapToGrid w:val="0"/>
        </w:rPr>
        <w:t>Pawnbrokers Act 1860</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snapToGrid w:val="0"/>
        </w:rPr>
        <w:t xml:space="preserve">, </w:t>
      </w:r>
    </w:p>
    <w:p>
      <w:pPr>
        <w:pStyle w:val="LongTitle"/>
        <w:spacing w:before="60"/>
        <w:rPr>
          <w:snapToGrid w:val="0"/>
        </w:rPr>
      </w:pPr>
      <w:r>
        <w:rPr>
          <w:snapToGrid w:val="0"/>
        </w:rPr>
        <w:t>and for related purposes.</w:t>
      </w:r>
    </w:p>
    <w:p>
      <w:pPr>
        <w:pStyle w:val="Heading2"/>
      </w:pPr>
      <w:bookmarkStart w:id="2" w:name="_Toc89489122"/>
      <w:bookmarkStart w:id="3" w:name="_Toc89511571"/>
      <w:bookmarkStart w:id="4" w:name="_Toc92687947"/>
      <w:bookmarkStart w:id="5" w:name="_Toc97003623"/>
      <w:bookmarkStart w:id="6" w:name="_Toc103141681"/>
      <w:bookmarkStart w:id="7" w:name="_Toc147832194"/>
      <w:bookmarkStart w:id="8" w:name="_Toc1478952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1489623"/>
      <w:bookmarkStart w:id="10" w:name="_Toc11489948"/>
      <w:bookmarkStart w:id="11" w:name="_Toc11490164"/>
      <w:bookmarkStart w:id="12" w:name="_Toc103141682"/>
      <w:bookmarkStart w:id="13" w:name="_Toc147895238"/>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14" w:name="_Toc11489624"/>
      <w:bookmarkStart w:id="15" w:name="_Toc11489949"/>
      <w:bookmarkStart w:id="16" w:name="_Toc11490165"/>
      <w:bookmarkStart w:id="17" w:name="_Toc103141683"/>
      <w:bookmarkStart w:id="18" w:name="_Toc147895239"/>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19" w:name="_Toc11489625"/>
      <w:bookmarkStart w:id="20" w:name="_Toc11489950"/>
      <w:bookmarkStart w:id="21" w:name="_Toc11490166"/>
      <w:bookmarkStart w:id="22" w:name="_Toc103141684"/>
      <w:bookmarkStart w:id="23" w:name="_Toc147895240"/>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keepNext/>
      </w:pPr>
      <w:r>
        <w:rPr>
          <w:b/>
        </w:rPr>
        <w:tab/>
        <w:t>“</w:t>
      </w:r>
      <w:r>
        <w:rPr>
          <w:rStyle w:val="CharDefText"/>
        </w:rPr>
        <w:t>pawnbroker</w:t>
      </w:r>
      <w:r>
        <w:rPr>
          <w:b/>
        </w:rPr>
        <w:t>”</w:t>
      </w:r>
      <w:r>
        <w:t xml:space="preserve"> means a person conducting the business of — </w:t>
      </w:r>
    </w:p>
    <w:p>
      <w:pPr>
        <w:pStyle w:val="Defpara"/>
      </w:pPr>
      <w:r>
        <w:tab/>
        <w:t>(a)</w:t>
      </w:r>
      <w:r>
        <w:tab/>
        <w:t>lending money on the security of pawned goods; or</w:t>
      </w:r>
    </w:p>
    <w:p>
      <w:pPr>
        <w:pStyle w:val="Defpara"/>
      </w:pPr>
      <w:r>
        <w:tab/>
        <w:t>(b)</w:t>
      </w:r>
      <w:r>
        <w:tab/>
        <w:t>receiving goods under a contract for sale where the seller has a right to buy back the goods;</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Heading5"/>
        <w:rPr>
          <w:snapToGrid w:val="0"/>
        </w:rPr>
      </w:pPr>
      <w:bookmarkStart w:id="24" w:name="_Toc11489626"/>
      <w:bookmarkStart w:id="25" w:name="_Toc11489951"/>
      <w:bookmarkStart w:id="26" w:name="_Toc11490167"/>
      <w:bookmarkStart w:id="27" w:name="_Toc103141685"/>
      <w:bookmarkStart w:id="28" w:name="_Toc147895241"/>
      <w:r>
        <w:rPr>
          <w:rStyle w:val="CharSectno"/>
        </w:rPr>
        <w:t>4</w:t>
      </w:r>
      <w:r>
        <w:rPr>
          <w:snapToGrid w:val="0"/>
        </w:rPr>
        <w:t>.</w:t>
      </w:r>
      <w:r>
        <w:rPr>
          <w:snapToGrid w:val="0"/>
        </w:rPr>
        <w:tab/>
        <w:t>Application</w:t>
      </w:r>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rPr>
          <w:snapToGrid w:val="0"/>
        </w:rPr>
      </w:pPr>
      <w:bookmarkStart w:id="29" w:name="_Toc11489627"/>
      <w:bookmarkStart w:id="30" w:name="_Toc11489952"/>
      <w:bookmarkStart w:id="31" w:name="_Toc11490168"/>
      <w:bookmarkStart w:id="32" w:name="_Toc103141686"/>
      <w:bookmarkStart w:id="33" w:name="_Toc147895242"/>
      <w:r>
        <w:rPr>
          <w:rStyle w:val="CharSectno"/>
        </w:rPr>
        <w:t>5</w:t>
      </w:r>
      <w:r>
        <w:rPr>
          <w:snapToGrid w:val="0"/>
        </w:rPr>
        <w:t>.</w:t>
      </w:r>
      <w:r>
        <w:rPr>
          <w:snapToGrid w:val="0"/>
        </w:rPr>
        <w:tab/>
        <w:t>Deeming of loan and interest under “buy back” contracts</w:t>
      </w:r>
      <w:bookmarkEnd w:id="29"/>
      <w:bookmarkEnd w:id="30"/>
      <w:bookmarkEnd w:id="31"/>
      <w:bookmarkEnd w:id="32"/>
      <w:bookmarkEnd w:id="33"/>
      <w:r>
        <w:rPr>
          <w:snapToGrid w:val="0"/>
        </w:rPr>
        <w:t xml:space="preserve"> </w:t>
      </w:r>
    </w:p>
    <w:p>
      <w:pPr>
        <w:pStyle w:val="Subsection"/>
        <w:keepNext/>
        <w:rPr>
          <w:snapToGrid w:val="0"/>
        </w:rPr>
      </w:pPr>
      <w:r>
        <w:rPr>
          <w:snapToGrid w:val="0"/>
        </w:rPr>
        <w:tab/>
      </w:r>
      <w:r>
        <w:rPr>
          <w:snapToGrid w:val="0"/>
        </w:rPr>
        <w:tab/>
        <w:t>In the case of a pawnbroker receiving goods under a contract for sale where the seller has a right to buy back the goods, then for the purposes of this Act — </w:t>
      </w:r>
    </w:p>
    <w:p>
      <w:pPr>
        <w:pStyle w:val="Indenta"/>
        <w:rPr>
          <w:snapToGrid w:val="0"/>
        </w:rPr>
      </w:pPr>
      <w:r>
        <w:rPr>
          <w:snapToGrid w:val="0"/>
        </w:rPr>
        <w:tab/>
        <w:t>(a)</w:t>
      </w:r>
      <w:r>
        <w:rPr>
          <w:snapToGrid w:val="0"/>
        </w:rPr>
        <w:tab/>
        <w:t xml:space="preserve">the price at which the goods are to be sold under the contract is to be taken to be the amount lent; and </w:t>
      </w:r>
    </w:p>
    <w:p>
      <w:pPr>
        <w:pStyle w:val="Indenta"/>
        <w:rPr>
          <w:snapToGrid w:val="0"/>
        </w:rPr>
      </w:pPr>
      <w:r>
        <w:rPr>
          <w:snapToGrid w:val="0"/>
        </w:rPr>
        <w:tab/>
        <w:t>(b)</w:t>
      </w:r>
      <w:r>
        <w:rPr>
          <w:snapToGrid w:val="0"/>
        </w:rPr>
        <w:tab/>
        <w:t>the difference between the amount lent and the price at which the goods may be bought back is to be taken to be the interest payable.</w:t>
      </w:r>
    </w:p>
    <w:p>
      <w:pPr>
        <w:pStyle w:val="Heading2"/>
      </w:pPr>
      <w:bookmarkStart w:id="34" w:name="_Toc89489128"/>
      <w:bookmarkStart w:id="35" w:name="_Toc89511577"/>
      <w:bookmarkStart w:id="36" w:name="_Toc92687953"/>
      <w:bookmarkStart w:id="37" w:name="_Toc97003629"/>
      <w:bookmarkStart w:id="38" w:name="_Toc103141687"/>
      <w:bookmarkStart w:id="39" w:name="_Toc147832200"/>
      <w:bookmarkStart w:id="40" w:name="_Toc147895243"/>
      <w:r>
        <w:rPr>
          <w:rStyle w:val="CharPartNo"/>
        </w:rPr>
        <w:t>Part 2</w:t>
      </w:r>
      <w:r>
        <w:t> — </w:t>
      </w:r>
      <w:r>
        <w:rPr>
          <w:rStyle w:val="CharPartText"/>
        </w:rPr>
        <w:t>Licensing of pawnbrokers and second</w:t>
      </w:r>
      <w:r>
        <w:rPr>
          <w:rStyle w:val="CharPartText"/>
        </w:rPr>
        <w:noBreakHyphen/>
        <w:t>hand dealers</w:t>
      </w:r>
      <w:bookmarkEnd w:id="34"/>
      <w:bookmarkEnd w:id="35"/>
      <w:bookmarkEnd w:id="36"/>
      <w:bookmarkEnd w:id="37"/>
      <w:bookmarkEnd w:id="38"/>
      <w:bookmarkEnd w:id="39"/>
      <w:bookmarkEnd w:id="40"/>
      <w:r>
        <w:rPr>
          <w:rStyle w:val="CharPartText"/>
        </w:rPr>
        <w:t xml:space="preserve"> </w:t>
      </w:r>
    </w:p>
    <w:p>
      <w:pPr>
        <w:pStyle w:val="Heading3"/>
        <w:rPr>
          <w:snapToGrid w:val="0"/>
        </w:rPr>
      </w:pPr>
      <w:bookmarkStart w:id="41" w:name="_Toc89489129"/>
      <w:bookmarkStart w:id="42" w:name="_Toc89511578"/>
      <w:bookmarkStart w:id="43" w:name="_Toc92687954"/>
      <w:bookmarkStart w:id="44" w:name="_Toc97003630"/>
      <w:bookmarkStart w:id="45" w:name="_Toc103141688"/>
      <w:bookmarkStart w:id="46" w:name="_Toc147832201"/>
      <w:bookmarkStart w:id="47" w:name="_Toc147895244"/>
      <w:r>
        <w:rPr>
          <w:rStyle w:val="CharDivNo"/>
        </w:rPr>
        <w:t>Division 1</w:t>
      </w:r>
      <w:r>
        <w:rPr>
          <w:snapToGrid w:val="0"/>
        </w:rPr>
        <w:t> — </w:t>
      </w:r>
      <w:r>
        <w:rPr>
          <w:rStyle w:val="CharDivText"/>
        </w:rPr>
        <w:t>Requirement for licences</w:t>
      </w:r>
      <w:bookmarkEnd w:id="41"/>
      <w:bookmarkEnd w:id="42"/>
      <w:bookmarkEnd w:id="43"/>
      <w:bookmarkEnd w:id="44"/>
      <w:bookmarkEnd w:id="45"/>
      <w:bookmarkEnd w:id="46"/>
      <w:bookmarkEnd w:id="47"/>
      <w:r>
        <w:rPr>
          <w:rStyle w:val="CharDivText"/>
        </w:rPr>
        <w:t xml:space="preserve"> </w:t>
      </w:r>
    </w:p>
    <w:p>
      <w:pPr>
        <w:pStyle w:val="Heading5"/>
        <w:rPr>
          <w:snapToGrid w:val="0"/>
        </w:rPr>
      </w:pPr>
      <w:bookmarkStart w:id="48" w:name="_Toc11489628"/>
      <w:bookmarkStart w:id="49" w:name="_Toc11489953"/>
      <w:bookmarkStart w:id="50" w:name="_Toc11490169"/>
      <w:bookmarkStart w:id="51" w:name="_Toc103141689"/>
      <w:bookmarkStart w:id="52" w:name="_Toc147895245"/>
      <w:r>
        <w:rPr>
          <w:rStyle w:val="CharSectno"/>
        </w:rPr>
        <w:t>6</w:t>
      </w:r>
      <w:r>
        <w:rPr>
          <w:snapToGrid w:val="0"/>
        </w:rPr>
        <w:t>.</w:t>
      </w:r>
      <w:r>
        <w:rPr>
          <w:snapToGrid w:val="0"/>
        </w:rPr>
        <w:tab/>
        <w:t>Pawnbrokers to be licensed</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3" w:name="_Toc11489629"/>
      <w:bookmarkStart w:id="54" w:name="_Toc11489954"/>
      <w:bookmarkStart w:id="55" w:name="_Toc11490170"/>
      <w:bookmarkStart w:id="56" w:name="_Toc103141690"/>
      <w:bookmarkStart w:id="57" w:name="_Toc147895246"/>
      <w:r>
        <w:rPr>
          <w:rStyle w:val="CharSectno"/>
        </w:rPr>
        <w:t>7</w:t>
      </w:r>
      <w:r>
        <w:rPr>
          <w:snapToGrid w:val="0"/>
        </w:rPr>
        <w:t>.</w:t>
      </w:r>
      <w:r>
        <w:rPr>
          <w:snapToGrid w:val="0"/>
        </w:rPr>
        <w:tab/>
        <w:t>Second</w:t>
      </w:r>
      <w:r>
        <w:rPr>
          <w:snapToGrid w:val="0"/>
        </w:rPr>
        <w:noBreakHyphen/>
        <w:t>hand dealers to be licensed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8" w:name="_Toc11489630"/>
      <w:bookmarkStart w:id="59" w:name="_Toc11489955"/>
      <w:bookmarkStart w:id="60" w:name="_Toc11490171"/>
      <w:bookmarkStart w:id="61" w:name="_Toc103141691"/>
      <w:bookmarkStart w:id="62" w:name="_Toc147895247"/>
      <w:r>
        <w:rPr>
          <w:rStyle w:val="CharSectno"/>
        </w:rPr>
        <w:t>8</w:t>
      </w:r>
      <w:r>
        <w:rPr>
          <w:snapToGrid w:val="0"/>
        </w:rPr>
        <w:t>.</w:t>
      </w:r>
      <w:r>
        <w:rPr>
          <w:snapToGrid w:val="0"/>
        </w:rPr>
        <w:tab/>
        <w:t>Natural persons only to be licensed</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rPr>
          <w:snapToGrid w:val="0"/>
        </w:rPr>
      </w:pPr>
      <w:bookmarkStart w:id="63" w:name="_Toc11489631"/>
      <w:bookmarkStart w:id="64" w:name="_Toc11489956"/>
      <w:bookmarkStart w:id="65" w:name="_Toc11490172"/>
      <w:bookmarkStart w:id="66" w:name="_Toc103141692"/>
      <w:bookmarkStart w:id="67" w:name="_Toc147895248"/>
      <w:r>
        <w:rPr>
          <w:rStyle w:val="CharSectno"/>
        </w:rPr>
        <w:t>9</w:t>
      </w:r>
      <w:r>
        <w:rPr>
          <w:snapToGrid w:val="0"/>
        </w:rPr>
        <w:t>.</w:t>
      </w:r>
      <w:r>
        <w:rPr>
          <w:snapToGrid w:val="0"/>
        </w:rPr>
        <w:tab/>
        <w:t>Offence of holding out, etc.</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68" w:name="_Toc89489134"/>
      <w:bookmarkStart w:id="69" w:name="_Toc89511583"/>
      <w:bookmarkStart w:id="70" w:name="_Toc92687959"/>
      <w:bookmarkStart w:id="71" w:name="_Toc97003635"/>
      <w:bookmarkStart w:id="72" w:name="_Toc103141693"/>
      <w:bookmarkStart w:id="73" w:name="_Toc147832206"/>
      <w:bookmarkStart w:id="74" w:name="_Toc147895249"/>
      <w:r>
        <w:rPr>
          <w:rStyle w:val="CharDivNo"/>
        </w:rPr>
        <w:t>Division 2</w:t>
      </w:r>
      <w:r>
        <w:rPr>
          <w:snapToGrid w:val="0"/>
        </w:rPr>
        <w:t> — </w:t>
      </w:r>
      <w:r>
        <w:rPr>
          <w:rStyle w:val="CharDivText"/>
        </w:rPr>
        <w:t>Licensing</w:t>
      </w:r>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11489632"/>
      <w:bookmarkStart w:id="76" w:name="_Toc11489957"/>
      <w:bookmarkStart w:id="77" w:name="_Toc11490173"/>
      <w:bookmarkStart w:id="78" w:name="_Toc103141694"/>
      <w:bookmarkStart w:id="79" w:name="_Toc147895250"/>
      <w:r>
        <w:rPr>
          <w:rStyle w:val="CharSectno"/>
        </w:rPr>
        <w:t>10</w:t>
      </w:r>
      <w:r>
        <w:rPr>
          <w:snapToGrid w:val="0"/>
        </w:rPr>
        <w:t>.</w:t>
      </w:r>
      <w:r>
        <w:rPr>
          <w:snapToGrid w:val="0"/>
        </w:rPr>
        <w:tab/>
        <w:t>Licensing officers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80" w:name="_Toc11489633"/>
      <w:bookmarkStart w:id="81" w:name="_Toc11489958"/>
      <w:bookmarkStart w:id="82" w:name="_Toc11490174"/>
      <w:bookmarkStart w:id="83" w:name="_Toc103141695"/>
      <w:bookmarkStart w:id="84" w:name="_Toc147895251"/>
      <w:r>
        <w:rPr>
          <w:rStyle w:val="CharSectno"/>
        </w:rPr>
        <w:t>11</w:t>
      </w:r>
      <w:r>
        <w:rPr>
          <w:snapToGrid w:val="0"/>
        </w:rPr>
        <w:t>.</w:t>
      </w:r>
      <w:r>
        <w:rPr>
          <w:snapToGrid w:val="0"/>
        </w:rPr>
        <w:tab/>
        <w:t>Notice of intention to apply for licence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85" w:name="_Toc11489634"/>
      <w:bookmarkStart w:id="86" w:name="_Toc11489959"/>
      <w:bookmarkStart w:id="87" w:name="_Toc11490175"/>
      <w:bookmarkStart w:id="88" w:name="_Toc103141696"/>
      <w:bookmarkStart w:id="89" w:name="_Toc147895252"/>
      <w:r>
        <w:rPr>
          <w:rStyle w:val="CharSectno"/>
        </w:rPr>
        <w:t>12</w:t>
      </w:r>
      <w:r>
        <w:rPr>
          <w:snapToGrid w:val="0"/>
        </w:rPr>
        <w:t>.</w:t>
      </w:r>
      <w:r>
        <w:rPr>
          <w:snapToGrid w:val="0"/>
        </w:rPr>
        <w:tab/>
        <w:t>Expedited applications</w:t>
      </w:r>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90" w:name="_Toc11489635"/>
      <w:bookmarkStart w:id="91" w:name="_Toc11489960"/>
      <w:bookmarkStart w:id="92" w:name="_Toc11490176"/>
      <w:bookmarkStart w:id="93" w:name="_Toc103141697"/>
      <w:bookmarkStart w:id="94" w:name="_Toc147895253"/>
      <w:r>
        <w:rPr>
          <w:rStyle w:val="CharSectno"/>
        </w:rPr>
        <w:t>13</w:t>
      </w:r>
      <w:r>
        <w:rPr>
          <w:snapToGrid w:val="0"/>
        </w:rPr>
        <w:t>.</w:t>
      </w:r>
      <w:r>
        <w:rPr>
          <w:snapToGrid w:val="0"/>
        </w:rPr>
        <w:tab/>
        <w:t>How to apply for issue of licence</w:t>
      </w:r>
      <w:bookmarkEnd w:id="90"/>
      <w:bookmarkEnd w:id="91"/>
      <w:bookmarkEnd w:id="92"/>
      <w:bookmarkEnd w:id="93"/>
      <w:bookmarkEnd w:id="94"/>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95" w:name="_Toc11489636"/>
      <w:bookmarkStart w:id="96" w:name="_Toc11489961"/>
      <w:bookmarkStart w:id="97" w:name="_Toc11490177"/>
      <w:bookmarkStart w:id="98" w:name="_Toc103141698"/>
      <w:bookmarkStart w:id="99" w:name="_Toc147895254"/>
      <w:r>
        <w:rPr>
          <w:rStyle w:val="CharSectno"/>
        </w:rPr>
        <w:t>14</w:t>
      </w:r>
      <w:r>
        <w:rPr>
          <w:snapToGrid w:val="0"/>
        </w:rPr>
        <w:t>.</w:t>
      </w:r>
      <w:r>
        <w:rPr>
          <w:snapToGrid w:val="0"/>
        </w:rPr>
        <w:tab/>
        <w:t>Documentation in support of application for issue of licence</w:t>
      </w:r>
      <w:bookmarkEnd w:id="95"/>
      <w:bookmarkEnd w:id="96"/>
      <w:bookmarkEnd w:id="97"/>
      <w:bookmarkEnd w:id="98"/>
      <w:bookmarkEnd w:id="99"/>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00" w:name="_Toc11489637"/>
      <w:bookmarkStart w:id="101" w:name="_Toc11489962"/>
      <w:bookmarkStart w:id="102" w:name="_Toc11490178"/>
      <w:bookmarkStart w:id="103" w:name="_Toc103141699"/>
      <w:bookmarkStart w:id="104" w:name="_Toc147895255"/>
      <w:r>
        <w:rPr>
          <w:rStyle w:val="CharSectno"/>
        </w:rPr>
        <w:t>15</w:t>
      </w:r>
      <w:r>
        <w:rPr>
          <w:snapToGrid w:val="0"/>
        </w:rPr>
        <w:t>.</w:t>
      </w:r>
      <w:r>
        <w:rPr>
          <w:snapToGrid w:val="0"/>
        </w:rPr>
        <w:tab/>
        <w:t>How and when to apply for renewal of licence</w:t>
      </w:r>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05" w:name="_Toc11489638"/>
      <w:bookmarkStart w:id="106" w:name="_Toc11489963"/>
      <w:bookmarkStart w:id="107" w:name="_Toc11490179"/>
      <w:bookmarkStart w:id="108" w:name="_Toc103141700"/>
      <w:bookmarkStart w:id="109" w:name="_Toc147895256"/>
      <w:r>
        <w:rPr>
          <w:rStyle w:val="CharSectno"/>
        </w:rPr>
        <w:t>16</w:t>
      </w:r>
      <w:r>
        <w:rPr>
          <w:snapToGrid w:val="0"/>
        </w:rPr>
        <w:t>.</w:t>
      </w:r>
      <w:r>
        <w:rPr>
          <w:snapToGrid w:val="0"/>
        </w:rPr>
        <w:tab/>
        <w:t>Documentation in support of application for renewal of licence</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10" w:name="_Toc11489639"/>
      <w:bookmarkStart w:id="111" w:name="_Toc11489964"/>
      <w:bookmarkStart w:id="112" w:name="_Toc11490180"/>
      <w:bookmarkStart w:id="113" w:name="_Toc103141701"/>
      <w:bookmarkStart w:id="114" w:name="_Toc147895257"/>
      <w:r>
        <w:rPr>
          <w:rStyle w:val="CharSectno"/>
        </w:rPr>
        <w:t>17</w:t>
      </w:r>
      <w:r>
        <w:rPr>
          <w:snapToGrid w:val="0"/>
        </w:rPr>
        <w:t>.</w:t>
      </w:r>
      <w:r>
        <w:rPr>
          <w:snapToGrid w:val="0"/>
        </w:rPr>
        <w:tab/>
        <w:t>Offences in relation to licence applications</w:t>
      </w:r>
      <w:bookmarkEnd w:id="110"/>
      <w:bookmarkEnd w:id="111"/>
      <w:bookmarkEnd w:id="112"/>
      <w:bookmarkEnd w:id="113"/>
      <w:bookmarkEnd w:id="114"/>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15" w:name="_Toc11489640"/>
      <w:bookmarkStart w:id="116" w:name="_Toc11489965"/>
      <w:bookmarkStart w:id="117" w:name="_Toc11490181"/>
      <w:bookmarkStart w:id="118" w:name="_Toc103141702"/>
      <w:bookmarkStart w:id="119" w:name="_Toc147895258"/>
      <w:r>
        <w:rPr>
          <w:rStyle w:val="CharSectno"/>
        </w:rPr>
        <w:t>18</w:t>
      </w:r>
      <w:r>
        <w:rPr>
          <w:snapToGrid w:val="0"/>
        </w:rPr>
        <w:t>.</w:t>
      </w:r>
      <w:r>
        <w:rPr>
          <w:snapToGrid w:val="0"/>
        </w:rPr>
        <w:tab/>
        <w:t>Objections to issue or renewal of licences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20" w:name="_Toc11489641"/>
      <w:bookmarkStart w:id="121" w:name="_Toc11489966"/>
      <w:bookmarkStart w:id="122" w:name="_Toc11490182"/>
      <w:bookmarkStart w:id="123" w:name="_Toc103141703"/>
      <w:bookmarkStart w:id="124" w:name="_Toc147895259"/>
      <w:r>
        <w:rPr>
          <w:rStyle w:val="CharSectno"/>
        </w:rPr>
        <w:t>19</w:t>
      </w:r>
      <w:r>
        <w:rPr>
          <w:snapToGrid w:val="0"/>
        </w:rPr>
        <w:t>.</w:t>
      </w:r>
      <w:r>
        <w:rPr>
          <w:snapToGrid w:val="0"/>
        </w:rPr>
        <w:tab/>
        <w:t>Issue of licences</w:t>
      </w:r>
      <w:bookmarkEnd w:id="120"/>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25" w:name="_Toc11489642"/>
      <w:bookmarkStart w:id="126" w:name="_Toc11489967"/>
      <w:bookmarkStart w:id="127" w:name="_Toc11490183"/>
      <w:bookmarkStart w:id="128" w:name="_Toc103141704"/>
      <w:bookmarkStart w:id="129" w:name="_Toc147895260"/>
      <w:r>
        <w:rPr>
          <w:rStyle w:val="CharSectno"/>
        </w:rPr>
        <w:t>20</w:t>
      </w:r>
      <w:r>
        <w:rPr>
          <w:snapToGrid w:val="0"/>
        </w:rPr>
        <w:t>.</w:t>
      </w:r>
      <w:r>
        <w:rPr>
          <w:snapToGrid w:val="0"/>
        </w:rPr>
        <w:tab/>
        <w:t>Renewal of licences</w:t>
      </w:r>
      <w:bookmarkEnd w:id="125"/>
      <w:bookmarkEnd w:id="126"/>
      <w:bookmarkEnd w:id="127"/>
      <w:bookmarkEnd w:id="128"/>
      <w:bookmarkEnd w:id="129"/>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30" w:name="_Toc11489643"/>
      <w:bookmarkStart w:id="131" w:name="_Toc11489968"/>
      <w:bookmarkStart w:id="132" w:name="_Toc11490184"/>
      <w:bookmarkStart w:id="133" w:name="_Toc103141705"/>
      <w:bookmarkStart w:id="134" w:name="_Toc147895261"/>
      <w:r>
        <w:rPr>
          <w:rStyle w:val="CharSectno"/>
        </w:rPr>
        <w:t>21</w:t>
      </w:r>
      <w:r>
        <w:rPr>
          <w:snapToGrid w:val="0"/>
        </w:rPr>
        <w:t>.</w:t>
      </w:r>
      <w:r>
        <w:rPr>
          <w:snapToGrid w:val="0"/>
        </w:rPr>
        <w:tab/>
        <w:t>Issue and renewal of licences held on behalf of partnerships and bodies corporate</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35" w:name="_Toc11489644"/>
      <w:bookmarkStart w:id="136" w:name="_Toc11489969"/>
      <w:bookmarkStart w:id="137" w:name="_Toc11490185"/>
      <w:bookmarkStart w:id="138" w:name="_Toc103141706"/>
      <w:bookmarkStart w:id="139" w:name="_Toc147895262"/>
      <w:r>
        <w:rPr>
          <w:rStyle w:val="CharSectno"/>
        </w:rPr>
        <w:t>22</w:t>
      </w:r>
      <w:r>
        <w:rPr>
          <w:snapToGrid w:val="0"/>
        </w:rPr>
        <w:t>.</w:t>
      </w:r>
      <w:r>
        <w:rPr>
          <w:snapToGrid w:val="0"/>
        </w:rPr>
        <w:tab/>
        <w:t>Declining issue or renewal of licence</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40" w:name="_Toc11489645"/>
      <w:bookmarkStart w:id="141" w:name="_Toc11489970"/>
      <w:bookmarkStart w:id="142" w:name="_Toc11490186"/>
      <w:bookmarkStart w:id="143" w:name="_Toc103141707"/>
      <w:bookmarkStart w:id="144" w:name="_Toc147895263"/>
      <w:r>
        <w:rPr>
          <w:rStyle w:val="CharSectno"/>
        </w:rPr>
        <w:t>23</w:t>
      </w:r>
      <w:r>
        <w:rPr>
          <w:snapToGrid w:val="0"/>
        </w:rPr>
        <w:t>.</w:t>
      </w:r>
      <w:r>
        <w:rPr>
          <w:snapToGrid w:val="0"/>
        </w:rPr>
        <w:tab/>
        <w:t>Form of licences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each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Heading5"/>
        <w:rPr>
          <w:snapToGrid w:val="0"/>
        </w:rPr>
      </w:pPr>
      <w:bookmarkStart w:id="145" w:name="_Toc11489646"/>
      <w:bookmarkStart w:id="146" w:name="_Toc11489971"/>
      <w:bookmarkStart w:id="147" w:name="_Toc11490187"/>
      <w:bookmarkStart w:id="148" w:name="_Toc103141708"/>
      <w:bookmarkStart w:id="149" w:name="_Toc147895264"/>
      <w:r>
        <w:rPr>
          <w:rStyle w:val="CharSectno"/>
        </w:rPr>
        <w:t>24</w:t>
      </w:r>
      <w:r>
        <w:rPr>
          <w:snapToGrid w:val="0"/>
        </w:rPr>
        <w:t>.</w:t>
      </w:r>
      <w:r>
        <w:rPr>
          <w:snapToGrid w:val="0"/>
        </w:rPr>
        <w:tab/>
        <w:t>Conditions and restrictions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Heading5"/>
        <w:rPr>
          <w:snapToGrid w:val="0"/>
        </w:rPr>
      </w:pPr>
      <w:bookmarkStart w:id="150" w:name="_Toc11489647"/>
      <w:bookmarkStart w:id="151" w:name="_Toc11489972"/>
      <w:bookmarkStart w:id="152" w:name="_Toc11490188"/>
      <w:bookmarkStart w:id="153" w:name="_Toc103141709"/>
      <w:bookmarkStart w:id="154" w:name="_Toc147895265"/>
      <w:r>
        <w:rPr>
          <w:rStyle w:val="CharSectno"/>
        </w:rPr>
        <w:t>25</w:t>
      </w:r>
      <w:r>
        <w:rPr>
          <w:snapToGrid w:val="0"/>
        </w:rPr>
        <w:t>.</w:t>
      </w:r>
      <w:r>
        <w:rPr>
          <w:snapToGrid w:val="0"/>
        </w:rPr>
        <w:tab/>
        <w:t>Not transferable</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55" w:name="_Toc11489648"/>
      <w:bookmarkStart w:id="156" w:name="_Toc11489973"/>
      <w:bookmarkStart w:id="157" w:name="_Toc11490189"/>
      <w:bookmarkStart w:id="158" w:name="_Toc103141710"/>
      <w:bookmarkStart w:id="159" w:name="_Toc147895266"/>
      <w:r>
        <w:rPr>
          <w:rStyle w:val="CharSectno"/>
        </w:rPr>
        <w:t>26</w:t>
      </w:r>
      <w:r>
        <w:rPr>
          <w:snapToGrid w:val="0"/>
        </w:rPr>
        <w:t>.</w:t>
      </w:r>
      <w:r>
        <w:rPr>
          <w:snapToGrid w:val="0"/>
        </w:rPr>
        <w:tab/>
        <w:t>Duration of licences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60" w:name="_Toc11489649"/>
      <w:bookmarkStart w:id="161" w:name="_Toc11489974"/>
      <w:bookmarkStart w:id="162" w:name="_Toc11490190"/>
      <w:bookmarkStart w:id="163" w:name="_Toc103141711"/>
      <w:bookmarkStart w:id="164" w:name="_Toc147895267"/>
      <w:r>
        <w:rPr>
          <w:rStyle w:val="CharSectno"/>
        </w:rPr>
        <w:t>27</w:t>
      </w:r>
      <w:r>
        <w:rPr>
          <w:snapToGrid w:val="0"/>
        </w:rPr>
        <w:t>.</w:t>
      </w:r>
      <w:r>
        <w:rPr>
          <w:snapToGrid w:val="0"/>
        </w:rPr>
        <w:tab/>
        <w:t>Suspension, revocation of licences and disqualification</w:t>
      </w:r>
      <w:bookmarkEnd w:id="160"/>
      <w:bookmarkEnd w:id="161"/>
      <w:bookmarkEnd w:id="162"/>
      <w:bookmarkEnd w:id="163"/>
      <w:bookmarkEnd w:id="164"/>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65" w:name="_Toc11489650"/>
      <w:bookmarkStart w:id="166" w:name="_Toc11489975"/>
      <w:bookmarkStart w:id="167" w:name="_Toc11490191"/>
      <w:bookmarkStart w:id="168" w:name="_Toc103141712"/>
      <w:bookmarkStart w:id="169" w:name="_Toc147895268"/>
      <w:r>
        <w:rPr>
          <w:rStyle w:val="CharSectno"/>
        </w:rPr>
        <w:t>28</w:t>
      </w:r>
      <w:r>
        <w:rPr>
          <w:snapToGrid w:val="0"/>
        </w:rPr>
        <w:t>.</w:t>
      </w:r>
      <w:r>
        <w:rPr>
          <w:snapToGrid w:val="0"/>
        </w:rPr>
        <w:tab/>
        <w:t>Commissioner to keep register of licences</w:t>
      </w:r>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the location of business 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Heading3"/>
        <w:rPr>
          <w:snapToGrid w:val="0"/>
        </w:rPr>
      </w:pPr>
      <w:bookmarkStart w:id="170" w:name="_Toc92687979"/>
      <w:bookmarkStart w:id="171" w:name="_Toc97003655"/>
      <w:bookmarkStart w:id="172" w:name="_Toc103141713"/>
      <w:bookmarkStart w:id="173" w:name="_Toc147832226"/>
      <w:bookmarkStart w:id="174" w:name="_Toc147895269"/>
      <w:bookmarkStart w:id="175" w:name="_Toc11489651"/>
      <w:bookmarkStart w:id="176" w:name="_Toc11489976"/>
      <w:bookmarkStart w:id="177" w:name="_Toc11490192"/>
      <w:r>
        <w:rPr>
          <w:rStyle w:val="CharDivNo"/>
        </w:rPr>
        <w:t>Division 3</w:t>
      </w:r>
      <w:r>
        <w:rPr>
          <w:snapToGrid w:val="0"/>
        </w:rPr>
        <w:t> — </w:t>
      </w:r>
      <w:r>
        <w:rPr>
          <w:rStyle w:val="CharDivText"/>
        </w:rPr>
        <w:t>Review of licensing decisions</w:t>
      </w:r>
      <w:bookmarkEnd w:id="170"/>
      <w:bookmarkEnd w:id="171"/>
      <w:bookmarkEnd w:id="172"/>
      <w:bookmarkEnd w:id="173"/>
      <w:bookmarkEnd w:id="174"/>
    </w:p>
    <w:p>
      <w:pPr>
        <w:pStyle w:val="Footnoteheading"/>
      </w:pPr>
      <w:r>
        <w:tab/>
        <w:t>[Heading inserted by No. 55 of 2004 s. 891.]</w:t>
      </w:r>
    </w:p>
    <w:p>
      <w:pPr>
        <w:pStyle w:val="Ednotesection"/>
      </w:pPr>
      <w:bookmarkStart w:id="178" w:name="_Toc11489652"/>
      <w:bookmarkStart w:id="179" w:name="_Toc11489977"/>
      <w:bookmarkStart w:id="180" w:name="_Toc11490193"/>
      <w:bookmarkEnd w:id="175"/>
      <w:bookmarkEnd w:id="176"/>
      <w:bookmarkEnd w:id="177"/>
      <w:r>
        <w:t>[</w:t>
      </w:r>
      <w:r>
        <w:rPr>
          <w:b/>
          <w:bCs/>
        </w:rPr>
        <w:t>29.</w:t>
      </w:r>
      <w:r>
        <w:tab/>
        <w:t>Repealed by No. 55 of 2004 s. 892.]</w:t>
      </w:r>
    </w:p>
    <w:p>
      <w:pPr>
        <w:pStyle w:val="Heading5"/>
        <w:rPr>
          <w:snapToGrid w:val="0"/>
        </w:rPr>
      </w:pPr>
      <w:bookmarkStart w:id="181" w:name="_Toc103141714"/>
      <w:bookmarkStart w:id="182" w:name="_Toc147895270"/>
      <w:r>
        <w:rPr>
          <w:rStyle w:val="CharSectno"/>
        </w:rPr>
        <w:t>30</w:t>
      </w:r>
      <w:r>
        <w:rPr>
          <w:snapToGrid w:val="0"/>
        </w:rPr>
        <w:t>.</w:t>
      </w:r>
      <w:r>
        <w:rPr>
          <w:snapToGrid w:val="0"/>
        </w:rPr>
        <w:tab/>
        <w:t>Appeal</w:t>
      </w:r>
      <w:bookmarkEnd w:id="178"/>
      <w:bookmarkEnd w:id="179"/>
      <w:bookmarkEnd w:id="180"/>
      <w:bookmarkEnd w:id="181"/>
      <w:bookmarkEnd w:id="182"/>
      <w:r>
        <w:rPr>
          <w:snapToGrid w:val="0"/>
        </w:rPr>
        <w:t xml:space="preserve"> </w:t>
      </w:r>
    </w:p>
    <w:p>
      <w:pPr>
        <w:pStyle w:val="Subsection"/>
        <w:keepNext/>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pPr>
      <w:bookmarkStart w:id="183" w:name="_Toc11489653"/>
      <w:bookmarkStart w:id="184" w:name="_Toc11489978"/>
      <w:bookmarkStart w:id="185" w:name="_Toc11490194"/>
      <w:r>
        <w:tab/>
        <w:t>[(2)-(5)</w:t>
      </w:r>
      <w:r>
        <w:tab/>
        <w:t>repealed]</w:t>
      </w:r>
    </w:p>
    <w:p>
      <w:pPr>
        <w:pStyle w:val="Footnotesection"/>
      </w:pPr>
      <w:r>
        <w:tab/>
        <w:t>[Section 30 amended by No. 55 of 2004 s. 893.]</w:t>
      </w:r>
    </w:p>
    <w:p>
      <w:pPr>
        <w:pStyle w:val="Ednotesection"/>
      </w:pPr>
      <w:bookmarkStart w:id="186" w:name="_Toc11489654"/>
      <w:bookmarkStart w:id="187" w:name="_Toc11489979"/>
      <w:bookmarkStart w:id="188" w:name="_Toc11490195"/>
      <w:bookmarkEnd w:id="183"/>
      <w:bookmarkEnd w:id="184"/>
      <w:bookmarkEnd w:id="185"/>
      <w:r>
        <w:t>[</w:t>
      </w:r>
      <w:r>
        <w:rPr>
          <w:b/>
          <w:bCs/>
        </w:rPr>
        <w:t>31.</w:t>
      </w:r>
      <w:r>
        <w:tab/>
        <w:t>Repealed by No. 55 of 2004 s. 894.]</w:t>
      </w:r>
    </w:p>
    <w:p>
      <w:pPr>
        <w:pStyle w:val="Heading5"/>
        <w:rPr>
          <w:snapToGrid w:val="0"/>
        </w:rPr>
      </w:pPr>
      <w:bookmarkStart w:id="189" w:name="_Toc103141715"/>
      <w:bookmarkStart w:id="190" w:name="_Toc147895271"/>
      <w:r>
        <w:rPr>
          <w:rStyle w:val="CharSectno"/>
        </w:rPr>
        <w:t>32</w:t>
      </w:r>
      <w:r>
        <w:rPr>
          <w:snapToGrid w:val="0"/>
        </w:rPr>
        <w:t>.</w:t>
      </w:r>
      <w:r>
        <w:rPr>
          <w:snapToGrid w:val="0"/>
        </w:rPr>
        <w:tab/>
        <w:t xml:space="preserve">Returns by </w:t>
      </w:r>
      <w:bookmarkEnd w:id="186"/>
      <w:bookmarkEnd w:id="187"/>
      <w:bookmarkEnd w:id="188"/>
      <w:r>
        <w:rPr>
          <w:snapToGrid w:val="0"/>
        </w:rPr>
        <w:t>executive officer of the State Administrative Tribunal</w:t>
      </w:r>
      <w:bookmarkEnd w:id="189"/>
      <w:bookmarkEnd w:id="190"/>
    </w:p>
    <w:p>
      <w:pPr>
        <w:pStyle w:val="Subsection"/>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191" w:name="_Toc11489655"/>
      <w:bookmarkStart w:id="192" w:name="_Toc11489980"/>
      <w:bookmarkStart w:id="193" w:name="_Toc11490196"/>
      <w:bookmarkStart w:id="194" w:name="_Toc103141716"/>
      <w:bookmarkStart w:id="195" w:name="_Toc147895272"/>
      <w:r>
        <w:rPr>
          <w:rStyle w:val="CharSectno"/>
        </w:rPr>
        <w:t>33</w:t>
      </w:r>
      <w:r>
        <w:rPr>
          <w:snapToGrid w:val="0"/>
        </w:rPr>
        <w:t>.</w:t>
      </w:r>
      <w:r>
        <w:rPr>
          <w:snapToGrid w:val="0"/>
        </w:rPr>
        <w:tab/>
        <w:t>Effect of charges pending on Court hearings</w:t>
      </w:r>
      <w:bookmarkEnd w:id="191"/>
      <w:bookmarkEnd w:id="192"/>
      <w:bookmarkEnd w:id="193"/>
      <w:bookmarkEnd w:id="194"/>
      <w:bookmarkEnd w:id="195"/>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196" w:name="_Toc89489160"/>
      <w:bookmarkStart w:id="197" w:name="_Toc89511609"/>
      <w:bookmarkStart w:id="198" w:name="_Toc92687983"/>
      <w:bookmarkStart w:id="199" w:name="_Toc97003659"/>
      <w:bookmarkStart w:id="200" w:name="_Toc103141717"/>
      <w:bookmarkStart w:id="201" w:name="_Toc147832230"/>
      <w:bookmarkStart w:id="202" w:name="_Toc147895273"/>
      <w:r>
        <w:rPr>
          <w:rStyle w:val="CharDivNo"/>
        </w:rPr>
        <w:t>Division 4</w:t>
      </w:r>
      <w:r>
        <w:rPr>
          <w:snapToGrid w:val="0"/>
        </w:rPr>
        <w:t> — </w:t>
      </w:r>
      <w:r>
        <w:rPr>
          <w:rStyle w:val="CharDivText"/>
        </w:rPr>
        <w:t>Powers of courts generally in relation to licences</w:t>
      </w:r>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11489656"/>
      <w:bookmarkStart w:id="204" w:name="_Toc11489981"/>
      <w:bookmarkStart w:id="205" w:name="_Toc11490197"/>
      <w:bookmarkStart w:id="206" w:name="_Toc103141718"/>
      <w:bookmarkStart w:id="207" w:name="_Toc147895274"/>
      <w:r>
        <w:rPr>
          <w:rStyle w:val="CharSectno"/>
        </w:rPr>
        <w:t>34</w:t>
      </w:r>
      <w:r>
        <w:rPr>
          <w:snapToGrid w:val="0"/>
        </w:rPr>
        <w:t>.</w:t>
      </w:r>
      <w:r>
        <w:rPr>
          <w:snapToGrid w:val="0"/>
        </w:rPr>
        <w:tab/>
        <w:t>Courts may suspend, revoke licence or disqualify person upon conviction</w:t>
      </w:r>
      <w:bookmarkEnd w:id="203"/>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08" w:name="_Toc11489657"/>
      <w:bookmarkStart w:id="209" w:name="_Toc11489982"/>
      <w:bookmarkStart w:id="210" w:name="_Toc11490198"/>
      <w:bookmarkStart w:id="211" w:name="_Toc103141719"/>
      <w:bookmarkStart w:id="212" w:name="_Toc147895275"/>
      <w:r>
        <w:rPr>
          <w:rStyle w:val="CharSectno"/>
        </w:rPr>
        <w:t>35</w:t>
      </w:r>
      <w:r>
        <w:rPr>
          <w:snapToGrid w:val="0"/>
        </w:rPr>
        <w:t>.</w:t>
      </w:r>
      <w:r>
        <w:rPr>
          <w:snapToGrid w:val="0"/>
        </w:rPr>
        <w:tab/>
        <w:t>Returns by courts</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13" w:name="_Toc89489163"/>
      <w:bookmarkStart w:id="214" w:name="_Toc89511612"/>
      <w:bookmarkStart w:id="215" w:name="_Toc92687986"/>
      <w:bookmarkStart w:id="216" w:name="_Toc97003662"/>
      <w:bookmarkStart w:id="217" w:name="_Toc103141720"/>
      <w:bookmarkStart w:id="218" w:name="_Toc147832233"/>
      <w:bookmarkStart w:id="219" w:name="_Toc147895276"/>
      <w:r>
        <w:rPr>
          <w:rStyle w:val="CharDivNo"/>
        </w:rPr>
        <w:t>Division 5</w:t>
      </w:r>
      <w:r>
        <w:rPr>
          <w:snapToGrid w:val="0"/>
        </w:rPr>
        <w:t> — </w:t>
      </w:r>
      <w:r>
        <w:rPr>
          <w:rStyle w:val="CharDivText"/>
        </w:rPr>
        <w:t>Other requirements in relation to licences</w:t>
      </w:r>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11489658"/>
      <w:bookmarkStart w:id="221" w:name="_Toc11489983"/>
      <w:bookmarkStart w:id="222" w:name="_Toc11490199"/>
      <w:bookmarkStart w:id="223" w:name="_Toc103141721"/>
      <w:bookmarkStart w:id="224" w:name="_Toc147895277"/>
      <w:r>
        <w:rPr>
          <w:rStyle w:val="CharSectno"/>
        </w:rPr>
        <w:t>36</w:t>
      </w:r>
      <w:r>
        <w:rPr>
          <w:snapToGrid w:val="0"/>
        </w:rPr>
        <w:t>.</w:t>
      </w:r>
      <w:r>
        <w:rPr>
          <w:snapToGrid w:val="0"/>
        </w:rPr>
        <w:tab/>
        <w:t>Sign to be displayed</w:t>
      </w:r>
      <w:bookmarkEnd w:id="220"/>
      <w:bookmarkEnd w:id="221"/>
      <w:bookmarkEnd w:id="222"/>
      <w:bookmarkEnd w:id="223"/>
      <w:bookmarkEnd w:id="224"/>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25" w:name="_Toc11489659"/>
      <w:bookmarkStart w:id="226" w:name="_Toc11489984"/>
      <w:bookmarkStart w:id="227" w:name="_Toc11490200"/>
      <w:bookmarkStart w:id="228" w:name="_Toc103141722"/>
      <w:bookmarkStart w:id="229" w:name="_Toc147895278"/>
      <w:r>
        <w:rPr>
          <w:rStyle w:val="CharSectno"/>
        </w:rPr>
        <w:t>37</w:t>
      </w:r>
      <w:r>
        <w:rPr>
          <w:snapToGrid w:val="0"/>
        </w:rPr>
        <w:t>.</w:t>
      </w:r>
      <w:r>
        <w:rPr>
          <w:snapToGrid w:val="0"/>
        </w:rPr>
        <w:tab/>
        <w:t>Certain employee records to be kept, provided to police</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a photograph 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Heading2"/>
      </w:pPr>
      <w:bookmarkStart w:id="230" w:name="_Toc89489166"/>
      <w:bookmarkStart w:id="231" w:name="_Toc89511615"/>
      <w:bookmarkStart w:id="232" w:name="_Toc92687989"/>
      <w:bookmarkStart w:id="233" w:name="_Toc97003665"/>
      <w:bookmarkStart w:id="234" w:name="_Toc103141723"/>
      <w:bookmarkStart w:id="235" w:name="_Toc147832236"/>
      <w:bookmarkStart w:id="236" w:name="_Toc147895279"/>
      <w:r>
        <w:rPr>
          <w:rStyle w:val="CharPartNo"/>
        </w:rPr>
        <w:t>Part 3</w:t>
      </w:r>
      <w:r>
        <w:t> — </w:t>
      </w:r>
      <w:r>
        <w:rPr>
          <w:rStyle w:val="CharPartText"/>
        </w:rPr>
        <w:t>Contracts with pawnbrokers and second</w:t>
      </w:r>
      <w:r>
        <w:rPr>
          <w:rStyle w:val="CharPartText"/>
        </w:rPr>
        <w:noBreakHyphen/>
        <w:t>hand dealers</w:t>
      </w:r>
      <w:bookmarkEnd w:id="230"/>
      <w:bookmarkEnd w:id="231"/>
      <w:bookmarkEnd w:id="232"/>
      <w:bookmarkEnd w:id="233"/>
      <w:bookmarkEnd w:id="234"/>
      <w:bookmarkEnd w:id="235"/>
      <w:bookmarkEnd w:id="236"/>
      <w:r>
        <w:rPr>
          <w:rStyle w:val="CharPartText"/>
        </w:rPr>
        <w:t xml:space="preserve"> </w:t>
      </w:r>
    </w:p>
    <w:p>
      <w:pPr>
        <w:pStyle w:val="Heading3"/>
        <w:rPr>
          <w:snapToGrid w:val="0"/>
        </w:rPr>
      </w:pPr>
      <w:bookmarkStart w:id="237" w:name="_Toc89489167"/>
      <w:bookmarkStart w:id="238" w:name="_Toc89511616"/>
      <w:bookmarkStart w:id="239" w:name="_Toc92687990"/>
      <w:bookmarkStart w:id="240" w:name="_Toc97003666"/>
      <w:bookmarkStart w:id="241" w:name="_Toc103141724"/>
      <w:bookmarkStart w:id="242" w:name="_Toc147832237"/>
      <w:bookmarkStart w:id="243" w:name="_Toc147895280"/>
      <w:r>
        <w:rPr>
          <w:rStyle w:val="CharDivNo"/>
        </w:rPr>
        <w:t>Division 1</w:t>
      </w:r>
      <w:r>
        <w:rPr>
          <w:snapToGrid w:val="0"/>
        </w:rPr>
        <w:t> — </w:t>
      </w:r>
      <w:r>
        <w:rPr>
          <w:rStyle w:val="CharDivText"/>
        </w:rPr>
        <w:t>Duties of pawnbrokers and second</w:t>
      </w:r>
      <w:r>
        <w:rPr>
          <w:rStyle w:val="CharDivText"/>
        </w:rPr>
        <w:noBreakHyphen/>
        <w:t>hand dealers</w:t>
      </w:r>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11489660"/>
      <w:bookmarkStart w:id="245" w:name="_Toc11489985"/>
      <w:bookmarkStart w:id="246" w:name="_Toc11490201"/>
      <w:bookmarkStart w:id="247" w:name="_Toc103141725"/>
      <w:bookmarkStart w:id="248" w:name="_Toc147895281"/>
      <w:r>
        <w:rPr>
          <w:rStyle w:val="CharSectno"/>
        </w:rPr>
        <w:t>38</w:t>
      </w:r>
      <w:r>
        <w:rPr>
          <w:snapToGrid w:val="0"/>
        </w:rPr>
        <w:t>.</w:t>
      </w:r>
      <w:r>
        <w:rPr>
          <w:snapToGrid w:val="0"/>
        </w:rPr>
        <w:tab/>
        <w:t>Persons under 18 or affected by alcohol or drugs</w:t>
      </w:r>
      <w:bookmarkEnd w:id="244"/>
      <w:bookmarkEnd w:id="245"/>
      <w:bookmarkEnd w:id="246"/>
      <w:bookmarkEnd w:id="247"/>
      <w:bookmarkEnd w:id="24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49" w:name="_Toc11489661"/>
      <w:bookmarkStart w:id="250" w:name="_Toc11489986"/>
      <w:bookmarkStart w:id="251" w:name="_Toc11490202"/>
      <w:bookmarkStart w:id="252" w:name="_Toc103141726"/>
      <w:bookmarkStart w:id="253" w:name="_Toc147895282"/>
      <w:r>
        <w:rPr>
          <w:rStyle w:val="CharSectno"/>
        </w:rPr>
        <w:t>39</w:t>
      </w:r>
      <w:r>
        <w:rPr>
          <w:snapToGrid w:val="0"/>
        </w:rPr>
        <w:t>.</w:t>
      </w:r>
      <w:r>
        <w:rPr>
          <w:snapToGrid w:val="0"/>
        </w:rPr>
        <w:tab/>
        <w:t>Identification of persons</w:t>
      </w:r>
      <w:bookmarkEnd w:id="249"/>
      <w:bookmarkEnd w:id="250"/>
      <w:bookmarkEnd w:id="251"/>
      <w:bookmarkEnd w:id="252"/>
      <w:bookmarkEnd w:id="25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rPr>
          <w:snapToGrid w:val="0"/>
        </w:rPr>
      </w:pPr>
      <w:r>
        <w:rPr>
          <w:snapToGrid w:val="0"/>
        </w:rPr>
        <w:tab/>
        <w:t>(b)</w:t>
      </w:r>
      <w:r>
        <w:rPr>
          <w:snapToGrid w:val="0"/>
        </w:rPr>
        <w:tab/>
        <w:t>has verified the person’s identity by way of — </w:t>
      </w:r>
    </w:p>
    <w:p>
      <w:pPr>
        <w:pStyle w:val="Indenti"/>
        <w:rPr>
          <w:snapToGrid w:val="0"/>
        </w:rPr>
      </w:pPr>
      <w:r>
        <w:rPr>
          <w:snapToGrid w:val="0"/>
        </w:rPr>
        <w:tab/>
        <w:t>(i)</w:t>
      </w:r>
      <w:r>
        <w:rPr>
          <w:snapToGrid w:val="0"/>
        </w:rPr>
        <w:tab/>
        <w:t>the person’s passport where the passport is either current or has not been expired for more than 24 months;</w:t>
      </w:r>
    </w:p>
    <w:p>
      <w:pPr>
        <w:pStyle w:val="Indenti"/>
        <w:rPr>
          <w:snapToGrid w:val="0"/>
        </w:rPr>
      </w:pPr>
      <w:r>
        <w:rPr>
          <w:snapToGrid w:val="0"/>
        </w:rPr>
        <w:tab/>
        <w:t>(ii)</w:t>
      </w:r>
      <w:r>
        <w:rPr>
          <w:snapToGrid w:val="0"/>
        </w:rPr>
        <w:tab/>
        <w:t>the person’s current motor driver’s licence but only if it bears a photograph of the person;</w:t>
      </w:r>
    </w:p>
    <w:p>
      <w:pPr>
        <w:pStyle w:val="Indenti"/>
        <w:rPr>
          <w:snapToGrid w:val="0"/>
        </w:rPr>
      </w:pPr>
      <w:r>
        <w:rPr>
          <w:snapToGrid w:val="0"/>
        </w:rPr>
        <w:tab/>
        <w:t>(iii)</w:t>
      </w:r>
      <w:r>
        <w:rPr>
          <w:snapToGrid w:val="0"/>
        </w:rPr>
        <w:tab/>
        <w:t>a proof of identity and age card issued by the Department to the person; or</w:t>
      </w:r>
    </w:p>
    <w:p>
      <w:pPr>
        <w:pStyle w:val="Indenti"/>
        <w:rPr>
          <w:snapToGrid w:val="0"/>
        </w:rPr>
      </w:pPr>
      <w:r>
        <w:rPr>
          <w:snapToGrid w:val="0"/>
        </w:rPr>
        <w:tab/>
        <w:t>(iv)</w:t>
      </w:r>
      <w:r>
        <w:rPr>
          <w:snapToGrid w:val="0"/>
        </w:rPr>
        <w:tab/>
        <w:t>prescribed means.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4" w:name="_Toc11489662"/>
      <w:bookmarkStart w:id="255" w:name="_Toc11489987"/>
      <w:bookmarkStart w:id="256" w:name="_Toc11490203"/>
      <w:bookmarkStart w:id="257" w:name="_Toc103141727"/>
      <w:bookmarkStart w:id="258" w:name="_Toc147895283"/>
      <w:r>
        <w:rPr>
          <w:rStyle w:val="CharSectno"/>
        </w:rPr>
        <w:t>40</w:t>
      </w:r>
      <w:r>
        <w:rPr>
          <w:snapToGrid w:val="0"/>
        </w:rPr>
        <w:t>.</w:t>
      </w:r>
      <w:r>
        <w:rPr>
          <w:snapToGrid w:val="0"/>
        </w:rPr>
        <w:tab/>
        <w:t>Offences in relation to false information</w:t>
      </w:r>
      <w:bookmarkEnd w:id="254"/>
      <w:bookmarkEnd w:id="255"/>
      <w:bookmarkEnd w:id="256"/>
      <w:bookmarkEnd w:id="257"/>
      <w:bookmarkEnd w:id="258"/>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9" w:name="_Toc11489663"/>
      <w:bookmarkStart w:id="260" w:name="_Toc11489988"/>
      <w:bookmarkStart w:id="261" w:name="_Toc11490204"/>
      <w:bookmarkStart w:id="262" w:name="_Toc103141728"/>
      <w:bookmarkStart w:id="263" w:name="_Toc147895284"/>
      <w:r>
        <w:rPr>
          <w:rStyle w:val="CharSectno"/>
        </w:rPr>
        <w:t>41</w:t>
      </w:r>
      <w:r>
        <w:rPr>
          <w:snapToGrid w:val="0"/>
        </w:rPr>
        <w:t>.</w:t>
      </w:r>
      <w:r>
        <w:rPr>
          <w:snapToGrid w:val="0"/>
        </w:rPr>
        <w:tab/>
        <w:t>Records to be made by pawnbrokers</w:t>
      </w:r>
      <w:bookmarkEnd w:id="259"/>
      <w:bookmarkEnd w:id="260"/>
      <w:bookmarkEnd w:id="261"/>
      <w:bookmarkEnd w:id="262"/>
      <w:bookmarkEnd w:id="263"/>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264" w:name="_Toc11489664"/>
      <w:bookmarkStart w:id="265" w:name="_Toc11489989"/>
      <w:bookmarkStart w:id="266" w:name="_Toc11490205"/>
      <w:bookmarkStart w:id="267" w:name="_Toc103141729"/>
      <w:bookmarkStart w:id="268" w:name="_Toc147895285"/>
      <w:r>
        <w:rPr>
          <w:rStyle w:val="CharSectno"/>
        </w:rPr>
        <w:t>42</w:t>
      </w:r>
      <w:r>
        <w:rPr>
          <w:snapToGrid w:val="0"/>
        </w:rPr>
        <w:t>.</w:t>
      </w:r>
      <w:r>
        <w:rPr>
          <w:snapToGrid w:val="0"/>
        </w:rPr>
        <w:tab/>
        <w:t>Pawn tickets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269" w:name="_Toc11489665"/>
      <w:bookmarkStart w:id="270" w:name="_Toc11489990"/>
      <w:bookmarkStart w:id="271" w:name="_Toc11490206"/>
      <w:bookmarkStart w:id="272" w:name="_Toc103141730"/>
      <w:bookmarkStart w:id="273" w:name="_Toc147895286"/>
      <w:r>
        <w:rPr>
          <w:rStyle w:val="CharSectno"/>
        </w:rPr>
        <w:t>43</w:t>
      </w:r>
      <w:r>
        <w:rPr>
          <w:snapToGrid w:val="0"/>
        </w:rPr>
        <w:t>.</w:t>
      </w:r>
      <w:r>
        <w:rPr>
          <w:snapToGrid w:val="0"/>
        </w:rPr>
        <w:tab/>
        <w:t>Records to be made by second</w:t>
      </w:r>
      <w:r>
        <w:rPr>
          <w:snapToGrid w:val="0"/>
        </w:rPr>
        <w:noBreakHyphen/>
        <w:t>hand dealers</w:t>
      </w:r>
      <w:bookmarkEnd w:id="269"/>
      <w:bookmarkEnd w:id="270"/>
      <w:bookmarkEnd w:id="271"/>
      <w:bookmarkEnd w:id="272"/>
      <w:bookmarkEnd w:id="273"/>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keepNext/>
        <w:rPr>
          <w:snapToGrid w:val="0"/>
        </w:rPr>
      </w:pPr>
      <w:r>
        <w:rPr>
          <w:snapToGrid w:val="0"/>
        </w:rPr>
        <w:tab/>
        <w:t>(i)</w:t>
      </w:r>
      <w:r>
        <w:rPr>
          <w:snapToGrid w:val="0"/>
        </w:rPr>
        <w:tab/>
        <w:t>if the goods are disposed of by the dealer, the date of disposal; and</w:t>
      </w:r>
    </w:p>
    <w:p>
      <w:pPr>
        <w:pStyle w:val="Indenta"/>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274" w:name="_Toc11489666"/>
      <w:bookmarkStart w:id="275" w:name="_Toc11489991"/>
      <w:bookmarkStart w:id="276" w:name="_Toc11490207"/>
      <w:bookmarkStart w:id="277" w:name="_Toc103141731"/>
      <w:bookmarkStart w:id="278" w:name="_Toc147895287"/>
      <w:r>
        <w:rPr>
          <w:rStyle w:val="CharSectno"/>
        </w:rPr>
        <w:t>44</w:t>
      </w:r>
      <w:r>
        <w:rPr>
          <w:snapToGrid w:val="0"/>
        </w:rPr>
        <w:t>.</w:t>
      </w:r>
      <w:r>
        <w:rPr>
          <w:snapToGrid w:val="0"/>
        </w:rPr>
        <w:tab/>
        <w:t>Records to be provided by second</w:t>
      </w:r>
      <w:r>
        <w:rPr>
          <w:snapToGrid w:val="0"/>
        </w:rPr>
        <w:noBreakHyphen/>
        <w:t>hand dealers</w:t>
      </w:r>
      <w:bookmarkEnd w:id="274"/>
      <w:bookmarkEnd w:id="275"/>
      <w:bookmarkEnd w:id="276"/>
      <w:bookmarkEnd w:id="277"/>
      <w:bookmarkEnd w:id="278"/>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279" w:name="_Toc11489667"/>
      <w:bookmarkStart w:id="280" w:name="_Toc11489992"/>
      <w:bookmarkStart w:id="281" w:name="_Toc11490208"/>
      <w:bookmarkStart w:id="282" w:name="_Toc103141732"/>
      <w:bookmarkStart w:id="283" w:name="_Toc147895288"/>
      <w:r>
        <w:rPr>
          <w:rStyle w:val="CharSectno"/>
        </w:rPr>
        <w:t>45</w:t>
      </w:r>
      <w:r>
        <w:rPr>
          <w:snapToGrid w:val="0"/>
        </w:rPr>
        <w:t>.</w:t>
      </w:r>
      <w:r>
        <w:rPr>
          <w:snapToGrid w:val="0"/>
        </w:rPr>
        <w:tab/>
        <w:t>Keeping of records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spacing w:before="260"/>
        <w:rPr>
          <w:snapToGrid w:val="0"/>
        </w:rPr>
      </w:pPr>
      <w:bookmarkStart w:id="284" w:name="_Toc11489668"/>
      <w:bookmarkStart w:id="285" w:name="_Toc11489993"/>
      <w:bookmarkStart w:id="286" w:name="_Toc11490209"/>
      <w:bookmarkStart w:id="287" w:name="_Toc103141733"/>
      <w:bookmarkStart w:id="288" w:name="_Toc147895289"/>
      <w:r>
        <w:rPr>
          <w:rStyle w:val="CharSectno"/>
        </w:rPr>
        <w:t>46</w:t>
      </w:r>
      <w:r>
        <w:rPr>
          <w:snapToGrid w:val="0"/>
        </w:rPr>
        <w:t>.</w:t>
      </w:r>
      <w:r>
        <w:rPr>
          <w:snapToGrid w:val="0"/>
        </w:rPr>
        <w:tab/>
        <w:t>Tampering with records</w:t>
      </w:r>
      <w:bookmarkEnd w:id="284"/>
      <w:bookmarkEnd w:id="285"/>
      <w:bookmarkEnd w:id="286"/>
      <w:bookmarkEnd w:id="287"/>
      <w:bookmarkEnd w:id="288"/>
      <w:r>
        <w:rPr>
          <w:snapToGrid w:val="0"/>
        </w:rPr>
        <w:t xml:space="preserve"> </w:t>
      </w:r>
    </w:p>
    <w:p>
      <w:pPr>
        <w:pStyle w:val="Subsection"/>
        <w:spacing w:before="18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spacing w:before="260"/>
        <w:rPr>
          <w:snapToGrid w:val="0"/>
        </w:rPr>
      </w:pPr>
      <w:bookmarkStart w:id="289" w:name="_Toc11489669"/>
      <w:bookmarkStart w:id="290" w:name="_Toc11489994"/>
      <w:bookmarkStart w:id="291" w:name="_Toc11490210"/>
      <w:bookmarkStart w:id="292" w:name="_Toc103141734"/>
      <w:bookmarkStart w:id="293" w:name="_Toc147895290"/>
      <w:r>
        <w:rPr>
          <w:rStyle w:val="CharSectno"/>
        </w:rPr>
        <w:t>47</w:t>
      </w:r>
      <w:r>
        <w:rPr>
          <w:snapToGrid w:val="0"/>
        </w:rPr>
        <w:t>.</w:t>
      </w:r>
      <w:r>
        <w:rPr>
          <w:snapToGrid w:val="0"/>
        </w:rPr>
        <w:tab/>
        <w:t>Goods to carry contract number</w:t>
      </w:r>
      <w:bookmarkEnd w:id="289"/>
      <w:bookmarkEnd w:id="290"/>
      <w:bookmarkEnd w:id="291"/>
      <w:bookmarkEnd w:id="292"/>
      <w:bookmarkEnd w:id="293"/>
      <w:r>
        <w:rPr>
          <w:snapToGrid w:val="0"/>
        </w:rPr>
        <w:t xml:space="preserve"> </w:t>
      </w:r>
    </w:p>
    <w:p>
      <w:pPr>
        <w:pStyle w:val="Subsection"/>
        <w:spacing w:before="180"/>
        <w:rPr>
          <w:snapToGrid w:val="0"/>
        </w:rPr>
      </w:pPr>
      <w:r>
        <w:rPr>
          <w:snapToGrid w:val="0"/>
        </w:rPr>
        <w:tab/>
        <w:t>(1)</w:t>
      </w:r>
      <w:r>
        <w:rPr>
          <w:snapToGrid w:val="0"/>
        </w:rPr>
        <w:tab/>
        <w:t>A pawnbroker must ensure that all pawned goods are marked or labelled with the distinguishing number of the contract under which the goods were pawned.</w:t>
      </w:r>
    </w:p>
    <w:p>
      <w:pPr>
        <w:pStyle w:val="Subsection"/>
        <w:keepNext/>
        <w:keepLines/>
        <w:spacing w:before="18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Heading5"/>
        <w:rPr>
          <w:snapToGrid w:val="0"/>
        </w:rPr>
      </w:pPr>
      <w:bookmarkStart w:id="294" w:name="_Toc11489670"/>
      <w:bookmarkStart w:id="295" w:name="_Toc11489995"/>
      <w:bookmarkStart w:id="296" w:name="_Toc11490211"/>
      <w:bookmarkStart w:id="297" w:name="_Toc103141735"/>
      <w:bookmarkStart w:id="298" w:name="_Toc147895291"/>
      <w:r>
        <w:rPr>
          <w:rStyle w:val="CharSectno"/>
        </w:rPr>
        <w:t>48</w:t>
      </w:r>
      <w:r>
        <w:rPr>
          <w:snapToGrid w:val="0"/>
        </w:rPr>
        <w:t>.</w:t>
      </w:r>
      <w:r>
        <w:rPr>
          <w:snapToGrid w:val="0"/>
        </w:rPr>
        <w:tab/>
        <w:t>Pawn ticket “lost” or “stolen”</w:t>
      </w:r>
      <w:bookmarkEnd w:id="294"/>
      <w:bookmarkEnd w:id="295"/>
      <w:bookmarkEnd w:id="296"/>
      <w:bookmarkEnd w:id="297"/>
      <w:bookmarkEnd w:id="298"/>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299" w:name="_Toc89489179"/>
      <w:bookmarkStart w:id="300" w:name="_Toc89511628"/>
      <w:bookmarkStart w:id="301" w:name="_Toc92688002"/>
      <w:bookmarkStart w:id="302" w:name="_Toc97003678"/>
      <w:bookmarkStart w:id="303" w:name="_Toc103141736"/>
      <w:bookmarkStart w:id="304" w:name="_Toc147832249"/>
      <w:bookmarkStart w:id="305" w:name="_Toc147895292"/>
      <w:r>
        <w:rPr>
          <w:rStyle w:val="CharDivNo"/>
        </w:rPr>
        <w:t>Division 2</w:t>
      </w:r>
      <w:r>
        <w:rPr>
          <w:snapToGrid w:val="0"/>
        </w:rPr>
        <w:t> — </w:t>
      </w:r>
      <w:r>
        <w:rPr>
          <w:rStyle w:val="CharDivText"/>
        </w:rPr>
        <w:t>Redemption and sale of goods</w:t>
      </w:r>
      <w:bookmarkEnd w:id="299"/>
      <w:bookmarkEnd w:id="300"/>
      <w:bookmarkEnd w:id="301"/>
      <w:bookmarkEnd w:id="302"/>
      <w:bookmarkEnd w:id="303"/>
      <w:bookmarkEnd w:id="304"/>
      <w:bookmarkEnd w:id="305"/>
    </w:p>
    <w:p>
      <w:pPr>
        <w:pStyle w:val="Heading5"/>
        <w:rPr>
          <w:snapToGrid w:val="0"/>
        </w:rPr>
      </w:pPr>
      <w:bookmarkStart w:id="306" w:name="_Toc11489671"/>
      <w:bookmarkStart w:id="307" w:name="_Toc11489996"/>
      <w:bookmarkStart w:id="308" w:name="_Toc11490212"/>
      <w:bookmarkStart w:id="309" w:name="_Toc103141737"/>
      <w:bookmarkStart w:id="310" w:name="_Toc147895293"/>
      <w:r>
        <w:rPr>
          <w:rStyle w:val="CharSectno"/>
        </w:rPr>
        <w:t>49</w:t>
      </w:r>
      <w:r>
        <w:rPr>
          <w:snapToGrid w:val="0"/>
        </w:rPr>
        <w:t>.</w:t>
      </w:r>
      <w:r>
        <w:rPr>
          <w:snapToGrid w:val="0"/>
        </w:rPr>
        <w:tab/>
        <w:t>Interpretation</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11" w:name="_Toc11489672"/>
      <w:bookmarkStart w:id="312" w:name="_Toc11489997"/>
      <w:bookmarkStart w:id="313" w:name="_Toc11490213"/>
      <w:bookmarkStart w:id="314" w:name="_Toc103141738"/>
      <w:bookmarkStart w:id="315" w:name="_Toc147895294"/>
      <w:r>
        <w:rPr>
          <w:rStyle w:val="CharSectno"/>
        </w:rPr>
        <w:t>50</w:t>
      </w:r>
      <w:r>
        <w:rPr>
          <w:snapToGrid w:val="0"/>
        </w:rPr>
        <w:t>.</w:t>
      </w:r>
      <w:r>
        <w:rPr>
          <w:snapToGrid w:val="0"/>
        </w:rPr>
        <w:tab/>
        <w:t>When goods may be redeemed</w:t>
      </w:r>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316" w:name="_Toc11489673"/>
      <w:bookmarkStart w:id="317" w:name="_Toc11489998"/>
      <w:bookmarkStart w:id="318" w:name="_Toc11490214"/>
      <w:bookmarkStart w:id="319" w:name="_Toc103141739"/>
      <w:bookmarkStart w:id="320" w:name="_Toc147895295"/>
      <w:r>
        <w:rPr>
          <w:rStyle w:val="CharSectno"/>
        </w:rPr>
        <w:t>51</w:t>
      </w:r>
      <w:r>
        <w:rPr>
          <w:snapToGrid w:val="0"/>
        </w:rPr>
        <w:t>.</w:t>
      </w:r>
      <w:r>
        <w:rPr>
          <w:snapToGrid w:val="0"/>
        </w:rPr>
        <w:tab/>
        <w:t>Where pawned goods to be kept</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321" w:name="_Toc11489674"/>
      <w:bookmarkStart w:id="322" w:name="_Toc11489999"/>
      <w:bookmarkStart w:id="323" w:name="_Toc11490215"/>
      <w:bookmarkStart w:id="324" w:name="_Toc103141740"/>
      <w:bookmarkStart w:id="325" w:name="_Toc147895296"/>
      <w:r>
        <w:rPr>
          <w:rStyle w:val="CharSectno"/>
        </w:rPr>
        <w:t>52</w:t>
      </w:r>
      <w:r>
        <w:rPr>
          <w:snapToGrid w:val="0"/>
        </w:rPr>
        <w:t>.</w:t>
      </w:r>
      <w:r>
        <w:rPr>
          <w:snapToGrid w:val="0"/>
        </w:rPr>
        <w:tab/>
        <w:t>When goods to be redeemed</w:t>
      </w:r>
      <w:bookmarkEnd w:id="321"/>
      <w:bookmarkEnd w:id="322"/>
      <w:bookmarkEnd w:id="323"/>
      <w:bookmarkEnd w:id="324"/>
      <w:bookmarkEnd w:id="325"/>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26" w:name="_Toc11489675"/>
      <w:bookmarkStart w:id="327" w:name="_Toc11490000"/>
      <w:bookmarkStart w:id="328" w:name="_Toc11490216"/>
      <w:bookmarkStart w:id="329" w:name="_Toc103141741"/>
      <w:bookmarkStart w:id="330" w:name="_Toc147895297"/>
      <w:r>
        <w:rPr>
          <w:rStyle w:val="CharSectno"/>
        </w:rPr>
        <w:t>53</w:t>
      </w:r>
      <w:r>
        <w:rPr>
          <w:snapToGrid w:val="0"/>
        </w:rPr>
        <w:t>.</w:t>
      </w:r>
      <w:r>
        <w:rPr>
          <w:snapToGrid w:val="0"/>
        </w:rPr>
        <w:tab/>
        <w:t>When goods not to be redeemed</w:t>
      </w:r>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331" w:name="_Toc11489676"/>
      <w:bookmarkStart w:id="332" w:name="_Toc11490001"/>
      <w:bookmarkStart w:id="333" w:name="_Toc11490217"/>
      <w:bookmarkStart w:id="334" w:name="_Toc103141742"/>
      <w:bookmarkStart w:id="335" w:name="_Toc147895298"/>
      <w:r>
        <w:rPr>
          <w:rStyle w:val="CharSectno"/>
        </w:rPr>
        <w:t>54</w:t>
      </w:r>
      <w:r>
        <w:rPr>
          <w:snapToGrid w:val="0"/>
        </w:rPr>
        <w:t>.</w:t>
      </w:r>
      <w:r>
        <w:rPr>
          <w:snapToGrid w:val="0"/>
        </w:rPr>
        <w:tab/>
        <w:t>Redemption only to holder of pawn ticket</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6" w:name="_Toc11489677"/>
      <w:bookmarkStart w:id="337" w:name="_Toc11490002"/>
      <w:bookmarkStart w:id="338" w:name="_Toc11490218"/>
      <w:bookmarkStart w:id="339" w:name="_Toc103141743"/>
      <w:bookmarkStart w:id="340" w:name="_Toc147895299"/>
      <w:r>
        <w:rPr>
          <w:rStyle w:val="CharSectno"/>
        </w:rPr>
        <w:t>55</w:t>
      </w:r>
      <w:r>
        <w:rPr>
          <w:snapToGrid w:val="0"/>
        </w:rPr>
        <w:t>.</w:t>
      </w:r>
      <w:r>
        <w:rPr>
          <w:snapToGrid w:val="0"/>
        </w:rPr>
        <w:tab/>
        <w:t>Sale of unredeemed goods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341" w:name="_Toc11489678"/>
      <w:bookmarkStart w:id="342" w:name="_Toc11490003"/>
      <w:bookmarkStart w:id="343" w:name="_Toc11490219"/>
      <w:bookmarkStart w:id="344" w:name="_Toc103141744"/>
      <w:bookmarkStart w:id="345" w:name="_Toc147895300"/>
      <w:r>
        <w:rPr>
          <w:rStyle w:val="CharSectno"/>
        </w:rPr>
        <w:t>56</w:t>
      </w:r>
      <w:r>
        <w:rPr>
          <w:snapToGrid w:val="0"/>
        </w:rPr>
        <w:t>.</w:t>
      </w:r>
      <w:r>
        <w:rPr>
          <w:snapToGrid w:val="0"/>
        </w:rPr>
        <w:tab/>
        <w:t>Unredeemed goods not to be bought by or on behalf of pawnbroker</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46" w:name="_Toc11489679"/>
      <w:bookmarkStart w:id="347" w:name="_Toc11490004"/>
      <w:bookmarkStart w:id="348" w:name="_Toc11490220"/>
      <w:bookmarkStart w:id="349" w:name="_Toc103141745"/>
      <w:bookmarkStart w:id="350" w:name="_Toc147895301"/>
      <w:r>
        <w:rPr>
          <w:rStyle w:val="CharSectno"/>
        </w:rPr>
        <w:t>57</w:t>
      </w:r>
      <w:r>
        <w:rPr>
          <w:snapToGrid w:val="0"/>
        </w:rPr>
        <w:t>.</w:t>
      </w:r>
      <w:r>
        <w:rPr>
          <w:snapToGrid w:val="0"/>
        </w:rPr>
        <w:tab/>
        <w:t>Application of proceeds of sale</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351" w:name="_Toc11489680"/>
      <w:bookmarkStart w:id="352" w:name="_Toc11490005"/>
      <w:bookmarkStart w:id="353" w:name="_Toc11490221"/>
      <w:bookmarkStart w:id="354" w:name="_Toc103141746"/>
      <w:bookmarkStart w:id="355" w:name="_Toc147895302"/>
      <w:r>
        <w:rPr>
          <w:rStyle w:val="CharSectno"/>
        </w:rPr>
        <w:t>58</w:t>
      </w:r>
      <w:r>
        <w:rPr>
          <w:snapToGrid w:val="0"/>
        </w:rPr>
        <w:t>.</w:t>
      </w:r>
      <w:r>
        <w:rPr>
          <w:snapToGrid w:val="0"/>
        </w:rPr>
        <w:tab/>
        <w:t>Records to be made on sale of unredeemed goods</w:t>
      </w:r>
      <w:bookmarkEnd w:id="351"/>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356" w:name="_Toc11489681"/>
      <w:bookmarkStart w:id="357" w:name="_Toc11490006"/>
      <w:bookmarkStart w:id="358" w:name="_Toc11490222"/>
      <w:bookmarkStart w:id="359" w:name="_Toc103141747"/>
      <w:bookmarkStart w:id="360" w:name="_Toc147895303"/>
      <w:r>
        <w:rPr>
          <w:rStyle w:val="CharSectno"/>
        </w:rPr>
        <w:t>59</w:t>
      </w:r>
      <w:r>
        <w:rPr>
          <w:snapToGrid w:val="0"/>
        </w:rPr>
        <w:t>.</w:t>
      </w:r>
      <w:r>
        <w:rPr>
          <w:snapToGrid w:val="0"/>
        </w:rPr>
        <w:tab/>
        <w:t>Notice as to surplus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361" w:name="_Toc11489682"/>
      <w:bookmarkStart w:id="362" w:name="_Toc11490007"/>
      <w:bookmarkStart w:id="363" w:name="_Toc11490223"/>
      <w:bookmarkStart w:id="364" w:name="_Toc103141748"/>
      <w:bookmarkStart w:id="365" w:name="_Toc147895304"/>
      <w:r>
        <w:rPr>
          <w:rStyle w:val="CharSectno"/>
        </w:rPr>
        <w:t>60</w:t>
      </w:r>
      <w:r>
        <w:rPr>
          <w:snapToGrid w:val="0"/>
        </w:rPr>
        <w:t>.</w:t>
      </w:r>
      <w:r>
        <w:rPr>
          <w:snapToGrid w:val="0"/>
        </w:rPr>
        <w:tab/>
        <w:t>Payment of surplus on demand</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366" w:name="_Toc89489192"/>
      <w:bookmarkStart w:id="367" w:name="_Toc89511641"/>
      <w:bookmarkStart w:id="368" w:name="_Toc92688015"/>
      <w:bookmarkStart w:id="369" w:name="_Toc97003691"/>
      <w:bookmarkStart w:id="370" w:name="_Toc103141749"/>
      <w:bookmarkStart w:id="371" w:name="_Toc147832262"/>
      <w:bookmarkStart w:id="372" w:name="_Toc147895305"/>
      <w:r>
        <w:rPr>
          <w:rStyle w:val="CharDivNo"/>
        </w:rPr>
        <w:t>Division 3</w:t>
      </w:r>
      <w:r>
        <w:rPr>
          <w:snapToGrid w:val="0"/>
        </w:rPr>
        <w:t> — </w:t>
      </w:r>
      <w:r>
        <w:rPr>
          <w:rStyle w:val="CharDivText"/>
        </w:rPr>
        <w:t>Retention of second</w:t>
      </w:r>
      <w:r>
        <w:rPr>
          <w:rStyle w:val="CharDivText"/>
        </w:rPr>
        <w:noBreakHyphen/>
        <w:t>hand goods</w:t>
      </w:r>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11489683"/>
      <w:bookmarkStart w:id="374" w:name="_Toc11490008"/>
      <w:bookmarkStart w:id="375" w:name="_Toc11490224"/>
      <w:bookmarkStart w:id="376" w:name="_Toc103141750"/>
      <w:bookmarkStart w:id="377" w:name="_Toc147895306"/>
      <w:r>
        <w:rPr>
          <w:rStyle w:val="CharSectno"/>
        </w:rPr>
        <w:t>61</w:t>
      </w:r>
      <w:r>
        <w:rPr>
          <w:snapToGrid w:val="0"/>
        </w:rPr>
        <w:t>.</w:t>
      </w:r>
      <w:r>
        <w:rPr>
          <w:snapToGrid w:val="0"/>
        </w:rPr>
        <w:tab/>
        <w:t>Second</w:t>
      </w:r>
      <w:r>
        <w:rPr>
          <w:snapToGrid w:val="0"/>
        </w:rPr>
        <w:noBreakHyphen/>
        <w:t>hand goods to be kept unchanged at least 14 </w:t>
      </w:r>
      <w:bookmarkEnd w:id="373"/>
      <w:bookmarkEnd w:id="374"/>
      <w:bookmarkEnd w:id="375"/>
      <w:r>
        <w:rPr>
          <w:snapToGrid w:val="0"/>
        </w:rPr>
        <w:t>days</w:t>
      </w:r>
      <w:bookmarkEnd w:id="376"/>
      <w:bookmarkEnd w:id="377"/>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hand goods obtained in the course of the dealer’s business, keep the goods for at least 14 days after the goods were obtained without altering the form of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78" w:name="_Toc11489684"/>
      <w:bookmarkStart w:id="379" w:name="_Toc11490009"/>
      <w:bookmarkStart w:id="380" w:name="_Toc11490225"/>
      <w:bookmarkStart w:id="381" w:name="_Toc103141751"/>
      <w:bookmarkStart w:id="382" w:name="_Toc147895307"/>
      <w:r>
        <w:rPr>
          <w:rStyle w:val="CharSectno"/>
        </w:rPr>
        <w:t>62</w:t>
      </w:r>
      <w:r>
        <w:rPr>
          <w:snapToGrid w:val="0"/>
        </w:rPr>
        <w:t>.</w:t>
      </w:r>
      <w:r>
        <w:rPr>
          <w:snapToGrid w:val="0"/>
        </w:rPr>
        <w:tab/>
        <w:t>Where second</w:t>
      </w:r>
      <w:r>
        <w:rPr>
          <w:snapToGrid w:val="0"/>
        </w:rPr>
        <w:noBreakHyphen/>
        <w:t>hand goods to be kept</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383" w:name="_Toc89489195"/>
      <w:bookmarkStart w:id="384" w:name="_Toc89511644"/>
      <w:bookmarkStart w:id="385" w:name="_Toc92688018"/>
      <w:bookmarkStart w:id="386" w:name="_Toc97003694"/>
      <w:bookmarkStart w:id="387" w:name="_Toc103141752"/>
      <w:bookmarkStart w:id="388" w:name="_Toc147832265"/>
      <w:bookmarkStart w:id="389" w:name="_Toc147895308"/>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11489685"/>
      <w:bookmarkStart w:id="391" w:name="_Toc11490010"/>
      <w:bookmarkStart w:id="392" w:name="_Toc11490226"/>
      <w:bookmarkStart w:id="393" w:name="_Toc103141753"/>
      <w:bookmarkStart w:id="394" w:name="_Toc147895309"/>
      <w:r>
        <w:rPr>
          <w:rStyle w:val="CharSectno"/>
        </w:rPr>
        <w:t>63</w:t>
      </w:r>
      <w:r>
        <w:rPr>
          <w:snapToGrid w:val="0"/>
        </w:rPr>
        <w:t>.</w:t>
      </w:r>
      <w:r>
        <w:rPr>
          <w:snapToGrid w:val="0"/>
        </w:rPr>
        <w:tab/>
        <w:t>Pawnbroker not to charge establishment fee</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395" w:name="_Toc11489686"/>
      <w:bookmarkStart w:id="396" w:name="_Toc11490011"/>
      <w:bookmarkStart w:id="397" w:name="_Toc11490227"/>
      <w:bookmarkStart w:id="398" w:name="_Toc103141754"/>
      <w:bookmarkStart w:id="399" w:name="_Toc147895310"/>
      <w:r>
        <w:rPr>
          <w:rStyle w:val="CharSectno"/>
        </w:rPr>
        <w:t>64</w:t>
      </w:r>
      <w:r>
        <w:rPr>
          <w:snapToGrid w:val="0"/>
        </w:rPr>
        <w:t>.</w:t>
      </w:r>
      <w:r>
        <w:rPr>
          <w:snapToGrid w:val="0"/>
        </w:rPr>
        <w:tab/>
        <w:t>Re</w:t>
      </w:r>
      <w:r>
        <w:rPr>
          <w:snapToGrid w:val="0"/>
        </w:rPr>
        <w:noBreakHyphen/>
        <w:t>pledging of goods prohibited</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00" w:name="_Toc11489687"/>
      <w:bookmarkStart w:id="401" w:name="_Toc11490012"/>
      <w:bookmarkStart w:id="402" w:name="_Toc11490228"/>
      <w:bookmarkStart w:id="403" w:name="_Toc103141755"/>
      <w:bookmarkStart w:id="404" w:name="_Toc147895311"/>
      <w:r>
        <w:rPr>
          <w:rStyle w:val="CharSectno"/>
        </w:rPr>
        <w:t>65</w:t>
      </w:r>
      <w:r>
        <w:rPr>
          <w:snapToGrid w:val="0"/>
        </w:rPr>
        <w:t>.</w:t>
      </w:r>
      <w:r>
        <w:rPr>
          <w:snapToGrid w:val="0"/>
        </w:rPr>
        <w:tab/>
        <w:t>No contracting out of liability for loss or damage</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405" w:name="_Toc11489688"/>
      <w:bookmarkStart w:id="406" w:name="_Toc11490013"/>
      <w:bookmarkStart w:id="407" w:name="_Toc11490229"/>
      <w:bookmarkStart w:id="408" w:name="_Toc103141756"/>
      <w:bookmarkStart w:id="409" w:name="_Toc147895312"/>
      <w:r>
        <w:rPr>
          <w:rStyle w:val="CharSectno"/>
        </w:rPr>
        <w:t>66</w:t>
      </w:r>
      <w:r>
        <w:rPr>
          <w:snapToGrid w:val="0"/>
        </w:rPr>
        <w:t>.</w:t>
      </w:r>
      <w:r>
        <w:rPr>
          <w:snapToGrid w:val="0"/>
        </w:rPr>
        <w:tab/>
        <w:t>Buyer may be compensated</w:t>
      </w:r>
      <w:bookmarkEnd w:id="405"/>
      <w:bookmarkEnd w:id="406"/>
      <w:bookmarkEnd w:id="407"/>
      <w:bookmarkEnd w:id="408"/>
      <w:bookmarkEnd w:id="409"/>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410" w:name="_Toc11489689"/>
      <w:bookmarkStart w:id="411" w:name="_Toc11490014"/>
      <w:bookmarkStart w:id="412" w:name="_Toc11490230"/>
      <w:bookmarkStart w:id="413" w:name="_Toc103141757"/>
      <w:bookmarkStart w:id="414" w:name="_Toc147895313"/>
      <w:r>
        <w:rPr>
          <w:rStyle w:val="CharSectno"/>
        </w:rPr>
        <w:t>67</w:t>
      </w:r>
      <w:r>
        <w:rPr>
          <w:snapToGrid w:val="0"/>
        </w:rPr>
        <w:t>.</w:t>
      </w:r>
      <w:r>
        <w:rPr>
          <w:snapToGrid w:val="0"/>
        </w:rPr>
        <w:tab/>
        <w:t>Certain rights etc. saved</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415" w:name="_Toc11489690"/>
      <w:bookmarkStart w:id="416" w:name="_Toc11490015"/>
      <w:bookmarkStart w:id="417" w:name="_Toc11490231"/>
      <w:bookmarkStart w:id="418" w:name="_Toc103141758"/>
      <w:bookmarkStart w:id="419" w:name="_Toc147895314"/>
      <w:r>
        <w:rPr>
          <w:rStyle w:val="CharSectno"/>
        </w:rPr>
        <w:t>68</w:t>
      </w:r>
      <w:r>
        <w:rPr>
          <w:snapToGrid w:val="0"/>
        </w:rPr>
        <w:t>.</w:t>
      </w:r>
      <w:r>
        <w:rPr>
          <w:snapToGrid w:val="0"/>
        </w:rPr>
        <w:tab/>
        <w:t>Reopening pawnbroking contracts</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420" w:name="_Toc11489691"/>
      <w:bookmarkStart w:id="421" w:name="_Toc11490016"/>
      <w:bookmarkStart w:id="422" w:name="_Toc11490232"/>
      <w:bookmarkStart w:id="423" w:name="_Toc103141759"/>
      <w:bookmarkStart w:id="424" w:name="_Toc147895315"/>
      <w:r>
        <w:rPr>
          <w:rStyle w:val="CharSectno"/>
        </w:rPr>
        <w:t>69</w:t>
      </w:r>
      <w:r>
        <w:rPr>
          <w:snapToGrid w:val="0"/>
        </w:rPr>
        <w:t>.</w:t>
      </w:r>
      <w:r>
        <w:rPr>
          <w:snapToGrid w:val="0"/>
        </w:rPr>
        <w:tab/>
        <w:t>Civil consequences of breach of section 6</w:t>
      </w:r>
      <w:bookmarkEnd w:id="420"/>
      <w:bookmarkEnd w:id="421"/>
      <w:bookmarkEnd w:id="422"/>
      <w:bookmarkEnd w:id="423"/>
      <w:bookmarkEnd w:id="424"/>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425" w:name="_Toc11489692"/>
      <w:bookmarkStart w:id="426" w:name="_Toc11490017"/>
      <w:bookmarkStart w:id="427" w:name="_Toc11490233"/>
      <w:bookmarkStart w:id="428" w:name="_Toc103141760"/>
      <w:bookmarkStart w:id="429" w:name="_Toc147895316"/>
      <w:r>
        <w:rPr>
          <w:rStyle w:val="CharSectno"/>
        </w:rPr>
        <w:t>70</w:t>
      </w:r>
      <w:r>
        <w:rPr>
          <w:snapToGrid w:val="0"/>
        </w:rPr>
        <w:t>.</w:t>
      </w:r>
      <w:r>
        <w:rPr>
          <w:snapToGrid w:val="0"/>
        </w:rPr>
        <w:tab/>
        <w:t>Civil consequences of breach of section 42</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430" w:name="_Toc11489693"/>
      <w:bookmarkStart w:id="431" w:name="_Toc11490018"/>
      <w:bookmarkStart w:id="432" w:name="_Toc11490234"/>
      <w:bookmarkStart w:id="433" w:name="_Toc103141761"/>
      <w:bookmarkStart w:id="434" w:name="_Toc147895317"/>
      <w:r>
        <w:rPr>
          <w:rStyle w:val="CharSectno"/>
        </w:rPr>
        <w:t>71</w:t>
      </w:r>
      <w:r>
        <w:rPr>
          <w:snapToGrid w:val="0"/>
        </w:rPr>
        <w:t>.</w:t>
      </w:r>
      <w:r>
        <w:rPr>
          <w:snapToGrid w:val="0"/>
        </w:rPr>
        <w:tab/>
        <w:t>Criminal liability</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435" w:name="_Toc11489694"/>
      <w:bookmarkStart w:id="436" w:name="_Toc11490019"/>
      <w:bookmarkStart w:id="437" w:name="_Toc11490235"/>
      <w:bookmarkStart w:id="438" w:name="_Toc103141762"/>
      <w:bookmarkStart w:id="439" w:name="_Toc147895318"/>
      <w:r>
        <w:rPr>
          <w:rStyle w:val="CharSectno"/>
        </w:rPr>
        <w:t>72</w:t>
      </w:r>
      <w:r>
        <w:rPr>
          <w:snapToGrid w:val="0"/>
        </w:rPr>
        <w:t>.</w:t>
      </w:r>
      <w:r>
        <w:rPr>
          <w:snapToGrid w:val="0"/>
        </w:rPr>
        <w:tab/>
        <w:t>Breach does not otherwise vitiate contract</w:t>
      </w:r>
      <w:bookmarkEnd w:id="435"/>
      <w:bookmarkEnd w:id="436"/>
      <w:bookmarkEnd w:id="437"/>
      <w:bookmarkEnd w:id="438"/>
      <w:bookmarkEnd w:id="439"/>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440" w:name="_Toc11489695"/>
      <w:bookmarkStart w:id="441" w:name="_Toc11490020"/>
      <w:bookmarkStart w:id="442" w:name="_Toc11490236"/>
      <w:bookmarkStart w:id="443" w:name="_Toc103141763"/>
      <w:bookmarkStart w:id="444" w:name="_Toc147895319"/>
      <w:r>
        <w:rPr>
          <w:rStyle w:val="CharSectno"/>
        </w:rPr>
        <w:t>73</w:t>
      </w:r>
      <w:r>
        <w:rPr>
          <w:snapToGrid w:val="0"/>
        </w:rPr>
        <w:t>.</w:t>
      </w:r>
      <w:r>
        <w:rPr>
          <w:snapToGrid w:val="0"/>
        </w:rPr>
        <w:tab/>
        <w:t>Relief from sections 69 and 70</w:t>
      </w:r>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Ednotesubsection"/>
      </w:pPr>
      <w:bookmarkStart w:id="445" w:name="_Toc89489207"/>
      <w:bookmarkStart w:id="446" w:name="_Toc89511656"/>
      <w:r>
        <w:tab/>
        <w:t>[(6)</w:t>
      </w:r>
      <w:r>
        <w:tab/>
        <w:t>repealed]</w:t>
      </w:r>
    </w:p>
    <w:p>
      <w:pPr>
        <w:pStyle w:val="Footnotesection"/>
      </w:pPr>
      <w:r>
        <w:tab/>
        <w:t>[Section 73 amended by No. 55 of 2004 s. 899.]</w:t>
      </w:r>
    </w:p>
    <w:p>
      <w:pPr>
        <w:pStyle w:val="Heading2"/>
      </w:pPr>
      <w:bookmarkStart w:id="447" w:name="_Toc92688030"/>
      <w:bookmarkStart w:id="448" w:name="_Toc97003706"/>
      <w:bookmarkStart w:id="449" w:name="_Toc103141764"/>
      <w:bookmarkStart w:id="450" w:name="_Toc147832277"/>
      <w:bookmarkStart w:id="451" w:name="_Toc147895320"/>
      <w:r>
        <w:rPr>
          <w:rStyle w:val="CharPartNo"/>
        </w:rPr>
        <w:t>Part 4</w:t>
      </w:r>
      <w:r>
        <w:rPr>
          <w:rStyle w:val="CharDivNo"/>
        </w:rPr>
        <w:t> </w:t>
      </w:r>
      <w:r>
        <w:t>—</w:t>
      </w:r>
      <w:r>
        <w:rPr>
          <w:rStyle w:val="CharDivText"/>
        </w:rPr>
        <w:t> </w:t>
      </w:r>
      <w:r>
        <w:rPr>
          <w:rStyle w:val="CharPartText"/>
        </w:rPr>
        <w:t>Enforcement</w:t>
      </w:r>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11489696"/>
      <w:bookmarkStart w:id="453" w:name="_Toc11490021"/>
      <w:bookmarkStart w:id="454" w:name="_Toc11490237"/>
      <w:bookmarkStart w:id="455" w:name="_Toc103141765"/>
      <w:bookmarkStart w:id="456" w:name="_Toc147895321"/>
      <w:r>
        <w:rPr>
          <w:rStyle w:val="CharSectno"/>
        </w:rPr>
        <w:t>74</w:t>
      </w:r>
      <w:r>
        <w:rPr>
          <w:snapToGrid w:val="0"/>
        </w:rPr>
        <w:t>.</w:t>
      </w:r>
      <w:r>
        <w:rPr>
          <w:snapToGrid w:val="0"/>
        </w:rPr>
        <w:tab/>
        <w:t>Entry to and inspection of licensed premises without warrant</w:t>
      </w:r>
      <w:bookmarkEnd w:id="452"/>
      <w:bookmarkEnd w:id="453"/>
      <w:bookmarkEnd w:id="454"/>
      <w:bookmarkEnd w:id="455"/>
      <w:bookmarkEnd w:id="456"/>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457" w:name="_Toc11489697"/>
      <w:bookmarkStart w:id="458" w:name="_Toc11490022"/>
      <w:bookmarkStart w:id="459" w:name="_Toc11490238"/>
      <w:bookmarkStart w:id="460" w:name="_Toc103141766"/>
      <w:bookmarkStart w:id="461" w:name="_Toc147895322"/>
      <w:r>
        <w:rPr>
          <w:rStyle w:val="CharSectno"/>
        </w:rPr>
        <w:t>75</w:t>
      </w:r>
      <w:r>
        <w:rPr>
          <w:snapToGrid w:val="0"/>
        </w:rPr>
        <w:t>.</w:t>
      </w:r>
      <w:r>
        <w:rPr>
          <w:snapToGrid w:val="0"/>
        </w:rPr>
        <w:tab/>
        <w:t>Assistance in the location of goods at licensed premises</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462" w:name="_Toc11489698"/>
      <w:bookmarkStart w:id="463" w:name="_Toc11490023"/>
      <w:bookmarkStart w:id="464" w:name="_Toc11490239"/>
      <w:bookmarkStart w:id="465" w:name="_Toc103141767"/>
      <w:bookmarkStart w:id="466" w:name="_Toc147895323"/>
      <w:r>
        <w:rPr>
          <w:rStyle w:val="CharSectno"/>
        </w:rPr>
        <w:t>76</w:t>
      </w:r>
      <w:r>
        <w:rPr>
          <w:snapToGrid w:val="0"/>
        </w:rPr>
        <w:t>.</w:t>
      </w:r>
      <w:r>
        <w:rPr>
          <w:snapToGrid w:val="0"/>
        </w:rPr>
        <w:tab/>
        <w:t>Provision of, and assistance in relation to, records etc.</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467" w:name="_Toc11489699"/>
      <w:bookmarkStart w:id="468" w:name="_Toc11490024"/>
      <w:bookmarkStart w:id="469" w:name="_Toc11490240"/>
      <w:bookmarkStart w:id="470" w:name="_Toc103141768"/>
      <w:bookmarkStart w:id="471" w:name="_Toc147895324"/>
      <w:r>
        <w:rPr>
          <w:rStyle w:val="CharSectno"/>
        </w:rPr>
        <w:t>77</w:t>
      </w:r>
      <w:r>
        <w:rPr>
          <w:snapToGrid w:val="0"/>
        </w:rPr>
        <w:t>.</w:t>
      </w:r>
      <w:r>
        <w:rPr>
          <w:snapToGrid w:val="0"/>
        </w:rPr>
        <w:tab/>
        <w:t>Police may seize records for certain purposes</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472" w:name="_Toc11489700"/>
      <w:bookmarkStart w:id="473" w:name="_Toc11490025"/>
      <w:bookmarkStart w:id="474" w:name="_Toc11490241"/>
      <w:bookmarkStart w:id="475" w:name="_Toc103141769"/>
      <w:bookmarkStart w:id="476" w:name="_Toc147895325"/>
      <w:r>
        <w:rPr>
          <w:rStyle w:val="CharSectno"/>
        </w:rPr>
        <w:t>78</w:t>
      </w:r>
      <w:r>
        <w:rPr>
          <w:snapToGrid w:val="0"/>
        </w:rPr>
        <w:t>.</w:t>
      </w:r>
      <w:r>
        <w:rPr>
          <w:snapToGrid w:val="0"/>
        </w:rPr>
        <w:tab/>
        <w:t>Police to be informed in certain circumstances</w:t>
      </w:r>
      <w:bookmarkEnd w:id="472"/>
      <w:bookmarkEnd w:id="473"/>
      <w:bookmarkEnd w:id="474"/>
      <w:bookmarkEnd w:id="475"/>
      <w:bookmarkEnd w:id="476"/>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477" w:name="_Toc11489701"/>
      <w:bookmarkStart w:id="478" w:name="_Toc11490026"/>
      <w:bookmarkStart w:id="479" w:name="_Toc11490242"/>
      <w:bookmarkStart w:id="480" w:name="_Toc103141770"/>
      <w:bookmarkStart w:id="481" w:name="_Toc147895326"/>
      <w:r>
        <w:rPr>
          <w:rStyle w:val="CharSectno"/>
        </w:rPr>
        <w:t>79</w:t>
      </w:r>
      <w:r>
        <w:rPr>
          <w:snapToGrid w:val="0"/>
        </w:rPr>
        <w:t>.</w:t>
      </w:r>
      <w:r>
        <w:rPr>
          <w:snapToGrid w:val="0"/>
        </w:rPr>
        <w:tab/>
        <w:t>Information about goods to be given to Commissioner in accordance with regulations</w:t>
      </w:r>
      <w:bookmarkEnd w:id="477"/>
      <w:bookmarkEnd w:id="478"/>
      <w:bookmarkEnd w:id="479"/>
      <w:bookmarkEnd w:id="480"/>
      <w:bookmarkEnd w:id="481"/>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482" w:name="_Toc11489702"/>
      <w:bookmarkStart w:id="483" w:name="_Toc11490027"/>
      <w:bookmarkStart w:id="484" w:name="_Toc11490243"/>
      <w:bookmarkStart w:id="485" w:name="_Toc103141771"/>
      <w:bookmarkStart w:id="486" w:name="_Toc147895327"/>
      <w:r>
        <w:rPr>
          <w:rStyle w:val="CharSectno"/>
        </w:rPr>
        <w:t>80</w:t>
      </w:r>
      <w:r>
        <w:rPr>
          <w:snapToGrid w:val="0"/>
        </w:rPr>
        <w:t>.</w:t>
      </w:r>
      <w:r>
        <w:rPr>
          <w:snapToGrid w:val="0"/>
        </w:rPr>
        <w:tab/>
        <w:t>Notice to stop dealing</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87" w:name="_Toc11489703"/>
      <w:bookmarkStart w:id="488" w:name="_Toc11490028"/>
      <w:bookmarkStart w:id="489" w:name="_Toc11490244"/>
      <w:bookmarkStart w:id="490" w:name="_Toc103141772"/>
      <w:bookmarkStart w:id="491" w:name="_Toc147895328"/>
      <w:r>
        <w:rPr>
          <w:rStyle w:val="CharSectno"/>
        </w:rPr>
        <w:t>81</w:t>
      </w:r>
      <w:r>
        <w:rPr>
          <w:snapToGrid w:val="0"/>
        </w:rPr>
        <w:t>.</w:t>
      </w:r>
      <w:r>
        <w:rPr>
          <w:snapToGrid w:val="0"/>
        </w:rPr>
        <w:tab/>
        <w:t>Seizure of goods suspected stolen</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492" w:name="_Toc11489704"/>
      <w:bookmarkStart w:id="493" w:name="_Toc11490029"/>
      <w:bookmarkStart w:id="494" w:name="_Toc11490245"/>
      <w:bookmarkStart w:id="495" w:name="_Toc103141773"/>
      <w:bookmarkStart w:id="496" w:name="_Toc147895329"/>
      <w:r>
        <w:rPr>
          <w:rStyle w:val="CharSectno"/>
        </w:rPr>
        <w:t>82</w:t>
      </w:r>
      <w:r>
        <w:rPr>
          <w:snapToGrid w:val="0"/>
        </w:rPr>
        <w:t>.</w:t>
      </w:r>
      <w:r>
        <w:rPr>
          <w:snapToGrid w:val="0"/>
        </w:rPr>
        <w:tab/>
        <w:t>Name and address</w:t>
      </w:r>
      <w:bookmarkEnd w:id="492"/>
      <w:bookmarkEnd w:id="493"/>
      <w:bookmarkEnd w:id="494"/>
      <w:bookmarkEnd w:id="495"/>
      <w:bookmarkEnd w:id="496"/>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497" w:name="_Toc11489705"/>
      <w:bookmarkStart w:id="498" w:name="_Toc11490030"/>
      <w:bookmarkStart w:id="499" w:name="_Toc11490246"/>
      <w:bookmarkStart w:id="500" w:name="_Toc103141774"/>
      <w:bookmarkStart w:id="501" w:name="_Toc147895330"/>
      <w:r>
        <w:rPr>
          <w:rStyle w:val="CharSectno"/>
        </w:rPr>
        <w:t>83</w:t>
      </w:r>
      <w:r>
        <w:rPr>
          <w:snapToGrid w:val="0"/>
        </w:rPr>
        <w:t>.</w:t>
      </w:r>
      <w:r>
        <w:rPr>
          <w:snapToGrid w:val="0"/>
        </w:rPr>
        <w:tab/>
        <w:t>Power of pawnbrokers, dealers etc. to arrest</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502" w:name="_Toc11489706"/>
      <w:bookmarkStart w:id="503" w:name="_Toc11490031"/>
      <w:bookmarkStart w:id="504" w:name="_Toc11490247"/>
      <w:bookmarkStart w:id="505" w:name="_Toc103141775"/>
      <w:bookmarkStart w:id="506" w:name="_Toc147895331"/>
      <w:r>
        <w:rPr>
          <w:rStyle w:val="CharSectno"/>
        </w:rPr>
        <w:t>84</w:t>
      </w:r>
      <w:r>
        <w:rPr>
          <w:snapToGrid w:val="0"/>
        </w:rPr>
        <w:t>.</w:t>
      </w:r>
      <w:r>
        <w:rPr>
          <w:snapToGrid w:val="0"/>
        </w:rPr>
        <w:tab/>
        <w:t>Offence of hindering police</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507" w:name="_Toc11489707"/>
      <w:bookmarkStart w:id="508" w:name="_Toc11490032"/>
      <w:bookmarkStart w:id="509" w:name="_Toc11490248"/>
      <w:bookmarkStart w:id="510" w:name="_Toc103141776"/>
      <w:bookmarkStart w:id="511" w:name="_Toc147895332"/>
      <w:r>
        <w:rPr>
          <w:rStyle w:val="CharSectno"/>
        </w:rPr>
        <w:t>85</w:t>
      </w:r>
      <w:r>
        <w:rPr>
          <w:snapToGrid w:val="0"/>
        </w:rPr>
        <w:t>.</w:t>
      </w:r>
      <w:r>
        <w:rPr>
          <w:snapToGrid w:val="0"/>
        </w:rPr>
        <w:tab/>
        <w:t>Summary orders where goods stolen, pawned etc.</w:t>
      </w:r>
      <w:bookmarkEnd w:id="507"/>
      <w:bookmarkEnd w:id="508"/>
      <w:bookmarkEnd w:id="509"/>
      <w:bookmarkEnd w:id="510"/>
      <w:bookmarkEnd w:id="511"/>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512" w:name="_Toc11489708"/>
      <w:bookmarkStart w:id="513" w:name="_Toc11490033"/>
      <w:bookmarkStart w:id="514" w:name="_Toc11490249"/>
      <w:bookmarkStart w:id="515" w:name="_Toc103141777"/>
      <w:bookmarkStart w:id="516" w:name="_Toc147895333"/>
      <w:r>
        <w:rPr>
          <w:rStyle w:val="CharSectno"/>
        </w:rPr>
        <w:t>86</w:t>
      </w:r>
      <w:r>
        <w:rPr>
          <w:snapToGrid w:val="0"/>
        </w:rPr>
        <w:t>.</w:t>
      </w:r>
      <w:r>
        <w:rPr>
          <w:snapToGrid w:val="0"/>
        </w:rPr>
        <w:tab/>
        <w:t>Summary orders where competing claims to goods</w:t>
      </w:r>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517" w:name="_Toc11489709"/>
      <w:bookmarkStart w:id="518" w:name="_Toc11490034"/>
      <w:bookmarkStart w:id="519" w:name="_Toc11490250"/>
      <w:bookmarkStart w:id="520" w:name="_Toc103141778"/>
      <w:bookmarkStart w:id="521" w:name="_Toc147895334"/>
      <w:r>
        <w:rPr>
          <w:rStyle w:val="CharSectno"/>
        </w:rPr>
        <w:t>87</w:t>
      </w:r>
      <w:r>
        <w:rPr>
          <w:snapToGrid w:val="0"/>
        </w:rPr>
        <w:t>.</w:t>
      </w:r>
      <w:r>
        <w:rPr>
          <w:snapToGrid w:val="0"/>
        </w:rPr>
        <w:tab/>
        <w:t>Procedure for sections 85 and 86</w:t>
      </w:r>
      <w:bookmarkEnd w:id="517"/>
      <w:bookmarkEnd w:id="518"/>
      <w:bookmarkEnd w:id="519"/>
      <w:bookmarkEnd w:id="520"/>
      <w:bookmarkEnd w:id="521"/>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522" w:name="_Toc11489710"/>
      <w:bookmarkStart w:id="523" w:name="_Toc11490035"/>
      <w:bookmarkStart w:id="524" w:name="_Toc11490251"/>
      <w:bookmarkStart w:id="525" w:name="_Toc103141779"/>
      <w:bookmarkStart w:id="526" w:name="_Toc147895335"/>
      <w:r>
        <w:rPr>
          <w:rStyle w:val="CharSectno"/>
        </w:rPr>
        <w:t>88</w:t>
      </w:r>
      <w:r>
        <w:rPr>
          <w:snapToGrid w:val="0"/>
        </w:rPr>
        <w:t>.</w:t>
      </w:r>
      <w:r>
        <w:rPr>
          <w:snapToGrid w:val="0"/>
        </w:rPr>
        <w:tab/>
        <w:t>Licensee’s liability for employees, agents</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527" w:name="_Toc11489711"/>
      <w:bookmarkStart w:id="528" w:name="_Toc11490036"/>
      <w:bookmarkStart w:id="529" w:name="_Toc11490252"/>
      <w:bookmarkStart w:id="530" w:name="_Toc103141780"/>
      <w:bookmarkStart w:id="531" w:name="_Toc147895336"/>
      <w:r>
        <w:rPr>
          <w:rStyle w:val="CharSectno"/>
        </w:rPr>
        <w:t>89</w:t>
      </w:r>
      <w:r>
        <w:rPr>
          <w:snapToGrid w:val="0"/>
        </w:rPr>
        <w:t>.</w:t>
      </w:r>
      <w:r>
        <w:rPr>
          <w:snapToGrid w:val="0"/>
        </w:rPr>
        <w:tab/>
        <w:t>Liability of partners, bodies corporate and officers</w:t>
      </w:r>
      <w:bookmarkEnd w:id="527"/>
      <w:bookmarkEnd w:id="528"/>
      <w:bookmarkEnd w:id="529"/>
      <w:bookmarkEnd w:id="530"/>
      <w:bookmarkEnd w:id="531"/>
      <w:r>
        <w:rPr>
          <w:snapToGrid w:val="0"/>
        </w:rPr>
        <w:t xml:space="preserve"> </w:t>
      </w:r>
    </w:p>
    <w:p>
      <w:pPr>
        <w:pStyle w:val="Subsection"/>
        <w:keepNext/>
        <w:rPr>
          <w:snapToGrid w:val="0"/>
        </w:rPr>
      </w:pPr>
      <w:r>
        <w:rPr>
          <w:snapToGrid w:val="0"/>
        </w:rPr>
        <w:tab/>
        <w:t>(1)</w:t>
      </w:r>
      <w:r>
        <w:rPr>
          <w:snapToGrid w:val="0"/>
        </w:rPr>
        <w:tab/>
        <w:t>Where a licence is held on behalf of a partnership or body corporate and the licensee or an employee or agent of the partnership or body commits an offence against this Act — </w:t>
      </w:r>
    </w:p>
    <w:p>
      <w:pPr>
        <w:pStyle w:val="Indenta"/>
        <w:rPr>
          <w:snapToGrid w:val="0"/>
        </w:rPr>
      </w:pPr>
      <w:r>
        <w:rPr>
          <w:snapToGrid w:val="0"/>
        </w:rPr>
        <w:tab/>
        <w:t>(a)</w:t>
      </w:r>
      <w:r>
        <w:rPr>
          <w:snapToGrid w:val="0"/>
        </w:rPr>
        <w:tab/>
        <w:t>subject to subsection (2), each of the partners; or</w:t>
      </w:r>
    </w:p>
    <w:p>
      <w:pPr>
        <w:pStyle w:val="Indenta"/>
        <w:rPr>
          <w:snapToGrid w:val="0"/>
        </w:rPr>
      </w:pPr>
      <w:r>
        <w:rPr>
          <w:snapToGrid w:val="0"/>
        </w:rPr>
        <w:tab/>
        <w:t>(b)</w:t>
      </w:r>
      <w:r>
        <w:rPr>
          <w:snapToGrid w:val="0"/>
        </w:rPr>
        <w:tab/>
        <w:t>the body corporate,</w:t>
      </w:r>
    </w:p>
    <w:p>
      <w:pPr>
        <w:pStyle w:val="Subsection"/>
        <w:rPr>
          <w:snapToGrid w:val="0"/>
        </w:rPr>
      </w:pPr>
      <w:r>
        <w:rPr>
          <w:snapToGrid w:val="0"/>
        </w:rPr>
        <w:tab/>
      </w:r>
      <w:r>
        <w:rPr>
          <w:snapToGrid w:val="0"/>
        </w:rPr>
        <w:tab/>
        <w:t>as the case may be, is to be treated as having committed an offence and is liable to the penalty prescribed for the offence committed by the licensee or employee or agent of the partnership or body.</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Heading5"/>
        <w:rPr>
          <w:snapToGrid w:val="0"/>
        </w:rPr>
      </w:pPr>
      <w:bookmarkStart w:id="532" w:name="_Toc11489712"/>
      <w:bookmarkStart w:id="533" w:name="_Toc11490037"/>
      <w:bookmarkStart w:id="534" w:name="_Toc11490253"/>
      <w:bookmarkStart w:id="535" w:name="_Toc103141781"/>
      <w:bookmarkStart w:id="536" w:name="_Toc147895337"/>
      <w:r>
        <w:rPr>
          <w:rStyle w:val="CharSectno"/>
        </w:rPr>
        <w:t>90</w:t>
      </w:r>
      <w:r>
        <w:rPr>
          <w:snapToGrid w:val="0"/>
        </w:rPr>
        <w:t>.</w:t>
      </w:r>
      <w:r>
        <w:rPr>
          <w:snapToGrid w:val="0"/>
        </w:rPr>
        <w:tab/>
        <w:t>Infringement notices</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may, within 21 days 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w:t>
      </w:r>
    </w:p>
    <w:p>
      <w:pPr>
        <w:pStyle w:val="Heading2"/>
      </w:pPr>
      <w:bookmarkStart w:id="537" w:name="_Toc89489225"/>
      <w:bookmarkStart w:id="538" w:name="_Toc89511674"/>
      <w:bookmarkStart w:id="539" w:name="_Toc92688048"/>
      <w:bookmarkStart w:id="540" w:name="_Toc97003724"/>
      <w:bookmarkStart w:id="541" w:name="_Toc103141782"/>
      <w:bookmarkStart w:id="542" w:name="_Toc147832295"/>
      <w:bookmarkStart w:id="543" w:name="_Toc147895338"/>
      <w:r>
        <w:rPr>
          <w:rStyle w:val="CharPartNo"/>
        </w:rPr>
        <w:t>Part 5</w:t>
      </w:r>
      <w:r>
        <w:rPr>
          <w:rStyle w:val="CharDivNo"/>
        </w:rPr>
        <w:t> </w:t>
      </w:r>
      <w:r>
        <w:t>—</w:t>
      </w:r>
      <w:r>
        <w:rPr>
          <w:rStyle w:val="CharDivText"/>
        </w:rPr>
        <w:t> </w:t>
      </w:r>
      <w:r>
        <w:rPr>
          <w:rStyle w:val="CharPartText"/>
        </w:rPr>
        <w:t>Miscellaneous</w:t>
      </w:r>
      <w:bookmarkEnd w:id="537"/>
      <w:bookmarkEnd w:id="538"/>
      <w:bookmarkEnd w:id="539"/>
      <w:bookmarkEnd w:id="540"/>
      <w:bookmarkEnd w:id="541"/>
      <w:bookmarkEnd w:id="542"/>
      <w:bookmarkEnd w:id="543"/>
      <w:r>
        <w:rPr>
          <w:rStyle w:val="CharPartText"/>
        </w:rPr>
        <w:t xml:space="preserve"> </w:t>
      </w:r>
    </w:p>
    <w:p>
      <w:pPr>
        <w:pStyle w:val="Heading5"/>
        <w:spacing w:before="260"/>
        <w:rPr>
          <w:snapToGrid w:val="0"/>
        </w:rPr>
      </w:pPr>
      <w:bookmarkStart w:id="544" w:name="_Toc11489713"/>
      <w:bookmarkStart w:id="545" w:name="_Toc11490038"/>
      <w:bookmarkStart w:id="546" w:name="_Toc11490254"/>
      <w:bookmarkStart w:id="547" w:name="_Toc103141783"/>
      <w:bookmarkStart w:id="548" w:name="_Toc147895339"/>
      <w:r>
        <w:rPr>
          <w:rStyle w:val="CharSectno"/>
        </w:rPr>
        <w:t>91</w:t>
      </w:r>
      <w:r>
        <w:rPr>
          <w:snapToGrid w:val="0"/>
        </w:rPr>
        <w:t>.</w:t>
      </w:r>
      <w:r>
        <w:rPr>
          <w:snapToGrid w:val="0"/>
        </w:rPr>
        <w:tab/>
        <w:t>Delegation by Commissioner</w:t>
      </w:r>
      <w:bookmarkEnd w:id="544"/>
      <w:bookmarkEnd w:id="545"/>
      <w:bookmarkEnd w:id="546"/>
      <w:bookmarkEnd w:id="547"/>
      <w:bookmarkEnd w:id="548"/>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549" w:name="_Toc11489714"/>
      <w:bookmarkStart w:id="550" w:name="_Toc11490039"/>
      <w:bookmarkStart w:id="551" w:name="_Toc11490255"/>
      <w:bookmarkStart w:id="552" w:name="_Toc103141784"/>
      <w:bookmarkStart w:id="553" w:name="_Toc147895340"/>
      <w:r>
        <w:rPr>
          <w:rStyle w:val="CharSectno"/>
        </w:rPr>
        <w:t>92</w:t>
      </w:r>
      <w:r>
        <w:rPr>
          <w:snapToGrid w:val="0"/>
        </w:rPr>
        <w:t>.</w:t>
      </w:r>
      <w:r>
        <w:rPr>
          <w:snapToGrid w:val="0"/>
        </w:rPr>
        <w:tab/>
      </w:r>
      <w:r>
        <w:rPr>
          <w:i/>
          <w:snapToGrid w:val="0"/>
        </w:rPr>
        <w:t>Financial Administration and Audit Act 1985</w:t>
      </w:r>
      <w:bookmarkEnd w:id="549"/>
      <w:bookmarkEnd w:id="550"/>
      <w:bookmarkEnd w:id="551"/>
      <w:bookmarkEnd w:id="552"/>
      <w:bookmarkEnd w:id="553"/>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Subsection"/>
      </w:pPr>
      <w:bookmarkStart w:id="554" w:name="_Toc11489715"/>
      <w:bookmarkStart w:id="555" w:name="_Toc11490040"/>
      <w:bookmarkStart w:id="556"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w:t>
      </w:r>
    </w:p>
    <w:p>
      <w:pPr>
        <w:pStyle w:val="Heading5"/>
        <w:spacing w:before="260"/>
        <w:rPr>
          <w:snapToGrid w:val="0"/>
        </w:rPr>
      </w:pPr>
      <w:bookmarkStart w:id="557" w:name="_Toc103141785"/>
      <w:bookmarkStart w:id="558" w:name="_Toc147895341"/>
      <w:r>
        <w:rPr>
          <w:rStyle w:val="CharSectno"/>
        </w:rPr>
        <w:t>93</w:t>
      </w:r>
      <w:r>
        <w:rPr>
          <w:snapToGrid w:val="0"/>
        </w:rPr>
        <w:t>.</w:t>
      </w:r>
      <w:r>
        <w:rPr>
          <w:snapToGrid w:val="0"/>
        </w:rPr>
        <w:tab/>
        <w:t>Orders to enable redemption of goods where licence revoked etc.</w:t>
      </w:r>
      <w:bookmarkEnd w:id="554"/>
      <w:bookmarkEnd w:id="555"/>
      <w:bookmarkEnd w:id="556"/>
      <w:bookmarkEnd w:id="557"/>
      <w:bookmarkEnd w:id="558"/>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559" w:name="_Toc11489716"/>
      <w:bookmarkStart w:id="560" w:name="_Toc11490041"/>
      <w:bookmarkStart w:id="561" w:name="_Toc11490257"/>
      <w:bookmarkStart w:id="562" w:name="_Toc103141786"/>
      <w:bookmarkStart w:id="563" w:name="_Toc147895342"/>
      <w:r>
        <w:rPr>
          <w:rStyle w:val="CharSectno"/>
        </w:rPr>
        <w:t>94</w:t>
      </w:r>
      <w:r>
        <w:rPr>
          <w:snapToGrid w:val="0"/>
        </w:rPr>
        <w:t>.</w:t>
      </w:r>
      <w:r>
        <w:rPr>
          <w:snapToGrid w:val="0"/>
        </w:rPr>
        <w:tab/>
        <w:t>Service</w:t>
      </w:r>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564" w:name="_Toc11489717"/>
      <w:bookmarkStart w:id="565" w:name="_Toc11490042"/>
      <w:bookmarkStart w:id="566" w:name="_Toc11490258"/>
      <w:bookmarkStart w:id="567" w:name="_Toc103141787"/>
      <w:bookmarkStart w:id="568" w:name="_Toc147895343"/>
      <w:r>
        <w:rPr>
          <w:rStyle w:val="CharSectno"/>
        </w:rPr>
        <w:t>95</w:t>
      </w:r>
      <w:r>
        <w:rPr>
          <w:snapToGrid w:val="0"/>
        </w:rPr>
        <w:t>.</w:t>
      </w:r>
      <w:r>
        <w:rPr>
          <w:snapToGrid w:val="0"/>
        </w:rPr>
        <w:tab/>
        <w:t>Secrecy</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569" w:name="_Toc11489718"/>
      <w:bookmarkStart w:id="570" w:name="_Toc11490043"/>
      <w:bookmarkStart w:id="571" w:name="_Toc11490259"/>
      <w:bookmarkStart w:id="572" w:name="_Toc103141788"/>
      <w:bookmarkStart w:id="573" w:name="_Toc147895344"/>
      <w:r>
        <w:rPr>
          <w:rStyle w:val="CharSectno"/>
        </w:rPr>
        <w:t>96</w:t>
      </w:r>
      <w:r>
        <w:rPr>
          <w:snapToGrid w:val="0"/>
        </w:rPr>
        <w:t>.</w:t>
      </w:r>
      <w:r>
        <w:rPr>
          <w:snapToGrid w:val="0"/>
        </w:rPr>
        <w:tab/>
        <w:t>Protection from liability</w:t>
      </w:r>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574" w:name="_Toc11489719"/>
      <w:bookmarkStart w:id="575" w:name="_Toc11490044"/>
      <w:bookmarkStart w:id="576" w:name="_Toc11490260"/>
      <w:bookmarkStart w:id="577" w:name="_Toc103141789"/>
      <w:bookmarkStart w:id="578" w:name="_Toc147895345"/>
      <w:r>
        <w:rPr>
          <w:rStyle w:val="CharSectno"/>
        </w:rPr>
        <w:t>97</w:t>
      </w:r>
      <w:r>
        <w:rPr>
          <w:snapToGrid w:val="0"/>
        </w:rPr>
        <w:t>.</w:t>
      </w:r>
      <w:r>
        <w:rPr>
          <w:snapToGrid w:val="0"/>
        </w:rPr>
        <w:tab/>
        <w:t>Evidentiary provisions</w:t>
      </w:r>
      <w:bookmarkEnd w:id="574"/>
      <w:bookmarkEnd w:id="575"/>
      <w:bookmarkEnd w:id="576"/>
      <w:bookmarkEnd w:id="577"/>
      <w:bookmarkEnd w:id="578"/>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579" w:name="_Toc11489720"/>
      <w:bookmarkStart w:id="580" w:name="_Toc11490045"/>
      <w:bookmarkStart w:id="581" w:name="_Toc11490261"/>
      <w:bookmarkStart w:id="582" w:name="_Toc103141790"/>
      <w:bookmarkStart w:id="583" w:name="_Toc147895346"/>
      <w:r>
        <w:rPr>
          <w:rStyle w:val="CharSectno"/>
        </w:rPr>
        <w:t>98</w:t>
      </w:r>
      <w:r>
        <w:rPr>
          <w:snapToGrid w:val="0"/>
        </w:rPr>
        <w:t>.</w:t>
      </w:r>
      <w:r>
        <w:rPr>
          <w:snapToGrid w:val="0"/>
        </w:rPr>
        <w:tab/>
        <w:t>Regulations</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providing for fees to be charged in relation to issuing proof of identity and age cards for the purposes of section 39.</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84" w:name="_Toc89489234"/>
      <w:bookmarkStart w:id="585" w:name="_Toc89511683"/>
      <w:bookmarkStart w:id="586" w:name="_Toc92688057"/>
      <w:bookmarkStart w:id="587" w:name="_Toc97003733"/>
      <w:bookmarkStart w:id="588" w:name="_Toc103141791"/>
      <w:bookmarkStart w:id="589" w:name="_Toc147832304"/>
      <w:bookmarkStart w:id="590" w:name="_Toc147895347"/>
      <w:r>
        <w:t>Notes</w:t>
      </w:r>
      <w:bookmarkEnd w:id="584"/>
      <w:bookmarkEnd w:id="585"/>
      <w:bookmarkEnd w:id="586"/>
      <w:bookmarkEnd w:id="587"/>
      <w:bookmarkEnd w:id="588"/>
      <w:bookmarkEnd w:id="589"/>
      <w:bookmarkEnd w:id="590"/>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91" w:name="_Toc103141792"/>
      <w:bookmarkStart w:id="592" w:name="_Toc147895348"/>
      <w:r>
        <w:rPr>
          <w:snapToGrid w:val="0"/>
        </w:rPr>
        <w:t>Compilation table</w:t>
      </w:r>
      <w:bookmarkEnd w:id="591"/>
      <w:bookmarkEnd w:id="592"/>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276"/>
        <w:gridCol w:w="2381"/>
        <w:gridCol w:w="29"/>
      </w:tblGrid>
      <w:tr>
        <w:trPr>
          <w:gridAfter w:val="1"/>
          <w:wAfter w:w="29"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304" w:type="dxa"/>
            <w:gridSpan w:val="2"/>
            <w:tcBorders>
              <w:top w:val="single" w:sz="8" w:space="0" w:color="auto"/>
              <w:bottom w:val="single" w:sz="8" w:space="0" w:color="auto"/>
            </w:tcBorders>
          </w:tcPr>
          <w:p>
            <w:pPr>
              <w:pStyle w:val="nTable"/>
              <w:spacing w:after="40"/>
              <w:rPr>
                <w:b/>
                <w:sz w:val="19"/>
              </w:rPr>
            </w:pPr>
            <w:r>
              <w:rPr>
                <w:b/>
                <w:sz w:val="19"/>
              </w:rPr>
              <w:t>Assent</w:t>
            </w:r>
          </w:p>
        </w:tc>
        <w:tc>
          <w:tcPr>
            <w:tcW w:w="238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40" w:type="dxa"/>
          </w:tcPr>
          <w:p>
            <w:pPr>
              <w:pStyle w:val="nTable"/>
              <w:spacing w:before="80"/>
              <w:rPr>
                <w:sz w:val="19"/>
              </w:rPr>
            </w:pPr>
            <w:r>
              <w:rPr>
                <w:i/>
                <w:sz w:val="19"/>
              </w:rPr>
              <w:t>Pawnbrokers and Second</w:t>
            </w:r>
            <w:r>
              <w:rPr>
                <w:i/>
                <w:sz w:val="19"/>
              </w:rPr>
              <w:noBreakHyphen/>
              <w:t>hand Dealers Act 1994</w:t>
            </w:r>
          </w:p>
        </w:tc>
        <w:tc>
          <w:tcPr>
            <w:tcW w:w="1134" w:type="dxa"/>
            <w:gridSpan w:val="2"/>
          </w:tcPr>
          <w:p>
            <w:pPr>
              <w:pStyle w:val="nTable"/>
              <w:spacing w:before="80"/>
              <w:rPr>
                <w:sz w:val="19"/>
              </w:rPr>
            </w:pPr>
            <w:r>
              <w:rPr>
                <w:sz w:val="19"/>
              </w:rPr>
              <w:t>88 of 1994</w:t>
            </w:r>
          </w:p>
        </w:tc>
        <w:tc>
          <w:tcPr>
            <w:tcW w:w="1304" w:type="dxa"/>
            <w:gridSpan w:val="2"/>
          </w:tcPr>
          <w:p>
            <w:pPr>
              <w:pStyle w:val="nTable"/>
              <w:spacing w:before="80"/>
              <w:rPr>
                <w:sz w:val="19"/>
              </w:rPr>
            </w:pPr>
            <w:r>
              <w:rPr>
                <w:sz w:val="19"/>
              </w:rPr>
              <w:t>5 Jan 1995</w:t>
            </w:r>
          </w:p>
        </w:tc>
        <w:tc>
          <w:tcPr>
            <w:tcW w:w="2381" w:type="dxa"/>
          </w:tcPr>
          <w:p>
            <w:pPr>
              <w:pStyle w:val="nTable"/>
              <w:spacing w:before="80"/>
              <w:rPr>
                <w:sz w:val="19"/>
              </w:rPr>
            </w:pPr>
            <w:r>
              <w:rPr>
                <w:sz w:val="19"/>
              </w:rPr>
              <w:t xml:space="preserve">1 Apr 1996 (see s. 2 and </w:t>
            </w:r>
            <w:r>
              <w:rPr>
                <w:i/>
                <w:sz w:val="19"/>
              </w:rPr>
              <w:t>Gazette</w:t>
            </w:r>
            <w:r>
              <w:rPr>
                <w:sz w:val="19"/>
              </w:rPr>
              <w:t xml:space="preserve"> 29 Mar 1996 p. 1495)</w:t>
            </w:r>
          </w:p>
        </w:tc>
      </w:tr>
      <w:tr>
        <w:trPr>
          <w:gridAfter w:val="1"/>
          <w:wAfter w:w="29" w:type="dxa"/>
        </w:trPr>
        <w:tc>
          <w:tcPr>
            <w:tcW w:w="2240" w:type="dxa"/>
          </w:tcPr>
          <w:p>
            <w:pPr>
              <w:pStyle w:val="nTable"/>
              <w:spacing w:before="80"/>
              <w:rPr>
                <w:sz w:val="19"/>
              </w:rPr>
            </w:pPr>
            <w:r>
              <w:rPr>
                <w:i/>
                <w:sz w:val="19"/>
              </w:rPr>
              <w:t xml:space="preserve">Sentencing (Consequential Provisions) Act 1995 </w:t>
            </w:r>
            <w:r>
              <w:rPr>
                <w:sz w:val="19"/>
              </w:rPr>
              <w:t>Pt. 61</w:t>
            </w:r>
          </w:p>
        </w:tc>
        <w:tc>
          <w:tcPr>
            <w:tcW w:w="1134" w:type="dxa"/>
            <w:gridSpan w:val="2"/>
          </w:tcPr>
          <w:p>
            <w:pPr>
              <w:pStyle w:val="nTable"/>
              <w:spacing w:before="80"/>
              <w:rPr>
                <w:sz w:val="19"/>
              </w:rPr>
            </w:pPr>
            <w:r>
              <w:rPr>
                <w:sz w:val="19"/>
              </w:rPr>
              <w:t>78 of 1995</w:t>
            </w:r>
          </w:p>
        </w:tc>
        <w:tc>
          <w:tcPr>
            <w:tcW w:w="1304" w:type="dxa"/>
            <w:gridSpan w:val="2"/>
          </w:tcPr>
          <w:p>
            <w:pPr>
              <w:pStyle w:val="nTable"/>
              <w:spacing w:before="80"/>
              <w:rPr>
                <w:sz w:val="19"/>
              </w:rPr>
            </w:pPr>
            <w:r>
              <w:rPr>
                <w:sz w:val="19"/>
              </w:rPr>
              <w:t>16 Jan 1996</w:t>
            </w:r>
          </w:p>
        </w:tc>
        <w:tc>
          <w:tcPr>
            <w:tcW w:w="2381" w:type="dxa"/>
          </w:tcPr>
          <w:p>
            <w:pPr>
              <w:pStyle w:val="nTable"/>
              <w:spacing w:before="80"/>
              <w:rPr>
                <w:sz w:val="19"/>
              </w:rPr>
            </w:pPr>
            <w:r>
              <w:rPr>
                <w:sz w:val="19"/>
              </w:rPr>
              <w:t xml:space="preserve">4 Nov 1996 (see s. 2(1) and </w:t>
            </w:r>
            <w:r>
              <w:rPr>
                <w:i/>
                <w:sz w:val="19"/>
              </w:rPr>
              <w:t>Gazette</w:t>
            </w:r>
            <w:r>
              <w:rPr>
                <w:sz w:val="19"/>
              </w:rPr>
              <w:t xml:space="preserve"> 25 Oct 1996 p. 5632)</w:t>
            </w:r>
          </w:p>
        </w:tc>
      </w:tr>
      <w:tr>
        <w:trPr>
          <w:gridAfter w:val="1"/>
          <w:wAfter w:w="29" w:type="dxa"/>
        </w:trPr>
        <w:tc>
          <w:tcPr>
            <w:tcW w:w="2240" w:type="dxa"/>
          </w:tcPr>
          <w:p>
            <w:pPr>
              <w:pStyle w:val="nTable"/>
              <w:spacing w:before="80"/>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304" w:type="dxa"/>
            <w:gridSpan w:val="2"/>
          </w:tcPr>
          <w:p>
            <w:pPr>
              <w:pStyle w:val="nTable"/>
              <w:spacing w:before="80"/>
              <w:rPr>
                <w:sz w:val="19"/>
              </w:rPr>
            </w:pPr>
            <w:r>
              <w:rPr>
                <w:sz w:val="19"/>
              </w:rPr>
              <w:t>28 Jun 1996</w:t>
            </w:r>
          </w:p>
        </w:tc>
        <w:tc>
          <w:tcPr>
            <w:tcW w:w="2381" w:type="dxa"/>
          </w:tcPr>
          <w:p>
            <w:pPr>
              <w:pStyle w:val="nTable"/>
              <w:spacing w:before="80"/>
              <w:rPr>
                <w:sz w:val="19"/>
              </w:rPr>
            </w:pPr>
            <w:r>
              <w:rPr>
                <w:sz w:val="19"/>
              </w:rPr>
              <w:t>1 Jul 1996 (see s. 2)</w:t>
            </w:r>
          </w:p>
        </w:tc>
      </w:tr>
      <w:tr>
        <w:trPr>
          <w:gridAfter w:val="1"/>
          <w:wAfter w:w="29" w:type="dxa"/>
        </w:trPr>
        <w:tc>
          <w:tcPr>
            <w:tcW w:w="2240" w:type="dxa"/>
          </w:tcPr>
          <w:p>
            <w:pPr>
              <w:pStyle w:val="nTable"/>
              <w:spacing w:before="80"/>
              <w:rPr>
                <w:i/>
                <w:sz w:val="19"/>
              </w:rPr>
            </w:pPr>
            <w:r>
              <w:rPr>
                <w:i/>
                <w:sz w:val="19"/>
              </w:rPr>
              <w:t>Corporations (Consequential Amendments) Act 2001</w:t>
            </w:r>
            <w:r>
              <w:rPr>
                <w:sz w:val="19"/>
              </w:rPr>
              <w:t xml:space="preserve"> s. 220</w:t>
            </w:r>
          </w:p>
        </w:tc>
        <w:tc>
          <w:tcPr>
            <w:tcW w:w="1134" w:type="dxa"/>
            <w:gridSpan w:val="2"/>
          </w:tcPr>
          <w:p>
            <w:pPr>
              <w:pStyle w:val="nTable"/>
              <w:spacing w:before="80"/>
              <w:rPr>
                <w:sz w:val="19"/>
              </w:rPr>
            </w:pPr>
            <w:r>
              <w:rPr>
                <w:sz w:val="19"/>
              </w:rPr>
              <w:t>10 of 2001</w:t>
            </w:r>
          </w:p>
        </w:tc>
        <w:tc>
          <w:tcPr>
            <w:tcW w:w="1304" w:type="dxa"/>
            <w:gridSpan w:val="2"/>
          </w:tcPr>
          <w:p>
            <w:pPr>
              <w:pStyle w:val="nTable"/>
              <w:spacing w:before="80"/>
              <w:rPr>
                <w:sz w:val="19"/>
              </w:rPr>
            </w:pPr>
            <w:r>
              <w:rPr>
                <w:sz w:val="19"/>
              </w:rPr>
              <w:t>28 Jun 2001</w:t>
            </w:r>
          </w:p>
        </w:tc>
        <w:tc>
          <w:tcPr>
            <w:tcW w:w="2381" w:type="dxa"/>
          </w:tcPr>
          <w:p>
            <w:pPr>
              <w:pStyle w:val="nTable"/>
              <w:spacing w:before="8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trPr>
        <w:tc>
          <w:tcPr>
            <w:tcW w:w="2240" w:type="dxa"/>
          </w:tcPr>
          <w:p>
            <w:pPr>
              <w:pStyle w:val="nTable"/>
              <w:spacing w:before="80"/>
              <w:rPr>
                <w:sz w:val="19"/>
              </w:rPr>
            </w:pPr>
            <w:bookmarkStart w:id="593" w:name="_Toc7405065"/>
            <w:bookmarkStart w:id="594" w:name="_Toc11489005"/>
            <w:bookmarkStart w:id="595" w:name="_Toc11490055"/>
            <w:bookmarkStart w:id="596" w:name="_Toc11490271"/>
            <w:r>
              <w:rPr>
                <w:i/>
                <w:sz w:val="19"/>
              </w:rPr>
              <w:t>Motor Vehicle Dealers Amendment Act 2002</w:t>
            </w:r>
            <w:r>
              <w:rPr>
                <w:sz w:val="19"/>
              </w:rPr>
              <w:t xml:space="preserve"> s. 71</w:t>
            </w:r>
          </w:p>
        </w:tc>
        <w:tc>
          <w:tcPr>
            <w:tcW w:w="1134" w:type="dxa"/>
            <w:gridSpan w:val="2"/>
          </w:tcPr>
          <w:p>
            <w:pPr>
              <w:pStyle w:val="nTable"/>
              <w:spacing w:before="80"/>
              <w:rPr>
                <w:sz w:val="19"/>
              </w:rPr>
            </w:pPr>
            <w:r>
              <w:rPr>
                <w:sz w:val="19"/>
              </w:rPr>
              <w:t>4 of 2002</w:t>
            </w:r>
          </w:p>
        </w:tc>
        <w:tc>
          <w:tcPr>
            <w:tcW w:w="1304" w:type="dxa"/>
            <w:gridSpan w:val="2"/>
          </w:tcPr>
          <w:p>
            <w:pPr>
              <w:pStyle w:val="nTable"/>
              <w:spacing w:before="80"/>
              <w:rPr>
                <w:sz w:val="19"/>
              </w:rPr>
            </w:pPr>
            <w:r>
              <w:rPr>
                <w:sz w:val="19"/>
              </w:rPr>
              <w:t>4 Jun 2002</w:t>
            </w:r>
          </w:p>
        </w:tc>
        <w:tc>
          <w:tcPr>
            <w:tcW w:w="2381" w:type="dxa"/>
          </w:tcPr>
          <w:p>
            <w:pPr>
              <w:pStyle w:val="nTable"/>
              <w:spacing w:before="80"/>
              <w:rPr>
                <w:sz w:val="19"/>
                <w:u w:val="single"/>
              </w:rPr>
            </w:pPr>
            <w:r>
              <w:rPr>
                <w:sz w:val="19"/>
              </w:rPr>
              <w:t xml:space="preserve">1 Sep 2002 (see s. 2 and </w:t>
            </w:r>
            <w:r>
              <w:rPr>
                <w:i/>
                <w:sz w:val="19"/>
              </w:rPr>
              <w:t>Gazette</w:t>
            </w:r>
            <w:r>
              <w:rPr>
                <w:sz w:val="19"/>
              </w:rPr>
              <w:t xml:space="preserve"> 13 Aug 2002 p. 4151)</w:t>
            </w:r>
          </w:p>
        </w:tc>
      </w:tr>
      <w:tr>
        <w:trPr>
          <w:gridAfter w:val="1"/>
          <w:wAfter w:w="29" w:type="dxa"/>
          <w:cantSplit/>
        </w:trPr>
        <w:tc>
          <w:tcPr>
            <w:tcW w:w="7059" w:type="dxa"/>
            <w:gridSpan w:val="6"/>
          </w:tcPr>
          <w:p>
            <w:pPr>
              <w:pStyle w:val="nTable"/>
              <w:spacing w:before="8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 (other than the amendment to s. 93(1))</w:t>
            </w:r>
          </w:p>
        </w:tc>
        <w:tc>
          <w:tcPr>
            <w:tcW w:w="1134" w:type="dxa"/>
            <w:gridSpan w:val="2"/>
            <w:tcBorders>
              <w:top w:val="nil"/>
              <w:bottom w:val="nil"/>
            </w:tcBorders>
          </w:tcPr>
          <w:p>
            <w:pPr>
              <w:pStyle w:val="nTable"/>
              <w:rPr>
                <w:snapToGrid w:val="0"/>
                <w:sz w:val="19"/>
                <w:lang w:val="en-US"/>
              </w:rPr>
            </w:pPr>
            <w:r>
              <w:rPr>
                <w:snapToGrid w:val="0"/>
                <w:sz w:val="19"/>
                <w:lang w:val="en-US"/>
              </w:rPr>
              <w:t>59 of 2004</w:t>
            </w:r>
          </w:p>
        </w:tc>
        <w:tc>
          <w:tcPr>
            <w:tcW w:w="1276" w:type="dxa"/>
            <w:tcBorders>
              <w:top w:val="nil"/>
              <w:bottom w:val="nil"/>
            </w:tcBorders>
          </w:tcPr>
          <w:p>
            <w:pPr>
              <w:pStyle w:val="nTable"/>
              <w:rPr>
                <w:snapToGrid w:val="0"/>
                <w:sz w:val="19"/>
                <w:lang w:val="en-US"/>
              </w:rPr>
            </w:pPr>
            <w:r>
              <w:rPr>
                <w:sz w:val="19"/>
              </w:rPr>
              <w:t>23 Nov 2004</w:t>
            </w:r>
          </w:p>
        </w:tc>
        <w:tc>
          <w:tcPr>
            <w:tcW w:w="2410" w:type="dxa"/>
            <w:gridSpan w:val="2"/>
            <w:tcBorders>
              <w:top w:val="nil"/>
              <w:bottom w:val="nil"/>
            </w:tcBorders>
          </w:tcPr>
          <w:p>
            <w:pPr>
              <w:pStyle w:val="nTable"/>
              <w:rPr>
                <w:snapToGrid w:val="0"/>
                <w:sz w:val="19"/>
                <w:lang w:val="en-US"/>
              </w:rPr>
            </w:pPr>
            <w:r>
              <w:rPr>
                <w:snapToGrid w:val="0"/>
                <w:sz w:val="19"/>
                <w:lang w:val="en-US"/>
              </w:rPr>
              <w:t>1 May 2005 (see s. 2 and Gazette 31 Dec 2004 p. 7128)</w:t>
            </w:r>
          </w:p>
        </w:tc>
      </w:tr>
      <w:bookmarkEnd w:id="593"/>
      <w:bookmarkEnd w:id="594"/>
      <w:bookmarkEnd w:id="595"/>
      <w:bookmarkEnd w:id="596"/>
      <w:tr>
        <w:tc>
          <w:tcPr>
            <w:tcW w:w="2240" w:type="dxa"/>
          </w:tcPr>
          <w:p>
            <w:pPr>
              <w:pStyle w:val="nTable"/>
              <w:spacing w:before="80"/>
              <w:rPr>
                <w:iCs/>
                <w:sz w:val="19"/>
                <w:vertAlign w:val="superscript"/>
              </w:rPr>
            </w:pPr>
            <w:r>
              <w:rPr>
                <w:i/>
                <w:sz w:val="19"/>
              </w:rPr>
              <w:t>State Administrative Tribunal (Conferral of Jurisdiction) Amendment and Repeal Act 2004</w:t>
            </w:r>
            <w:r>
              <w:rPr>
                <w:iCs/>
                <w:sz w:val="19"/>
              </w:rPr>
              <w:t xml:space="preserve"> Pt. 2 Div. 94</w:t>
            </w:r>
            <w:r>
              <w:rPr>
                <w:iCs/>
                <w:sz w:val="19"/>
                <w:vertAlign w:val="superscript"/>
              </w:rPr>
              <w:t> 3, 4</w:t>
            </w:r>
          </w:p>
        </w:tc>
        <w:tc>
          <w:tcPr>
            <w:tcW w:w="1134" w:type="dxa"/>
            <w:gridSpan w:val="2"/>
          </w:tcPr>
          <w:p>
            <w:pPr>
              <w:pStyle w:val="nTable"/>
              <w:spacing w:before="80"/>
              <w:rPr>
                <w:sz w:val="19"/>
              </w:rPr>
            </w:pPr>
            <w:r>
              <w:rPr>
                <w:sz w:val="19"/>
              </w:rPr>
              <w:t>55 of 2004</w:t>
            </w:r>
          </w:p>
        </w:tc>
        <w:tc>
          <w:tcPr>
            <w:tcW w:w="1304" w:type="dxa"/>
            <w:gridSpan w:val="2"/>
          </w:tcPr>
          <w:p>
            <w:pPr>
              <w:pStyle w:val="nTable"/>
              <w:spacing w:before="80"/>
              <w:rPr>
                <w:sz w:val="19"/>
              </w:rPr>
            </w:pPr>
            <w:r>
              <w:rPr>
                <w:sz w:val="19"/>
              </w:rPr>
              <w:t>24 Nov 2004</w:t>
            </w:r>
          </w:p>
        </w:tc>
        <w:tc>
          <w:tcPr>
            <w:tcW w:w="2410" w:type="dxa"/>
            <w:gridSpan w:val="2"/>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c>
          <w:tcPr>
            <w:tcW w:w="2240" w:type="dxa"/>
            <w:tcBorders>
              <w:bottom w:val="single" w:sz="4" w:space="0" w:color="auto"/>
            </w:tcBorders>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bottom w:val="single" w:sz="4" w:space="0" w:color="auto"/>
            </w:tcBorders>
          </w:tcPr>
          <w:p>
            <w:pPr>
              <w:pStyle w:val="nTable"/>
              <w:spacing w:before="80"/>
              <w:rPr>
                <w:sz w:val="19"/>
              </w:rPr>
            </w:pPr>
            <w:r>
              <w:rPr>
                <w:snapToGrid w:val="0"/>
                <w:sz w:val="19"/>
                <w:lang w:val="en-US"/>
              </w:rPr>
              <w:t>84 of 2004</w:t>
            </w:r>
          </w:p>
        </w:tc>
        <w:tc>
          <w:tcPr>
            <w:tcW w:w="1304" w:type="dxa"/>
            <w:gridSpan w:val="2"/>
            <w:tcBorders>
              <w:bottom w:val="single" w:sz="4" w:space="0" w:color="auto"/>
            </w:tcBorders>
          </w:tcPr>
          <w:p>
            <w:pPr>
              <w:pStyle w:val="nTable"/>
              <w:spacing w:before="80"/>
              <w:rPr>
                <w:sz w:val="19"/>
              </w:rPr>
            </w:pPr>
            <w:r>
              <w:rPr>
                <w:sz w:val="19"/>
              </w:rPr>
              <w:t>16 Dec 2004</w:t>
            </w:r>
          </w:p>
        </w:tc>
        <w:tc>
          <w:tcPr>
            <w:tcW w:w="2410" w:type="dxa"/>
            <w:gridSpan w:val="2"/>
            <w:tcBorders>
              <w:bottom w:val="single" w:sz="4" w:space="0" w:color="auto"/>
            </w:tcBorders>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7" w:name="_Toc534778309"/>
      <w:bookmarkStart w:id="598" w:name="_Toc7405063"/>
      <w:bookmarkStart w:id="599" w:name="_Toc87418939"/>
      <w:bookmarkStart w:id="600" w:name="_Toc87419906"/>
      <w:bookmarkStart w:id="601" w:name="_Toc103141793"/>
      <w:bookmarkStart w:id="602" w:name="_Toc147895349"/>
      <w:r>
        <w:rPr>
          <w:snapToGrid w:val="0"/>
        </w:rPr>
        <w:t>Provisions that have not come into operation</w:t>
      </w:r>
      <w:bookmarkEnd w:id="597"/>
      <w:bookmarkEnd w:id="598"/>
      <w:bookmarkEnd w:id="599"/>
      <w:bookmarkEnd w:id="600"/>
      <w:bookmarkEnd w:id="601"/>
      <w:bookmarkEnd w:id="60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 (the amendment to s. 93(1)) and s. 142</w:t>
            </w:r>
            <w:r>
              <w:rPr>
                <w:snapToGrid w:val="0"/>
                <w:sz w:val="19"/>
                <w:vertAlign w:val="superscript"/>
                <w:lang w:val="en-US"/>
              </w:rPr>
              <w:t> 2</w:t>
            </w:r>
          </w:p>
        </w:tc>
        <w:tc>
          <w:tcPr>
            <w:tcW w:w="1134"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rPr>
                <w:snapToGrid w:val="0"/>
                <w:sz w:val="19"/>
                <w:lang w:val="en-US"/>
              </w:rPr>
            </w:pPr>
            <w:r>
              <w:rPr>
                <w:i/>
                <w:iCs/>
                <w:snapToGrid w:val="0"/>
                <w:sz w:val="19"/>
                <w:lang w:val="en-US"/>
              </w:rPr>
              <w:t>Pawnbrokers and Second-hand Dealers Amendment Act 2006</w:t>
            </w:r>
            <w:r>
              <w:rPr>
                <w:snapToGrid w:val="0"/>
                <w:sz w:val="19"/>
                <w:lang w:val="en-US"/>
              </w:rPr>
              <w:t xml:space="preserve"> s. 3-22 </w:t>
            </w:r>
            <w:r>
              <w:rPr>
                <w:snapToGrid w:val="0"/>
                <w:sz w:val="19"/>
                <w:vertAlign w:val="superscript"/>
                <w:lang w:val="en-US"/>
              </w:rPr>
              <w:t>5</w:t>
            </w:r>
          </w:p>
        </w:tc>
        <w:tc>
          <w:tcPr>
            <w:tcW w:w="1134" w:type="dxa"/>
            <w:tcBorders>
              <w:top w:val="nil"/>
              <w:bottom w:val="single" w:sz="4" w:space="0" w:color="auto"/>
            </w:tcBorders>
          </w:tcPr>
          <w:p>
            <w:pPr>
              <w:pStyle w:val="nTable"/>
              <w:rPr>
                <w:snapToGrid w:val="0"/>
                <w:sz w:val="19"/>
                <w:lang w:val="en-US"/>
              </w:rPr>
            </w:pPr>
            <w:r>
              <w:rPr>
                <w:snapToGrid w:val="0"/>
                <w:sz w:val="19"/>
                <w:lang w:val="en-US"/>
              </w:rPr>
              <w:t>46 of 2006</w:t>
            </w:r>
          </w:p>
        </w:tc>
        <w:tc>
          <w:tcPr>
            <w:tcW w:w="1276" w:type="dxa"/>
            <w:tcBorders>
              <w:top w:val="nil"/>
              <w:bottom w:val="single" w:sz="4" w:space="0" w:color="auto"/>
            </w:tcBorders>
          </w:tcPr>
          <w:p>
            <w:pPr>
              <w:pStyle w:val="nTable"/>
              <w:rPr>
                <w:sz w:val="19"/>
              </w:rPr>
            </w:pPr>
            <w:r>
              <w:rPr>
                <w:sz w:val="19"/>
              </w:rPr>
              <w:t>4 Oct 2006</w:t>
            </w:r>
          </w:p>
        </w:tc>
        <w:tc>
          <w:tcPr>
            <w:tcW w:w="2410" w:type="dxa"/>
            <w:tcBorders>
              <w:top w:val="nil"/>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bookmarkStart w:id="603" w:name="_Toc491766737"/>
      <w:bookmarkStart w:id="604" w:name="_Toc88630644"/>
      <w:bookmarkStart w:id="605" w:name="_Toc497185860"/>
      <w:bookmarkStart w:id="606" w:name="_Toc88630750"/>
      <w:r>
        <w:rPr>
          <w:snapToGrid w:val="0"/>
          <w:vertAlign w:val="superscript"/>
        </w:rPr>
        <w:t>2</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bookmarkStart w:id="607" w:name="_Toc491766765"/>
      <w:bookmarkStart w:id="608" w:name="_Toc88630667"/>
      <w:bookmarkEnd w:id="603"/>
      <w:bookmarkEnd w:id="604"/>
      <w:r>
        <w:t>116.</w:t>
      </w:r>
      <w:r>
        <w:tab/>
      </w:r>
      <w:r>
        <w:rPr>
          <w:i/>
        </w:rPr>
        <w:t>Pawnbrokers and Second</w:t>
      </w:r>
      <w:r>
        <w:rPr>
          <w:i/>
        </w:rPr>
        <w:noBreakHyphen/>
        <w:t>hand Dealers Act 1994</w:t>
      </w:r>
      <w:bookmarkEnd w:id="607"/>
      <w:bookmarkEnd w:id="608"/>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MiscOpen"/>
        <w:rPr>
          <w:snapToGrid w:val="0"/>
        </w:rPr>
      </w:pPr>
      <w:r>
        <w:rPr>
          <w:snapToGrid w:val="0"/>
        </w:rPr>
        <w:t>“</w:t>
      </w:r>
    </w:p>
    <w:p>
      <w:pPr>
        <w:pStyle w:val="nzHeading5"/>
        <w:spacing w:before="0"/>
      </w:pPr>
      <w:bookmarkStart w:id="609" w:name="_Toc448803174"/>
      <w:bookmarkStart w:id="610" w:name="_Toc491766624"/>
      <w:bookmarkStart w:id="611" w:name="_Toc88630544"/>
      <w:r>
        <w:rPr>
          <w:rStyle w:val="CharSectno"/>
        </w:rPr>
        <w:t>142</w:t>
      </w:r>
      <w:r>
        <w:t>.</w:t>
      </w:r>
      <w:r>
        <w:tab/>
        <w:t xml:space="preserve">Other amendments to various Acts </w:t>
      </w:r>
      <w:bookmarkEnd w:id="609"/>
      <w:bookmarkEnd w:id="610"/>
      <w:bookmarkEnd w:id="61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612" w:name="_Toc497185888"/>
      <w:bookmarkStart w:id="613" w:name="_Toc88630759"/>
      <w:bookmarkEnd w:id="605"/>
      <w:bookmarkEnd w:id="606"/>
      <w:r>
        <w:t>37.</w:t>
      </w:r>
      <w:r>
        <w:tab/>
      </w:r>
      <w:r>
        <w:rPr>
          <w:i/>
        </w:rPr>
        <w:t>Pawnbrokers and Second</w:t>
      </w:r>
      <w:r>
        <w:rPr>
          <w:i/>
        </w:rPr>
        <w:noBreakHyphen/>
        <w:t>hand Dealers Act 1994</w:t>
      </w:r>
      <w:bookmarkEnd w:id="612"/>
      <w:bookmarkEnd w:id="61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w:t>
            </w:r>
          </w:p>
          <w:p>
            <w:pPr>
              <w:pStyle w:val="nzTable"/>
            </w:pPr>
            <w:r>
              <w:t>s. 32(1)</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59 reads as follows:</w:t>
      </w:r>
    </w:p>
    <w:p>
      <w:pPr>
        <w:pStyle w:val="MiscOpen"/>
      </w:pPr>
      <w:r>
        <w:t>“</w:t>
      </w:r>
    </w:p>
    <w:p>
      <w:pPr>
        <w:pStyle w:val="nzHeading5"/>
      </w:pPr>
      <w:bookmarkStart w:id="614" w:name="_Toc90957868"/>
      <w:bookmarkStart w:id="615" w:name="_Toc92182283"/>
      <w:r>
        <w:rPr>
          <w:rStyle w:val="CharSectno"/>
        </w:rPr>
        <w:t>59</w:t>
      </w:r>
      <w:r>
        <w:t>.</w:t>
      </w:r>
      <w:r>
        <w:tab/>
      </w:r>
      <w:r>
        <w:rPr>
          <w:i/>
        </w:rPr>
        <w:t>Pawnbrokers and Second</w:t>
      </w:r>
      <w:r>
        <w:rPr>
          <w:i/>
        </w:rPr>
        <w:noBreakHyphen/>
        <w:t>hand Dealers Act 1994</w:t>
      </w:r>
      <w:bookmarkEnd w:id="614"/>
      <w:bookmarkEnd w:id="61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rPr>
          <w:iCs/>
        </w:rPr>
        <w:t xml:space="preserve"> Part 2 Division 3.</w:t>
      </w:r>
    </w:p>
    <w:p>
      <w:pPr>
        <w:pStyle w:val="MiscClose"/>
      </w:pPr>
      <w:r>
        <w:t>”.</w:t>
      </w:r>
    </w:p>
    <w:p>
      <w:pPr>
        <w:pStyle w:val="nSubsection"/>
        <w:keepNext/>
        <w:keepLines/>
        <w:spacing w:line="240" w:lineRule="atLeast"/>
        <w:rPr>
          <w:snapToGrid w:val="0"/>
        </w:rPr>
      </w:pPr>
      <w:r>
        <w:rPr>
          <w:vertAlign w:val="superscript"/>
        </w:rPr>
        <w:t>5</w:t>
      </w:r>
      <w:r>
        <w:tab/>
      </w:r>
      <w:r>
        <w:rPr>
          <w:snapToGrid w:val="0"/>
        </w:rPr>
        <w:t xml:space="preserve">On the date as at which this </w:t>
      </w:r>
      <w:r>
        <w:t>compilation</w:t>
      </w:r>
      <w:r>
        <w:rPr>
          <w:snapToGrid w:val="0"/>
        </w:rPr>
        <w:t xml:space="preserve"> was prepared the </w:t>
      </w:r>
      <w:r>
        <w:rPr>
          <w:i/>
          <w:iCs/>
          <w:snapToGrid w:val="0"/>
          <w:sz w:val="19"/>
          <w:lang w:val="en-US"/>
        </w:rPr>
        <w:t>Pawnbrokers and Second-hand Dealers Amendment Act 2006</w:t>
      </w:r>
      <w:r>
        <w:rPr>
          <w:snapToGrid w:val="0"/>
          <w:sz w:val="19"/>
          <w:lang w:val="en-US"/>
        </w:rPr>
        <w:t xml:space="preserve"> s. 3-22</w:t>
      </w:r>
      <w:r>
        <w:rPr>
          <w:snapToGrid w:val="0"/>
        </w:rPr>
        <w:t xml:space="preserve"> had not come into operation. They read as follows:</w:t>
      </w:r>
    </w:p>
    <w:p>
      <w:pPr>
        <w:pStyle w:val="MiscOpen"/>
        <w:spacing w:before="0"/>
        <w:rPr>
          <w:snapToGrid w:val="0"/>
        </w:rPr>
      </w:pPr>
      <w:r>
        <w:rPr>
          <w:snapToGrid w:val="0"/>
        </w:rPr>
        <w:t>“</w:t>
      </w:r>
    </w:p>
    <w:p>
      <w:pPr>
        <w:pStyle w:val="nzHeading5"/>
        <w:rPr>
          <w:snapToGrid w:val="0"/>
        </w:rPr>
      </w:pPr>
      <w:bookmarkStart w:id="616" w:name="_Toc471793483"/>
      <w:bookmarkStart w:id="617" w:name="_Toc512746196"/>
      <w:bookmarkStart w:id="618" w:name="_Toc515958177"/>
      <w:bookmarkStart w:id="619" w:name="_Toc111954415"/>
      <w:bookmarkStart w:id="620" w:name="_Toc117397371"/>
      <w:bookmarkStart w:id="621" w:name="_Toc147812327"/>
      <w:bookmarkStart w:id="622" w:name="_Toc147832071"/>
      <w:r>
        <w:rPr>
          <w:rStyle w:val="CharSectno"/>
        </w:rPr>
        <w:t>3</w:t>
      </w:r>
      <w:r>
        <w:rPr>
          <w:snapToGrid w:val="0"/>
        </w:rPr>
        <w:t>.</w:t>
      </w:r>
      <w:r>
        <w:rPr>
          <w:snapToGrid w:val="0"/>
        </w:rPr>
        <w:tab/>
        <w:t>The Act amended</w:t>
      </w:r>
      <w:bookmarkEnd w:id="616"/>
      <w:bookmarkEnd w:id="617"/>
      <w:bookmarkEnd w:id="618"/>
      <w:bookmarkEnd w:id="619"/>
      <w:bookmarkEnd w:id="620"/>
      <w:bookmarkEnd w:id="621"/>
      <w:bookmarkEnd w:id="622"/>
    </w:p>
    <w:p>
      <w:pPr>
        <w:pStyle w:val="nzSubsection"/>
      </w:pPr>
      <w:r>
        <w:tab/>
      </w:r>
      <w:r>
        <w:tab/>
        <w:t xml:space="preserve">Except as stated in section 23, the amendments in this Act are to the </w:t>
      </w:r>
      <w:r>
        <w:rPr>
          <w:i/>
        </w:rPr>
        <w:t>Pawnbrokers and Second-hand Dealers Act 1994</w:t>
      </w:r>
      <w:r>
        <w:t>.</w:t>
      </w:r>
    </w:p>
    <w:p>
      <w:pPr>
        <w:pStyle w:val="nzHeading5"/>
        <w:rPr>
          <w:rFonts w:eastAsia="Arial Unicode MS"/>
        </w:rPr>
      </w:pPr>
      <w:bookmarkStart w:id="623" w:name="_Toc111954416"/>
      <w:bookmarkStart w:id="624" w:name="_Toc117397372"/>
      <w:bookmarkStart w:id="625" w:name="_Toc147812328"/>
      <w:bookmarkStart w:id="626" w:name="_Toc147832072"/>
      <w:r>
        <w:rPr>
          <w:rStyle w:val="CharSectno"/>
        </w:rPr>
        <w:t>4</w:t>
      </w:r>
      <w:r>
        <w:t>.</w:t>
      </w:r>
      <w:r>
        <w:tab/>
      </w:r>
      <w:r>
        <w:rPr>
          <w:snapToGrid w:val="0"/>
        </w:rPr>
        <w:t>Section</w:t>
      </w:r>
      <w:r>
        <w:t> 3 amended</w:t>
      </w:r>
      <w:bookmarkEnd w:id="623"/>
      <w:bookmarkEnd w:id="624"/>
      <w:bookmarkEnd w:id="625"/>
      <w:bookmarkEnd w:id="626"/>
    </w:p>
    <w:p>
      <w:pPr>
        <w:pStyle w:val="nzSubsection"/>
      </w:pPr>
      <w:r>
        <w:tab/>
      </w:r>
      <w:r>
        <w:tab/>
        <w:t xml:space="preserve">Section 3(1) is amended by deleting the definition of “pawnbroker” and inserting instead — </w:t>
      </w:r>
    </w:p>
    <w:p>
      <w:pPr>
        <w:pStyle w:val="MiscOpen"/>
        <w:ind w:left="880"/>
      </w:pPr>
      <w:r>
        <w:t xml:space="preserve">“    </w:t>
      </w:r>
    </w:p>
    <w:p>
      <w:pPr>
        <w:pStyle w:val="nzDefstart"/>
      </w:pPr>
      <w:r>
        <w:rPr>
          <w:b/>
        </w:rPr>
        <w:tab/>
        <w:t>“</w:t>
      </w:r>
      <w:r>
        <w:rPr>
          <w:rStyle w:val="CharDefText"/>
        </w:rPr>
        <w:t>pawnbroker</w:t>
      </w:r>
      <w:r>
        <w:rPr>
          <w:b/>
        </w:rPr>
        <w:t>”</w:t>
      </w:r>
      <w:r>
        <w:t xml:space="preserve"> has the meaning given by section 3A;</w:t>
      </w:r>
    </w:p>
    <w:p>
      <w:pPr>
        <w:pStyle w:val="MiscClose"/>
      </w:pPr>
      <w:r>
        <w:t xml:space="preserve">    ”.</w:t>
      </w:r>
    </w:p>
    <w:p>
      <w:pPr>
        <w:pStyle w:val="nzHeading5"/>
        <w:rPr>
          <w:rFonts w:eastAsia="Arial Unicode MS"/>
        </w:rPr>
      </w:pPr>
      <w:bookmarkStart w:id="627" w:name="_Toc111954417"/>
      <w:bookmarkStart w:id="628" w:name="_Toc117397373"/>
      <w:bookmarkStart w:id="629" w:name="_Toc147812329"/>
      <w:bookmarkStart w:id="630" w:name="_Toc147832073"/>
      <w:r>
        <w:rPr>
          <w:rStyle w:val="CharSectno"/>
        </w:rPr>
        <w:t>5</w:t>
      </w:r>
      <w:r>
        <w:t>.</w:t>
      </w:r>
      <w:r>
        <w:tab/>
        <w:t>Section 3A inserted</w:t>
      </w:r>
      <w:bookmarkEnd w:id="627"/>
      <w:bookmarkEnd w:id="628"/>
      <w:bookmarkEnd w:id="629"/>
      <w:bookmarkEnd w:id="630"/>
    </w:p>
    <w:p>
      <w:pPr>
        <w:pStyle w:val="nzSubsection"/>
      </w:pPr>
      <w:r>
        <w:tab/>
      </w:r>
      <w:r>
        <w:tab/>
        <w:t xml:space="preserve">After section 3 the following section is inserted — </w:t>
      </w:r>
    </w:p>
    <w:p>
      <w:pPr>
        <w:pStyle w:val="MiscOpen"/>
      </w:pPr>
      <w:r>
        <w:t xml:space="preserve">“    </w:t>
      </w:r>
    </w:p>
    <w:p>
      <w:pPr>
        <w:pStyle w:val="nzHeading5"/>
      </w:pPr>
      <w:bookmarkStart w:id="631" w:name="_Toc117397374"/>
      <w:bookmarkStart w:id="632" w:name="_Toc147812330"/>
      <w:bookmarkStart w:id="633" w:name="_Toc147832074"/>
      <w:r>
        <w:t>3A.</w:t>
      </w:r>
      <w:r>
        <w:tab/>
        <w:t>Meaning of “pawnbroker”</w:t>
      </w:r>
      <w:bookmarkEnd w:id="631"/>
      <w:bookmarkEnd w:id="632"/>
      <w:bookmarkEnd w:id="633"/>
    </w:p>
    <w:p>
      <w:pPr>
        <w:pStyle w:val="nzSubsection"/>
      </w:pPr>
      <w:r>
        <w:tab/>
        <w:t>(1)</w:t>
      </w:r>
      <w:r>
        <w:tab/>
        <w:t xml:space="preserve">In this Act — </w:t>
      </w:r>
    </w:p>
    <w:p>
      <w:pPr>
        <w:pStyle w:val="nz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nz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nzSubsection"/>
      </w:pPr>
      <w:r>
        <w:tab/>
        <w:t>(3)</w:t>
      </w:r>
      <w:r>
        <w:tab/>
        <w:t xml:space="preserve">To determine for the purposes of this Act whether goods are pawned and whether money is lent on the security of pawned goods — </w:t>
      </w:r>
    </w:p>
    <w:p>
      <w:pPr>
        <w:pStyle w:val="nzIndenta"/>
      </w:pPr>
      <w:r>
        <w:tab/>
        <w:t>(a)</w:t>
      </w:r>
      <w:r>
        <w:tab/>
        <w:t>regard is to be had to the substance of the loan transaction rather than its form or other legal technicalities;</w:t>
      </w:r>
    </w:p>
    <w:p>
      <w:pPr>
        <w:pStyle w:val="nzIndenta"/>
      </w:pPr>
      <w:r>
        <w:tab/>
        <w:t>(b)</w:t>
      </w:r>
      <w:r>
        <w:tab/>
        <w:t>particular regard is to be had to the ordinary understanding of the borrower as to the nature of the loan transaction and the reason or basis on which possession of goods is given to the lender;</w:t>
      </w:r>
    </w:p>
    <w:p>
      <w:pPr>
        <w:pStyle w:val="nz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nzIndenta"/>
      </w:pPr>
      <w:r>
        <w:tab/>
        <w:t>(d)</w:t>
      </w:r>
      <w:r>
        <w:tab/>
        <w:t>goods can be considered pawned and money can be considered lent on the security of pawned goods even if the loan also gives rise to a mortgage of the goods.</w:t>
      </w:r>
    </w:p>
    <w:p>
      <w:pPr>
        <w:pStyle w:val="nzSubsection"/>
      </w:pPr>
      <w:r>
        <w:tab/>
        <w:t>(4)</w:t>
      </w:r>
      <w:r>
        <w:tab/>
        <w:t xml:space="preserve">The regulations may prescribe cases or circumstances in which, for the purposes of this Act — </w:t>
      </w:r>
    </w:p>
    <w:p>
      <w:pPr>
        <w:pStyle w:val="nz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nz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nzIndenta"/>
      </w:pPr>
      <w:r>
        <w:tab/>
        <w:t>(c)</w:t>
      </w:r>
      <w:r>
        <w:tab/>
        <w:t>the taking of goods into the possession of a person acting on behalf of, or associated with, a lender of money is taken to be the taking of goods into the possession of the lender.</w:t>
      </w:r>
    </w:p>
    <w:p>
      <w:pPr>
        <w:pStyle w:val="MiscClose"/>
      </w:pPr>
      <w:r>
        <w:t xml:space="preserve">    ”.</w:t>
      </w:r>
    </w:p>
    <w:p>
      <w:pPr>
        <w:pStyle w:val="nzHeading5"/>
        <w:rPr>
          <w:rFonts w:eastAsia="Arial Unicode MS"/>
        </w:rPr>
      </w:pPr>
      <w:bookmarkStart w:id="634" w:name="_Toc111954418"/>
      <w:bookmarkStart w:id="635" w:name="_Toc117397375"/>
      <w:bookmarkStart w:id="636" w:name="_Toc147812331"/>
      <w:bookmarkStart w:id="637" w:name="_Toc147832075"/>
      <w:r>
        <w:rPr>
          <w:rStyle w:val="CharSectno"/>
        </w:rPr>
        <w:t>6</w:t>
      </w:r>
      <w:r>
        <w:t>.</w:t>
      </w:r>
      <w:r>
        <w:tab/>
      </w:r>
      <w:r>
        <w:rPr>
          <w:snapToGrid w:val="0"/>
        </w:rPr>
        <w:t>Section</w:t>
      </w:r>
      <w:r>
        <w:t> 5 replaced</w:t>
      </w:r>
      <w:bookmarkEnd w:id="634"/>
      <w:bookmarkEnd w:id="635"/>
      <w:bookmarkEnd w:id="636"/>
      <w:bookmarkEnd w:id="637"/>
    </w:p>
    <w:p>
      <w:pPr>
        <w:pStyle w:val="nzSubsection"/>
      </w:pPr>
      <w:r>
        <w:tab/>
      </w:r>
      <w:r>
        <w:tab/>
        <w:t xml:space="preserve">Section 5 is repealed and the following section is inserted instead — </w:t>
      </w:r>
    </w:p>
    <w:p>
      <w:pPr>
        <w:pStyle w:val="MiscOpen"/>
      </w:pPr>
      <w:r>
        <w:t xml:space="preserve">“    </w:t>
      </w:r>
    </w:p>
    <w:p>
      <w:pPr>
        <w:pStyle w:val="nzHeading5"/>
      </w:pPr>
      <w:bookmarkStart w:id="638" w:name="_Toc117397376"/>
      <w:bookmarkStart w:id="639" w:name="_Toc147812332"/>
      <w:bookmarkStart w:id="640" w:name="_Toc147832076"/>
      <w:r>
        <w:t>5.</w:t>
      </w:r>
      <w:r>
        <w:tab/>
        <w:t>Buy</w:t>
      </w:r>
      <w:r>
        <w:noBreakHyphen/>
        <w:t>back contracts regarded as lending money on security of pawned goods</w:t>
      </w:r>
      <w:bookmarkEnd w:id="638"/>
      <w:bookmarkEnd w:id="639"/>
      <w:bookmarkEnd w:id="640"/>
    </w:p>
    <w:p>
      <w:pPr>
        <w:pStyle w:val="nzSubsection"/>
      </w:pPr>
      <w:r>
        <w:tab/>
      </w:r>
      <w:r>
        <w:tab/>
        <w:t xml:space="preserve">If a person receives goods under a contract of sale where the seller has a right to buy back the goods, then for the purposes of this Act — </w:t>
      </w:r>
    </w:p>
    <w:p>
      <w:pPr>
        <w:pStyle w:val="nzIndenta"/>
      </w:pPr>
      <w:r>
        <w:tab/>
        <w:t>(a)</w:t>
      </w:r>
      <w:r>
        <w:tab/>
        <w:t>the person receiving the goods is taken to be lending money on the security of the goods as pawned goods;</w:t>
      </w:r>
    </w:p>
    <w:p>
      <w:pPr>
        <w:pStyle w:val="nzIndenta"/>
      </w:pPr>
      <w:r>
        <w:tab/>
        <w:t>(b)</w:t>
      </w:r>
      <w:r>
        <w:tab/>
        <w:t>the price at which the goods are to be sold under the contract is taken to be the amount lent;</w:t>
      </w:r>
    </w:p>
    <w:p>
      <w:pPr>
        <w:pStyle w:val="nzIndenta"/>
      </w:pPr>
      <w:r>
        <w:tab/>
        <w:t>(c)</w:t>
      </w:r>
      <w:r>
        <w:tab/>
        <w:t>the difference between the amount lent and the price at which the goods may be bought back is taken to be the interest payable; and</w:t>
      </w:r>
    </w:p>
    <w:p>
      <w:pPr>
        <w:pStyle w:val="nzIndenta"/>
      </w:pPr>
      <w:r>
        <w:tab/>
        <w:t>(d)</w:t>
      </w:r>
      <w:r>
        <w:tab/>
        <w:t>the right to buy back the goods is taken to be the right to redeem the goods.</w:t>
      </w:r>
    </w:p>
    <w:p>
      <w:pPr>
        <w:pStyle w:val="MiscClose"/>
      </w:pPr>
      <w:r>
        <w:t xml:space="preserve">    ”.</w:t>
      </w:r>
    </w:p>
    <w:p>
      <w:pPr>
        <w:pStyle w:val="nzHeading5"/>
      </w:pPr>
      <w:bookmarkStart w:id="641" w:name="_Toc29262702"/>
      <w:bookmarkStart w:id="642" w:name="_Toc111954419"/>
      <w:bookmarkStart w:id="643" w:name="_Toc117397377"/>
      <w:bookmarkStart w:id="644" w:name="_Toc147812333"/>
      <w:bookmarkStart w:id="645" w:name="_Toc147832077"/>
      <w:r>
        <w:rPr>
          <w:rStyle w:val="CharSectno"/>
        </w:rPr>
        <w:t>7</w:t>
      </w:r>
      <w:r>
        <w:t>.</w:t>
      </w:r>
      <w:r>
        <w:tab/>
        <w:t>Section 8A inserted</w:t>
      </w:r>
      <w:bookmarkEnd w:id="641"/>
      <w:bookmarkEnd w:id="642"/>
      <w:bookmarkEnd w:id="643"/>
      <w:bookmarkEnd w:id="644"/>
      <w:bookmarkEnd w:id="645"/>
    </w:p>
    <w:p>
      <w:pPr>
        <w:pStyle w:val="nzSubsection"/>
      </w:pPr>
      <w:r>
        <w:tab/>
      </w:r>
      <w:r>
        <w:tab/>
        <w:t xml:space="preserve">After section 8 the following section is inserted — </w:t>
      </w:r>
    </w:p>
    <w:p>
      <w:pPr>
        <w:pStyle w:val="MiscOpen"/>
      </w:pPr>
      <w:r>
        <w:t xml:space="preserve">“    </w:t>
      </w:r>
    </w:p>
    <w:p>
      <w:pPr>
        <w:pStyle w:val="nzHeading5"/>
      </w:pPr>
      <w:bookmarkStart w:id="646" w:name="_Toc117397378"/>
      <w:bookmarkStart w:id="647" w:name="_Toc147812334"/>
      <w:bookmarkStart w:id="648" w:name="_Toc147832078"/>
      <w:r>
        <w:t>8A.</w:t>
      </w:r>
      <w:r>
        <w:tab/>
        <w:t>Premises in respect of which licences apply</w:t>
      </w:r>
      <w:bookmarkEnd w:id="646"/>
      <w:bookmarkEnd w:id="647"/>
      <w:bookmarkEnd w:id="648"/>
    </w:p>
    <w:p>
      <w:pPr>
        <w:pStyle w:val="nz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nzSubsection"/>
      </w:pPr>
      <w:r>
        <w:tab/>
        <w:t>(2)</w:t>
      </w:r>
      <w:r>
        <w:tab/>
        <w:t>A licence may apply in respect of one or more locations where storage premises are operated for the purposes of the business premises to which the licence applies, as specified in the licence.</w:t>
      </w:r>
    </w:p>
    <w:p>
      <w:pPr>
        <w:pStyle w:val="MiscClose"/>
      </w:pPr>
      <w:r>
        <w:t xml:space="preserve">    ”.</w:t>
      </w:r>
    </w:p>
    <w:p>
      <w:pPr>
        <w:pStyle w:val="nzHeading5"/>
      </w:pPr>
      <w:bookmarkStart w:id="649" w:name="_Toc29262703"/>
      <w:bookmarkStart w:id="650" w:name="_Toc111954420"/>
      <w:bookmarkStart w:id="651" w:name="_Toc117397379"/>
      <w:bookmarkStart w:id="652" w:name="_Toc147812335"/>
      <w:bookmarkStart w:id="653" w:name="_Toc147832079"/>
      <w:r>
        <w:rPr>
          <w:rStyle w:val="CharSectno"/>
        </w:rPr>
        <w:t>8</w:t>
      </w:r>
      <w:r>
        <w:t>.</w:t>
      </w:r>
      <w:r>
        <w:tab/>
        <w:t>Section 23 amended</w:t>
      </w:r>
      <w:bookmarkEnd w:id="649"/>
      <w:bookmarkEnd w:id="650"/>
      <w:bookmarkEnd w:id="651"/>
      <w:bookmarkEnd w:id="652"/>
      <w:bookmarkEnd w:id="653"/>
    </w:p>
    <w:p>
      <w:pPr>
        <w:pStyle w:val="nzSubsection"/>
      </w:pPr>
      <w:r>
        <w:tab/>
      </w:r>
      <w:r>
        <w:tab/>
        <w:t xml:space="preserve">Section 23(1) is amended by deleting “each” and inserting instead — </w:t>
      </w:r>
    </w:p>
    <w:p>
      <w:pPr>
        <w:pStyle w:val="nzSubsection"/>
      </w:pPr>
      <w:r>
        <w:tab/>
      </w:r>
      <w:r>
        <w:tab/>
        <w:t>“    the    ”.</w:t>
      </w:r>
    </w:p>
    <w:p>
      <w:pPr>
        <w:pStyle w:val="nzHeading5"/>
      </w:pPr>
      <w:bookmarkStart w:id="654" w:name="_Toc29262704"/>
      <w:bookmarkStart w:id="655" w:name="_Toc111954421"/>
      <w:bookmarkStart w:id="656" w:name="_Toc117397380"/>
      <w:bookmarkStart w:id="657" w:name="_Toc147812336"/>
      <w:bookmarkStart w:id="658" w:name="_Toc147832080"/>
      <w:r>
        <w:rPr>
          <w:rStyle w:val="CharSectno"/>
        </w:rPr>
        <w:t>9</w:t>
      </w:r>
      <w:r>
        <w:t>.</w:t>
      </w:r>
      <w:r>
        <w:tab/>
        <w:t>Section 24 amended</w:t>
      </w:r>
      <w:bookmarkEnd w:id="654"/>
      <w:bookmarkEnd w:id="655"/>
      <w:bookmarkEnd w:id="656"/>
      <w:bookmarkEnd w:id="657"/>
      <w:bookmarkEnd w:id="658"/>
    </w:p>
    <w:p>
      <w:pPr>
        <w:pStyle w:val="nzSubsection"/>
      </w:pPr>
      <w:r>
        <w:tab/>
      </w:r>
      <w:r>
        <w:tab/>
        <w:t xml:space="preserve">After section 24(3) the following subsections are inserted — </w:t>
      </w:r>
    </w:p>
    <w:p>
      <w:pPr>
        <w:pStyle w:val="MiscOpen"/>
        <w:ind w:left="595"/>
      </w:pPr>
      <w:r>
        <w:t xml:space="preserve">“    </w:t>
      </w:r>
    </w:p>
    <w:p>
      <w:pPr>
        <w:pStyle w:val="nzSubsection"/>
      </w:pPr>
      <w:r>
        <w:tab/>
        <w:t>(4)</w:t>
      </w:r>
      <w:r>
        <w:tab/>
        <w:t>Unless it is otherwise provided in the licence, a licence is subject to any condition or restriction prescribed by the regulations for the purposes of this subsection.</w:t>
      </w:r>
    </w:p>
    <w:p>
      <w:pPr>
        <w:pStyle w:val="nzSubsection"/>
      </w:pPr>
      <w:r>
        <w:tab/>
        <w:t>(5)</w:t>
      </w:r>
      <w:r>
        <w:tab/>
        <w:t>A pawnbroker or second</w:t>
      </w:r>
      <w:r>
        <w:noBreakHyphen/>
        <w:t>hand dealer must not contravene or fail to comply with a condition or restriction to which the licence is subject.</w:t>
      </w:r>
    </w:p>
    <w:p>
      <w:pPr>
        <w:pStyle w:val="nzPenstart"/>
      </w:pPr>
      <w:r>
        <w:tab/>
        <w:t>Penalty for an individual: $5 000.</w:t>
      </w:r>
    </w:p>
    <w:p>
      <w:pPr>
        <w:pStyle w:val="nzPenstart"/>
      </w:pPr>
      <w:r>
        <w:tab/>
        <w:t>Penalty for a body corporate: $20 000.</w:t>
      </w:r>
    </w:p>
    <w:p>
      <w:pPr>
        <w:pStyle w:val="MiscClose"/>
      </w:pPr>
      <w:r>
        <w:t xml:space="preserve">    ”.</w:t>
      </w:r>
    </w:p>
    <w:p>
      <w:pPr>
        <w:pStyle w:val="nzHeading5"/>
      </w:pPr>
      <w:bookmarkStart w:id="659" w:name="_Toc29262705"/>
      <w:bookmarkStart w:id="660" w:name="_Toc111954422"/>
      <w:bookmarkStart w:id="661" w:name="_Toc117397381"/>
      <w:bookmarkStart w:id="662" w:name="_Toc147812337"/>
      <w:bookmarkStart w:id="663" w:name="_Toc147832081"/>
      <w:r>
        <w:rPr>
          <w:rStyle w:val="CharSectno"/>
        </w:rPr>
        <w:t>10</w:t>
      </w:r>
      <w:r>
        <w:t>.</w:t>
      </w:r>
      <w:r>
        <w:tab/>
        <w:t>Section 28 amended</w:t>
      </w:r>
      <w:bookmarkEnd w:id="659"/>
      <w:bookmarkEnd w:id="660"/>
      <w:bookmarkEnd w:id="661"/>
      <w:bookmarkEnd w:id="662"/>
      <w:bookmarkEnd w:id="663"/>
    </w:p>
    <w:p>
      <w:pPr>
        <w:pStyle w:val="nzSubsection"/>
      </w:pPr>
      <w:r>
        <w:tab/>
      </w:r>
      <w:r>
        <w:tab/>
        <w:t xml:space="preserve">Section 28(1)(c) is amended by deleting “business” and inserting instead — </w:t>
      </w:r>
    </w:p>
    <w:p>
      <w:pPr>
        <w:pStyle w:val="nzSubsection"/>
      </w:pPr>
      <w:r>
        <w:tab/>
      </w:r>
      <w:r>
        <w:tab/>
        <w:t>“    the business premises and storage    ”.</w:t>
      </w:r>
    </w:p>
    <w:p>
      <w:pPr>
        <w:pStyle w:val="nzHeading5"/>
      </w:pPr>
      <w:bookmarkStart w:id="664" w:name="_Toc29262706"/>
      <w:bookmarkStart w:id="665" w:name="_Toc111954423"/>
      <w:bookmarkStart w:id="666" w:name="_Toc117397382"/>
      <w:bookmarkStart w:id="667" w:name="_Toc147812338"/>
      <w:bookmarkStart w:id="668" w:name="_Toc147832082"/>
      <w:r>
        <w:rPr>
          <w:rStyle w:val="CharSectno"/>
        </w:rPr>
        <w:t>11</w:t>
      </w:r>
      <w:r>
        <w:t>.</w:t>
      </w:r>
      <w:r>
        <w:tab/>
        <w:t>Section 37 amended</w:t>
      </w:r>
      <w:bookmarkEnd w:id="664"/>
      <w:bookmarkEnd w:id="665"/>
      <w:bookmarkEnd w:id="666"/>
      <w:bookmarkEnd w:id="667"/>
      <w:bookmarkEnd w:id="668"/>
    </w:p>
    <w:p>
      <w:pPr>
        <w:pStyle w:val="nzSubsection"/>
      </w:pPr>
      <w:r>
        <w:tab/>
      </w:r>
      <w:r>
        <w:tab/>
        <w:t xml:space="preserve">Section 37(1)(b) is amended after “photograph” by inserting — </w:t>
      </w:r>
    </w:p>
    <w:p>
      <w:pPr>
        <w:pStyle w:val="nzSubsection"/>
      </w:pPr>
      <w:r>
        <w:tab/>
      </w:r>
      <w:r>
        <w:tab/>
        <w:t>“    or digital image    ”.</w:t>
      </w:r>
    </w:p>
    <w:p>
      <w:pPr>
        <w:pStyle w:val="nzHeading5"/>
      </w:pPr>
      <w:bookmarkStart w:id="669" w:name="_Toc29262707"/>
      <w:bookmarkStart w:id="670" w:name="_Toc111954424"/>
      <w:bookmarkStart w:id="671" w:name="_Toc117397383"/>
      <w:bookmarkStart w:id="672" w:name="_Toc147812339"/>
      <w:bookmarkStart w:id="673" w:name="_Toc147832083"/>
      <w:r>
        <w:rPr>
          <w:rStyle w:val="CharSectno"/>
        </w:rPr>
        <w:t>12</w:t>
      </w:r>
      <w:r>
        <w:t>.</w:t>
      </w:r>
      <w:r>
        <w:tab/>
        <w:t>Section 37A inserted</w:t>
      </w:r>
      <w:bookmarkEnd w:id="669"/>
      <w:bookmarkEnd w:id="670"/>
      <w:bookmarkEnd w:id="671"/>
      <w:bookmarkEnd w:id="672"/>
      <w:bookmarkEnd w:id="673"/>
    </w:p>
    <w:p>
      <w:pPr>
        <w:pStyle w:val="nzSubsection"/>
      </w:pPr>
      <w:r>
        <w:tab/>
      </w:r>
      <w:r>
        <w:tab/>
        <w:t xml:space="preserve">After section 37 the following section is inserted in Part 2 — </w:t>
      </w:r>
    </w:p>
    <w:p>
      <w:pPr>
        <w:pStyle w:val="MiscOpen"/>
      </w:pPr>
      <w:r>
        <w:t xml:space="preserve">“    </w:t>
      </w:r>
    </w:p>
    <w:p>
      <w:pPr>
        <w:pStyle w:val="nzHeading5"/>
      </w:pPr>
      <w:bookmarkStart w:id="674" w:name="_Toc117397384"/>
      <w:bookmarkStart w:id="675" w:name="_Toc147812340"/>
      <w:bookmarkStart w:id="676" w:name="_Toc147832084"/>
      <w:r>
        <w:t>37A.</w:t>
      </w:r>
      <w:r>
        <w:tab/>
        <w:t>Advertisements</w:t>
      </w:r>
      <w:bookmarkEnd w:id="674"/>
      <w:bookmarkEnd w:id="675"/>
      <w:bookmarkEnd w:id="676"/>
    </w:p>
    <w:p>
      <w:pPr>
        <w:pStyle w:val="nz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nzPenstart"/>
      </w:pPr>
      <w:r>
        <w:tab/>
        <w:t>Penalty: $2 000.</w:t>
      </w:r>
    </w:p>
    <w:p>
      <w:pPr>
        <w:pStyle w:val="nzSubsection"/>
      </w:pPr>
      <w:r>
        <w:tab/>
        <w:t>(2)</w:t>
      </w:r>
      <w:r>
        <w:tab/>
        <w:t>If the advertisement relates to pawnbroking conducted under 2 or more licences held by the same licensee, the advertisement may specify the number of only one of those licences.</w:t>
      </w:r>
    </w:p>
    <w:p>
      <w:pPr>
        <w:pStyle w:val="nz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MiscClose"/>
        <w:keepLines w:val="0"/>
      </w:pPr>
      <w:r>
        <w:t xml:space="preserve">    ”.</w:t>
      </w:r>
    </w:p>
    <w:p>
      <w:pPr>
        <w:pStyle w:val="nzHeading5"/>
      </w:pPr>
      <w:bookmarkStart w:id="677" w:name="_Toc29262708"/>
      <w:bookmarkStart w:id="678" w:name="_Toc111954425"/>
      <w:bookmarkStart w:id="679" w:name="_Toc117397385"/>
      <w:bookmarkStart w:id="680" w:name="_Toc147812341"/>
      <w:bookmarkStart w:id="681" w:name="_Toc147832085"/>
      <w:r>
        <w:rPr>
          <w:rStyle w:val="CharSectno"/>
        </w:rPr>
        <w:t>13</w:t>
      </w:r>
      <w:r>
        <w:t>.</w:t>
      </w:r>
      <w:r>
        <w:tab/>
        <w:t>Section 39 amended</w:t>
      </w:r>
      <w:bookmarkEnd w:id="677"/>
      <w:bookmarkEnd w:id="678"/>
      <w:bookmarkEnd w:id="679"/>
      <w:bookmarkEnd w:id="680"/>
      <w:bookmarkEnd w:id="681"/>
    </w:p>
    <w:p>
      <w:pPr>
        <w:pStyle w:val="nzSubsection"/>
      </w:pPr>
      <w:r>
        <w:tab/>
      </w:r>
      <w:r>
        <w:tab/>
        <w:t xml:space="preserve">Section 39(b) is deleted and the following paragraph is inserted instead — </w:t>
      </w:r>
    </w:p>
    <w:p>
      <w:pPr>
        <w:pStyle w:val="MiscOpen"/>
        <w:ind w:left="1332"/>
      </w:pPr>
      <w:r>
        <w:t xml:space="preserve">“    </w:t>
      </w:r>
    </w:p>
    <w:p>
      <w:pPr>
        <w:pStyle w:val="nzIndenta"/>
      </w:pPr>
      <w:r>
        <w:tab/>
        <w:t>(b)</w:t>
      </w:r>
      <w:r>
        <w:tab/>
        <w:t>has verified the person’s identity by reference to a means of identification prescribed by the regulations.</w:t>
      </w:r>
    </w:p>
    <w:p>
      <w:pPr>
        <w:pStyle w:val="MiscClose"/>
      </w:pPr>
      <w:r>
        <w:t xml:space="preserve">    ”.</w:t>
      </w:r>
    </w:p>
    <w:p>
      <w:pPr>
        <w:pStyle w:val="nzHeading5"/>
      </w:pPr>
      <w:bookmarkStart w:id="682" w:name="_Toc29262709"/>
      <w:bookmarkStart w:id="683" w:name="_Toc111954426"/>
      <w:bookmarkStart w:id="684" w:name="_Toc117397386"/>
      <w:bookmarkStart w:id="685" w:name="_Toc147812342"/>
      <w:bookmarkStart w:id="686" w:name="_Toc147832086"/>
      <w:r>
        <w:rPr>
          <w:rStyle w:val="CharSectno"/>
        </w:rPr>
        <w:t>14</w:t>
      </w:r>
      <w:r>
        <w:t>.</w:t>
      </w:r>
      <w:r>
        <w:tab/>
        <w:t>Section 41 amended</w:t>
      </w:r>
      <w:bookmarkEnd w:id="682"/>
      <w:bookmarkEnd w:id="683"/>
      <w:bookmarkEnd w:id="684"/>
      <w:bookmarkEnd w:id="685"/>
      <w:bookmarkEnd w:id="686"/>
    </w:p>
    <w:p>
      <w:pPr>
        <w:pStyle w:val="nzSubsection"/>
      </w:pPr>
      <w:r>
        <w:tab/>
      </w:r>
      <w:r>
        <w:tab/>
        <w:t>Section 41(a) is amended by deleting “contract;” and inserting instead —</w:t>
      </w:r>
    </w:p>
    <w:p>
      <w:pPr>
        <w:pStyle w:val="MiscOpen"/>
        <w:ind w:left="1620"/>
      </w:pPr>
      <w:r>
        <w:t xml:space="preserve">“    </w:t>
      </w:r>
    </w:p>
    <w:p>
      <w:pPr>
        <w:pStyle w:val="nzIndenta"/>
      </w:pPr>
      <w:r>
        <w:tab/>
      </w:r>
      <w:r>
        <w:tab/>
        <w:t>contract, which is to be the next number in a consecutive sequence;</w:t>
      </w:r>
    </w:p>
    <w:p>
      <w:pPr>
        <w:pStyle w:val="MiscClose"/>
      </w:pPr>
      <w:r>
        <w:t xml:space="preserve">    ”.</w:t>
      </w:r>
    </w:p>
    <w:p>
      <w:pPr>
        <w:pStyle w:val="nzHeading5"/>
      </w:pPr>
      <w:bookmarkStart w:id="687" w:name="_Toc111954427"/>
      <w:bookmarkStart w:id="688" w:name="_Toc117397387"/>
      <w:bookmarkStart w:id="689" w:name="_Toc147812343"/>
      <w:bookmarkStart w:id="690" w:name="_Toc147832087"/>
      <w:r>
        <w:rPr>
          <w:rStyle w:val="CharSectno"/>
        </w:rPr>
        <w:t>15</w:t>
      </w:r>
      <w:r>
        <w:t>.</w:t>
      </w:r>
      <w:r>
        <w:tab/>
        <w:t>Section 42 amended</w:t>
      </w:r>
      <w:bookmarkEnd w:id="687"/>
      <w:bookmarkEnd w:id="688"/>
      <w:bookmarkEnd w:id="689"/>
      <w:bookmarkEnd w:id="690"/>
    </w:p>
    <w:p>
      <w:pPr>
        <w:pStyle w:val="nzSubsection"/>
      </w:pPr>
      <w:r>
        <w:tab/>
        <w:t>(1)</w:t>
      </w:r>
      <w:r>
        <w:tab/>
        <w:t xml:space="preserve">Section 42(1) is amended at the foot of the subsection by inserting — </w:t>
      </w:r>
    </w:p>
    <w:p>
      <w:pPr>
        <w:pStyle w:val="nzSubsection"/>
      </w:pPr>
      <w:r>
        <w:tab/>
      </w:r>
      <w:r>
        <w:tab/>
        <w:t>“    Penalty: $2 000.    ”.</w:t>
      </w:r>
    </w:p>
    <w:p>
      <w:pPr>
        <w:pStyle w:val="nzSubsection"/>
      </w:pPr>
      <w:r>
        <w:tab/>
        <w:t>(2)</w:t>
      </w:r>
      <w:r>
        <w:tab/>
        <w:t>Section 42(3) is amended at the foot of the subsection by deleting the penalty provision.</w:t>
      </w:r>
    </w:p>
    <w:p>
      <w:pPr>
        <w:pStyle w:val="nzHeading5"/>
      </w:pPr>
      <w:bookmarkStart w:id="691" w:name="_Toc29262710"/>
      <w:bookmarkStart w:id="692" w:name="_Toc111954428"/>
      <w:bookmarkStart w:id="693" w:name="_Toc117397388"/>
      <w:bookmarkStart w:id="694" w:name="_Toc147812344"/>
      <w:bookmarkStart w:id="695" w:name="_Toc147832088"/>
      <w:r>
        <w:rPr>
          <w:rStyle w:val="CharSectno"/>
        </w:rPr>
        <w:t>16</w:t>
      </w:r>
      <w:r>
        <w:t>.</w:t>
      </w:r>
      <w:r>
        <w:tab/>
        <w:t>Section 43 amended</w:t>
      </w:r>
      <w:bookmarkEnd w:id="691"/>
      <w:bookmarkEnd w:id="692"/>
      <w:bookmarkEnd w:id="693"/>
      <w:bookmarkEnd w:id="694"/>
      <w:bookmarkEnd w:id="695"/>
    </w:p>
    <w:p>
      <w:pPr>
        <w:pStyle w:val="nzSubsection"/>
      </w:pPr>
      <w:r>
        <w:tab/>
      </w:r>
      <w:r>
        <w:tab/>
        <w:t xml:space="preserve">Section 43(a) is amended by deleting “contract;” and inserting instead — </w:t>
      </w:r>
    </w:p>
    <w:p>
      <w:pPr>
        <w:pStyle w:val="MiscOpen"/>
        <w:ind w:left="1620"/>
      </w:pPr>
      <w:r>
        <w:t xml:space="preserve">“    </w:t>
      </w:r>
    </w:p>
    <w:p>
      <w:pPr>
        <w:pStyle w:val="nzIndenta"/>
      </w:pPr>
      <w:r>
        <w:tab/>
      </w:r>
      <w:r>
        <w:tab/>
        <w:t>contract, which is to be the next number in a consecutive sequence;</w:t>
      </w:r>
    </w:p>
    <w:p>
      <w:pPr>
        <w:pStyle w:val="MiscClose"/>
      </w:pPr>
      <w:r>
        <w:t xml:space="preserve">    ”.</w:t>
      </w:r>
    </w:p>
    <w:p>
      <w:pPr>
        <w:pStyle w:val="nzHeading5"/>
      </w:pPr>
      <w:bookmarkStart w:id="696" w:name="_Toc29262711"/>
      <w:bookmarkStart w:id="697" w:name="_Toc111954429"/>
      <w:bookmarkStart w:id="698" w:name="_Toc117397389"/>
      <w:bookmarkStart w:id="699" w:name="_Toc147812345"/>
      <w:bookmarkStart w:id="700" w:name="_Toc147832089"/>
      <w:r>
        <w:rPr>
          <w:rStyle w:val="CharSectno"/>
        </w:rPr>
        <w:t>17</w:t>
      </w:r>
      <w:r>
        <w:t>.</w:t>
      </w:r>
      <w:r>
        <w:tab/>
        <w:t>Section 44 amended</w:t>
      </w:r>
      <w:bookmarkEnd w:id="696"/>
      <w:bookmarkEnd w:id="697"/>
      <w:bookmarkEnd w:id="698"/>
      <w:bookmarkEnd w:id="699"/>
      <w:bookmarkEnd w:id="700"/>
    </w:p>
    <w:p>
      <w:pPr>
        <w:pStyle w:val="nzSubsection"/>
      </w:pPr>
      <w:r>
        <w:tab/>
        <w:t>(1)</w:t>
      </w:r>
      <w:r>
        <w:tab/>
        <w:t xml:space="preserve">Section 44(1) is amended at the foot of the subsection by inserting — </w:t>
      </w:r>
    </w:p>
    <w:p>
      <w:pPr>
        <w:pStyle w:val="nzSubsection"/>
      </w:pPr>
      <w:r>
        <w:tab/>
      </w:r>
      <w:r>
        <w:tab/>
        <w:t>“    Penalty: $2 000.    ”.</w:t>
      </w:r>
    </w:p>
    <w:p>
      <w:pPr>
        <w:pStyle w:val="nzSubsection"/>
      </w:pPr>
      <w:r>
        <w:tab/>
        <w:t>(2)</w:t>
      </w:r>
      <w:r>
        <w:tab/>
        <w:t>Section 44(2) is amended at the foot of the subsection by deleting the penalty provision.</w:t>
      </w:r>
    </w:p>
    <w:p>
      <w:pPr>
        <w:pStyle w:val="nzHeading5"/>
      </w:pPr>
      <w:bookmarkStart w:id="701" w:name="_Toc29262712"/>
      <w:bookmarkStart w:id="702" w:name="_Toc111954430"/>
      <w:bookmarkStart w:id="703" w:name="_Toc117397390"/>
      <w:bookmarkStart w:id="704" w:name="_Toc147812346"/>
      <w:bookmarkStart w:id="705" w:name="_Toc147832090"/>
      <w:r>
        <w:rPr>
          <w:rStyle w:val="CharSectno"/>
        </w:rPr>
        <w:t>18</w:t>
      </w:r>
      <w:r>
        <w:t>.</w:t>
      </w:r>
      <w:r>
        <w:tab/>
        <w:t>Section 47 amended</w:t>
      </w:r>
      <w:bookmarkEnd w:id="701"/>
      <w:bookmarkEnd w:id="702"/>
      <w:bookmarkEnd w:id="703"/>
      <w:bookmarkEnd w:id="704"/>
      <w:bookmarkEnd w:id="705"/>
    </w:p>
    <w:p>
      <w:pPr>
        <w:pStyle w:val="nzSubsection"/>
      </w:pPr>
      <w:r>
        <w:tab/>
      </w:r>
      <w:r>
        <w:tab/>
        <w:t xml:space="preserve">Section 47(1) is repealed and the following subsection is inserted instead — </w:t>
      </w:r>
    </w:p>
    <w:p>
      <w:pPr>
        <w:pStyle w:val="MiscOpen"/>
        <w:ind w:left="595"/>
      </w:pPr>
      <w:r>
        <w:t xml:space="preserve">“    </w:t>
      </w:r>
    </w:p>
    <w:p>
      <w:pPr>
        <w:pStyle w:val="nzSubsection"/>
      </w:pPr>
      <w:r>
        <w:tab/>
        <w:t>(1)</w:t>
      </w:r>
      <w:r>
        <w:tab/>
        <w:t xml:space="preserve">A pawnbroker must ensure — </w:t>
      </w:r>
    </w:p>
    <w:p>
      <w:pPr>
        <w:pStyle w:val="nzIndenta"/>
      </w:pPr>
      <w:r>
        <w:tab/>
        <w:t>(a)</w:t>
      </w:r>
      <w:r>
        <w:tab/>
        <w:t>that all pawned goods are marked or labelled with the distinguishing number of the contract under which the goods were pawned; and</w:t>
      </w:r>
    </w:p>
    <w:p>
      <w:pPr>
        <w:pStyle w:val="nz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MiscClose"/>
      </w:pPr>
      <w:r>
        <w:t xml:space="preserve">    ”.</w:t>
      </w:r>
    </w:p>
    <w:p>
      <w:pPr>
        <w:pStyle w:val="nzHeading5"/>
      </w:pPr>
      <w:bookmarkStart w:id="706" w:name="_Toc29262713"/>
      <w:bookmarkStart w:id="707" w:name="_Toc111954431"/>
      <w:bookmarkStart w:id="708" w:name="_Toc117397391"/>
      <w:bookmarkStart w:id="709" w:name="_Toc147812347"/>
      <w:bookmarkStart w:id="710" w:name="_Toc147832091"/>
      <w:r>
        <w:rPr>
          <w:rStyle w:val="CharSectno"/>
        </w:rPr>
        <w:t>19</w:t>
      </w:r>
      <w:r>
        <w:t>.</w:t>
      </w:r>
      <w:r>
        <w:tab/>
        <w:t>Section 61 amended</w:t>
      </w:r>
      <w:bookmarkEnd w:id="706"/>
      <w:bookmarkEnd w:id="707"/>
      <w:bookmarkEnd w:id="708"/>
      <w:bookmarkEnd w:id="709"/>
      <w:bookmarkEnd w:id="710"/>
    </w:p>
    <w:p>
      <w:pPr>
        <w:pStyle w:val="nzSubsection"/>
      </w:pPr>
      <w:r>
        <w:tab/>
      </w:r>
      <w:r>
        <w:tab/>
        <w:t xml:space="preserve">Section 61 is amended by deleting “goods.” and inserting instead — </w:t>
      </w:r>
    </w:p>
    <w:p>
      <w:pPr>
        <w:pStyle w:val="MiscOpen"/>
        <w:ind w:left="879"/>
      </w:pPr>
      <w:r>
        <w:t xml:space="preserve">“    </w:t>
      </w:r>
    </w:p>
    <w:p>
      <w:pPr>
        <w:pStyle w:val="nzSubsection"/>
      </w:pPr>
      <w:r>
        <w:tab/>
      </w:r>
      <w:r>
        <w:tab/>
        <w:t>goods except by marking or labelling them as required by section 47(2).</w:t>
      </w:r>
    </w:p>
    <w:p>
      <w:pPr>
        <w:pStyle w:val="MiscClose"/>
      </w:pPr>
      <w:r>
        <w:t xml:space="preserve">    ”.</w:t>
      </w:r>
    </w:p>
    <w:p>
      <w:pPr>
        <w:pStyle w:val="nzHeading5"/>
      </w:pPr>
      <w:bookmarkStart w:id="711" w:name="_Toc29262714"/>
      <w:bookmarkStart w:id="712" w:name="_Toc111954432"/>
      <w:bookmarkStart w:id="713" w:name="_Toc117397392"/>
      <w:bookmarkStart w:id="714" w:name="_Toc147812348"/>
      <w:bookmarkStart w:id="715" w:name="_Toc147832092"/>
      <w:r>
        <w:rPr>
          <w:rStyle w:val="CharSectno"/>
        </w:rPr>
        <w:t>20</w:t>
      </w:r>
      <w:r>
        <w:t>.</w:t>
      </w:r>
      <w:r>
        <w:tab/>
        <w:t>Section 89 amended</w:t>
      </w:r>
      <w:bookmarkEnd w:id="711"/>
      <w:bookmarkEnd w:id="712"/>
      <w:bookmarkEnd w:id="713"/>
      <w:bookmarkEnd w:id="714"/>
      <w:bookmarkEnd w:id="715"/>
    </w:p>
    <w:p>
      <w:pPr>
        <w:pStyle w:val="nzSubsection"/>
      </w:pPr>
      <w:r>
        <w:tab/>
        <w:t>(1)</w:t>
      </w:r>
      <w:r>
        <w:tab/>
        <w:t xml:space="preserve">Section 89(1) is repealed and the following subsections are inserted instead — </w:t>
      </w:r>
    </w:p>
    <w:p>
      <w:pPr>
        <w:pStyle w:val="MiscOpen"/>
        <w:ind w:left="600"/>
      </w:pPr>
      <w:r>
        <w:t xml:space="preserve">“    </w:t>
      </w:r>
    </w:p>
    <w:p>
      <w:pPr>
        <w:pStyle w:val="nzSubsection"/>
      </w:pPr>
      <w:r>
        <w:tab/>
        <w:t>(1)</w:t>
      </w:r>
      <w:r>
        <w:tab/>
        <w:t xml:space="preserve">Where — </w:t>
      </w:r>
    </w:p>
    <w:p>
      <w:pPr>
        <w:pStyle w:val="nzIndenta"/>
      </w:pPr>
      <w:r>
        <w:tab/>
        <w:t>(a)</w:t>
      </w:r>
      <w:r>
        <w:tab/>
        <w:t>a licence is held on behalf of a partnership; and</w:t>
      </w:r>
    </w:p>
    <w:p>
      <w:pPr>
        <w:pStyle w:val="nzIndenta"/>
      </w:pPr>
      <w:r>
        <w:tab/>
        <w:t>(b)</w:t>
      </w:r>
      <w:r>
        <w:tab/>
        <w:t>a partner (whether or not the licensee) or an employee or agent of the partnership commits an offence against this Act,</w:t>
      </w:r>
    </w:p>
    <w:p>
      <w:pPr>
        <w:pStyle w:val="nzSubsection"/>
      </w:pPr>
      <w:r>
        <w:tab/>
      </w:r>
      <w:r>
        <w:tab/>
        <w:t>subject to subsection (2), each of the partners is to be treated as having committed an offence and is liable to the penalty prescribed for the offence committed by the partner or employee or agent of the partnership.</w:t>
      </w:r>
    </w:p>
    <w:p>
      <w:pPr>
        <w:pStyle w:val="nzSubsection"/>
      </w:pPr>
      <w:r>
        <w:tab/>
        <w:t>(1a)</w:t>
      </w:r>
      <w:r>
        <w:tab/>
        <w:t xml:space="preserve">Where — </w:t>
      </w:r>
    </w:p>
    <w:p>
      <w:pPr>
        <w:pStyle w:val="nzIndenta"/>
      </w:pPr>
      <w:r>
        <w:tab/>
        <w:t>(a)</w:t>
      </w:r>
      <w:r>
        <w:tab/>
        <w:t>a licence is held on behalf of a body corporate; and</w:t>
      </w:r>
    </w:p>
    <w:p>
      <w:pPr>
        <w:pStyle w:val="nzIndenta"/>
      </w:pPr>
      <w:r>
        <w:tab/>
        <w:t>(b)</w:t>
      </w:r>
      <w:r>
        <w:tab/>
        <w:t>the licensee or an employee or agent of the body corporate commits an offence against this Act,</w:t>
      </w:r>
    </w:p>
    <w:p>
      <w:pPr>
        <w:pStyle w:val="nzSubsection"/>
      </w:pPr>
      <w:r>
        <w:tab/>
      </w:r>
      <w:r>
        <w:tab/>
        <w:t>the body corporate is to be treated as having committed an offence and is liable to the penalty prescribed for the offence committed by the licensee or employee or agent of the body corporate.</w:t>
      </w:r>
    </w:p>
    <w:p>
      <w:pPr>
        <w:pStyle w:val="MiscClose"/>
      </w:pPr>
      <w:r>
        <w:t xml:space="preserve">    ”.</w:t>
      </w:r>
    </w:p>
    <w:p>
      <w:pPr>
        <w:pStyle w:val="nzSubsection"/>
      </w:pPr>
      <w:r>
        <w:tab/>
        <w:t>(2)</w:t>
      </w:r>
      <w:r>
        <w:tab/>
        <w:t xml:space="preserve">After section 89(2) the following subsection is inserted — </w:t>
      </w:r>
    </w:p>
    <w:p>
      <w:pPr>
        <w:pStyle w:val="MiscOpen"/>
        <w:ind w:left="600"/>
      </w:pPr>
      <w:r>
        <w:t xml:space="preserve">“    </w:t>
      </w:r>
    </w:p>
    <w:p>
      <w:pPr>
        <w:pStyle w:val="nzSubsection"/>
      </w:pPr>
      <w:r>
        <w:tab/>
        <w:t>(2a)</w:t>
      </w:r>
      <w:r>
        <w:tab/>
        <w:t xml:space="preserve">Where — </w:t>
      </w:r>
    </w:p>
    <w:p>
      <w:pPr>
        <w:pStyle w:val="nzIndenta"/>
      </w:pPr>
      <w:r>
        <w:tab/>
        <w:t>(a)</w:t>
      </w:r>
      <w:r>
        <w:tab/>
        <w:t>it is an offence against this Act for a pawnbroker or second</w:t>
      </w:r>
      <w:r>
        <w:noBreakHyphen/>
        <w:t>hand dealer to do or omit to do any particular thing; and</w:t>
      </w:r>
    </w:p>
    <w:p>
      <w:pPr>
        <w:pStyle w:val="nzIndenta"/>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nzSubsection"/>
      </w:pPr>
      <w:r>
        <w:tab/>
      </w:r>
      <w:r>
        <w:tab/>
        <w:t>the partner is to be treated as having committed the offence.</w:t>
      </w:r>
    </w:p>
    <w:p>
      <w:pPr>
        <w:pStyle w:val="MiscClose"/>
      </w:pPr>
      <w:r>
        <w:t xml:space="preserve">    ”.</w:t>
      </w:r>
    </w:p>
    <w:p>
      <w:pPr>
        <w:pStyle w:val="nzHeading5"/>
      </w:pPr>
      <w:bookmarkStart w:id="716" w:name="_Toc29262715"/>
      <w:bookmarkStart w:id="717" w:name="_Toc111954433"/>
      <w:bookmarkStart w:id="718" w:name="_Toc117397393"/>
      <w:bookmarkStart w:id="719" w:name="_Toc147812349"/>
      <w:bookmarkStart w:id="720" w:name="_Toc147832093"/>
      <w:r>
        <w:rPr>
          <w:rStyle w:val="CharSectno"/>
        </w:rPr>
        <w:t>21</w:t>
      </w:r>
      <w:r>
        <w:t>.</w:t>
      </w:r>
      <w:r>
        <w:tab/>
        <w:t>Section 90 amended</w:t>
      </w:r>
      <w:bookmarkEnd w:id="716"/>
      <w:bookmarkEnd w:id="717"/>
      <w:bookmarkEnd w:id="718"/>
      <w:bookmarkEnd w:id="719"/>
      <w:bookmarkEnd w:id="720"/>
    </w:p>
    <w:p>
      <w:pPr>
        <w:pStyle w:val="nzSubsection"/>
      </w:pPr>
      <w:r>
        <w:tab/>
      </w:r>
      <w:r>
        <w:tab/>
        <w:t xml:space="preserve">Section 90(2) is amended by deleting “21 days” and inserting instead — </w:t>
      </w:r>
    </w:p>
    <w:p>
      <w:pPr>
        <w:pStyle w:val="nzSubsection"/>
      </w:pPr>
      <w:r>
        <w:tab/>
      </w:r>
      <w:r>
        <w:tab/>
        <w:t>“    90 days    ”.</w:t>
      </w:r>
    </w:p>
    <w:p>
      <w:pPr>
        <w:pStyle w:val="nzHeading5"/>
      </w:pPr>
      <w:bookmarkStart w:id="721" w:name="_Toc29262716"/>
      <w:bookmarkStart w:id="722" w:name="_Toc111954434"/>
      <w:bookmarkStart w:id="723" w:name="_Toc117397394"/>
      <w:bookmarkStart w:id="724" w:name="_Toc147812350"/>
      <w:bookmarkStart w:id="725" w:name="_Toc147832094"/>
      <w:r>
        <w:rPr>
          <w:rStyle w:val="CharSectno"/>
        </w:rPr>
        <w:t>22</w:t>
      </w:r>
      <w:r>
        <w:t>.</w:t>
      </w:r>
      <w:r>
        <w:tab/>
        <w:t>Section 98 amended</w:t>
      </w:r>
      <w:bookmarkEnd w:id="721"/>
      <w:bookmarkEnd w:id="722"/>
      <w:bookmarkEnd w:id="723"/>
      <w:bookmarkEnd w:id="724"/>
      <w:bookmarkEnd w:id="725"/>
    </w:p>
    <w:p>
      <w:pPr>
        <w:pStyle w:val="nzSubsection"/>
      </w:pPr>
      <w:r>
        <w:tab/>
      </w:r>
      <w:r>
        <w:tab/>
        <w:t>Section 98(2) is repealed.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16377</Words>
  <Characters>75828</Characters>
  <Application>Microsoft Office Word</Application>
  <DocSecurity>0</DocSecurity>
  <Lines>2166</Lines>
  <Paragraphs>1336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1994 - 01-d0-02</dc:title>
  <dc:subject/>
  <dc:creator/>
  <cp:keywords/>
  <dc:description/>
  <cp:lastModifiedBy>svcMRProcess</cp:lastModifiedBy>
  <cp:revision>4</cp:revision>
  <cp:lastPrinted>2002-12-06T06:13:00Z</cp:lastPrinted>
  <dcterms:created xsi:type="dcterms:W3CDTF">2018-09-06T03:06:00Z</dcterms:created>
  <dcterms:modified xsi:type="dcterms:W3CDTF">2018-09-06T03:06:00Z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578</vt:i4>
  </property>
  <property fmtid="{D5CDD505-2E9C-101B-9397-08002B2CF9AE}" pid="6" name="AsAtDate">
    <vt:lpwstr>04 Oct 2006</vt:lpwstr>
  </property>
  <property fmtid="{D5CDD505-2E9C-101B-9397-08002B2CF9AE}" pid="7" name="Suffix">
    <vt:lpwstr>01-d0-02</vt:lpwstr>
  </property>
</Properties>
</file>