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rFonts w:asciiTheme="minorHAnsi" w:eastAsiaTheme="minorEastAsia" w:hAnsiTheme="minorHAnsi" w:cstheme="minorBidi"/>
          <w:noProof/>
          <w:szCs w:val="22"/>
        </w:rPr>
      </w:pPr>
      <w:r>
        <w:rPr>
          <w:noProof/>
        </w:rPr>
        <w:t>1</w:t>
      </w:r>
      <w:r>
        <w:rPr>
          <w:noProof/>
          <w:snapToGrid w:val="0"/>
        </w:rPr>
        <w:t>.</w:t>
      </w:r>
      <w:r>
        <w:rPr>
          <w:rFonts w:asciiTheme="minorHAnsi" w:eastAsiaTheme="minorEastAsia" w:hAnsiTheme="minorHAnsi" w:cstheme="minorBidi"/>
          <w:noProof/>
          <w:szCs w:val="22"/>
        </w:rPr>
        <w:tab/>
      </w:r>
      <w:r>
        <w:rPr>
          <w:noProof/>
          <w:snapToGrid w:val="0"/>
        </w:rPr>
        <w:t>Short title</w:t>
      </w:r>
      <w:r>
        <w:rPr>
          <w:noProof/>
        </w:rPr>
        <w:tab/>
      </w:r>
      <w:r>
        <w:rPr>
          <w:noProof/>
        </w:rPr>
        <w:fldChar w:fldCharType="begin"/>
      </w:r>
      <w:r>
        <w:rPr>
          <w:noProof/>
        </w:rPr>
        <w:instrText xml:space="preserve"> PAGEREF _Toc389741120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Commencement</w:t>
      </w:r>
      <w:r>
        <w:rPr>
          <w:noProof/>
        </w:rPr>
        <w:tab/>
      </w:r>
      <w:r>
        <w:rPr>
          <w:noProof/>
        </w:rPr>
        <w:fldChar w:fldCharType="begin"/>
      </w:r>
      <w:r>
        <w:rPr>
          <w:noProof/>
        </w:rPr>
        <w:instrText xml:space="preserve"> PAGEREF _Toc389741121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Relationship with other Acts</w:t>
      </w:r>
      <w:r>
        <w:rPr>
          <w:noProof/>
        </w:rPr>
        <w:tab/>
      </w:r>
      <w:r>
        <w:rPr>
          <w:noProof/>
        </w:rPr>
        <w:fldChar w:fldCharType="begin"/>
      </w:r>
      <w:r>
        <w:rPr>
          <w:noProof/>
        </w:rPr>
        <w:instrText xml:space="preserve"> PAGEREF _Toc389741122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Meaning of terms used in this Act</w:t>
      </w:r>
      <w:r>
        <w:rPr>
          <w:noProof/>
        </w:rPr>
        <w:tab/>
      </w:r>
      <w:r>
        <w:rPr>
          <w:noProof/>
        </w:rPr>
        <w:fldChar w:fldCharType="begin"/>
      </w:r>
      <w:r>
        <w:rPr>
          <w:noProof/>
        </w:rPr>
        <w:instrText xml:space="preserve"> PAGEREF _Toc389741123 \h </w:instrText>
      </w:r>
      <w:r>
        <w:rPr>
          <w:noProof/>
        </w:rPr>
      </w:r>
      <w:r>
        <w:rPr>
          <w:noProof/>
        </w:rPr>
        <w:fldChar w:fldCharType="separate"/>
      </w:r>
      <w:r>
        <w:rPr>
          <w:noProof/>
        </w:rPr>
        <w:t>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2 — Liability and assessment</w:t>
      </w:r>
    </w:p>
    <w:p>
      <w:pPr>
        <w:pStyle w:val="TOC3"/>
        <w:rPr>
          <w:rFonts w:asciiTheme="minorHAnsi" w:eastAsiaTheme="minorEastAsia" w:hAnsiTheme="minorHAnsi" w:cstheme="minorBidi"/>
          <w:b w:val="0"/>
          <w:noProof/>
          <w:szCs w:val="22"/>
        </w:rPr>
      </w:pPr>
      <w:r>
        <w:rPr>
          <w:noProof/>
        </w:rPr>
        <w:t>Division 1 — Liability to pay</w:t>
      </w:r>
      <w:r>
        <w:rPr>
          <w:noProof/>
        </w:rPr>
        <w:noBreakHyphen/>
        <w:t>roll tax</w:t>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Pay</w:t>
      </w:r>
      <w:r>
        <w:rPr>
          <w:noProof/>
        </w:rPr>
        <w:noBreakHyphen/>
        <w:t>roll tax on wages</w:t>
      </w:r>
      <w:r>
        <w:rPr>
          <w:noProof/>
        </w:rPr>
        <w:tab/>
      </w:r>
      <w:r>
        <w:rPr>
          <w:noProof/>
        </w:rPr>
        <w:fldChar w:fldCharType="begin"/>
      </w:r>
      <w:r>
        <w:rPr>
          <w:noProof/>
        </w:rPr>
        <w:instrText xml:space="preserve"> PAGEREF _Toc389741126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Time for payment of pay</w:t>
      </w:r>
      <w:r>
        <w:rPr>
          <w:noProof/>
        </w:rPr>
        <w:noBreakHyphen/>
        <w:t>roll tax</w:t>
      </w:r>
      <w:r>
        <w:rPr>
          <w:noProof/>
        </w:rPr>
        <w:tab/>
      </w:r>
      <w:r>
        <w:rPr>
          <w:noProof/>
        </w:rPr>
        <w:fldChar w:fldCharType="begin"/>
      </w:r>
      <w:r>
        <w:rPr>
          <w:noProof/>
        </w:rPr>
        <w:instrText xml:space="preserve"> PAGEREF _Toc389741127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Liability to pay</w:t>
      </w:r>
      <w:r>
        <w:rPr>
          <w:noProof/>
        </w:rPr>
        <w:noBreakHyphen/>
        <w:t>roll tax</w:t>
      </w:r>
      <w:r>
        <w:rPr>
          <w:noProof/>
        </w:rPr>
        <w:tab/>
      </w:r>
      <w:r>
        <w:rPr>
          <w:noProof/>
        </w:rPr>
        <w:fldChar w:fldCharType="begin"/>
      </w:r>
      <w:r>
        <w:rPr>
          <w:noProof/>
        </w:rPr>
        <w:instrText xml:space="preserve"> PAGEREF _Toc389741128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The tax threshold</w:t>
      </w:r>
      <w:r>
        <w:rPr>
          <w:noProof/>
        </w:rPr>
        <w:tab/>
      </w:r>
      <w:r>
        <w:rPr>
          <w:noProof/>
        </w:rPr>
        <w:fldChar w:fldCharType="begin"/>
      </w:r>
      <w:r>
        <w:rPr>
          <w:noProof/>
        </w:rPr>
        <w:instrText xml:space="preserve"> PAGEREF _Toc389741129 \h </w:instrText>
      </w:r>
      <w:r>
        <w:rPr>
          <w:noProof/>
        </w:rPr>
      </w:r>
      <w:r>
        <w:rPr>
          <w:noProof/>
        </w:rPr>
        <w:fldChar w:fldCharType="separate"/>
      </w:r>
      <w:r>
        <w:rPr>
          <w:noProof/>
        </w:rPr>
        <w:t>4</w:t>
      </w:r>
      <w:r>
        <w:rPr>
          <w:noProof/>
        </w:rPr>
        <w:fldChar w:fldCharType="end"/>
      </w:r>
    </w:p>
    <w:p>
      <w:pPr>
        <w:pStyle w:val="TOC3"/>
        <w:rPr>
          <w:rFonts w:asciiTheme="minorHAnsi" w:eastAsiaTheme="minorEastAsia" w:hAnsiTheme="minorHAnsi" w:cstheme="minorBidi"/>
          <w:b w:val="0"/>
          <w:noProof/>
          <w:szCs w:val="22"/>
        </w:rPr>
      </w:pPr>
      <w:r>
        <w:rPr>
          <w:noProof/>
        </w:rPr>
        <w:t>Division 2 — Non</w:t>
      </w:r>
      <w:r>
        <w:rPr>
          <w:noProof/>
        </w:rPr>
        <w:noBreakHyphen/>
        <w:t>group employers’ liability</w:t>
      </w:r>
    </w:p>
    <w:p>
      <w:pPr>
        <w:pStyle w:val="TOC4"/>
        <w:rPr>
          <w:rFonts w:asciiTheme="minorHAnsi" w:eastAsiaTheme="minorEastAsia" w:hAnsiTheme="minorHAnsi" w:cstheme="minorBidi"/>
          <w:noProof/>
          <w:szCs w:val="22"/>
        </w:rPr>
      </w:pPr>
      <w:r>
        <w:rPr>
          <w:noProof/>
        </w:rPr>
        <w:t>10.</w:t>
      </w:r>
      <w:r>
        <w:rPr>
          <w:rFonts w:asciiTheme="minorHAnsi" w:eastAsiaTheme="minorEastAsia" w:hAnsiTheme="minorHAnsi" w:cstheme="minorBidi"/>
          <w:noProof/>
          <w:szCs w:val="22"/>
        </w:rPr>
        <w:tab/>
      </w:r>
      <w:r>
        <w:rPr>
          <w:noProof/>
        </w:rPr>
        <w:t>Annual tax liability — local non</w:t>
      </w:r>
      <w:r>
        <w:rPr>
          <w:noProof/>
        </w:rPr>
        <w:noBreakHyphen/>
        <w:t>group employers</w:t>
      </w:r>
      <w:r>
        <w:rPr>
          <w:noProof/>
        </w:rPr>
        <w:tab/>
      </w:r>
      <w:r>
        <w:rPr>
          <w:noProof/>
        </w:rPr>
        <w:fldChar w:fldCharType="begin"/>
      </w:r>
      <w:r>
        <w:rPr>
          <w:noProof/>
        </w:rPr>
        <w:instrText xml:space="preserve"> PAGEREF _Toc389741131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11.</w:t>
      </w:r>
      <w:r>
        <w:rPr>
          <w:rFonts w:asciiTheme="minorHAnsi" w:eastAsiaTheme="minorEastAsia" w:hAnsiTheme="minorHAnsi" w:cstheme="minorBidi"/>
          <w:noProof/>
          <w:szCs w:val="22"/>
        </w:rPr>
        <w:tab/>
      </w:r>
      <w:r>
        <w:rPr>
          <w:noProof/>
        </w:rPr>
        <w:t>Tax payable with returns — local non</w:t>
      </w:r>
      <w:r>
        <w:rPr>
          <w:noProof/>
        </w:rPr>
        <w:noBreakHyphen/>
        <w:t>group employers</w:t>
      </w:r>
      <w:r>
        <w:rPr>
          <w:noProof/>
        </w:rPr>
        <w:tab/>
      </w:r>
      <w:r>
        <w:rPr>
          <w:noProof/>
        </w:rPr>
        <w:fldChar w:fldCharType="begin"/>
      </w:r>
      <w:r>
        <w:rPr>
          <w:noProof/>
        </w:rPr>
        <w:instrText xml:space="preserve"> PAGEREF _Toc389741132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12</w:t>
      </w:r>
      <w:r>
        <w:rPr>
          <w:noProof/>
          <w:color w:val="000000"/>
        </w:rPr>
        <w:t>.</w:t>
      </w:r>
      <w:r>
        <w:rPr>
          <w:rFonts w:asciiTheme="minorHAnsi" w:eastAsiaTheme="minorEastAsia" w:hAnsiTheme="minorHAnsi" w:cstheme="minorBidi"/>
          <w:noProof/>
          <w:szCs w:val="22"/>
        </w:rPr>
        <w:tab/>
      </w:r>
      <w:r>
        <w:rPr>
          <w:noProof/>
          <w:color w:val="000000"/>
        </w:rPr>
        <w:t>Apportioned threshold amount — local non</w:t>
      </w:r>
      <w:r>
        <w:rPr>
          <w:noProof/>
          <w:color w:val="000000"/>
        </w:rPr>
        <w:noBreakHyphen/>
        <w:t>group employers</w:t>
      </w:r>
      <w:r>
        <w:rPr>
          <w:noProof/>
        </w:rPr>
        <w:tab/>
      </w:r>
      <w:r>
        <w:rPr>
          <w:noProof/>
        </w:rPr>
        <w:fldChar w:fldCharType="begin"/>
      </w:r>
      <w:r>
        <w:rPr>
          <w:noProof/>
        </w:rPr>
        <w:instrText xml:space="preserve"> PAGEREF _Toc389741133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13.</w:t>
      </w:r>
      <w:r>
        <w:rPr>
          <w:rFonts w:asciiTheme="minorHAnsi" w:eastAsiaTheme="minorEastAsia" w:hAnsiTheme="minorHAnsi" w:cstheme="minorBidi"/>
          <w:noProof/>
          <w:szCs w:val="22"/>
        </w:rPr>
        <w:tab/>
      </w:r>
      <w:r>
        <w:rPr>
          <w:noProof/>
        </w:rPr>
        <w:t>Annual tax liability — interstate non</w:t>
      </w:r>
      <w:r>
        <w:rPr>
          <w:noProof/>
        </w:rPr>
        <w:noBreakHyphen/>
        <w:t>group employers</w:t>
      </w:r>
      <w:r>
        <w:rPr>
          <w:noProof/>
        </w:rPr>
        <w:tab/>
      </w:r>
      <w:r>
        <w:rPr>
          <w:noProof/>
        </w:rPr>
        <w:fldChar w:fldCharType="begin"/>
      </w:r>
      <w:r>
        <w:rPr>
          <w:noProof/>
        </w:rPr>
        <w:instrText xml:space="preserve"> PAGEREF _Toc389741134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14</w:t>
      </w:r>
      <w:r>
        <w:rPr>
          <w:noProof/>
          <w:color w:val="000000"/>
        </w:rPr>
        <w:t>.</w:t>
      </w:r>
      <w:r>
        <w:rPr>
          <w:rFonts w:asciiTheme="minorHAnsi" w:eastAsiaTheme="minorEastAsia" w:hAnsiTheme="minorHAnsi" w:cstheme="minorBidi"/>
          <w:noProof/>
          <w:szCs w:val="22"/>
        </w:rPr>
        <w:tab/>
      </w:r>
      <w:r>
        <w:rPr>
          <w:noProof/>
          <w:color w:val="000000"/>
        </w:rPr>
        <w:t>Apportioned threshold amounts — interstate non</w:t>
      </w:r>
      <w:r>
        <w:rPr>
          <w:noProof/>
          <w:color w:val="000000"/>
        </w:rPr>
        <w:noBreakHyphen/>
        <w:t>group employers</w:t>
      </w:r>
      <w:r>
        <w:rPr>
          <w:noProof/>
        </w:rPr>
        <w:tab/>
      </w:r>
      <w:r>
        <w:rPr>
          <w:noProof/>
        </w:rPr>
        <w:fldChar w:fldCharType="begin"/>
      </w:r>
      <w:r>
        <w:rPr>
          <w:noProof/>
        </w:rPr>
        <w:instrText xml:space="preserve"> PAGEREF _Toc389741135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15.</w:t>
      </w:r>
      <w:r>
        <w:rPr>
          <w:rFonts w:asciiTheme="minorHAnsi" w:eastAsiaTheme="minorEastAsia" w:hAnsiTheme="minorHAnsi" w:cstheme="minorBidi"/>
          <w:noProof/>
          <w:szCs w:val="22"/>
        </w:rPr>
        <w:tab/>
      </w:r>
      <w:r>
        <w:rPr>
          <w:noProof/>
        </w:rPr>
        <w:t>Tax payable with monthly returns — interstate non</w:t>
      </w:r>
      <w:r>
        <w:rPr>
          <w:noProof/>
        </w:rPr>
        <w:noBreakHyphen/>
        <w:t>group employers</w:t>
      </w:r>
      <w:r>
        <w:rPr>
          <w:noProof/>
        </w:rPr>
        <w:tab/>
      </w:r>
      <w:r>
        <w:rPr>
          <w:noProof/>
        </w:rPr>
        <w:fldChar w:fldCharType="begin"/>
      </w:r>
      <w:r>
        <w:rPr>
          <w:noProof/>
        </w:rPr>
        <w:instrText xml:space="preserve"> PAGEREF _Toc389741136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16.</w:t>
      </w:r>
      <w:r>
        <w:rPr>
          <w:rFonts w:asciiTheme="minorHAnsi" w:eastAsiaTheme="minorEastAsia" w:hAnsiTheme="minorHAnsi" w:cstheme="minorBidi"/>
          <w:noProof/>
          <w:szCs w:val="22"/>
        </w:rPr>
        <w:tab/>
      </w:r>
      <w:r>
        <w:rPr>
          <w:noProof/>
        </w:rPr>
        <w:t>Annual reconciliation — non</w:t>
      </w:r>
      <w:r>
        <w:rPr>
          <w:noProof/>
        </w:rPr>
        <w:noBreakHyphen/>
        <w:t>group employers</w:t>
      </w:r>
      <w:r>
        <w:rPr>
          <w:noProof/>
        </w:rPr>
        <w:tab/>
      </w:r>
      <w:r>
        <w:rPr>
          <w:noProof/>
        </w:rPr>
        <w:fldChar w:fldCharType="begin"/>
      </w:r>
      <w:r>
        <w:rPr>
          <w:noProof/>
        </w:rPr>
        <w:instrText xml:space="preserve"> PAGEREF _Toc389741137 \h </w:instrText>
      </w:r>
      <w:r>
        <w:rPr>
          <w:noProof/>
        </w:rPr>
      </w:r>
      <w:r>
        <w:rPr>
          <w:noProof/>
        </w:rPr>
        <w:fldChar w:fldCharType="separate"/>
      </w:r>
      <w:r>
        <w:rPr>
          <w:noProof/>
        </w:rPr>
        <w:t>9</w:t>
      </w:r>
      <w:r>
        <w:rPr>
          <w:noProof/>
        </w:rPr>
        <w:fldChar w:fldCharType="end"/>
      </w:r>
    </w:p>
    <w:p>
      <w:pPr>
        <w:pStyle w:val="TOC3"/>
        <w:rPr>
          <w:rFonts w:asciiTheme="minorHAnsi" w:eastAsiaTheme="minorEastAsia" w:hAnsiTheme="minorHAnsi" w:cstheme="minorBidi"/>
          <w:b w:val="0"/>
          <w:noProof/>
          <w:szCs w:val="22"/>
        </w:rPr>
      </w:pPr>
      <w:r>
        <w:rPr>
          <w:noProof/>
        </w:rPr>
        <w:t>Division 3 — Group employers’ liability</w:t>
      </w:r>
    </w:p>
    <w:p>
      <w:pPr>
        <w:pStyle w:val="TOC4"/>
        <w:rPr>
          <w:rFonts w:asciiTheme="minorHAnsi" w:eastAsiaTheme="minorEastAsia" w:hAnsiTheme="minorHAnsi" w:cstheme="minorBidi"/>
          <w:noProof/>
          <w:szCs w:val="22"/>
        </w:rPr>
      </w:pPr>
      <w:r>
        <w:rPr>
          <w:noProof/>
        </w:rPr>
        <w:t>17.</w:t>
      </w:r>
      <w:r>
        <w:rPr>
          <w:rFonts w:asciiTheme="minorHAnsi" w:eastAsiaTheme="minorEastAsia" w:hAnsiTheme="minorHAnsi" w:cstheme="minorBidi"/>
          <w:noProof/>
          <w:szCs w:val="22"/>
        </w:rPr>
        <w:tab/>
      </w:r>
      <w:r>
        <w:rPr>
          <w:noProof/>
        </w:rPr>
        <w:t>Annual tax liability — groups</w:t>
      </w:r>
      <w:r>
        <w:rPr>
          <w:noProof/>
        </w:rPr>
        <w:tab/>
      </w:r>
      <w:r>
        <w:rPr>
          <w:noProof/>
        </w:rPr>
        <w:fldChar w:fldCharType="begin"/>
      </w:r>
      <w:r>
        <w:rPr>
          <w:noProof/>
        </w:rPr>
        <w:instrText xml:space="preserve"> PAGEREF _Toc389741139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lastRenderedPageBreak/>
        <w:t>18</w:t>
      </w:r>
      <w:r>
        <w:rPr>
          <w:noProof/>
          <w:color w:val="000000"/>
        </w:rPr>
        <w:t>.</w:t>
      </w:r>
      <w:r>
        <w:rPr>
          <w:rFonts w:asciiTheme="minorHAnsi" w:eastAsiaTheme="minorEastAsia" w:hAnsiTheme="minorHAnsi" w:cstheme="minorBidi"/>
          <w:noProof/>
          <w:szCs w:val="22"/>
        </w:rPr>
        <w:tab/>
      </w:r>
      <w:r>
        <w:rPr>
          <w:noProof/>
          <w:color w:val="000000"/>
        </w:rPr>
        <w:t>Apportioned threshold amounts — groups</w:t>
      </w:r>
      <w:r>
        <w:rPr>
          <w:noProof/>
        </w:rPr>
        <w:tab/>
      </w:r>
      <w:r>
        <w:rPr>
          <w:noProof/>
        </w:rPr>
        <w:fldChar w:fldCharType="begin"/>
      </w:r>
      <w:r>
        <w:rPr>
          <w:noProof/>
        </w:rPr>
        <w:instrText xml:space="preserve"> PAGEREF _Toc389741140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19.</w:t>
      </w:r>
      <w:r>
        <w:rPr>
          <w:rFonts w:asciiTheme="minorHAnsi" w:eastAsiaTheme="minorEastAsia" w:hAnsiTheme="minorHAnsi" w:cstheme="minorBidi"/>
          <w:noProof/>
          <w:szCs w:val="22"/>
        </w:rPr>
        <w:tab/>
      </w:r>
      <w:r>
        <w:rPr>
          <w:noProof/>
        </w:rPr>
        <w:t>Tax payable with monthly returns — groups</w:t>
      </w:r>
      <w:r>
        <w:rPr>
          <w:noProof/>
        </w:rPr>
        <w:tab/>
      </w:r>
      <w:r>
        <w:rPr>
          <w:noProof/>
        </w:rPr>
        <w:fldChar w:fldCharType="begin"/>
      </w:r>
      <w:r>
        <w:rPr>
          <w:noProof/>
        </w:rPr>
        <w:instrText xml:space="preserve"> PAGEREF _Toc389741141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Cs w:val="22"/>
        </w:rPr>
      </w:pPr>
      <w:r>
        <w:rPr>
          <w:noProof/>
        </w:rPr>
        <w:t>20.</w:t>
      </w:r>
      <w:r>
        <w:rPr>
          <w:rFonts w:asciiTheme="minorHAnsi" w:eastAsiaTheme="minorEastAsia" w:hAnsiTheme="minorHAnsi" w:cstheme="minorBidi"/>
          <w:noProof/>
          <w:szCs w:val="22"/>
        </w:rPr>
        <w:tab/>
      </w:r>
      <w:r>
        <w:rPr>
          <w:noProof/>
        </w:rPr>
        <w:t>Annual reconciliation — groups</w:t>
      </w:r>
      <w:r>
        <w:rPr>
          <w:noProof/>
        </w:rPr>
        <w:tab/>
      </w:r>
      <w:r>
        <w:rPr>
          <w:noProof/>
        </w:rPr>
        <w:fldChar w:fldCharType="begin"/>
      </w:r>
      <w:r>
        <w:rPr>
          <w:noProof/>
        </w:rPr>
        <w:instrText xml:space="preserve"> PAGEREF _Toc389741142 \h </w:instrText>
      </w:r>
      <w:r>
        <w:rPr>
          <w:noProof/>
        </w:rPr>
      </w:r>
      <w:r>
        <w:rPr>
          <w:noProof/>
        </w:rPr>
        <w:fldChar w:fldCharType="separate"/>
      </w:r>
      <w:r>
        <w:rPr>
          <w:noProof/>
        </w:rPr>
        <w:t>13</w:t>
      </w:r>
      <w:r>
        <w:rPr>
          <w:noProof/>
        </w:rPr>
        <w:fldChar w:fldCharType="end"/>
      </w:r>
    </w:p>
    <w:p>
      <w:pPr>
        <w:pStyle w:val="TOC3"/>
        <w:rPr>
          <w:rFonts w:asciiTheme="minorHAnsi" w:eastAsiaTheme="minorEastAsia" w:hAnsiTheme="minorHAnsi" w:cstheme="minorBidi"/>
          <w:b w:val="0"/>
          <w:noProof/>
          <w:szCs w:val="22"/>
        </w:rPr>
      </w:pPr>
      <w:r>
        <w:rPr>
          <w:noProof/>
        </w:rPr>
        <w:t>Division 4 — Assessment generally</w:t>
      </w:r>
    </w:p>
    <w:p>
      <w:pPr>
        <w:pStyle w:val="TOC4"/>
        <w:rPr>
          <w:rFonts w:asciiTheme="minorHAnsi" w:eastAsiaTheme="minorEastAsia" w:hAnsiTheme="minorHAnsi" w:cstheme="minorBidi"/>
          <w:noProof/>
          <w:szCs w:val="22"/>
        </w:rPr>
      </w:pPr>
      <w:r>
        <w:rPr>
          <w:noProof/>
        </w:rPr>
        <w:t>21.</w:t>
      </w:r>
      <w:r>
        <w:rPr>
          <w:rFonts w:asciiTheme="minorHAnsi" w:eastAsiaTheme="minorEastAsia" w:hAnsiTheme="minorHAnsi" w:cstheme="minorBidi"/>
          <w:noProof/>
          <w:szCs w:val="22"/>
        </w:rPr>
        <w:tab/>
      </w:r>
      <w:r>
        <w:rPr>
          <w:noProof/>
        </w:rPr>
        <w:t>Tax</w:t>
      </w:r>
      <w:r>
        <w:rPr>
          <w:noProof/>
        </w:rPr>
        <w:noBreakHyphen/>
        <w:t>reducing arrangements</w:t>
      </w:r>
      <w:r>
        <w:rPr>
          <w:noProof/>
        </w:rPr>
        <w:tab/>
      </w:r>
      <w:r>
        <w:rPr>
          <w:noProof/>
        </w:rPr>
        <w:fldChar w:fldCharType="begin"/>
      </w:r>
      <w:r>
        <w:rPr>
          <w:noProof/>
        </w:rPr>
        <w:instrText xml:space="preserve"> PAGEREF _Toc389741144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Cs w:val="22"/>
        </w:rPr>
      </w:pPr>
      <w:r>
        <w:rPr>
          <w:noProof/>
        </w:rPr>
        <w:t>22.</w:t>
      </w:r>
      <w:r>
        <w:rPr>
          <w:rFonts w:asciiTheme="minorHAnsi" w:eastAsiaTheme="minorEastAsia" w:hAnsiTheme="minorHAnsi" w:cstheme="minorBidi"/>
          <w:noProof/>
          <w:szCs w:val="22"/>
        </w:rPr>
        <w:tab/>
      </w:r>
      <w:r>
        <w:rPr>
          <w:noProof/>
        </w:rPr>
        <w:t>Adjustments for changes in annual threshold amount</w:t>
      </w:r>
      <w:r>
        <w:rPr>
          <w:noProof/>
        </w:rPr>
        <w:tab/>
      </w:r>
      <w:r>
        <w:rPr>
          <w:noProof/>
        </w:rPr>
        <w:fldChar w:fldCharType="begin"/>
      </w:r>
      <w:r>
        <w:rPr>
          <w:noProof/>
        </w:rPr>
        <w:instrText xml:space="preserve"> PAGEREF _Toc389741145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22A.</w:t>
      </w:r>
      <w:r>
        <w:rPr>
          <w:rFonts w:asciiTheme="minorHAnsi" w:eastAsiaTheme="minorEastAsia" w:hAnsiTheme="minorHAnsi" w:cstheme="minorBidi"/>
          <w:noProof/>
          <w:szCs w:val="22"/>
        </w:rPr>
        <w:tab/>
      </w:r>
      <w:r>
        <w:rPr>
          <w:noProof/>
        </w:rPr>
        <w:t>Effect of change in tax rate during 2004/5 year</w:t>
      </w:r>
      <w:r>
        <w:rPr>
          <w:noProof/>
        </w:rPr>
        <w:tab/>
      </w:r>
      <w:r>
        <w:rPr>
          <w:noProof/>
        </w:rPr>
        <w:fldChar w:fldCharType="begin"/>
      </w:r>
      <w:r>
        <w:rPr>
          <w:noProof/>
        </w:rPr>
        <w:instrText xml:space="preserve"> PAGEREF _Toc389741146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23.</w:t>
      </w:r>
      <w:r>
        <w:rPr>
          <w:rFonts w:asciiTheme="minorHAnsi" w:eastAsiaTheme="minorEastAsia" w:hAnsiTheme="minorHAnsi" w:cstheme="minorBidi"/>
          <w:noProof/>
          <w:szCs w:val="22"/>
        </w:rPr>
        <w:tab/>
      </w:r>
      <w:r>
        <w:rPr>
          <w:noProof/>
        </w:rPr>
        <w:t>Taxable wages not paid throughout assessment year</w:t>
      </w:r>
      <w:r>
        <w:rPr>
          <w:noProof/>
        </w:rPr>
        <w:tab/>
      </w:r>
      <w:r>
        <w:rPr>
          <w:noProof/>
        </w:rPr>
        <w:fldChar w:fldCharType="begin"/>
      </w:r>
      <w:r>
        <w:rPr>
          <w:noProof/>
        </w:rPr>
        <w:instrText xml:space="preserve"> PAGEREF _Toc389741147 \h </w:instrText>
      </w:r>
      <w:r>
        <w:rPr>
          <w:noProof/>
        </w:rPr>
      </w:r>
      <w:r>
        <w:rPr>
          <w:noProof/>
        </w:rPr>
        <w:fldChar w:fldCharType="separate"/>
      </w:r>
      <w:r>
        <w:rPr>
          <w:noProof/>
        </w:rPr>
        <w:t>16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3 — Registration and returns</w:t>
      </w:r>
    </w:p>
    <w:p>
      <w:pPr>
        <w:pStyle w:val="TOC4"/>
        <w:rPr>
          <w:rFonts w:asciiTheme="minorHAnsi" w:eastAsiaTheme="minorEastAsia" w:hAnsiTheme="minorHAnsi" w:cstheme="minorBidi"/>
          <w:noProof/>
          <w:szCs w:val="22"/>
        </w:rPr>
      </w:pPr>
      <w:r>
        <w:rPr>
          <w:noProof/>
        </w:rPr>
        <w:t>24.</w:t>
      </w:r>
      <w:r>
        <w:rPr>
          <w:rFonts w:asciiTheme="minorHAnsi" w:eastAsiaTheme="minorEastAsia" w:hAnsiTheme="minorHAnsi" w:cstheme="minorBidi"/>
          <w:noProof/>
          <w:szCs w:val="22"/>
        </w:rPr>
        <w:tab/>
      </w:r>
      <w:r>
        <w:rPr>
          <w:noProof/>
        </w:rPr>
        <w:t>Applications for registration as an employer</w:t>
      </w:r>
      <w:r>
        <w:rPr>
          <w:noProof/>
        </w:rPr>
        <w:tab/>
      </w:r>
      <w:r>
        <w:rPr>
          <w:noProof/>
        </w:rPr>
        <w:fldChar w:fldCharType="begin"/>
      </w:r>
      <w:r>
        <w:rPr>
          <w:noProof/>
        </w:rPr>
        <w:instrText xml:space="preserve"> PAGEREF _Toc389741149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25.</w:t>
      </w:r>
      <w:r>
        <w:rPr>
          <w:rFonts w:asciiTheme="minorHAnsi" w:eastAsiaTheme="minorEastAsia" w:hAnsiTheme="minorHAnsi" w:cstheme="minorBidi"/>
          <w:noProof/>
          <w:szCs w:val="22"/>
        </w:rPr>
        <w:tab/>
      </w:r>
      <w:r>
        <w:rPr>
          <w:noProof/>
        </w:rPr>
        <w:t>Registration and cancellation of registration</w:t>
      </w:r>
      <w:r>
        <w:rPr>
          <w:noProof/>
        </w:rPr>
        <w:tab/>
      </w:r>
      <w:r>
        <w:rPr>
          <w:noProof/>
        </w:rPr>
        <w:fldChar w:fldCharType="begin"/>
      </w:r>
      <w:r>
        <w:rPr>
          <w:noProof/>
        </w:rPr>
        <w:instrText xml:space="preserve"> PAGEREF _Toc389741150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26.</w:t>
      </w:r>
      <w:r>
        <w:rPr>
          <w:rFonts w:asciiTheme="minorHAnsi" w:eastAsiaTheme="minorEastAsia" w:hAnsiTheme="minorHAnsi" w:cstheme="minorBidi"/>
          <w:noProof/>
          <w:szCs w:val="22"/>
        </w:rPr>
        <w:tab/>
      </w:r>
      <w:r>
        <w:rPr>
          <w:noProof/>
        </w:rPr>
        <w:t>Monthly returns</w:t>
      </w:r>
      <w:r>
        <w:rPr>
          <w:noProof/>
        </w:rPr>
        <w:tab/>
      </w:r>
      <w:r>
        <w:rPr>
          <w:noProof/>
        </w:rPr>
        <w:fldChar w:fldCharType="begin"/>
      </w:r>
      <w:r>
        <w:rPr>
          <w:noProof/>
        </w:rPr>
        <w:instrText xml:space="preserve"> PAGEREF _Toc389741151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27.</w:t>
      </w:r>
      <w:r>
        <w:rPr>
          <w:rFonts w:asciiTheme="minorHAnsi" w:eastAsiaTheme="minorEastAsia" w:hAnsiTheme="minorHAnsi" w:cstheme="minorBidi"/>
          <w:noProof/>
          <w:szCs w:val="22"/>
        </w:rPr>
        <w:tab/>
      </w:r>
      <w:r>
        <w:rPr>
          <w:noProof/>
        </w:rPr>
        <w:t>Additional returns for reconciliation purposes</w:t>
      </w:r>
      <w:r>
        <w:rPr>
          <w:noProof/>
        </w:rPr>
        <w:tab/>
      </w:r>
      <w:r>
        <w:rPr>
          <w:noProof/>
        </w:rPr>
        <w:fldChar w:fldCharType="begin"/>
      </w:r>
      <w:r>
        <w:rPr>
          <w:noProof/>
        </w:rPr>
        <w:instrText xml:space="preserve"> PAGEREF _Toc389741152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28.</w:t>
      </w:r>
      <w:r>
        <w:rPr>
          <w:rFonts w:asciiTheme="minorHAnsi" w:eastAsiaTheme="minorEastAsia" w:hAnsiTheme="minorHAnsi" w:cstheme="minorBidi"/>
          <w:noProof/>
          <w:szCs w:val="22"/>
        </w:rPr>
        <w:tab/>
      </w:r>
      <w:r>
        <w:rPr>
          <w:noProof/>
        </w:rPr>
        <w:t>Further returns</w:t>
      </w:r>
      <w:r>
        <w:rPr>
          <w:noProof/>
        </w:rPr>
        <w:tab/>
      </w:r>
      <w:r>
        <w:rPr>
          <w:noProof/>
        </w:rPr>
        <w:fldChar w:fldCharType="begin"/>
      </w:r>
      <w:r>
        <w:rPr>
          <w:noProof/>
        </w:rPr>
        <w:instrText xml:space="preserve"> PAGEREF _Toc389741153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29.</w:t>
      </w:r>
      <w:r>
        <w:rPr>
          <w:rFonts w:asciiTheme="minorHAnsi" w:eastAsiaTheme="minorEastAsia" w:hAnsiTheme="minorHAnsi" w:cstheme="minorBidi"/>
          <w:noProof/>
          <w:szCs w:val="22"/>
        </w:rPr>
        <w:tab/>
      </w:r>
      <w:r>
        <w:rPr>
          <w:noProof/>
        </w:rPr>
        <w:t>Exemptions from lodging monthly returns</w:t>
      </w:r>
      <w:r>
        <w:rPr>
          <w:noProof/>
        </w:rPr>
        <w:tab/>
      </w:r>
      <w:r>
        <w:rPr>
          <w:noProof/>
        </w:rPr>
        <w:fldChar w:fldCharType="begin"/>
      </w:r>
      <w:r>
        <w:rPr>
          <w:noProof/>
        </w:rPr>
        <w:instrText xml:space="preserve"> PAGEREF _Toc389741154 \h </w:instrText>
      </w:r>
      <w:r>
        <w:rPr>
          <w:noProof/>
        </w:rPr>
      </w:r>
      <w:r>
        <w:rPr>
          <w:noProof/>
        </w:rPr>
        <w:fldChar w:fldCharType="separate"/>
      </w:r>
      <w:r>
        <w:rPr>
          <w:noProof/>
        </w:rPr>
        <w:t>20</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4 — Constitution of business groups</w:t>
      </w:r>
    </w:p>
    <w:p>
      <w:pPr>
        <w:pStyle w:val="TOC4"/>
        <w:rPr>
          <w:rFonts w:asciiTheme="minorHAnsi" w:eastAsiaTheme="minorEastAsia" w:hAnsiTheme="minorHAnsi" w:cstheme="minorBidi"/>
          <w:noProof/>
          <w:szCs w:val="22"/>
        </w:rPr>
      </w:pPr>
      <w:r>
        <w:rPr>
          <w:noProof/>
        </w:rPr>
        <w:t>30.</w:t>
      </w:r>
      <w:r>
        <w:rPr>
          <w:rFonts w:asciiTheme="minorHAnsi" w:eastAsiaTheme="minorEastAsia" w:hAnsiTheme="minorHAnsi" w:cstheme="minorBidi"/>
          <w:noProof/>
          <w:szCs w:val="22"/>
        </w:rPr>
        <w:tab/>
      </w:r>
      <w:r>
        <w:rPr>
          <w:noProof/>
        </w:rPr>
        <w:t>Grouping corporations</w:t>
      </w:r>
      <w:r>
        <w:rPr>
          <w:noProof/>
        </w:rPr>
        <w:tab/>
      </w:r>
      <w:r>
        <w:rPr>
          <w:noProof/>
        </w:rPr>
        <w:fldChar w:fldCharType="begin"/>
      </w:r>
      <w:r>
        <w:rPr>
          <w:noProof/>
        </w:rPr>
        <w:instrText xml:space="preserve"> PAGEREF _Toc389741156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31.</w:t>
      </w:r>
      <w:r>
        <w:rPr>
          <w:rFonts w:asciiTheme="minorHAnsi" w:eastAsiaTheme="minorEastAsia" w:hAnsiTheme="minorHAnsi" w:cstheme="minorBidi"/>
          <w:noProof/>
          <w:szCs w:val="22"/>
        </w:rPr>
        <w:tab/>
      </w:r>
      <w:r>
        <w:rPr>
          <w:noProof/>
        </w:rPr>
        <w:t>Grouping where employees used in another business</w:t>
      </w:r>
      <w:r>
        <w:rPr>
          <w:noProof/>
        </w:rPr>
        <w:tab/>
      </w:r>
      <w:r>
        <w:rPr>
          <w:noProof/>
        </w:rPr>
        <w:fldChar w:fldCharType="begin"/>
      </w:r>
      <w:r>
        <w:rPr>
          <w:noProof/>
        </w:rPr>
        <w:instrText xml:space="preserve"> PAGEREF _Toc389741157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32.</w:t>
      </w:r>
      <w:r>
        <w:rPr>
          <w:rFonts w:asciiTheme="minorHAnsi" w:eastAsiaTheme="minorEastAsia" w:hAnsiTheme="minorHAnsi" w:cstheme="minorBidi"/>
          <w:noProof/>
          <w:szCs w:val="22"/>
        </w:rPr>
        <w:tab/>
      </w:r>
      <w:r>
        <w:rPr>
          <w:noProof/>
        </w:rPr>
        <w:t>Grouping commonly controlled businesses</w:t>
      </w:r>
      <w:r>
        <w:rPr>
          <w:noProof/>
        </w:rPr>
        <w:tab/>
      </w:r>
      <w:r>
        <w:rPr>
          <w:noProof/>
        </w:rPr>
        <w:fldChar w:fldCharType="begin"/>
      </w:r>
      <w:r>
        <w:rPr>
          <w:noProof/>
        </w:rPr>
        <w:instrText xml:space="preserve"> PAGEREF _Toc389741158 \h </w:instrText>
      </w:r>
      <w:r>
        <w:rPr>
          <w:noProof/>
        </w:rPr>
      </w:r>
      <w:r>
        <w:rPr>
          <w:noProof/>
        </w:rPr>
        <w:fldChar w:fldCharType="separate"/>
      </w:r>
      <w:r>
        <w:rPr>
          <w:noProof/>
        </w:rPr>
        <w:t>25</w:t>
      </w:r>
      <w:r>
        <w:rPr>
          <w:noProof/>
        </w:rPr>
        <w:fldChar w:fldCharType="end"/>
      </w:r>
    </w:p>
    <w:p>
      <w:pPr>
        <w:pStyle w:val="TOC4"/>
        <w:rPr>
          <w:rFonts w:asciiTheme="minorHAnsi" w:eastAsiaTheme="minorEastAsia" w:hAnsiTheme="minorHAnsi" w:cstheme="minorBidi"/>
          <w:noProof/>
          <w:szCs w:val="22"/>
        </w:rPr>
      </w:pPr>
      <w:r>
        <w:rPr>
          <w:noProof/>
        </w:rPr>
        <w:t>33.</w:t>
      </w:r>
      <w:r>
        <w:rPr>
          <w:rFonts w:asciiTheme="minorHAnsi" w:eastAsiaTheme="minorEastAsia" w:hAnsiTheme="minorHAnsi" w:cstheme="minorBidi"/>
          <w:noProof/>
          <w:szCs w:val="22"/>
        </w:rPr>
        <w:tab/>
      </w:r>
      <w:r>
        <w:rPr>
          <w:noProof/>
        </w:rPr>
        <w:t>Controlling interest in business</w:t>
      </w:r>
      <w:r>
        <w:rPr>
          <w:noProof/>
        </w:rPr>
        <w:tab/>
      </w:r>
      <w:r>
        <w:rPr>
          <w:noProof/>
        </w:rPr>
        <w:fldChar w:fldCharType="begin"/>
      </w:r>
      <w:r>
        <w:rPr>
          <w:noProof/>
        </w:rPr>
        <w:instrText xml:space="preserve"> PAGEREF _Toc389741159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34.</w:t>
      </w:r>
      <w:r>
        <w:rPr>
          <w:rFonts w:asciiTheme="minorHAnsi" w:eastAsiaTheme="minorEastAsia" w:hAnsiTheme="minorHAnsi" w:cstheme="minorBidi"/>
          <w:noProof/>
          <w:szCs w:val="22"/>
        </w:rPr>
        <w:tab/>
      </w:r>
      <w:r>
        <w:rPr>
          <w:noProof/>
        </w:rPr>
        <w:t>Value of beneficial interest in discretionary trusts</w:t>
      </w:r>
      <w:r>
        <w:rPr>
          <w:noProof/>
        </w:rPr>
        <w:tab/>
      </w:r>
      <w:r>
        <w:rPr>
          <w:noProof/>
        </w:rPr>
        <w:fldChar w:fldCharType="begin"/>
      </w:r>
      <w:r>
        <w:rPr>
          <w:noProof/>
        </w:rPr>
        <w:instrText xml:space="preserve"> PAGEREF _Toc389741160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35.</w:t>
      </w:r>
      <w:r>
        <w:rPr>
          <w:rFonts w:asciiTheme="minorHAnsi" w:eastAsiaTheme="minorEastAsia" w:hAnsiTheme="minorHAnsi" w:cstheme="minorBidi"/>
          <w:noProof/>
          <w:szCs w:val="22"/>
        </w:rPr>
        <w:tab/>
      </w:r>
      <w:r>
        <w:rPr>
          <w:noProof/>
        </w:rPr>
        <w:t>Grouping head and branch businesses</w:t>
      </w:r>
      <w:r>
        <w:rPr>
          <w:noProof/>
        </w:rPr>
        <w:tab/>
      </w:r>
      <w:r>
        <w:rPr>
          <w:noProof/>
        </w:rPr>
        <w:fldChar w:fldCharType="begin"/>
      </w:r>
      <w:r>
        <w:rPr>
          <w:noProof/>
        </w:rPr>
        <w:instrText xml:space="preserve"> PAGEREF _Toc389741161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36.</w:t>
      </w:r>
      <w:r>
        <w:rPr>
          <w:rFonts w:asciiTheme="minorHAnsi" w:eastAsiaTheme="minorEastAsia" w:hAnsiTheme="minorHAnsi" w:cstheme="minorBidi"/>
          <w:noProof/>
          <w:szCs w:val="22"/>
        </w:rPr>
        <w:tab/>
      </w:r>
      <w:r>
        <w:rPr>
          <w:noProof/>
        </w:rPr>
        <w:t>Smaller groups subsumed into larger groups</w:t>
      </w:r>
      <w:r>
        <w:rPr>
          <w:noProof/>
        </w:rPr>
        <w:tab/>
      </w:r>
      <w:r>
        <w:rPr>
          <w:noProof/>
        </w:rPr>
        <w:fldChar w:fldCharType="begin"/>
      </w:r>
      <w:r>
        <w:rPr>
          <w:noProof/>
        </w:rPr>
        <w:instrText xml:space="preserve"> PAGEREF _Toc389741162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37.</w:t>
      </w:r>
      <w:r>
        <w:rPr>
          <w:rFonts w:asciiTheme="minorHAnsi" w:eastAsiaTheme="minorEastAsia" w:hAnsiTheme="minorHAnsi" w:cstheme="minorBidi"/>
          <w:noProof/>
          <w:szCs w:val="22"/>
        </w:rPr>
        <w:tab/>
      </w:r>
      <w:r>
        <w:rPr>
          <w:noProof/>
        </w:rPr>
        <w:t>Grouping provisions operate independently</w:t>
      </w:r>
      <w:r>
        <w:rPr>
          <w:noProof/>
        </w:rPr>
        <w:tab/>
      </w:r>
      <w:r>
        <w:rPr>
          <w:noProof/>
        </w:rPr>
        <w:fldChar w:fldCharType="begin"/>
      </w:r>
      <w:r>
        <w:rPr>
          <w:noProof/>
        </w:rPr>
        <w:instrText xml:space="preserve"> PAGEREF _Toc389741163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38.</w:t>
      </w:r>
      <w:r>
        <w:rPr>
          <w:rFonts w:asciiTheme="minorHAnsi" w:eastAsiaTheme="minorEastAsia" w:hAnsiTheme="minorHAnsi" w:cstheme="minorBidi"/>
          <w:noProof/>
          <w:szCs w:val="22"/>
        </w:rPr>
        <w:tab/>
      </w:r>
      <w:r>
        <w:rPr>
          <w:noProof/>
        </w:rPr>
        <w:t>Exclusion from groups</w:t>
      </w:r>
      <w:r>
        <w:rPr>
          <w:noProof/>
        </w:rPr>
        <w:tab/>
      </w:r>
      <w:r>
        <w:rPr>
          <w:noProof/>
        </w:rPr>
        <w:fldChar w:fldCharType="begin"/>
      </w:r>
      <w:r>
        <w:rPr>
          <w:noProof/>
        </w:rPr>
        <w:instrText xml:space="preserve"> PAGEREF _Toc389741164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39.</w:t>
      </w:r>
      <w:r>
        <w:rPr>
          <w:rFonts w:asciiTheme="minorHAnsi" w:eastAsiaTheme="minorEastAsia" w:hAnsiTheme="minorHAnsi" w:cstheme="minorBidi"/>
          <w:noProof/>
          <w:szCs w:val="22"/>
        </w:rPr>
        <w:tab/>
      </w:r>
      <w:r>
        <w:rPr>
          <w:noProof/>
        </w:rPr>
        <w:t>Designated group employer</w:t>
      </w:r>
      <w:r>
        <w:rPr>
          <w:noProof/>
        </w:rPr>
        <w:tab/>
      </w:r>
      <w:r>
        <w:rPr>
          <w:noProof/>
        </w:rPr>
        <w:fldChar w:fldCharType="begin"/>
      </w:r>
      <w:r>
        <w:rPr>
          <w:noProof/>
        </w:rPr>
        <w:instrText xml:space="preserve"> PAGEREF _Toc389741165 \h </w:instrText>
      </w:r>
      <w:r>
        <w:rPr>
          <w:noProof/>
        </w:rPr>
      </w:r>
      <w:r>
        <w:rPr>
          <w:noProof/>
        </w:rPr>
        <w:fldChar w:fldCharType="separate"/>
      </w:r>
      <w:r>
        <w:rPr>
          <w:noProof/>
        </w:rPr>
        <w:t>30</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5 — Miscellaneous</w:t>
      </w:r>
    </w:p>
    <w:p>
      <w:pPr>
        <w:pStyle w:val="TOC4"/>
        <w:rPr>
          <w:rFonts w:asciiTheme="minorHAnsi" w:eastAsiaTheme="minorEastAsia" w:hAnsiTheme="minorHAnsi" w:cstheme="minorBidi"/>
          <w:noProof/>
          <w:szCs w:val="22"/>
        </w:rPr>
      </w:pPr>
      <w:r>
        <w:rPr>
          <w:noProof/>
        </w:rPr>
        <w:t>40.</w:t>
      </w:r>
      <w:r>
        <w:rPr>
          <w:rFonts w:asciiTheme="minorHAnsi" w:eastAsiaTheme="minorEastAsia" w:hAnsiTheme="minorHAnsi" w:cstheme="minorBidi"/>
          <w:noProof/>
          <w:szCs w:val="22"/>
        </w:rPr>
        <w:tab/>
      </w:r>
      <w:r>
        <w:rPr>
          <w:noProof/>
        </w:rPr>
        <w:t>Exempt wages</w:t>
      </w:r>
      <w:r>
        <w:rPr>
          <w:noProof/>
        </w:rPr>
        <w:tab/>
      </w:r>
      <w:r>
        <w:rPr>
          <w:noProof/>
        </w:rPr>
        <w:fldChar w:fldCharType="begin"/>
      </w:r>
      <w:r>
        <w:rPr>
          <w:noProof/>
        </w:rPr>
        <w:instrText xml:space="preserve"> PAGEREF _Toc389741167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rPr>
      </w:pPr>
      <w:r>
        <w:rPr>
          <w:noProof/>
        </w:rPr>
        <w:t>41.</w:t>
      </w:r>
      <w:r>
        <w:rPr>
          <w:rFonts w:asciiTheme="minorHAnsi" w:eastAsiaTheme="minorEastAsia" w:hAnsiTheme="minorHAnsi" w:cstheme="minorBidi"/>
          <w:noProof/>
          <w:szCs w:val="22"/>
        </w:rPr>
        <w:tab/>
      </w:r>
      <w:r>
        <w:rPr>
          <w:noProof/>
        </w:rPr>
        <w:t>Exempting charitable bodies or organisations</w:t>
      </w:r>
      <w:r>
        <w:rPr>
          <w:noProof/>
        </w:rPr>
        <w:tab/>
      </w:r>
      <w:r>
        <w:rPr>
          <w:noProof/>
        </w:rPr>
        <w:fldChar w:fldCharType="begin"/>
      </w:r>
      <w:r>
        <w:rPr>
          <w:noProof/>
        </w:rPr>
        <w:instrText xml:space="preserve"> PAGEREF _Toc389741168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42.</w:t>
      </w:r>
      <w:r>
        <w:rPr>
          <w:rFonts w:asciiTheme="minorHAnsi" w:eastAsiaTheme="minorEastAsia" w:hAnsiTheme="minorHAnsi" w:cstheme="minorBidi"/>
          <w:noProof/>
          <w:szCs w:val="22"/>
        </w:rPr>
        <w:tab/>
      </w:r>
      <w:r>
        <w:rPr>
          <w:noProof/>
        </w:rPr>
        <w:t>Tax payable when employer leaves Australia</w:t>
      </w:r>
      <w:r>
        <w:rPr>
          <w:noProof/>
        </w:rPr>
        <w:tab/>
      </w:r>
      <w:r>
        <w:rPr>
          <w:noProof/>
        </w:rPr>
        <w:fldChar w:fldCharType="begin"/>
      </w:r>
      <w:r>
        <w:rPr>
          <w:noProof/>
        </w:rPr>
        <w:instrText xml:space="preserve"> PAGEREF _Toc389741169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43.</w:t>
      </w:r>
      <w:r>
        <w:rPr>
          <w:rFonts w:asciiTheme="minorHAnsi" w:eastAsiaTheme="minorEastAsia" w:hAnsiTheme="minorHAnsi" w:cstheme="minorBidi"/>
          <w:noProof/>
          <w:szCs w:val="22"/>
        </w:rPr>
        <w:tab/>
      </w:r>
      <w:r>
        <w:rPr>
          <w:noProof/>
        </w:rPr>
        <w:t>Agents and trustees</w:t>
      </w:r>
      <w:r>
        <w:rPr>
          <w:noProof/>
        </w:rPr>
        <w:tab/>
      </w:r>
      <w:r>
        <w:rPr>
          <w:noProof/>
        </w:rPr>
        <w:fldChar w:fldCharType="begin"/>
      </w:r>
      <w:r>
        <w:rPr>
          <w:noProof/>
        </w:rPr>
        <w:instrText xml:space="preserve"> PAGEREF _Toc389741170 \h </w:instrText>
      </w:r>
      <w:r>
        <w:rPr>
          <w:noProof/>
        </w:rPr>
      </w:r>
      <w:r>
        <w:rPr>
          <w:noProof/>
        </w:rPr>
        <w:fldChar w:fldCharType="separate"/>
      </w:r>
      <w:r>
        <w:rPr>
          <w:noProof/>
        </w:rPr>
        <w:t>36</w:t>
      </w:r>
      <w:r>
        <w:rPr>
          <w:noProof/>
        </w:rPr>
        <w:fldChar w:fldCharType="end"/>
      </w:r>
    </w:p>
    <w:p>
      <w:pPr>
        <w:pStyle w:val="TOC4"/>
        <w:rPr>
          <w:rFonts w:asciiTheme="minorHAnsi" w:eastAsiaTheme="minorEastAsia" w:hAnsiTheme="minorHAnsi" w:cstheme="minorBidi"/>
          <w:noProof/>
          <w:szCs w:val="22"/>
        </w:rPr>
      </w:pPr>
      <w:r>
        <w:rPr>
          <w:noProof/>
        </w:rPr>
        <w:t>44.</w:t>
      </w:r>
      <w:r>
        <w:rPr>
          <w:rFonts w:asciiTheme="minorHAnsi" w:eastAsiaTheme="minorEastAsia" w:hAnsiTheme="minorHAnsi" w:cstheme="minorBidi"/>
          <w:noProof/>
          <w:szCs w:val="22"/>
        </w:rPr>
        <w:tab/>
      </w:r>
      <w:r>
        <w:rPr>
          <w:noProof/>
        </w:rPr>
        <w:t>Keeping books and accounts</w:t>
      </w:r>
      <w:r>
        <w:rPr>
          <w:noProof/>
        </w:rPr>
        <w:tab/>
      </w:r>
      <w:r>
        <w:rPr>
          <w:noProof/>
        </w:rPr>
        <w:fldChar w:fldCharType="begin"/>
      </w:r>
      <w:r>
        <w:rPr>
          <w:noProof/>
        </w:rPr>
        <w:instrText xml:space="preserve"> PAGEREF _Toc389741171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45.</w:t>
      </w:r>
      <w:r>
        <w:rPr>
          <w:rFonts w:asciiTheme="minorHAnsi" w:eastAsiaTheme="minorEastAsia" w:hAnsiTheme="minorHAnsi" w:cstheme="minorBidi"/>
          <w:noProof/>
          <w:szCs w:val="22"/>
        </w:rPr>
        <w:tab/>
      </w:r>
      <w:r>
        <w:rPr>
          <w:noProof/>
        </w:rPr>
        <w:t>Regulations</w:t>
      </w:r>
      <w:r>
        <w:rPr>
          <w:noProof/>
        </w:rPr>
        <w:tab/>
      </w:r>
      <w:r>
        <w:rPr>
          <w:noProof/>
        </w:rPr>
        <w:fldChar w:fldCharType="begin"/>
      </w:r>
      <w:r>
        <w:rPr>
          <w:noProof/>
        </w:rPr>
        <w:instrText xml:space="preserve"> PAGEREF _Toc389741172 \h </w:instrText>
      </w:r>
      <w:r>
        <w:rPr>
          <w:noProof/>
        </w:rPr>
      </w:r>
      <w:r>
        <w:rPr>
          <w:noProof/>
        </w:rPr>
        <w:fldChar w:fldCharType="separate"/>
      </w:r>
      <w:r>
        <w:rPr>
          <w:noProof/>
        </w:rPr>
        <w:t>37</w:t>
      </w:r>
      <w:r>
        <w:rPr>
          <w:noProof/>
        </w:rPr>
        <w:fldChar w:fldCharType="end"/>
      </w:r>
    </w:p>
    <w:p>
      <w:pPr>
        <w:pStyle w:val="TOC5"/>
        <w:rPr>
          <w:rFonts w:asciiTheme="minorHAnsi" w:eastAsiaTheme="minorEastAsia" w:hAnsiTheme="minorHAnsi" w:cstheme="minorBidi"/>
          <w:b w:val="0"/>
          <w:noProof/>
          <w:sz w:val="22"/>
          <w:szCs w:val="22"/>
        </w:rPr>
      </w:pPr>
      <w:r>
        <w:rPr>
          <w:noProof/>
        </w:rPr>
        <w:t>Glossary</w:t>
      </w:r>
      <w:r>
        <w:rPr>
          <w:noProof/>
        </w:rPr>
        <w:tab/>
      </w:r>
      <w:r>
        <w:rPr>
          <w:noProof/>
        </w:rPr>
        <w:fldChar w:fldCharType="begin"/>
      </w:r>
      <w:r>
        <w:rPr>
          <w:noProof/>
        </w:rPr>
        <w:instrText xml:space="preserve"> PAGEREF _Toc389741173 \h </w:instrText>
      </w:r>
      <w:r>
        <w:rPr>
          <w:noProof/>
        </w:rPr>
      </w:r>
      <w:r>
        <w:rPr>
          <w:noProof/>
        </w:rPr>
        <w:fldChar w:fldCharType="separate"/>
      </w:r>
      <w:r>
        <w:rPr>
          <w:noProof/>
        </w:rPr>
        <w:t>39</w:t>
      </w:r>
      <w:r>
        <w:rPr>
          <w:noProof/>
        </w:rPr>
        <w:fldChar w:fldCharType="end"/>
      </w:r>
    </w:p>
    <w:p>
      <w:pPr>
        <w:pStyle w:val="TOC4"/>
        <w:rPr>
          <w:rFonts w:asciiTheme="minorHAnsi" w:eastAsiaTheme="minorEastAsia" w:hAnsiTheme="minorHAnsi" w:cstheme="minorBidi"/>
          <w:noProof/>
          <w:szCs w:val="22"/>
        </w:rPr>
      </w:pPr>
      <w:r>
        <w:rPr>
          <w:noProof/>
        </w:rPr>
        <w:t>1.</w:t>
      </w:r>
      <w:r>
        <w:rPr>
          <w:rFonts w:asciiTheme="minorHAnsi" w:eastAsiaTheme="minorEastAsia" w:hAnsiTheme="minorHAnsi" w:cstheme="minorBidi"/>
          <w:noProof/>
          <w:szCs w:val="22"/>
        </w:rPr>
        <w:tab/>
      </w:r>
      <w:r>
        <w:rPr>
          <w:noProof/>
        </w:rPr>
        <w:t>Definitions</w:t>
      </w:r>
      <w:r>
        <w:rPr>
          <w:noProof/>
        </w:rPr>
        <w:tab/>
      </w:r>
      <w:r>
        <w:rPr>
          <w:noProof/>
        </w:rPr>
        <w:fldChar w:fldCharType="begin"/>
      </w:r>
      <w:r>
        <w:rPr>
          <w:noProof/>
        </w:rPr>
        <w:instrText xml:space="preserve"> PAGEREF _Toc389741174 \h </w:instrText>
      </w:r>
      <w:r>
        <w:rPr>
          <w:noProof/>
        </w:rPr>
      </w:r>
      <w:r>
        <w:rPr>
          <w:noProof/>
        </w:rPr>
        <w:fldChar w:fldCharType="separate"/>
      </w:r>
      <w:r>
        <w:rPr>
          <w:noProof/>
        </w:rPr>
        <w:t>39</w:t>
      </w:r>
      <w:r>
        <w:rPr>
          <w:noProof/>
        </w:rPr>
        <w:fldChar w:fldCharType="end"/>
      </w:r>
    </w:p>
    <w:p>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Wages — meaning</w:t>
      </w:r>
      <w:r>
        <w:rPr>
          <w:noProof/>
        </w:rPr>
        <w:tab/>
      </w:r>
      <w:r>
        <w:rPr>
          <w:noProof/>
        </w:rPr>
        <w:fldChar w:fldCharType="begin"/>
      </w:r>
      <w:r>
        <w:rPr>
          <w:noProof/>
        </w:rPr>
        <w:instrText xml:space="preserve"> PAGEREF _Toc389741175 \h </w:instrText>
      </w:r>
      <w:r>
        <w:rPr>
          <w:noProof/>
        </w:rPr>
      </w:r>
      <w:r>
        <w:rPr>
          <w:noProof/>
        </w:rPr>
        <w:fldChar w:fldCharType="separate"/>
      </w:r>
      <w:r>
        <w:rPr>
          <w:noProof/>
        </w:rPr>
        <w:t>46</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GST excluded from wages</w:t>
      </w:r>
      <w:r>
        <w:rPr>
          <w:noProof/>
        </w:rPr>
        <w:tab/>
      </w:r>
      <w:r>
        <w:rPr>
          <w:noProof/>
        </w:rPr>
        <w:fldChar w:fldCharType="begin"/>
      </w:r>
      <w:r>
        <w:rPr>
          <w:noProof/>
        </w:rPr>
        <w:instrText xml:space="preserve"> PAGEREF _Toc389741176 \h </w:instrText>
      </w:r>
      <w:r>
        <w:rPr>
          <w:noProof/>
        </w:rPr>
      </w:r>
      <w:r>
        <w:rPr>
          <w:noProof/>
        </w:rPr>
        <w:fldChar w:fldCharType="separate"/>
      </w:r>
      <w:r>
        <w:rPr>
          <w:noProof/>
        </w:rPr>
        <w:t>47</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Place of payment of wages</w:t>
      </w:r>
      <w:r>
        <w:rPr>
          <w:noProof/>
        </w:rPr>
        <w:tab/>
      </w:r>
      <w:r>
        <w:rPr>
          <w:noProof/>
        </w:rPr>
        <w:fldChar w:fldCharType="begin"/>
      </w:r>
      <w:r>
        <w:rPr>
          <w:noProof/>
        </w:rPr>
        <w:instrText xml:space="preserve"> PAGEREF _Toc389741177 \h </w:instrText>
      </w:r>
      <w:r>
        <w:rPr>
          <w:noProof/>
        </w:rPr>
      </w:r>
      <w:r>
        <w:rPr>
          <w:noProof/>
        </w:rPr>
        <w:fldChar w:fldCharType="separate"/>
      </w:r>
      <w:r>
        <w:rPr>
          <w:noProof/>
        </w:rPr>
        <w:t>47</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Provider of fringe benefits or specified taxable benefits</w:t>
      </w:r>
      <w:r>
        <w:rPr>
          <w:noProof/>
        </w:rPr>
        <w:tab/>
      </w:r>
      <w:r>
        <w:rPr>
          <w:noProof/>
        </w:rPr>
        <w:fldChar w:fldCharType="begin"/>
      </w:r>
      <w:r>
        <w:rPr>
          <w:noProof/>
        </w:rPr>
        <w:instrText xml:space="preserve"> PAGEREF _Toc389741178 \h </w:instrText>
      </w:r>
      <w:r>
        <w:rPr>
          <w:noProof/>
        </w:rPr>
      </w:r>
      <w:r>
        <w:rPr>
          <w:noProof/>
        </w:rPr>
        <w:fldChar w:fldCharType="separate"/>
      </w:r>
      <w:r>
        <w:rPr>
          <w:noProof/>
        </w:rPr>
        <w:t>48</w:t>
      </w:r>
      <w:r>
        <w:rPr>
          <w:noProof/>
        </w:rPr>
        <w:fldChar w:fldCharType="end"/>
      </w:r>
    </w:p>
    <w:p>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Value of wages paid in kind and other benefits</w:t>
      </w:r>
      <w:r>
        <w:rPr>
          <w:noProof/>
        </w:rPr>
        <w:tab/>
      </w:r>
      <w:r>
        <w:rPr>
          <w:noProof/>
        </w:rPr>
        <w:fldChar w:fldCharType="begin"/>
      </w:r>
      <w:r>
        <w:rPr>
          <w:noProof/>
        </w:rPr>
        <w:instrText xml:space="preserve"> PAGEREF _Toc389741179 \h </w:instrText>
      </w:r>
      <w:r>
        <w:rPr>
          <w:noProof/>
        </w:rPr>
      </w:r>
      <w:r>
        <w:rPr>
          <w:noProof/>
        </w:rPr>
        <w:fldChar w:fldCharType="separate"/>
      </w:r>
      <w:r>
        <w:rPr>
          <w:noProof/>
        </w:rPr>
        <w:t>48</w:t>
      </w:r>
      <w:r>
        <w:rPr>
          <w:noProof/>
        </w:rPr>
        <w:fldChar w:fldCharType="end"/>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The value of fringe benefits</w:t>
      </w:r>
      <w:r>
        <w:rPr>
          <w:noProof/>
        </w:rPr>
        <w:tab/>
      </w:r>
      <w:r>
        <w:rPr>
          <w:noProof/>
        </w:rPr>
        <w:fldChar w:fldCharType="begin"/>
      </w:r>
      <w:r>
        <w:rPr>
          <w:noProof/>
        </w:rPr>
        <w:instrText xml:space="preserve"> PAGEREF _Toc389741180 \h </w:instrText>
      </w:r>
      <w:r>
        <w:rPr>
          <w:noProof/>
        </w:rPr>
      </w:r>
      <w:r>
        <w:rPr>
          <w:noProof/>
        </w:rPr>
        <w:fldChar w:fldCharType="separate"/>
      </w:r>
      <w:r>
        <w:rPr>
          <w:noProof/>
        </w:rPr>
        <w:t>49</w:t>
      </w:r>
      <w:r>
        <w:rPr>
          <w:noProof/>
        </w:rPr>
        <w:fldChar w:fldCharType="end"/>
      </w:r>
    </w:p>
    <w:p>
      <w:pPr>
        <w:pStyle w:val="TOC4"/>
        <w:rPr>
          <w:rFonts w:asciiTheme="minorHAnsi" w:eastAsiaTheme="minorEastAsia" w:hAnsiTheme="minorHAnsi" w:cstheme="minorBidi"/>
          <w:noProof/>
          <w:szCs w:val="22"/>
        </w:rPr>
      </w:pPr>
      <w:r>
        <w:rPr>
          <w:noProof/>
        </w:rPr>
        <w:t>8.</w:t>
      </w:r>
      <w:r>
        <w:rPr>
          <w:rFonts w:asciiTheme="minorHAnsi" w:eastAsiaTheme="minorEastAsia" w:hAnsiTheme="minorHAnsi" w:cstheme="minorBidi"/>
          <w:noProof/>
          <w:szCs w:val="22"/>
        </w:rPr>
        <w:tab/>
      </w:r>
      <w:r>
        <w:rPr>
          <w:noProof/>
        </w:rPr>
        <w:t>Superannuation benefits</w:t>
      </w:r>
      <w:r>
        <w:rPr>
          <w:noProof/>
        </w:rPr>
        <w:tab/>
      </w:r>
      <w:r>
        <w:rPr>
          <w:noProof/>
        </w:rPr>
        <w:fldChar w:fldCharType="begin"/>
      </w:r>
      <w:r>
        <w:rPr>
          <w:noProof/>
        </w:rPr>
        <w:instrText xml:space="preserve"> PAGEREF _Toc389741181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9.</w:t>
      </w:r>
      <w:r>
        <w:rPr>
          <w:rFonts w:asciiTheme="minorHAnsi" w:eastAsiaTheme="minorEastAsia" w:hAnsiTheme="minorHAnsi" w:cstheme="minorBidi"/>
          <w:noProof/>
          <w:szCs w:val="22"/>
        </w:rPr>
        <w:tab/>
      </w:r>
      <w:r>
        <w:rPr>
          <w:noProof/>
        </w:rPr>
        <w:t>Superannuation fund contributions</w:t>
      </w:r>
      <w:r>
        <w:rPr>
          <w:noProof/>
        </w:rPr>
        <w:tab/>
      </w:r>
      <w:r>
        <w:rPr>
          <w:noProof/>
        </w:rPr>
        <w:fldChar w:fldCharType="begin"/>
      </w:r>
      <w:r>
        <w:rPr>
          <w:noProof/>
        </w:rPr>
        <w:instrText xml:space="preserve"> PAGEREF _Toc389741182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10.</w:t>
      </w:r>
      <w:r>
        <w:rPr>
          <w:rFonts w:asciiTheme="minorHAnsi" w:eastAsiaTheme="minorEastAsia" w:hAnsiTheme="minorHAnsi" w:cstheme="minorBidi"/>
          <w:noProof/>
          <w:szCs w:val="22"/>
        </w:rPr>
        <w:tab/>
      </w:r>
      <w:r>
        <w:rPr>
          <w:noProof/>
        </w:rPr>
        <w:t>Contributions to defined superannuation benefit schemes</w:t>
      </w:r>
      <w:r>
        <w:rPr>
          <w:noProof/>
        </w:rPr>
        <w:tab/>
      </w:r>
      <w:r>
        <w:rPr>
          <w:noProof/>
        </w:rPr>
        <w:fldChar w:fldCharType="begin"/>
      </w:r>
      <w:r>
        <w:rPr>
          <w:noProof/>
        </w:rPr>
        <w:instrText xml:space="preserve"> PAGEREF _Toc389741183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11.</w:t>
      </w:r>
      <w:r>
        <w:rPr>
          <w:rFonts w:asciiTheme="minorHAnsi" w:eastAsiaTheme="minorEastAsia" w:hAnsiTheme="minorHAnsi" w:cstheme="minorBidi"/>
          <w:noProof/>
          <w:szCs w:val="22"/>
        </w:rPr>
        <w:tab/>
      </w:r>
      <w:r>
        <w:rPr>
          <w:noProof/>
        </w:rPr>
        <w:t>Unfunded credit to certain unregulated schemes</w:t>
      </w:r>
      <w:r>
        <w:rPr>
          <w:noProof/>
        </w:rPr>
        <w:tab/>
      </w:r>
      <w:r>
        <w:rPr>
          <w:noProof/>
        </w:rPr>
        <w:fldChar w:fldCharType="begin"/>
      </w:r>
      <w:r>
        <w:rPr>
          <w:noProof/>
        </w:rPr>
        <w:instrText xml:space="preserve"> PAGEREF _Toc389741184 \h </w:instrText>
      </w:r>
      <w:r>
        <w:rPr>
          <w:noProof/>
        </w:rPr>
      </w:r>
      <w:r>
        <w:rPr>
          <w:noProof/>
        </w:rPr>
        <w:fldChar w:fldCharType="separate"/>
      </w:r>
      <w:r>
        <w:rPr>
          <w:noProof/>
        </w:rPr>
        <w:t>52</w:t>
      </w:r>
      <w:r>
        <w:rPr>
          <w:noProof/>
        </w:rPr>
        <w:fldChar w:fldCharType="end"/>
      </w:r>
    </w:p>
    <w:p>
      <w:pPr>
        <w:pStyle w:val="TOC4"/>
        <w:rPr>
          <w:rFonts w:asciiTheme="minorHAnsi" w:eastAsiaTheme="minorEastAsia" w:hAnsiTheme="minorHAnsi" w:cstheme="minorBidi"/>
          <w:noProof/>
          <w:szCs w:val="22"/>
        </w:rPr>
      </w:pPr>
      <w:r>
        <w:rPr>
          <w:noProof/>
        </w:rPr>
        <w:t>12.</w:t>
      </w:r>
      <w:r>
        <w:rPr>
          <w:rFonts w:asciiTheme="minorHAnsi" w:eastAsiaTheme="minorEastAsia" w:hAnsiTheme="minorHAnsi" w:cstheme="minorBidi"/>
          <w:noProof/>
          <w:szCs w:val="22"/>
        </w:rPr>
        <w:tab/>
      </w:r>
      <w:r>
        <w:rPr>
          <w:noProof/>
        </w:rPr>
        <w:t>Superannuation guarantee charge</w:t>
      </w:r>
      <w:r>
        <w:rPr>
          <w:noProof/>
        </w:rPr>
        <w:tab/>
      </w:r>
      <w:r>
        <w:rPr>
          <w:noProof/>
        </w:rPr>
        <w:fldChar w:fldCharType="begin"/>
      </w:r>
      <w:r>
        <w:rPr>
          <w:noProof/>
        </w:rPr>
        <w:instrText xml:space="preserve"> PAGEREF _Toc389741185 \h </w:instrText>
      </w:r>
      <w:r>
        <w:rPr>
          <w:noProof/>
        </w:rPr>
      </w:r>
      <w:r>
        <w:rPr>
          <w:noProof/>
        </w:rPr>
        <w:fldChar w:fldCharType="separate"/>
      </w:r>
      <w:r>
        <w:rPr>
          <w:noProof/>
        </w:rPr>
        <w:t>52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_Toc389741187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snapToGrid w:val="0"/>
        </w:rPr>
        <w:t>Provisions that have not come into operation</w:t>
      </w:r>
      <w:r>
        <w:rPr>
          <w:noProof/>
        </w:rPr>
        <w:tab/>
      </w:r>
      <w:r>
        <w:rPr>
          <w:noProof/>
        </w:rPr>
        <w:fldChar w:fldCharType="begin"/>
      </w:r>
      <w:r>
        <w:rPr>
          <w:noProof/>
        </w:rPr>
        <w:instrText xml:space="preserve"> PAGEREF _Toc389741188 \h </w:instrText>
      </w:r>
      <w:r>
        <w:rPr>
          <w:noProof/>
        </w:rPr>
      </w:r>
      <w:r>
        <w:rPr>
          <w:noProof/>
        </w:rPr>
        <w:fldChar w:fldCharType="separate"/>
      </w:r>
      <w:r>
        <w:rPr>
          <w:noProof/>
        </w:rPr>
        <w:t>54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pPr>
      <w:r>
        <w:t>Western Australia</w:t>
      </w:r>
    </w:p>
    <w:p>
      <w:pPr>
        <w:pStyle w:val="NameofActReg"/>
        <w:suppressLineNumbers/>
      </w:pPr>
      <w:r>
        <w:t>Pay-roll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38974111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974112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Pay-roll Tax Assessment Act 2002.</w:t>
      </w:r>
      <w:r>
        <w:rPr>
          <w:snapToGrid w:val="0"/>
        </w:rPr>
        <w:t xml:space="preserve"> </w:t>
      </w:r>
    </w:p>
    <w:p>
      <w:pPr>
        <w:pStyle w:val="Heading5"/>
      </w:pPr>
      <w:bookmarkStart w:id="3" w:name="_Toc389741121"/>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4" w:name="_Toc389741122"/>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9741123"/>
      <w:r>
        <w:rPr>
          <w:rStyle w:val="CharSectno"/>
        </w:rPr>
        <w:t>4</w:t>
      </w:r>
      <w:r>
        <w:t>.</w:t>
      </w:r>
      <w:r>
        <w:tab/>
        <w:t>Meaning of terms used in this Act</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9741124"/>
      <w:r>
        <w:rPr>
          <w:rStyle w:val="CharPartNo"/>
        </w:rPr>
        <w:t>Part 2</w:t>
      </w:r>
      <w:r>
        <w:t xml:space="preserve"> — </w:t>
      </w:r>
      <w:r>
        <w:rPr>
          <w:rStyle w:val="CharPartText"/>
        </w:rPr>
        <w:t>Liability and assessment</w:t>
      </w:r>
      <w:bookmarkEnd w:id="6"/>
    </w:p>
    <w:p>
      <w:pPr>
        <w:pStyle w:val="Heading3"/>
      </w:pPr>
      <w:bookmarkStart w:id="7" w:name="_Toc389741125"/>
      <w:r>
        <w:rPr>
          <w:rStyle w:val="CharDivNo"/>
        </w:rPr>
        <w:t>Division 1</w:t>
      </w:r>
      <w:r>
        <w:t xml:space="preserve"> — </w:t>
      </w:r>
      <w:r>
        <w:rPr>
          <w:rStyle w:val="CharDivText"/>
        </w:rPr>
        <w:t>Liability to pay</w:t>
      </w:r>
      <w:r>
        <w:rPr>
          <w:rStyle w:val="CharDivText"/>
        </w:rPr>
        <w:noBreakHyphen/>
        <w:t>roll tax</w:t>
      </w:r>
      <w:bookmarkEnd w:id="7"/>
    </w:p>
    <w:p>
      <w:pPr>
        <w:pStyle w:val="Heading5"/>
      </w:pPr>
      <w:bookmarkStart w:id="8" w:name="_Toc389741126"/>
      <w:r>
        <w:rPr>
          <w:rStyle w:val="CharSectno"/>
        </w:rPr>
        <w:t>5</w:t>
      </w:r>
      <w:r>
        <w:t>.</w:t>
      </w:r>
      <w:r>
        <w:tab/>
        <w:t>Pay</w:t>
      </w:r>
      <w:r>
        <w:noBreakHyphen/>
        <w:t>roll tax on wages</w:t>
      </w:r>
      <w:bookmarkEnd w:id="8"/>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 xml:space="preserve">The following kinds of wages are taxable in Western Australia — </w:t>
      </w:r>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9" w:name="_Toc389741127"/>
      <w:r>
        <w:rPr>
          <w:rStyle w:val="CharSectno"/>
        </w:rPr>
        <w:t>6</w:t>
      </w:r>
      <w:r>
        <w:t>.</w:t>
      </w:r>
      <w:r>
        <w:tab/>
        <w:t>Time for payment of pay</w:t>
      </w:r>
      <w:r>
        <w:noBreakHyphen/>
        <w:t>roll tax</w:t>
      </w:r>
      <w:bookmarkEnd w:id="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 w:name="_Toc389741128"/>
      <w:r>
        <w:rPr>
          <w:rStyle w:val="CharSectno"/>
        </w:rPr>
        <w:t>7</w:t>
      </w:r>
      <w:r>
        <w:t>.</w:t>
      </w:r>
      <w:r>
        <w:tab/>
        <w:t>Liability to pay</w:t>
      </w:r>
      <w:r>
        <w:noBreakHyphen/>
        <w:t>roll tax</w:t>
      </w:r>
      <w:bookmarkEnd w:id="1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 w:name="_Toc389741129"/>
      <w:r>
        <w:rPr>
          <w:rStyle w:val="CharSectno"/>
        </w:rPr>
        <w:t>8</w:t>
      </w:r>
      <w:r>
        <w:t>.</w:t>
      </w:r>
      <w:r>
        <w:tab/>
        <w:t>The tax threshold</w:t>
      </w:r>
      <w:bookmarkEnd w:id="11"/>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 8 amended by No. 40 of 2003 s. 12.]</w:t>
      </w:r>
    </w:p>
    <w:p>
      <w:pPr>
        <w:pStyle w:val="Ednotesection"/>
      </w:pPr>
      <w:r>
        <w:t>[</w:t>
      </w:r>
      <w:r>
        <w:rPr>
          <w:b/>
        </w:rPr>
        <w:t>9.</w:t>
      </w:r>
      <w:r>
        <w:tab/>
        <w:t>Repealed by No. 40 of 2003 s. 13.]</w:t>
      </w:r>
    </w:p>
    <w:p>
      <w:pPr>
        <w:pStyle w:val="Heading3"/>
      </w:pPr>
      <w:bookmarkStart w:id="12" w:name="_Toc389741130"/>
      <w:r>
        <w:rPr>
          <w:rStyle w:val="CharDivNo"/>
        </w:rPr>
        <w:t>Division 2</w:t>
      </w:r>
      <w:r>
        <w:t xml:space="preserve"> — </w:t>
      </w:r>
      <w:r>
        <w:rPr>
          <w:rStyle w:val="CharDivText"/>
        </w:rPr>
        <w:t>Non</w:t>
      </w:r>
      <w:r>
        <w:rPr>
          <w:rStyle w:val="CharDivText"/>
        </w:rPr>
        <w:noBreakHyphen/>
        <w:t>group employers’ liability</w:t>
      </w:r>
      <w:bookmarkEnd w:id="12"/>
    </w:p>
    <w:p>
      <w:pPr>
        <w:pStyle w:val="Heading5"/>
      </w:pPr>
      <w:bookmarkStart w:id="13" w:name="_Toc389741131"/>
      <w:r>
        <w:rPr>
          <w:rStyle w:val="CharSectno"/>
        </w:rPr>
        <w:t>10</w:t>
      </w:r>
      <w:r>
        <w:t>.</w:t>
      </w:r>
      <w:r>
        <w:tab/>
        <w:t>Annual tax liability — local non</w:t>
      </w:r>
      <w:r>
        <w:noBreakHyphen/>
        <w:t>group employers</w:t>
      </w:r>
      <w:bookmarkEnd w:id="13"/>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14" w:name="_Toc389741132"/>
      <w:r>
        <w:rPr>
          <w:rStyle w:val="CharSectno"/>
        </w:rPr>
        <w:t>11</w:t>
      </w:r>
      <w:r>
        <w:t>.</w:t>
      </w:r>
      <w:r>
        <w:tab/>
        <w:t>Tax payable with returns — local non</w:t>
      </w:r>
      <w:r>
        <w:noBreakHyphen/>
        <w:t>group employers</w:t>
      </w:r>
      <w:bookmarkEnd w:id="14"/>
    </w:p>
    <w:p>
      <w:pPr>
        <w:pStyle w:val="Subsection"/>
      </w:pPr>
      <w:r>
        <w:tab/>
      </w:r>
      <w:r>
        <w:tab/>
        <w:t>The amount of pay</w:t>
      </w:r>
      <w:r>
        <w:noBreakHyphen/>
        <w:t>roll tax payable by a local non</w:t>
      </w:r>
      <w:r>
        <w:noBreakHyphen/>
        <w:t xml:space="preserve">group employer for a monthly return period or for part of a month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month or part of the month; and</w:t>
      </w:r>
    </w:p>
    <w:p>
      <w:pPr>
        <w:pStyle w:val="Indenta"/>
        <w:rPr>
          <w:color w:val="000000"/>
        </w:rPr>
      </w:pPr>
      <w:r>
        <w:rPr>
          <w:color w:val="000000"/>
        </w:rPr>
        <w:tab/>
        <w:t>(b)</w:t>
      </w:r>
      <w:r>
        <w:rPr>
          <w:color w:val="000000"/>
        </w:rPr>
        <w:tab/>
        <w:t>the apportioned threshold amount for the month or part of the month calculated in accordance with section 12(2).</w:t>
      </w:r>
    </w:p>
    <w:p>
      <w:pPr>
        <w:pStyle w:val="Footnotesection"/>
      </w:pPr>
      <w:r>
        <w:tab/>
        <w:t>[Section 11 amended by No. 40 of 2003 s. 15.]</w:t>
      </w:r>
    </w:p>
    <w:p>
      <w:pPr>
        <w:pStyle w:val="Heading5"/>
      </w:pPr>
      <w:bookmarkStart w:id="15" w:name="_Toc389741133"/>
      <w:r>
        <w:rPr>
          <w:rStyle w:val="CharSectno"/>
        </w:rPr>
        <w:t>12</w:t>
      </w:r>
      <w:r>
        <w:rPr>
          <w:color w:val="000000"/>
        </w:rPr>
        <w:t>.</w:t>
      </w:r>
      <w:r>
        <w:rPr>
          <w:color w:val="000000"/>
        </w:rPr>
        <w:tab/>
        <w:t>Apportioned threshold amount — local non</w:t>
      </w:r>
      <w:r>
        <w:rPr>
          <w:color w:val="000000"/>
        </w:rPr>
        <w:noBreakHyphen/>
        <w:t>group employers</w:t>
      </w:r>
      <w:bookmarkEnd w:id="15"/>
    </w:p>
    <w:p>
      <w:pPr>
        <w:pStyle w:val="Subsection"/>
      </w:pPr>
      <w:r>
        <w:rPr>
          <w:color w:val="000000"/>
        </w:rPr>
        <w:tab/>
        <w:t>(1)</w:t>
      </w:r>
      <w:r>
        <w:rPr>
          <w:color w:val="000000"/>
        </w:rPr>
        <w:tab/>
        <w:t xml:space="preserve">For the purposes of section 10(2)(b), the apportioned threshold amount for part of an assessment year is A in the formula — </w:t>
      </w:r>
    </w:p>
    <w:p>
      <w:pPr>
        <w:pStyle w:val="Equation"/>
        <w:tabs>
          <w:tab w:val="left" w:pos="851"/>
        </w:tabs>
      </w:pPr>
      <w:r>
        <w:tab/>
      </w: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19" o:title=""/>
          </v:shape>
          <o:OLEObject Type="Embed" ProgID="Equation.3" ShapeID="_x0000_i1025" DrawAspect="Content" ObjectID="_1643569962" r:id="rId2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pPr>
      <w:r>
        <w:rPr>
          <w:color w:val="000000"/>
        </w:rPr>
        <w:tab/>
        <w:t>(2)</w:t>
      </w:r>
      <w:r>
        <w:rPr>
          <w:color w:val="000000"/>
        </w:rPr>
        <w:tab/>
        <w:t xml:space="preserve">For the purposes of section 11(b), the apportioned threshold amount for a month or part of a month is A in the formula — </w:t>
      </w:r>
    </w:p>
    <w:p>
      <w:pPr>
        <w:pStyle w:val="Equation"/>
        <w:ind w:firstLine="879"/>
      </w:pPr>
      <w:r>
        <w:rPr>
          <w:position w:val="-28"/>
        </w:rPr>
        <w:object w:dxaOrig="1280" w:dyaOrig="680">
          <v:shape id="_x0000_i1026" type="#_x0000_t75" style="width:63.75pt;height:33.75pt" o:ole="" fillcolor="window">
            <v:imagedata r:id="rId21" o:title=""/>
          </v:shape>
          <o:OLEObject Type="Embed" ProgID="Equation.3" ShapeID="_x0000_i1026" DrawAspect="Content" ObjectID="_1643569963" r:id="rId22"/>
        </w:object>
      </w:r>
    </w:p>
    <w:p>
      <w:pPr>
        <w:pStyle w:val="Subsection"/>
      </w:pPr>
      <w:r>
        <w:tab/>
      </w:r>
      <w:r>
        <w:tab/>
        <w:t>where —</w:t>
      </w:r>
    </w:p>
    <w:p>
      <w:pPr>
        <w:pStyle w:val="Indenta"/>
      </w:pPr>
      <w:r>
        <w:rPr>
          <w:color w:val="000000"/>
        </w:rPr>
        <w:tab/>
        <w:t>T</w:t>
      </w:r>
      <w:r>
        <w:rPr>
          <w:color w:val="000000"/>
        </w:rPr>
        <w:tab/>
        <w:t>is the monthly threshold amount for the assessment year;</w:t>
      </w:r>
    </w:p>
    <w:p>
      <w:pPr>
        <w:pStyle w:val="Indenta"/>
      </w:pPr>
      <w:r>
        <w:tab/>
        <w:t>D</w:t>
      </w:r>
      <w:r>
        <w:tab/>
        <w:t>is the number of days in the month, or part of the month, during which WA taxable wages were paid or payable by the employer;</w:t>
      </w:r>
    </w:p>
    <w:p>
      <w:pPr>
        <w:pStyle w:val="Indenta"/>
      </w:pPr>
      <w:r>
        <w:tab/>
        <w:t>M</w:t>
      </w:r>
      <w:r>
        <w:tab/>
        <w:t>is the number of days in the month.</w:t>
      </w:r>
    </w:p>
    <w:p>
      <w:pPr>
        <w:pStyle w:val="Footnotesection"/>
      </w:pPr>
      <w:r>
        <w:tab/>
        <w:t>[Section 12 inserted by No. 40 of 2003 s. 16.]</w:t>
      </w:r>
    </w:p>
    <w:p>
      <w:pPr>
        <w:pStyle w:val="Heading5"/>
        <w:spacing w:before="180"/>
      </w:pPr>
      <w:bookmarkStart w:id="16" w:name="_Toc389741134"/>
      <w:r>
        <w:rPr>
          <w:rStyle w:val="CharSectno"/>
        </w:rPr>
        <w:t>13</w:t>
      </w:r>
      <w:r>
        <w:t>.</w:t>
      </w:r>
      <w:r>
        <w:tab/>
        <w:t>Annual tax liability — interstate non</w:t>
      </w:r>
      <w:r>
        <w:noBreakHyphen/>
        <w:t>group employers</w:t>
      </w:r>
      <w:bookmarkEnd w:id="1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pPr>
      <w:r>
        <w:rPr>
          <w:color w:val="000000"/>
        </w:rPr>
        <w:tab/>
        <w:t>(b)</w:t>
      </w:r>
      <w:r>
        <w:rPr>
          <w:color w:val="000000"/>
        </w:rPr>
        <w:tab/>
        <w:t>the apportioned threshold amount for the assessment year calculated in accordance with section 14(1).</w:t>
      </w:r>
    </w:p>
    <w:p>
      <w:pPr>
        <w:pStyle w:val="Subsection"/>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pPr>
      <w:bookmarkStart w:id="17" w:name="_Toc389741135"/>
      <w:r>
        <w:rPr>
          <w:rStyle w:val="CharSectno"/>
        </w:rPr>
        <w:t>14</w:t>
      </w:r>
      <w:r>
        <w:rPr>
          <w:color w:val="000000"/>
        </w:rPr>
        <w:t>.</w:t>
      </w:r>
      <w:r>
        <w:rPr>
          <w:color w:val="000000"/>
        </w:rPr>
        <w:tab/>
        <w:t>Apportioned threshold amounts — interstate non</w:t>
      </w:r>
      <w:r>
        <w:rPr>
          <w:color w:val="000000"/>
        </w:rPr>
        <w:noBreakHyphen/>
        <w:t>group employers</w:t>
      </w:r>
      <w:bookmarkEnd w:id="17"/>
    </w:p>
    <w:p>
      <w:pPr>
        <w:pStyle w:val="Subsection"/>
      </w:pPr>
      <w:r>
        <w:rPr>
          <w:color w:val="000000"/>
        </w:rPr>
        <w:tab/>
        <w:t>(1)</w:t>
      </w:r>
      <w:r>
        <w:rPr>
          <w:color w:val="000000"/>
        </w:rPr>
        <w:tab/>
        <w:t xml:space="preserve">For the purposes of section 13(1)(b), the apportioned threshold amount for an assessment year is A in the formula — </w:t>
      </w:r>
    </w:p>
    <w:p>
      <w:pPr>
        <w:pStyle w:val="Equation"/>
        <w:tabs>
          <w:tab w:val="left" w:pos="851"/>
        </w:tabs>
      </w:pPr>
      <w:r>
        <w:tab/>
      </w:r>
      <w:r>
        <w:rPr>
          <w:position w:val="-32"/>
        </w:rPr>
        <w:object w:dxaOrig="1680" w:dyaOrig="760">
          <v:shape id="_x0000_i1027" type="#_x0000_t75" style="width:84pt;height:38.25pt" o:ole="" fillcolor="window">
            <v:imagedata r:id="rId23" o:title=""/>
          </v:shape>
          <o:OLEObject Type="Embed" ProgID="Equation.3" ShapeID="_x0000_i1027" DrawAspect="Content" ObjectID="_1643569964" r:id="rId24"/>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the assessment year;</w:t>
      </w:r>
    </w:p>
    <w:p>
      <w:pPr>
        <w:pStyle w:val="Indenta"/>
      </w:pPr>
      <w:r>
        <w:tab/>
        <w:t>I</w:t>
      </w:r>
      <w:r>
        <w:tab/>
        <w:t>is the total amount of interstate taxable wages paid or payable by the employer during the assessment year.</w:t>
      </w:r>
    </w:p>
    <w:p>
      <w:pPr>
        <w:pStyle w:val="Subsection"/>
      </w:pPr>
      <w:r>
        <w:rPr>
          <w:color w:val="000000"/>
        </w:rPr>
        <w:tab/>
        <w:t>(2)</w:t>
      </w:r>
      <w:r>
        <w:rPr>
          <w:color w:val="000000"/>
        </w:rPr>
        <w:tab/>
        <w:t xml:space="preserve">For the purposes of section 13(2)(b), the apportioned threshold amount for a part of the assessment year is A in the formula — </w:t>
      </w:r>
    </w:p>
    <w:p>
      <w:pPr>
        <w:pStyle w:val="Equation"/>
        <w:tabs>
          <w:tab w:val="left" w:pos="851"/>
        </w:tabs>
      </w:pPr>
      <w:r>
        <w:tab/>
      </w:r>
      <w:r>
        <w:rPr>
          <w:position w:val="-32"/>
        </w:rPr>
        <w:object w:dxaOrig="2260" w:dyaOrig="760">
          <v:shape id="_x0000_i1028" type="#_x0000_t75" style="width:113.25pt;height:38.25pt" o:ole="" fillcolor="window">
            <v:imagedata r:id="rId25" o:title=""/>
          </v:shape>
          <o:OLEObject Type="Embed" ProgID="Equation.3" ShapeID="_x0000_i1028" DrawAspect="Content" ObjectID="_1643569965" r:id="rId26"/>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18" w:name="_Toc389741136"/>
      <w:r>
        <w:rPr>
          <w:rStyle w:val="CharSectno"/>
        </w:rPr>
        <w:t>15</w:t>
      </w:r>
      <w:r>
        <w:t>.</w:t>
      </w:r>
      <w:r>
        <w:tab/>
        <w:t>Tax payable with monthly returns — interstate non</w:t>
      </w:r>
      <w:r>
        <w:noBreakHyphen/>
        <w:t>group employers</w:t>
      </w:r>
      <w:bookmarkEnd w:id="18"/>
    </w:p>
    <w:p>
      <w:pPr>
        <w:pStyle w:val="Subsection"/>
      </w:pPr>
      <w:r>
        <w:tab/>
        <w:t>(1)</w:t>
      </w:r>
      <w:r>
        <w:tab/>
        <w:t>The amount of pay</w:t>
      </w:r>
      <w:r>
        <w:noBreakHyphen/>
        <w:t>roll tax payable by an interstate non</w:t>
      </w:r>
      <w:r>
        <w:noBreakHyphen/>
        <w:t xml:space="preserve">group employer for a month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month; and</w:t>
      </w:r>
    </w:p>
    <w:p>
      <w:pPr>
        <w:pStyle w:val="Indenta"/>
      </w:pPr>
      <w:r>
        <w:tab/>
        <w:t>(b)</w:t>
      </w:r>
      <w:r>
        <w:tab/>
        <w:t>the amount of the employer’s nominated deduction under subsection (2).</w:t>
      </w:r>
    </w:p>
    <w:p>
      <w:pPr>
        <w:pStyle w:val="Subsection"/>
      </w:pPr>
      <w:r>
        <w:rPr>
          <w:color w:val="000000"/>
        </w:rPr>
        <w:tab/>
        <w:t>(2)</w:t>
      </w:r>
      <w:r>
        <w:rPr>
          <w:color w:val="000000"/>
        </w:rPr>
        <w:tab/>
        <w:t xml:space="preserve">The employer’s nominated deduction for an assessment year is —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repealed]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w:t>
      </w:r>
    </w:p>
    <w:p>
      <w:pPr>
        <w:pStyle w:val="Heading5"/>
      </w:pPr>
      <w:bookmarkStart w:id="19" w:name="_Toc389741137"/>
      <w:r>
        <w:rPr>
          <w:rStyle w:val="CharSectno"/>
        </w:rPr>
        <w:t>16</w:t>
      </w:r>
      <w:r>
        <w:t>.</w:t>
      </w:r>
      <w:r>
        <w:tab/>
        <w:t>Annual reconciliation — non</w:t>
      </w:r>
      <w:r>
        <w:noBreakHyphen/>
        <w:t>group employers</w:t>
      </w:r>
      <w:bookmarkEnd w:id="19"/>
    </w:p>
    <w:p>
      <w:pPr>
        <w:pStyle w:val="Subsection"/>
      </w:pPr>
      <w:r>
        <w:tab/>
        <w:t>(1)</w:t>
      </w:r>
      <w:r>
        <w:tab/>
        <w:t>If the sum of the amounts of pay</w:t>
      </w:r>
      <w:r>
        <w:noBreakHyphen/>
        <w:t>roll tax paid or payable by a non</w:t>
      </w:r>
      <w:r>
        <w:noBreakHyphen/>
        <w:t>group employer under section 11 or 15 for the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Heading3"/>
      </w:pPr>
      <w:bookmarkStart w:id="20" w:name="_Toc389741138"/>
      <w:r>
        <w:rPr>
          <w:rStyle w:val="CharDivNo"/>
        </w:rPr>
        <w:t>Division 3</w:t>
      </w:r>
      <w:r>
        <w:t xml:space="preserve"> — </w:t>
      </w:r>
      <w:r>
        <w:rPr>
          <w:rStyle w:val="CharDivText"/>
        </w:rPr>
        <w:t>Group employers’ liability</w:t>
      </w:r>
      <w:bookmarkEnd w:id="20"/>
    </w:p>
    <w:p>
      <w:pPr>
        <w:pStyle w:val="Heading5"/>
      </w:pPr>
      <w:bookmarkStart w:id="21" w:name="_Toc389741139"/>
      <w:r>
        <w:rPr>
          <w:rStyle w:val="CharSectno"/>
        </w:rPr>
        <w:t>17</w:t>
      </w:r>
      <w:r>
        <w:t>.</w:t>
      </w:r>
      <w:r>
        <w:tab/>
        <w:t>Annual tax liability — groups</w:t>
      </w:r>
      <w:bookmarkEnd w:id="21"/>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 xml:space="preserve">roll tax payable by a group for an assessment year is to be worked out in accordance with subsection (4) if —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22" w:name="_Toc389741140"/>
      <w:r>
        <w:rPr>
          <w:rStyle w:val="CharSectno"/>
        </w:rPr>
        <w:t>18</w:t>
      </w:r>
      <w:r>
        <w:rPr>
          <w:color w:val="000000"/>
        </w:rPr>
        <w:t>.</w:t>
      </w:r>
      <w:r>
        <w:rPr>
          <w:color w:val="000000"/>
        </w:rPr>
        <w:tab/>
        <w:t>Apportioned threshold amounts — groups</w:t>
      </w:r>
      <w:bookmarkEnd w:id="22"/>
    </w:p>
    <w:p>
      <w:pPr>
        <w:pStyle w:val="Subsection"/>
      </w:pPr>
      <w:r>
        <w:rPr>
          <w:color w:val="000000"/>
        </w:rPr>
        <w:tab/>
        <w:t>(1)</w:t>
      </w:r>
      <w:r>
        <w:rPr>
          <w:color w:val="000000"/>
        </w:rPr>
        <w:tab/>
        <w:t xml:space="preserve">For the purposes of section 17(2)(b), the apportioned threshold amount for an assessment year is A in the formula — </w:t>
      </w:r>
    </w:p>
    <w:p>
      <w:pPr>
        <w:pStyle w:val="Equation"/>
        <w:tabs>
          <w:tab w:val="left" w:pos="851"/>
        </w:tabs>
      </w:pPr>
      <w:r>
        <w:tab/>
      </w:r>
      <w:r>
        <w:rPr>
          <w:position w:val="-32"/>
        </w:rPr>
        <w:object w:dxaOrig="1680" w:dyaOrig="760">
          <v:shape id="_x0000_i1029" type="#_x0000_t75" style="width:84pt;height:38.25pt" o:ole="" fillcolor="window">
            <v:imagedata r:id="rId27" o:title=""/>
          </v:shape>
          <o:OLEObject Type="Embed" ProgID="Equation.3" ShapeID="_x0000_i1029" DrawAspect="Content" ObjectID="_1643569966" r:id="rId28"/>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pPr>
      <w:r>
        <w:rPr>
          <w:color w:val="000000"/>
        </w:rPr>
        <w:tab/>
        <w:t>(2)</w:t>
      </w:r>
      <w:r>
        <w:rPr>
          <w:color w:val="000000"/>
        </w:rPr>
        <w:tab/>
        <w:t xml:space="preserve">For the purposes of section 17(4)(b), the apportioned threshold amount for part of the assessment year is A in the formula — </w:t>
      </w:r>
    </w:p>
    <w:p>
      <w:pPr>
        <w:pStyle w:val="Equation"/>
        <w:tabs>
          <w:tab w:val="left" w:pos="851"/>
        </w:tabs>
      </w:pPr>
      <w:r>
        <w:tab/>
      </w:r>
      <w:r>
        <w:rPr>
          <w:position w:val="-32"/>
        </w:rPr>
        <w:object w:dxaOrig="2260" w:dyaOrig="760">
          <v:shape id="_x0000_i1030" type="#_x0000_t75" style="width:113.25pt;height:38.25pt" o:ole="" fillcolor="window">
            <v:imagedata r:id="rId29" o:title=""/>
          </v:shape>
          <o:OLEObject Type="Embed" ProgID="Equation.3" ShapeID="_x0000_i1030" DrawAspect="Content" ObjectID="_1643569967" r:id="rId30"/>
        </w:obje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23" w:name="_Toc389741141"/>
      <w:r>
        <w:rPr>
          <w:rStyle w:val="CharSectno"/>
        </w:rPr>
        <w:t>19</w:t>
      </w:r>
      <w:r>
        <w:t>.</w:t>
      </w:r>
      <w:r>
        <w:tab/>
        <w:t>Tax payable with monthly returns — groups</w:t>
      </w:r>
      <w:bookmarkEnd w:id="23"/>
    </w:p>
    <w:p>
      <w:pPr>
        <w:pStyle w:val="Subsection"/>
      </w:pPr>
      <w:r>
        <w:tab/>
        <w:t>(1)</w:t>
      </w:r>
      <w:r>
        <w:tab/>
        <w:t>The amount of pay</w:t>
      </w:r>
      <w:r>
        <w:noBreakHyphen/>
        <w:t xml:space="preserve">roll tax payable for a monthly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return period.</w:t>
      </w:r>
    </w:p>
    <w:p>
      <w:pPr>
        <w:pStyle w:val="Subsection"/>
        <w:keepNext/>
        <w:keepLines/>
      </w:pPr>
      <w:r>
        <w:tab/>
        <w:t>(2)</w:t>
      </w:r>
      <w:r>
        <w:tab/>
        <w:t>The amount of pay</w:t>
      </w:r>
      <w:r>
        <w:noBreakHyphen/>
        <w:t xml:space="preserve">roll tax payable for a monthly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return period; and</w:t>
      </w:r>
    </w:p>
    <w:p>
      <w:pPr>
        <w:pStyle w:val="Indenta"/>
      </w:pPr>
      <w:r>
        <w:tab/>
        <w:t>(b)</w:t>
      </w:r>
      <w:r>
        <w:tab/>
        <w:t>the amount of the group’s nominated deduction under subsection (3).</w:t>
      </w:r>
    </w:p>
    <w:p>
      <w:pPr>
        <w:pStyle w:val="Subsection"/>
      </w:pPr>
      <w:r>
        <w:rPr>
          <w:color w:val="000000"/>
        </w:rPr>
        <w:tab/>
        <w:t>(3)</w:t>
      </w:r>
      <w:r>
        <w:rPr>
          <w:color w:val="000000"/>
        </w:rPr>
        <w:tab/>
        <w:t xml:space="preserve">The group’s nominated deduction for an assessment year is —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repealed]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w:t>
      </w:r>
    </w:p>
    <w:p>
      <w:pPr>
        <w:pStyle w:val="Heading5"/>
      </w:pPr>
      <w:bookmarkStart w:id="24" w:name="_Toc389741142"/>
      <w:r>
        <w:rPr>
          <w:rStyle w:val="CharSectno"/>
        </w:rPr>
        <w:t>20</w:t>
      </w:r>
      <w:r>
        <w:t>.</w:t>
      </w:r>
      <w:r>
        <w:tab/>
        <w:t>Annual reconciliation — groups</w:t>
      </w:r>
      <w:bookmarkEnd w:id="24"/>
    </w:p>
    <w:p>
      <w:pPr>
        <w:pStyle w:val="Subsection"/>
      </w:pPr>
      <w:r>
        <w:tab/>
        <w:t>(1)</w:t>
      </w:r>
      <w:r>
        <w:tab/>
        <w:t>If the sum of the amounts of pay</w:t>
      </w:r>
      <w:r>
        <w:noBreakHyphen/>
        <w:t>roll tax paid or payable by the members of a group under section 19 for the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Heading3"/>
      </w:pPr>
      <w:bookmarkStart w:id="25" w:name="_Toc389741143"/>
      <w:r>
        <w:rPr>
          <w:rStyle w:val="CharDivNo"/>
        </w:rPr>
        <w:t>Division 4</w:t>
      </w:r>
      <w:r>
        <w:t xml:space="preserve"> — </w:t>
      </w:r>
      <w:r>
        <w:rPr>
          <w:rStyle w:val="CharDivText"/>
        </w:rPr>
        <w:t>Assessment generally</w:t>
      </w:r>
      <w:bookmarkEnd w:id="25"/>
    </w:p>
    <w:p>
      <w:pPr>
        <w:pStyle w:val="Heading5"/>
      </w:pPr>
      <w:bookmarkStart w:id="26" w:name="_Toc389741144"/>
      <w:r>
        <w:rPr>
          <w:rStyle w:val="CharSectno"/>
        </w:rPr>
        <w:t>21</w:t>
      </w:r>
      <w:r>
        <w:t>.</w:t>
      </w:r>
      <w:r>
        <w:tab/>
        <w:t>Tax</w:t>
      </w:r>
      <w:r>
        <w:noBreakHyphen/>
        <w:t>reducing arrangements</w:t>
      </w:r>
      <w:bookmarkEnd w:id="26"/>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27" w:name="_Toc389741145"/>
      <w:r>
        <w:rPr>
          <w:rStyle w:val="CharSectno"/>
        </w:rPr>
        <w:t>22</w:t>
      </w:r>
      <w:r>
        <w:t>.</w:t>
      </w:r>
      <w:r>
        <w:tab/>
        <w:t>Adjustments for changes in annual threshold amount</w:t>
      </w:r>
      <w:bookmarkEnd w:id="27"/>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8" w:name="_Toc389741146"/>
      <w:r>
        <w:rPr>
          <w:rStyle w:val="CharSectno"/>
        </w:rPr>
        <w:t>22A</w:t>
      </w:r>
      <w:r>
        <w:t>.</w:t>
      </w:r>
      <w:r>
        <w:tab/>
        <w:t>Effect of change in tax rate during 2004/5 year</w:t>
      </w:r>
      <w:bookmarkEnd w:id="28"/>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b/>
        </w:rPr>
        <w:t>“</w:t>
      </w:r>
      <w:r>
        <w:rPr>
          <w:rStyle w:val="CharDefText"/>
        </w:rPr>
        <w:t>2004/5 year</w:t>
      </w:r>
      <w:r>
        <w:rPr>
          <w:b/>
        </w:rPr>
        <w:t>”</w:t>
      </w:r>
      <w:r>
        <w:t>).</w:t>
      </w:r>
    </w:p>
    <w:p>
      <w:pPr>
        <w:pStyle w:val="Subsection"/>
      </w:pPr>
      <w:r>
        <w:tab/>
        <w:t>(2)</w:t>
      </w:r>
      <w:r>
        <w:tab/>
        <w:t>The modifications are required because the rate of pay</w:t>
      </w:r>
      <w:r>
        <w:noBreakHyphen/>
        <w:t xml:space="preserve">roll tax (the </w:t>
      </w:r>
      <w:r>
        <w:rPr>
          <w:b/>
        </w:rPr>
        <w:t>“</w:t>
      </w:r>
      <w:r>
        <w:rPr>
          <w:rStyle w:val="CharDefText"/>
        </w:rPr>
        <w:t>old rate</w:t>
      </w:r>
      <w:r>
        <w:rPr>
          <w:b/>
        </w:rPr>
        <w:t>”</w:t>
      </w:r>
      <w:r>
        <w:t xml:space="preserve">) for the first 6 months of the 2004/5 year (the </w:t>
      </w:r>
      <w:r>
        <w:rPr>
          <w:b/>
        </w:rPr>
        <w:t>“</w:t>
      </w:r>
      <w:r>
        <w:rPr>
          <w:rStyle w:val="CharDefText"/>
        </w:rPr>
        <w:t>first period</w:t>
      </w:r>
      <w:r>
        <w:rPr>
          <w:b/>
        </w:rPr>
        <w:t>”</w:t>
      </w:r>
      <w:r>
        <w:t>) differs from the rate of pay</w:t>
      </w:r>
      <w:r>
        <w:noBreakHyphen/>
        <w:t xml:space="preserve">roll tax (the </w:t>
      </w:r>
      <w:r>
        <w:rPr>
          <w:b/>
        </w:rPr>
        <w:t>“</w:t>
      </w:r>
      <w:r>
        <w:rPr>
          <w:rStyle w:val="CharDefText"/>
        </w:rPr>
        <w:t>new rate</w:t>
      </w:r>
      <w:r>
        <w:rPr>
          <w:b/>
        </w:rPr>
        <w:t>”</w:t>
      </w:r>
      <w:r>
        <w:t xml:space="preserve">) for the last 6 months of that year (the </w:t>
      </w:r>
      <w:r>
        <w:rPr>
          <w:b/>
        </w:rPr>
        <w:t>“</w:t>
      </w:r>
      <w:r>
        <w:rPr>
          <w:rStyle w:val="CharDefText"/>
        </w:rPr>
        <w:t>second period</w:t>
      </w:r>
      <w:r>
        <w:rPr>
          <w:b/>
        </w:rPr>
        <w:t>”</w:t>
      </w:r>
      <w:r>
        <w:t>).</w:t>
      </w:r>
    </w:p>
    <w:p>
      <w:pPr>
        <w:pStyle w:val="Subsection"/>
      </w:pPr>
      <w:r>
        <w:tab/>
        <w:t>(3)</w:t>
      </w:r>
      <w:r>
        <w:tab/>
        <w:t>When using a provision of this Act to calculate the amount of pay</w:t>
      </w:r>
      <w:r>
        <w:noBreakHyphen/>
        <w:t xml:space="preserve">roll tax payable for —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pPr>
      <w:r>
        <w:tab/>
        <w:t>(4)</w:t>
      </w:r>
      <w:r>
        <w:tab/>
        <w:t>To calculate the amount of pay</w:t>
      </w:r>
      <w:r>
        <w:noBreakHyphen/>
        <w:t xml:space="preserve">roll tax payable by an employer or group for a period (the </w:t>
      </w:r>
      <w:r>
        <w:rPr>
          <w:b/>
        </w:rPr>
        <w:t>“</w:t>
      </w:r>
      <w:r>
        <w:rPr>
          <w:rStyle w:val="CharDefText"/>
        </w:rPr>
        <w:t>tax period</w:t>
      </w:r>
      <w:r>
        <w:rPr>
          <w:b/>
        </w:rPr>
        <w:t>”</w:t>
      </w:r>
      <w:r>
        <w:t xml:space="preserve">) that is the whole or part of the 2004/5 year — </w:t>
      </w:r>
    </w:p>
    <w:p>
      <w:pPr>
        <w:pStyle w:val="Indenta"/>
      </w:pPr>
      <w:r>
        <w:tab/>
        <w:t>(a)</w:t>
      </w:r>
      <w:r>
        <w:tab/>
        <w:t xml:space="preserve">separate amounts are to be calculated, as described in subsection (5), for — </w:t>
      </w:r>
    </w:p>
    <w:p>
      <w:pPr>
        <w:pStyle w:val="Indenti"/>
      </w:pPr>
      <w:r>
        <w:tab/>
        <w:t>(i)</w:t>
      </w:r>
      <w:r>
        <w:tab/>
        <w:t xml:space="preserve">any part of the tax period that is before 1 January 2005 (the </w:t>
      </w:r>
      <w:r>
        <w:rPr>
          <w:b/>
        </w:rPr>
        <w:t>“</w:t>
      </w:r>
      <w:r>
        <w:rPr>
          <w:rStyle w:val="CharDefText"/>
        </w:rPr>
        <w:t>first part of the tax period</w:t>
      </w:r>
      <w:r>
        <w:rPr>
          <w:b/>
        </w:rPr>
        <w:t>”</w:t>
      </w:r>
      <w:r>
        <w:t xml:space="preserve">); and </w:t>
      </w:r>
    </w:p>
    <w:p>
      <w:pPr>
        <w:pStyle w:val="Indenti"/>
      </w:pPr>
      <w:r>
        <w:tab/>
        <w:t>(ii)</w:t>
      </w:r>
      <w:r>
        <w:tab/>
        <w:t xml:space="preserve">any part of the tax period that is after 31 December 2004 (the </w:t>
      </w:r>
      <w:r>
        <w:rPr>
          <w:b/>
        </w:rPr>
        <w:t>“</w:t>
      </w:r>
      <w:r>
        <w:rPr>
          <w:rStyle w:val="CharDefText"/>
        </w:rPr>
        <w:t>second part of the tax period</w:t>
      </w:r>
      <w:r>
        <w:rPr>
          <w:b/>
        </w:rPr>
        <w:t>”</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b/>
        </w:rPr>
        <w:t>“</w:t>
      </w:r>
      <w:r>
        <w:rPr>
          <w:rStyle w:val="CharDefText"/>
        </w:rPr>
        <w:t>relevant part period</w:t>
      </w:r>
      <w:r>
        <w:rPr>
          <w:b/>
        </w:rPr>
        <w:t>”</w:t>
      </w:r>
      <w:r>
        <w:t>), the provision that applies for the calculation of the amount of pay</w:t>
      </w:r>
      <w:r>
        <w:noBreakHyphen/>
        <w:t xml:space="preserve">roll tax payable for the tax period is to be used, but in using that provision —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 xml:space="preserve">roll tax rate means —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b/>
        </w:rPr>
        <w:t>“</w:t>
      </w:r>
      <w:r>
        <w:rPr>
          <w:rStyle w:val="CharDefText"/>
        </w:rPr>
        <w:t>calculation provision</w:t>
      </w:r>
      <w:r>
        <w:rPr>
          <w:b/>
        </w:rPr>
        <w:t>”</w:t>
      </w:r>
      <w:r>
        <w:t>) is modified by multiplying the amount that T represents in the formula in the calculation provision by the part period factor, as defined in subsection (6).</w:t>
      </w:r>
    </w:p>
    <w:p>
      <w:pPr>
        <w:pStyle w:val="Subsection"/>
      </w:pPr>
      <w:r>
        <w:tab/>
        <w:t>(6)</w:t>
      </w:r>
      <w:r>
        <w:tab/>
        <w:t xml:space="preserve">In subsection (5)(c) and (d) — </w:t>
      </w:r>
    </w:p>
    <w:p>
      <w:pPr>
        <w:pStyle w:val="Defstart"/>
      </w:pPr>
      <w:r>
        <w:rPr>
          <w:b/>
        </w:rPr>
        <w:tab/>
        <w:t>“</w:t>
      </w:r>
      <w:r>
        <w:rPr>
          <w:rStyle w:val="CharDefText"/>
        </w:rPr>
        <w:t>part period factor</w:t>
      </w:r>
      <w:r>
        <w:rPr>
          <w:b/>
        </w:rPr>
        <w:t>”</w:t>
      </w:r>
      <w:r>
        <w:t xml:space="preserve"> means the amount represented by F in the formula — </w:t>
      </w:r>
    </w:p>
    <w:p>
      <w:pPr>
        <w:pStyle w:val="Indenta"/>
      </w:pPr>
      <w:r>
        <w:tab/>
      </w:r>
      <w:r>
        <w:tab/>
      </w:r>
      <w:r>
        <w:rPr>
          <w:noProof/>
          <w:position w:val="-24"/>
        </w:rPr>
        <w:drawing>
          <wp:inline distT="0" distB="0" distL="0" distR="0">
            <wp:extent cx="497205" cy="3949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7205" cy="394970"/>
                    </a:xfrm>
                    <a:prstGeom prst="rect">
                      <a:avLst/>
                    </a:prstGeom>
                    <a:noFill/>
                    <a:ln>
                      <a:noFill/>
                    </a:ln>
                  </pic:spPr>
                </pic:pic>
              </a:graphicData>
            </a:graphic>
          </wp:inline>
        </w:drawing>
      </w:r>
    </w:p>
    <w:p>
      <w:pPr>
        <w:pStyle w:val="Defstart"/>
      </w:pPr>
      <w:r>
        <w:tab/>
      </w:r>
      <w:r>
        <w:tab/>
        <w:t xml:space="preserve">where —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29" w:name="_Toc389741147"/>
      <w:r>
        <w:rPr>
          <w:rStyle w:val="CharSectno"/>
        </w:rPr>
        <w:t>23</w:t>
      </w:r>
      <w:r>
        <w:t>.</w:t>
      </w:r>
      <w:r>
        <w:tab/>
        <w:t>Taxable wages not paid throughout assessment year</w:t>
      </w:r>
      <w:bookmarkEnd w:id="29"/>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0" w:name="_Toc389741148"/>
      <w:r>
        <w:rPr>
          <w:rStyle w:val="CharPartNo"/>
        </w:rPr>
        <w:t>Part 3</w:t>
      </w:r>
      <w:r>
        <w:rPr>
          <w:rStyle w:val="CharDivNo"/>
        </w:rPr>
        <w:t xml:space="preserve"> </w:t>
      </w:r>
      <w:r>
        <w:t>—</w:t>
      </w:r>
      <w:r>
        <w:rPr>
          <w:rStyle w:val="CharDivText"/>
        </w:rPr>
        <w:t xml:space="preserve"> </w:t>
      </w:r>
      <w:r>
        <w:rPr>
          <w:rStyle w:val="CharPartText"/>
        </w:rPr>
        <w:t>Registration and returns</w:t>
      </w:r>
      <w:bookmarkEnd w:id="30"/>
    </w:p>
    <w:p>
      <w:pPr>
        <w:pStyle w:val="Heading5"/>
      </w:pPr>
      <w:bookmarkStart w:id="31" w:name="_Toc389741149"/>
      <w:r>
        <w:rPr>
          <w:rStyle w:val="CharSectno"/>
        </w:rPr>
        <w:t>24</w:t>
      </w:r>
      <w:r>
        <w:t>.</w:t>
      </w:r>
      <w:r>
        <w:tab/>
        <w:t>Applications for registration as an employer</w:t>
      </w:r>
      <w:bookmarkEnd w:id="31"/>
    </w:p>
    <w:p>
      <w:pPr>
        <w:pStyle w:val="Subsection"/>
      </w:pPr>
      <w:r>
        <w:tab/>
        <w:t>(1)</w:t>
      </w:r>
      <w:r>
        <w:tab/>
        <w:t>A non</w:t>
      </w:r>
      <w:r>
        <w:noBreakHyphen/>
        <w:t xml:space="preserve">group employer who is not registered must apply to the Commissioner for registration if —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Heading5"/>
      </w:pPr>
      <w:bookmarkStart w:id="32" w:name="_Toc389741150"/>
      <w:r>
        <w:rPr>
          <w:rStyle w:val="CharSectno"/>
        </w:rPr>
        <w:t>25</w:t>
      </w:r>
      <w:r>
        <w:t>.</w:t>
      </w:r>
      <w:r>
        <w:tab/>
        <w:t>Registration and cancellation of registration</w:t>
      </w:r>
      <w:bookmarkEnd w:id="32"/>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33" w:name="_Toc389741151"/>
      <w:r>
        <w:rPr>
          <w:rStyle w:val="CharSectno"/>
        </w:rPr>
        <w:t>26</w:t>
      </w:r>
      <w:r>
        <w:t>.</w:t>
      </w:r>
      <w:r>
        <w:tab/>
        <w:t>Monthly returns</w:t>
      </w:r>
      <w:bookmarkEnd w:id="33"/>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34" w:name="_Toc389741152"/>
      <w:r>
        <w:rPr>
          <w:rStyle w:val="CharSectno"/>
        </w:rPr>
        <w:t>27</w:t>
      </w:r>
      <w:r>
        <w:t>.</w:t>
      </w:r>
      <w:r>
        <w:tab/>
        <w:t>Additional returns for reconciliation purposes</w:t>
      </w:r>
      <w:bookmarkEnd w:id="34"/>
    </w:p>
    <w:p>
      <w:pPr>
        <w:pStyle w:val="Subsection"/>
      </w:pPr>
      <w:r>
        <w:rPr>
          <w:color w:val="000000"/>
        </w:rPr>
        <w:tab/>
        <w:t>(1)</w:t>
      </w:r>
      <w:r>
        <w:rPr>
          <w:color w:val="000000"/>
        </w:rPr>
        <w:tab/>
        <w:t>If a non</w:t>
      </w:r>
      <w:r>
        <w:rPr>
          <w:color w:val="000000"/>
        </w:rPr>
        <w:noBreakHyphen/>
        <w:t>group employer who lodges monthly returns 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 27 amended by No. 40 of 2003 s. 24.]</w:t>
      </w:r>
    </w:p>
    <w:p>
      <w:pPr>
        <w:pStyle w:val="Heading5"/>
      </w:pPr>
      <w:bookmarkStart w:id="35" w:name="_Toc389741153"/>
      <w:r>
        <w:rPr>
          <w:rStyle w:val="CharSectno"/>
        </w:rPr>
        <w:t>28</w:t>
      </w:r>
      <w:r>
        <w:t>.</w:t>
      </w:r>
      <w:r>
        <w:tab/>
        <w:t>Further returns</w:t>
      </w:r>
      <w:bookmarkEnd w:id="35"/>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pPr>
      <w:bookmarkStart w:id="36" w:name="_Toc389741154"/>
      <w:r>
        <w:rPr>
          <w:rStyle w:val="CharSectno"/>
        </w:rPr>
        <w:t>29</w:t>
      </w:r>
      <w:r>
        <w:t>.</w:t>
      </w:r>
      <w:r>
        <w:tab/>
        <w:t>Exemptions from lodging monthly returns</w:t>
      </w:r>
      <w:bookmarkEnd w:id="36"/>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less than —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(1b)</w:t>
      </w:r>
      <w:r>
        <w:tab/>
        <w:t xml:space="preserve">In subsection (1a) — </w:t>
      </w:r>
    </w:p>
    <w:p>
      <w:pPr>
        <w:pStyle w:val="Defstart"/>
      </w:pPr>
      <w:r>
        <w:rPr>
          <w:b/>
        </w:rPr>
        <w:tab/>
        <w:t>“</w:t>
      </w:r>
      <w:r>
        <w:rPr>
          <w:rStyle w:val="CharDefText"/>
        </w:rPr>
        <w:t>expected pay</w:t>
      </w:r>
      <w:r>
        <w:rPr>
          <w:rStyle w:val="CharDefText"/>
        </w:rPr>
        <w:noBreakHyphen/>
        <w:t>roll tax liability</w:t>
      </w:r>
      <w:r>
        <w:rPr>
          <w:b/>
        </w:rPr>
        <w:t>”</w:t>
      </w:r>
      <w:r>
        <w:t xml:space="preserve"> means the amount of pay</w:t>
      </w:r>
      <w:r>
        <w:noBreakHyphen/>
        <w:t xml:space="preserve">roll tax for which the employer or group would be liable in the assessment year if, during that year, the employer, or the employers of the group between them, paid or were liable to pay WA taxable wages and interstate taxable wages —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prescribed conditions (if any)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(5)</w:t>
      </w:r>
      <w:r>
        <w:tab/>
        <w:t>An exemption continues in force until it is revoked.</w:t>
      </w:r>
    </w:p>
    <w:p>
      <w:pPr>
        <w:pStyle w:val="Subsection"/>
      </w:pPr>
      <w:r>
        <w:tab/>
        <w:t>(6)</w:t>
      </w:r>
      <w:r>
        <w:tab/>
        <w:t xml:space="preserve">The Commissioner may revoke an exemption at any time by giving the employer notice of the revocation except that the Commissioner cannot revoke an exemption that subsection (1a) would oblige the Commissioner to give if an application were made for the exemption unless —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the notice of exemption otherwise provides; or</w:t>
      </w:r>
    </w:p>
    <w:p>
      <w:pPr>
        <w:pStyle w:val="Indenta"/>
      </w:pPr>
      <w:r>
        <w:tab/>
        <w:t>(b)</w:t>
      </w:r>
      <w:r>
        <w:tab/>
        <w:t>if the notice otherwise provides — lodge returns as required by the notice.</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 29 amended by No. 40 of 2003 s. 25; No. 82 of 2004 s. 5.]</w:t>
      </w:r>
    </w:p>
    <w:p>
      <w:pPr>
        <w:pStyle w:val="Heading2"/>
      </w:pPr>
      <w:bookmarkStart w:id="37" w:name="_Toc389741155"/>
      <w:r>
        <w:rPr>
          <w:rStyle w:val="CharPartNo"/>
        </w:rPr>
        <w:t>Part 4</w:t>
      </w:r>
      <w:r>
        <w:t xml:space="preserve"> — </w:t>
      </w:r>
      <w:r>
        <w:rPr>
          <w:rStyle w:val="CharPartText"/>
        </w:rPr>
        <w:t>Constitution of business groups</w:t>
      </w:r>
      <w:bookmarkEnd w:id="37"/>
    </w:p>
    <w:p>
      <w:pPr>
        <w:pStyle w:val="Heading5"/>
      </w:pPr>
      <w:bookmarkStart w:id="38" w:name="_Toc389741156"/>
      <w:r>
        <w:rPr>
          <w:rStyle w:val="CharSectno"/>
        </w:rPr>
        <w:t>30</w:t>
      </w:r>
      <w:r>
        <w:t>.</w:t>
      </w:r>
      <w:r>
        <w:tab/>
        <w:t>Grouping corporations</w:t>
      </w:r>
      <w:bookmarkEnd w:id="38"/>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39" w:name="_Toc389741157"/>
      <w:r>
        <w:rPr>
          <w:rStyle w:val="CharSectno"/>
        </w:rPr>
        <w:t>31</w:t>
      </w:r>
      <w:r>
        <w:t>.</w:t>
      </w:r>
      <w:r>
        <w:tab/>
        <w:t>Grouping where employees used in another business</w:t>
      </w:r>
      <w:bookmarkEnd w:id="39"/>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w:t>
      </w:r>
    </w:p>
    <w:p>
      <w:pPr>
        <w:pStyle w:val="Heading5"/>
      </w:pPr>
      <w:bookmarkStart w:id="40" w:name="_Toc389741158"/>
      <w:r>
        <w:rPr>
          <w:rStyle w:val="CharSectno"/>
        </w:rPr>
        <w:t>32</w:t>
      </w:r>
      <w:r>
        <w:t>.</w:t>
      </w:r>
      <w:r>
        <w:tab/>
        <w:t>Grouping commonly controlled businesses</w:t>
      </w:r>
      <w:bookmarkEnd w:id="40"/>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41" w:name="_Toc389741159"/>
      <w:r>
        <w:rPr>
          <w:rStyle w:val="CharSectno"/>
        </w:rPr>
        <w:t>33</w:t>
      </w:r>
      <w:r>
        <w:t>.</w:t>
      </w:r>
      <w:r>
        <w:tab/>
        <w:t>Controlling interest in business</w:t>
      </w:r>
      <w:bookmarkEnd w:id="41"/>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42" w:name="_Toc389741160"/>
      <w:r>
        <w:rPr>
          <w:rStyle w:val="CharSectno"/>
        </w:rPr>
        <w:t>34</w:t>
      </w:r>
      <w:r>
        <w:t>.</w:t>
      </w:r>
      <w:r>
        <w:tab/>
        <w:t>Value of beneficial interest in discretionary trusts</w:t>
      </w:r>
      <w:bookmarkEnd w:id="42"/>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pPr>
      <w:bookmarkStart w:id="43" w:name="_Toc389741161"/>
      <w:r>
        <w:rPr>
          <w:rStyle w:val="CharSectno"/>
        </w:rPr>
        <w:t>35</w:t>
      </w:r>
      <w:r>
        <w:t>.</w:t>
      </w:r>
      <w:r>
        <w:tab/>
        <w:t>Grouping head and branch businesses</w:t>
      </w:r>
      <w:bookmarkEnd w:id="43"/>
    </w:p>
    <w:p>
      <w:pPr>
        <w:pStyle w:val="Subsection"/>
      </w:pPr>
      <w:r>
        <w:tab/>
        <w:t>(1)</w:t>
      </w:r>
      <w:r>
        <w:tab/>
        <w:t xml:space="preserve">Two businesses together constitute a group if — </w:t>
      </w:r>
    </w:p>
    <w:p>
      <w:pPr>
        <w:pStyle w:val="Indenta"/>
      </w:pPr>
      <w:r>
        <w:tab/>
        <w:t>(a)</w:t>
      </w:r>
      <w:r>
        <w:tab/>
        <w:t>one of the businesses is the head or parent business;</w:t>
      </w:r>
    </w:p>
    <w:p>
      <w:pPr>
        <w:pStyle w:val="Indenta"/>
      </w:pPr>
      <w:r>
        <w:tab/>
        <w:t>(b)</w:t>
      </w:r>
      <w:r>
        <w:tab/>
        <w:t xml:space="preserve">the second business is a branch, agency or subsidiary of the head or parent business; and </w:t>
      </w:r>
    </w:p>
    <w:p>
      <w:pPr>
        <w:pStyle w:val="Indenta"/>
      </w:pPr>
      <w:r>
        <w:tab/>
        <w:t>(c)</w:t>
      </w:r>
      <w:r>
        <w:tab/>
        <w:t>the head or parent business exercises managerial control, whether administrative, financial, or procedural, over the branch, agency or subsidiary.</w:t>
      </w:r>
    </w:p>
    <w:p>
      <w:pPr>
        <w:pStyle w:val="Subsection"/>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pPr>
      <w:bookmarkStart w:id="44" w:name="_Toc389741162"/>
      <w:r>
        <w:rPr>
          <w:rStyle w:val="CharSectno"/>
        </w:rPr>
        <w:t>36</w:t>
      </w:r>
      <w:r>
        <w:t>.</w:t>
      </w:r>
      <w:r>
        <w:tab/>
        <w:t>Smaller groups subsumed into larger groups</w:t>
      </w:r>
      <w:bookmarkEnd w:id="44"/>
    </w:p>
    <w:p>
      <w:pPr>
        <w:pStyle w:val="Subsection"/>
      </w:pPr>
      <w:r>
        <w:tab/>
        <w:t>(1)</w:t>
      </w:r>
      <w:r>
        <w:tab/>
        <w:t xml:space="preserve">Where a person is a member of 2 or more groups (each of which is called a </w:t>
      </w:r>
      <w:r>
        <w:rPr>
          <w:b/>
        </w:rPr>
        <w:t>“</w:t>
      </w:r>
      <w:r>
        <w:rPr>
          <w:rStyle w:val="CharDefText"/>
        </w:rPr>
        <w:t>smaller group</w:t>
      </w:r>
      <w:r>
        <w:rPr>
          <w:b/>
        </w:rPr>
        <w:t xml:space="preserve">” </w:t>
      </w:r>
      <w:r>
        <w:t>for the purposes of subsection (3)), the members of those groups together constitute one group for the purposes of this Act.</w:t>
      </w:r>
    </w:p>
    <w:p>
      <w:pPr>
        <w:pStyle w:val="Subsection"/>
      </w:pPr>
      <w:r>
        <w:tab/>
        <w:t>(2)</w:t>
      </w:r>
      <w:r>
        <w:tab/>
        <w:t xml:space="preserve">Where the members of a group (called a </w:t>
      </w:r>
      <w:r>
        <w:rPr>
          <w:b/>
        </w:rPr>
        <w:t>“</w:t>
      </w:r>
      <w:r>
        <w:rPr>
          <w:rStyle w:val="CharDefText"/>
        </w:rPr>
        <w:t>smaller group</w:t>
      </w:r>
      <w:r>
        <w:rPr>
          <w:b/>
        </w:rPr>
        <w:t>”</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31(4), 32(3) or 35(2).</w:t>
      </w:r>
    </w:p>
    <w:p>
      <w:pPr>
        <w:pStyle w:val="Heading5"/>
      </w:pPr>
      <w:bookmarkStart w:id="45" w:name="_Toc389741163"/>
      <w:r>
        <w:rPr>
          <w:rStyle w:val="CharSectno"/>
        </w:rPr>
        <w:t>37</w:t>
      </w:r>
      <w:r>
        <w:t>.</w:t>
      </w:r>
      <w:r>
        <w:tab/>
        <w:t>Grouping provisions operate independently</w:t>
      </w:r>
      <w:bookmarkEnd w:id="45"/>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46" w:name="_Toc389741164"/>
      <w:r>
        <w:rPr>
          <w:rStyle w:val="CharSectno"/>
        </w:rPr>
        <w:t>38</w:t>
      </w:r>
      <w:r>
        <w:t>.</w:t>
      </w:r>
      <w:r>
        <w:tab/>
        <w:t>Exclusion from groups</w:t>
      </w:r>
      <w:bookmarkEnd w:id="46"/>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47" w:name="_Toc389741165"/>
      <w:r>
        <w:rPr>
          <w:rStyle w:val="CharSectno"/>
        </w:rPr>
        <w:t>39</w:t>
      </w:r>
      <w:r>
        <w:t>.</w:t>
      </w:r>
      <w:r>
        <w:tab/>
        <w:t>Designated group employer</w:t>
      </w:r>
      <w:bookmarkEnd w:id="47"/>
    </w:p>
    <w:p>
      <w:pPr>
        <w:pStyle w:val="Subsection"/>
      </w:pPr>
      <w:r>
        <w:tab/>
        <w:t>(1)</w:t>
      </w:r>
      <w:r>
        <w:tab/>
        <w:t>The members of a group may designate one of the members as the designated group employer (DGE) for the group for the purposes of the pay</w:t>
      </w:r>
      <w:r>
        <w:noBreakHyphen/>
        <w:t>roll tax Acts.</w:t>
      </w:r>
    </w:p>
    <w:p>
      <w:pPr>
        <w:pStyle w:val="Subsection"/>
      </w:pPr>
      <w:r>
        <w:tab/>
        <w:t>(2)</w:t>
      </w:r>
      <w:r>
        <w:tab/>
        <w:t>A designation must —</w:t>
      </w:r>
    </w:p>
    <w:p>
      <w:pPr>
        <w:pStyle w:val="Indenta"/>
      </w:pPr>
      <w:r>
        <w:tab/>
        <w:t>(a)</w:t>
      </w:r>
      <w:r>
        <w:tab/>
        <w:t>be in the approved form;</w:t>
      </w:r>
    </w:p>
    <w:p>
      <w:pPr>
        <w:pStyle w:val="Indenta"/>
      </w:pPr>
      <w:r>
        <w:tab/>
        <w:t>(b)</w:t>
      </w:r>
      <w:r>
        <w:tab/>
        <w:t>be accompanied by any information required by the Commissioner;</w:t>
      </w:r>
    </w:p>
    <w:p>
      <w:pPr>
        <w:pStyle w:val="Indenta"/>
      </w:pPr>
      <w:r>
        <w:tab/>
        <w:t>(c)</w:t>
      </w:r>
      <w:r>
        <w:tab/>
        <w:t>be executed by or for each member of the group; and</w:t>
      </w:r>
    </w:p>
    <w:p>
      <w:pPr>
        <w:pStyle w:val="Indenta"/>
      </w:pPr>
      <w:r>
        <w:tab/>
        <w:t>(d)</w:t>
      </w:r>
      <w:r>
        <w:tab/>
        <w:t>be served on the Commissioner.</w:t>
      </w:r>
    </w:p>
    <w:p>
      <w:pPr>
        <w:pStyle w:val="Subsection"/>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pPr>
      <w:r>
        <w:tab/>
        <w:t>(4)</w:t>
      </w:r>
      <w:r>
        <w:tab/>
        <w:t>A designation by the Commissioner is to be made by notice served on the member designated as the DGE.</w:t>
      </w:r>
    </w:p>
    <w:p>
      <w:pPr>
        <w:pStyle w:val="Subsection"/>
      </w:pPr>
      <w:r>
        <w:tab/>
        <w:t>(5)</w:t>
      </w:r>
      <w:r>
        <w:tab/>
        <w:t>An employer who is the DGE for a group stops or is taken to have stopped being the group’s DGE on the first day of a return period of the employer during which either of the following happens —</w:t>
      </w:r>
    </w:p>
    <w:p>
      <w:pPr>
        <w:pStyle w:val="Indenta"/>
      </w:pPr>
      <w:r>
        <w:tab/>
        <w:t>(a)</w:t>
      </w:r>
      <w:r>
        <w:tab/>
        <w:t>the employer leaves the group; or</w:t>
      </w:r>
    </w:p>
    <w:p>
      <w:pPr>
        <w:pStyle w:val="Indenta"/>
      </w:pPr>
      <w:r>
        <w:tab/>
        <w:t>(b)</w:t>
      </w:r>
      <w:r>
        <w:tab/>
        <w:t>the designation is revoked.</w:t>
      </w:r>
    </w:p>
    <w:p>
      <w:pPr>
        <w:pStyle w:val="Subsection"/>
      </w:pPr>
      <w:r>
        <w:tab/>
        <w:t>(6)</w:t>
      </w:r>
      <w:r>
        <w:tab/>
        <w:t>The members of a group may revoke the designation by giving the Commissioner notice in the approved form.</w:t>
      </w:r>
    </w:p>
    <w:p>
      <w:pPr>
        <w:pStyle w:val="Subsection"/>
      </w:pPr>
      <w:r>
        <w:tab/>
        <w:t>(7)</w:t>
      </w:r>
      <w:r>
        <w:tab/>
        <w:t>The members of a group are not entitled to revoke a designation unless —</w:t>
      </w:r>
    </w:p>
    <w:p>
      <w:pPr>
        <w:pStyle w:val="Indenta"/>
      </w:pPr>
      <w:r>
        <w:tab/>
        <w:t>(a)</w:t>
      </w:r>
      <w:r>
        <w:tab/>
        <w:t>the members designate another member to be the DGE; or</w:t>
      </w:r>
    </w:p>
    <w:p>
      <w:pPr>
        <w:pStyle w:val="Indenta"/>
      </w:pPr>
      <w:r>
        <w:tab/>
        <w:t>(b)</w:t>
      </w:r>
      <w:r>
        <w:tab/>
        <w:t>the Commissioner consents to the revocation.</w:t>
      </w:r>
    </w:p>
    <w:p>
      <w:pPr>
        <w:pStyle w:val="Subsection"/>
      </w:pPr>
      <w:r>
        <w:tab/>
        <w:t>(8)</w:t>
      </w:r>
      <w:r>
        <w:tab/>
        <w:t>If the Commissioner designated a member of a group as the DGE, the Commissioner may revoke the designation by giving notice of the revocation to the member.</w:t>
      </w:r>
    </w:p>
    <w:p>
      <w:pPr>
        <w:pStyle w:val="Heading2"/>
      </w:pPr>
      <w:bookmarkStart w:id="48" w:name="_Toc389741166"/>
      <w:r>
        <w:rPr>
          <w:rStyle w:val="CharPartNo"/>
        </w:rPr>
        <w:t>Part 5</w:t>
      </w:r>
      <w:r>
        <w:rPr>
          <w:rStyle w:val="CharDivNo"/>
        </w:rPr>
        <w:t xml:space="preserve"> </w:t>
      </w:r>
      <w:r>
        <w:t>—</w:t>
      </w:r>
      <w:r>
        <w:rPr>
          <w:rStyle w:val="CharDivText"/>
        </w:rPr>
        <w:t xml:space="preserve"> </w:t>
      </w:r>
      <w:r>
        <w:rPr>
          <w:rStyle w:val="CharPartText"/>
        </w:rPr>
        <w:t>Miscellaneous</w:t>
      </w:r>
      <w:bookmarkEnd w:id="48"/>
    </w:p>
    <w:p>
      <w:pPr>
        <w:pStyle w:val="Heading5"/>
      </w:pPr>
      <w:bookmarkStart w:id="49" w:name="_Toc389741167"/>
      <w:r>
        <w:rPr>
          <w:rStyle w:val="CharSectno"/>
        </w:rPr>
        <w:t>40</w:t>
      </w:r>
      <w:r>
        <w:t>.</w:t>
      </w:r>
      <w:r>
        <w:tab/>
        <w:t>Exempt wages</w:t>
      </w:r>
      <w:bookmarkEnd w:id="49"/>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pPr>
      <w:r>
        <w:tab/>
        <w:t>(b)</w:t>
      </w:r>
      <w:r>
        <w:tab/>
        <w:t>wages that are exempt under subsection (3);</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w:t>
      </w:r>
    </w:p>
    <w:p>
      <w:pPr>
        <w:pStyle w:val="Indenta"/>
      </w:pPr>
      <w:r>
        <w:tab/>
        <w:t>(b)</w:t>
      </w:r>
      <w:r>
        <w:tab/>
        <w:t>by a religious institution for doing the religious work of the institution;</w:t>
      </w:r>
    </w:p>
    <w:p>
      <w:pPr>
        <w:pStyle w:val="Indenta"/>
      </w:pPr>
      <w:r>
        <w:tab/>
        <w:t>(c)</w:t>
      </w:r>
      <w:r>
        <w:tab/>
        <w:t>by a public benevolent institution for doing work of a public benevolent nature;</w:t>
      </w:r>
    </w:p>
    <w:p>
      <w:pPr>
        <w:pStyle w:val="Indenta"/>
      </w:pPr>
      <w:r>
        <w:tab/>
        <w:t>(d)</w:t>
      </w:r>
      <w:r>
        <w:tab/>
        <w:t>by a public hospital for doing work of a kind ordinarily performed in connection with the conduct of public hospitals;</w:t>
      </w:r>
    </w:p>
    <w:p>
      <w:pPr>
        <w:pStyle w:val="Indenta"/>
      </w:pPr>
      <w:r>
        <w:tab/>
        <w:t>(e)</w:t>
      </w:r>
      <w:r>
        <w:tab/>
        <w:t>by a hospital carried on by a non</w:t>
      </w:r>
      <w:r>
        <w:noBreakHyphen/>
        <w:t>profit organisation for doing work of a kind ordinarily performed in connection with the conduct of hospitals;</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w:t>
      </w:r>
    </w:p>
    <w:p>
      <w:pPr>
        <w:pStyle w:val="Indenta"/>
      </w:pPr>
      <w:r>
        <w:tab/>
        <w:t>(g)</w:t>
      </w:r>
      <w:r>
        <w:tab/>
        <w:t xml:space="preserve">by a local government, a regional local government or one of the associations constituted under section 9.58 of the </w:t>
      </w:r>
      <w:r>
        <w:rPr>
          <w:i/>
        </w:rPr>
        <w:t>Local Government Act 1995</w:t>
      </w:r>
      <w:r>
        <w:t>;</w:t>
      </w:r>
    </w:p>
    <w:p>
      <w:pPr>
        <w:pStyle w:val="Indenta"/>
      </w:pPr>
      <w:r>
        <w:tab/>
        <w:t>(h)</w:t>
      </w:r>
      <w:r>
        <w:tab/>
        <w:t>by a consular or other representative (except a diplomatic representative) in Australia of the government of another country to members of his or her official staff;</w:t>
      </w:r>
    </w:p>
    <w:p>
      <w:pPr>
        <w:pStyle w:val="Indenta"/>
      </w:pPr>
      <w:r>
        <w:tab/>
        <w:t>(i)</w:t>
      </w:r>
      <w:r>
        <w:tab/>
        <w:t>by a Trade Commissioner representing in Australia the government of a country of the British Commonwealth of Nations, to members of his or her official staff;</w:t>
      </w:r>
    </w:p>
    <w:p>
      <w:pPr>
        <w:pStyle w:val="Indenta"/>
      </w:pPr>
      <w:r>
        <w:tab/>
        <w:t>(j)</w:t>
      </w:r>
      <w:r>
        <w:tab/>
        <w:t>by the Commonwealth War Graves Commission;</w:t>
      </w:r>
    </w:p>
    <w:p>
      <w:pPr>
        <w:pStyle w:val="Indenta"/>
      </w:pPr>
      <w:r>
        <w:tab/>
        <w:t>(k)</w:t>
      </w:r>
      <w:r>
        <w:tab/>
        <w:t>by the Australian</w:t>
      </w:r>
      <w:r>
        <w:noBreakHyphen/>
        <w:t>American Educational Foundation;</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w:t>
      </w:r>
    </w:p>
    <w:p>
      <w:pPr>
        <w:pStyle w:val="Indenta"/>
      </w:pPr>
      <w:r>
        <w:tab/>
        <w:t>(m)</w:t>
      </w:r>
      <w:r>
        <w:tab/>
        <w:t xml:space="preserve">by an employer to or in relation to a person who is a probationer, or an apprentice, within the meaning of the </w:t>
      </w:r>
      <w:r>
        <w:rPr>
          <w:i/>
        </w:rPr>
        <w:t>Industrial Training Act 1975</w:t>
      </w:r>
      <w:r>
        <w:t>;</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w:t>
      </w:r>
    </w:p>
    <w:p>
      <w:pPr>
        <w:pStyle w:val="Indenta"/>
      </w:pPr>
      <w:r>
        <w:tab/>
        <w:t>(o)</w:t>
      </w:r>
      <w:r>
        <w:tab/>
        <w:t>by an employer to or in relation to a trainee employed under a training agreement as part of the Australian Traineeship System established by the Governments of the Commonwealth and the State;</w:t>
      </w:r>
    </w:p>
    <w:p>
      <w:pPr>
        <w:pStyle w:val="Indenta"/>
      </w:pPr>
      <w:r>
        <w:tab/>
        <w:t>(p)</w:t>
      </w:r>
      <w:r>
        <w:tab/>
        <w:t>by an employer to or in relation to a person employed as a trainee by agreement under a traineeship or training scheme that —</w:t>
      </w:r>
    </w:p>
    <w:p>
      <w:pPr>
        <w:pStyle w:val="Indenti"/>
      </w:pPr>
      <w:r>
        <w:tab/>
        <w:t>(i)</w:t>
      </w:r>
      <w:r>
        <w:tab/>
        <w:t xml:space="preserve">is established or recognised as a traineeship or training scheme by the Minister to whom the administration of the </w:t>
      </w:r>
      <w:r>
        <w:rPr>
          <w:i/>
        </w:rPr>
        <w:t>Industrial Training Act 1975</w:t>
      </w:r>
      <w:r>
        <w:t xml:space="preserve"> is for the time being committed by the Governor; and</w:t>
      </w:r>
    </w:p>
    <w:p>
      <w:pPr>
        <w:pStyle w:val="Indenti"/>
      </w:pPr>
      <w:r>
        <w:tab/>
        <w:t>(ii)</w:t>
      </w:r>
      <w:r>
        <w:tab/>
        <w:t>is not a prescribed traineeship or training scheme or a traineeship or training scheme of a prescribed class or description;</w:t>
      </w:r>
    </w:p>
    <w:p>
      <w:pPr>
        <w:pStyle w:val="Indenta"/>
      </w:pPr>
      <w:r>
        <w:tab/>
        <w:t>(q)</w:t>
      </w:r>
      <w:r>
        <w:tab/>
        <w:t>out of moneys expended for the purpose of a division or portion of a division referred to in the annual estimates of expenditure from the Consolidated Fund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Heading5"/>
      </w:pPr>
      <w:bookmarkStart w:id="50" w:name="_Toc389741168"/>
      <w:r>
        <w:rPr>
          <w:rStyle w:val="CharSectno"/>
        </w:rPr>
        <w:t>41</w:t>
      </w:r>
      <w:r>
        <w:t>.</w:t>
      </w:r>
      <w:r>
        <w:tab/>
        <w:t>Exempting charitable bodies or organisations</w:t>
      </w:r>
      <w:bookmarkEnd w:id="50"/>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repealed]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51" w:name="_Toc389741169"/>
      <w:r>
        <w:rPr>
          <w:rStyle w:val="CharSectno"/>
        </w:rPr>
        <w:t>42</w:t>
      </w:r>
      <w:r>
        <w:t>.</w:t>
      </w:r>
      <w:r>
        <w:tab/>
        <w:t>Tax payable when employer leaves Australia</w:t>
      </w:r>
      <w:bookmarkEnd w:id="51"/>
    </w:p>
    <w:p>
      <w:pPr>
        <w:pStyle w:val="Subsection"/>
        <w:spacing w:before="120"/>
      </w:pPr>
      <w:r>
        <w:tab/>
        <w:t>(1)</w:t>
      </w:r>
      <w:r>
        <w:tab/>
        <w:t xml:space="preserve">If the Commissioner has reason to believe that an employer may leave Australia before any taxes become due and payable by the employer —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 xml:space="preserve">In subsection (1) — </w:t>
      </w:r>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2" w:name="_Toc389741170"/>
      <w:r>
        <w:rPr>
          <w:rStyle w:val="CharSectno"/>
        </w:rPr>
        <w:t>43</w:t>
      </w:r>
      <w:r>
        <w:t>.</w:t>
      </w:r>
      <w:r>
        <w:tab/>
        <w:t>Agents and trustees</w:t>
      </w:r>
      <w:bookmarkEnd w:id="52"/>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 xml:space="preserve">In this section — </w:t>
      </w:r>
    </w:p>
    <w:p>
      <w:pPr>
        <w:pStyle w:val="Defstart"/>
      </w:pPr>
      <w:r>
        <w:tab/>
      </w:r>
      <w:r>
        <w:rPr>
          <w:b/>
        </w:rPr>
        <w:t>“</w:t>
      </w:r>
      <w:r>
        <w:rPr>
          <w:rStyle w:val="CharDefText"/>
        </w:rPr>
        <w:t>taxes</w:t>
      </w:r>
      <w:r>
        <w:rPr>
          <w:b/>
        </w:rPr>
        <w:t>”</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3" w:name="_Toc389741171"/>
      <w:r>
        <w:rPr>
          <w:rStyle w:val="CharSectno"/>
        </w:rPr>
        <w:t>44</w:t>
      </w:r>
      <w:r>
        <w:t>.</w:t>
      </w:r>
      <w:r>
        <w:tab/>
        <w:t>Keeping books and accounts</w:t>
      </w:r>
      <w:bookmarkEnd w:id="53"/>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54" w:name="_Toc389741172"/>
      <w:r>
        <w:rPr>
          <w:rStyle w:val="CharSectno"/>
        </w:rPr>
        <w:t>45</w:t>
      </w:r>
      <w:r>
        <w:t>.</w:t>
      </w:r>
      <w:r>
        <w:tab/>
        <w:t>Regulations</w:t>
      </w:r>
      <w:bookmarkEnd w:id="5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pgNumType w:start="1"/>
          <w:cols w:space="720"/>
          <w:noEndnote/>
          <w:titlePg/>
          <w:docGrid w:linePitch="326"/>
        </w:sectPr>
      </w:pPr>
    </w:p>
    <w:p>
      <w:pPr>
        <w:pStyle w:val="yScheduleHeading"/>
      </w:pPr>
      <w:bookmarkStart w:id="55" w:name="_Toc389741173"/>
      <w:r>
        <w:rPr>
          <w:rStyle w:val="CharSchNo"/>
        </w:rPr>
        <w:t>Glossary</w:t>
      </w:r>
      <w:bookmarkEnd w:id="55"/>
    </w:p>
    <w:p>
      <w:pPr>
        <w:pStyle w:val="yShoulderClause"/>
      </w:pPr>
      <w:r>
        <w:t>[s. 4]</w:t>
      </w:r>
    </w:p>
    <w:p>
      <w:pPr>
        <w:pStyle w:val="yHeading5"/>
        <w:outlineLvl w:val="9"/>
      </w:pPr>
      <w:bookmarkStart w:id="56" w:name="_Toc389741174"/>
      <w:r>
        <w:t>1.</w:t>
      </w:r>
      <w:r>
        <w:tab/>
        <w:t>Definitions</w:t>
      </w:r>
      <w:bookmarkEnd w:id="56"/>
    </w:p>
    <w:p>
      <w:pPr>
        <w:pStyle w:val="ySubsection"/>
      </w:pPr>
      <w:r>
        <w:tab/>
      </w:r>
      <w:r>
        <w:tab/>
        <w:t>In a pay</w:t>
      </w:r>
      <w:r>
        <w:noBreakHyphen/>
        <w:t>roll tax Act, unless the contrary intention appears —</w:t>
      </w:r>
    </w:p>
    <w:p>
      <w:pPr>
        <w:pStyle w:val="yDefstart"/>
      </w:pPr>
      <w:r>
        <w:tab/>
      </w:r>
      <w:r>
        <w:rPr>
          <w:b/>
        </w:rPr>
        <w:t>“</w:t>
      </w:r>
      <w:r>
        <w:rPr>
          <w:rStyle w:val="CharDefText"/>
        </w:rPr>
        <w:t>actuary</w:t>
      </w:r>
      <w:r>
        <w:rPr>
          <w:b/>
        </w:rPr>
        <w:t>”</w:t>
      </w:r>
      <w:r>
        <w:t xml:space="preserve"> means a Fellow or an Accredited Member of the Institute of Actuaries of Australia;</w:t>
      </w:r>
    </w:p>
    <w:p>
      <w:pPr>
        <w:pStyle w:val="yDefstart"/>
      </w:pPr>
      <w:r>
        <w:tab/>
      </w:r>
      <w:r>
        <w:rPr>
          <w:b/>
        </w:rPr>
        <w:t>“</w:t>
      </w:r>
      <w:r>
        <w:rPr>
          <w:rStyle w:val="CharDefText"/>
        </w:rPr>
        <w:t>agent</w:t>
      </w:r>
      <w:r>
        <w:rPr>
          <w:b/>
        </w:rPr>
        <w: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b/>
        </w:rPr>
        <w:t>“</w:t>
      </w:r>
      <w:r>
        <w:rPr>
          <w:rStyle w:val="CharDefText"/>
        </w:rPr>
        <w:t>annual threshold amount</w:t>
      </w:r>
      <w:r>
        <w:rPr>
          <w:b/>
        </w:rPr>
        <w:t>”</w:t>
      </w:r>
      <w:r>
        <w:t>, in relation to a financial year, means the annual threshold amount fixed for the financial year under section 8(1);</w:t>
      </w:r>
    </w:p>
    <w:p>
      <w:pPr>
        <w:pStyle w:val="yDefstart"/>
      </w:pPr>
      <w:r>
        <w:rPr>
          <w:color w:val="000000"/>
        </w:rPr>
        <w:tab/>
      </w:r>
      <w:r>
        <w:rPr>
          <w:b/>
          <w:color w:val="000000"/>
        </w:rPr>
        <w:t>“</w:t>
      </w:r>
      <w:r>
        <w:rPr>
          <w:rStyle w:val="CharDefText"/>
          <w:color w:val="000000"/>
        </w:rPr>
        <w:t>apportioned threshold amount</w:t>
      </w:r>
      <w:r>
        <w:rPr>
          <w:b/>
          <w:color w:val="000000"/>
        </w:rPr>
        <w:t>”</w:t>
      </w:r>
      <w:r>
        <w:rPr>
          <w:color w:val="000000"/>
        </w:rPr>
        <w:t xml:space="preserve"> means —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t>“</w:t>
      </w:r>
      <w:r>
        <w:rPr>
          <w:rStyle w:val="CharDefText"/>
          <w:color w:val="000000"/>
        </w:rPr>
        <w:t>assessable income</w:t>
      </w:r>
      <w:r>
        <w:rPr>
          <w:b/>
          <w:color w:val="000000"/>
        </w:rPr>
        <w:t>”</w:t>
      </w:r>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r>
        <w:rPr>
          <w:b/>
        </w:rPr>
        <w:t>“</w:t>
      </w:r>
      <w:r>
        <w:rPr>
          <w:rStyle w:val="CharDefText"/>
        </w:rPr>
        <w:t>assessment year</w:t>
      </w:r>
      <w:r>
        <w:rPr>
          <w:b/>
        </w:rPr>
        <w:t>”</w:t>
      </w:r>
      <w:r>
        <w:t>, in relation to pay</w:t>
      </w:r>
      <w:r>
        <w:noBreakHyphen/>
        <w:t>roll tax, means the financial year for which the pay</w:t>
      </w:r>
      <w:r>
        <w:noBreakHyphen/>
        <w:t>roll tax is, or is to be, assessed;</w:t>
      </w:r>
    </w:p>
    <w:p>
      <w:pPr>
        <w:pStyle w:val="yDefstart"/>
        <w:keepNext/>
        <w:keepLines/>
      </w:pPr>
      <w:r>
        <w:tab/>
      </w:r>
      <w:r>
        <w:rPr>
          <w:b/>
        </w:rPr>
        <w:t>“</w:t>
      </w:r>
      <w:r>
        <w:rPr>
          <w:rStyle w:val="CharDefText"/>
        </w:rPr>
        <w:t>Australian superannuation scheme</w:t>
      </w:r>
      <w:r>
        <w:rPr>
          <w:b/>
        </w:rPr>
        <w:t>”</w:t>
      </w:r>
      <w:r>
        <w:t xml:space="preserve"> means a superannuation scheme that —</w:t>
      </w:r>
    </w:p>
    <w:p>
      <w:pPr>
        <w:pStyle w:val="yDefpara"/>
        <w:keepNext/>
        <w:keepLines/>
      </w:pPr>
      <w:r>
        <w:tab/>
        <w:t>(a)</w:t>
      </w:r>
      <w:r>
        <w:tab/>
        <w:t>was established in Australia, or has any asset situated in Australia; and</w:t>
      </w:r>
    </w:p>
    <w:p>
      <w:pPr>
        <w:pStyle w:val="yDefpara"/>
      </w:pPr>
      <w:r>
        <w:tab/>
        <w:t>(b)</w:t>
      </w:r>
      <w:r>
        <w:tab/>
        <w:t>has its central management and control in Australia;</w:t>
      </w:r>
    </w:p>
    <w:p>
      <w:pPr>
        <w:pStyle w:val="yDefstart"/>
      </w:pPr>
      <w:r>
        <w:tab/>
      </w:r>
      <w:r>
        <w:rPr>
          <w:b/>
        </w:rPr>
        <w:t>“</w:t>
      </w:r>
      <w:r>
        <w:rPr>
          <w:rStyle w:val="CharDefText"/>
        </w:rPr>
        <w:t>business</w:t>
      </w:r>
      <w:r>
        <w:rPr>
          <w:b/>
        </w:rPr>
        <w:t>”</w:t>
      </w:r>
      <w:r>
        <w:t>, for the purposes of Part 4, includes —</w:t>
      </w:r>
    </w:p>
    <w:p>
      <w:pPr>
        <w:pStyle w:val="yDefpara"/>
      </w:pPr>
      <w:r>
        <w:tab/>
        <w:t>(a)</w:t>
      </w:r>
      <w:r>
        <w:tab/>
        <w:t>a trade or profession;</w:t>
      </w:r>
    </w:p>
    <w:p>
      <w:pPr>
        <w:pStyle w:val="yDefpara"/>
      </w:pPr>
      <w:r>
        <w:tab/>
        <w:t>(b)</w:t>
      </w:r>
      <w:r>
        <w:tab/>
        <w:t>any other activity carried on for fee, gain or reward; and</w:t>
      </w:r>
    </w:p>
    <w:p>
      <w:pPr>
        <w:pStyle w:val="yDefpara"/>
      </w:pPr>
      <w:r>
        <w:tab/>
        <w:t>(c)</w:t>
      </w:r>
      <w:r>
        <w:tab/>
        <w:t>the activity, carried on by an employer, of employing one or more persons where that person performs or those persons perform duties for or in connection with another business;</w:t>
      </w:r>
    </w:p>
    <w:p>
      <w:pPr>
        <w:pStyle w:val="yDefstart"/>
      </w:pPr>
      <w:r>
        <w:tab/>
      </w:r>
      <w:r>
        <w:rPr>
          <w:b/>
        </w:rPr>
        <w:t>“</w:t>
      </w:r>
      <w:r>
        <w:rPr>
          <w:rStyle w:val="CharDefText"/>
        </w:rPr>
        <w:t>charitable body or organisation</w:t>
      </w:r>
      <w:r>
        <w:rPr>
          <w:b/>
        </w:rPr>
        <w:t>”</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b/>
        </w:rPr>
        <w:t>“</w:t>
      </w:r>
      <w:r>
        <w:rPr>
          <w:rStyle w:val="CharDefText"/>
        </w:rPr>
        <w:t>company</w:t>
      </w:r>
      <w:r>
        <w:rPr>
          <w:b/>
        </w:rPr>
        <w:t>”</w:t>
      </w:r>
      <w:r>
        <w:t xml:space="preserve"> includes all bodies and associations (corporate and unincorporate) and partnerships;</w:t>
      </w:r>
    </w:p>
    <w:p>
      <w:pPr>
        <w:pStyle w:val="yDefstart"/>
      </w:pPr>
      <w:r>
        <w:tab/>
      </w:r>
      <w:r>
        <w:rPr>
          <w:b/>
        </w:rPr>
        <w:t>“</w:t>
      </w:r>
      <w:r>
        <w:rPr>
          <w:rStyle w:val="CharDefText"/>
        </w:rPr>
        <w:t>controlling interest</w:t>
      </w:r>
      <w:r>
        <w:rPr>
          <w:b/>
        </w:rPr>
        <w:t>”</w:t>
      </w:r>
      <w:r>
        <w:t>, in relation to a business, has the definition given in section 33;</w:t>
      </w:r>
    </w:p>
    <w:p>
      <w:pPr>
        <w:pStyle w:val="y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yDefstart"/>
      </w:pPr>
      <w:r>
        <w:tab/>
      </w:r>
      <w:r>
        <w:rPr>
          <w:b/>
        </w:rPr>
        <w:t>“</w:t>
      </w:r>
      <w:r>
        <w:rPr>
          <w:rStyle w:val="CharDefText"/>
        </w:rPr>
        <w:t>corporation</w:t>
      </w:r>
      <w:r>
        <w:rPr>
          <w:b/>
        </w:rPr>
        <w:t>”</w:t>
      </w:r>
      <w:r>
        <w:t xml:space="preserve"> has the meaning given by section 57A of the Corporations Act;</w:t>
      </w:r>
    </w:p>
    <w:p>
      <w:pPr>
        <w:pStyle w:val="yDefstart"/>
      </w:pPr>
      <w:r>
        <w:tab/>
      </w:r>
      <w:r>
        <w:rPr>
          <w:b/>
        </w:rPr>
        <w:t>“</w:t>
      </w:r>
      <w:r>
        <w:rPr>
          <w:rStyle w:val="CharDefText"/>
        </w:rPr>
        <w:t>corresponding law</w:t>
      </w:r>
      <w:r>
        <w:rPr>
          <w:b/>
        </w:rPr>
        <w:t>”</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pPr>
      <w:r>
        <w:tab/>
      </w:r>
      <w:r>
        <w:rPr>
          <w:b/>
        </w:rPr>
        <w:t>“</w:t>
      </w:r>
      <w:r>
        <w:rPr>
          <w:rStyle w:val="CharDefText"/>
        </w:rPr>
        <w:t>defined superannuation benefit</w:t>
      </w:r>
      <w:r>
        <w:rPr>
          <w:b/>
        </w:rPr>
        <w:t>”</w:t>
      </w:r>
      <w:r>
        <w:t xml:space="preserve"> means a benefit under a superannuation scheme that is defined, wholly or in part, by reference to either or both of the following —</w:t>
      </w:r>
    </w:p>
    <w:p>
      <w:pPr>
        <w:pStyle w:val="yDefpara"/>
      </w:pPr>
      <w:r>
        <w:tab/>
        <w:t>(a)</w:t>
      </w:r>
      <w:r>
        <w:tab/>
        <w:t>the amount of the participant’s salary —</w:t>
      </w:r>
    </w:p>
    <w:p>
      <w:pPr>
        <w:pStyle w:val="yDefsubpara"/>
      </w:pPr>
      <w:r>
        <w:tab/>
        <w:t>(i)</w:t>
      </w:r>
      <w:r>
        <w:tab/>
        <w:t>at a particular date, being the date of the termination of the participant’s employment, the date of the participant’s retirement, or an earlier date; or</w:t>
      </w:r>
    </w:p>
    <w:p>
      <w:pPr>
        <w:pStyle w:val="yDefsubpara"/>
      </w:pPr>
      <w:r>
        <w:tab/>
        <w:t>(ii)</w:t>
      </w:r>
      <w:r>
        <w:tab/>
        <w:t>averaged over a period ending on any such date;</w:t>
      </w:r>
    </w:p>
    <w:p>
      <w:pPr>
        <w:pStyle w:val="yDefpara"/>
      </w:pPr>
      <w:r>
        <w:tab/>
        <w:t>(b)</w:t>
      </w:r>
      <w:r>
        <w:tab/>
        <w:t>a stated amount;</w:t>
      </w:r>
    </w:p>
    <w:p>
      <w:pPr>
        <w:pStyle w:val="yDefstart"/>
      </w:pPr>
      <w:r>
        <w:tab/>
      </w:r>
      <w:r>
        <w:rPr>
          <w:b/>
        </w:rPr>
        <w:t>“</w:t>
      </w:r>
      <w:r>
        <w:rPr>
          <w:rStyle w:val="CharDefText"/>
        </w:rPr>
        <w:t>designated group employer</w:t>
      </w:r>
      <w:r>
        <w:rPr>
          <w:b/>
        </w:rPr>
        <w:t>”</w:t>
      </w:r>
      <w:r>
        <w:t>, in relation to a group, means the member of the group designated under section 39;</w:t>
      </w:r>
    </w:p>
    <w:p>
      <w:pPr>
        <w:pStyle w:val="yDefstart"/>
      </w:pPr>
      <w:r>
        <w:tab/>
      </w:r>
      <w:r>
        <w:rPr>
          <w:b/>
        </w:rPr>
        <w:t>“</w:t>
      </w:r>
      <w:r>
        <w:rPr>
          <w:rStyle w:val="CharDefText"/>
        </w:rPr>
        <w:t>DGE</w:t>
      </w:r>
      <w:r>
        <w:rPr>
          <w:b/>
        </w:rPr>
        <w:t>”</w:t>
      </w:r>
      <w:r>
        <w:t xml:space="preserve"> means designated group employer;</w:t>
      </w:r>
    </w:p>
    <w:p>
      <w:pPr>
        <w:pStyle w:val="yDefstart"/>
      </w:pPr>
      <w:r>
        <w:rPr>
          <w:b/>
        </w:rPr>
        <w:tab/>
        <w:t>“</w:t>
      </w:r>
      <w:r>
        <w:rPr>
          <w:rStyle w:val="CharDefText"/>
          <w:color w:val="000000"/>
        </w:rPr>
        <w:t>eligible termination payment</w:t>
      </w:r>
      <w:r>
        <w:rPr>
          <w:b/>
        </w:rPr>
        <w:t>”</w:t>
      </w:r>
      <w:r>
        <w:t xml:space="preserve"> has the meaning given in section 27A of the </w:t>
      </w:r>
      <w:r>
        <w:rPr>
          <w:i/>
        </w:rPr>
        <w:t xml:space="preserve">Income Tax Assessment Act 1936 </w:t>
      </w:r>
      <w:r>
        <w:t>of the Commonwealth;</w:t>
      </w:r>
    </w:p>
    <w:p>
      <w:pPr>
        <w:pStyle w:val="yDefstart"/>
      </w:pPr>
      <w:r>
        <w:tab/>
      </w:r>
      <w:r>
        <w:rPr>
          <w:b/>
        </w:rPr>
        <w:t>“</w:t>
      </w:r>
      <w:r>
        <w:rPr>
          <w:rStyle w:val="CharDefText"/>
        </w:rPr>
        <w:t>employer</w:t>
      </w:r>
      <w:r>
        <w:rPr>
          <w:b/>
        </w:rPr>
        <w:t>”</w:t>
      </w:r>
      <w:r>
        <w:t xml:space="preserve"> means any person who pays or is liable to pay any wages, and includes the Crown in right of the State of Western Australia and an employment agent;</w:t>
      </w:r>
    </w:p>
    <w:p>
      <w:pPr>
        <w:pStyle w:val="yDefstart"/>
      </w:pPr>
      <w:r>
        <w:tab/>
      </w:r>
      <w:r>
        <w:rPr>
          <w:b/>
        </w:rPr>
        <w:t>“</w:t>
      </w:r>
      <w:r>
        <w:rPr>
          <w:rStyle w:val="CharDefText"/>
        </w:rPr>
        <w:t>employment agent</w:t>
      </w:r>
      <w:r>
        <w:rPr>
          <w:b/>
        </w:rPr>
        <w: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r>
        <w:rPr>
          <w:b/>
        </w:rPr>
        <w:t>“</w:t>
      </w:r>
      <w:r>
        <w:rPr>
          <w:rStyle w:val="CharDefText"/>
        </w:rPr>
        <w:t>exempt</w:t>
      </w:r>
      <w:r>
        <w:rPr>
          <w:b/>
        </w:rPr>
        <w:t>”</w:t>
      </w:r>
      <w:r>
        <w:t>, in relation to wages, means exempt from pay</w:t>
      </w:r>
      <w:r>
        <w:noBreakHyphen/>
        <w:t>roll tax under section 40;</w:t>
      </w:r>
    </w:p>
    <w:p>
      <w:pPr>
        <w:pStyle w:val="yDefstart"/>
      </w:pPr>
      <w:r>
        <w:tab/>
      </w:r>
      <w:r>
        <w:rPr>
          <w:b/>
        </w:rPr>
        <w:t>“</w:t>
      </w:r>
      <w:r>
        <w:rPr>
          <w:rStyle w:val="CharDefText"/>
        </w:rPr>
        <w:t>FBTA Act</w:t>
      </w:r>
      <w:r>
        <w:rPr>
          <w:b/>
        </w:rPr>
        <w:t>”</w:t>
      </w:r>
      <w:r>
        <w:t xml:space="preserve"> means the </w:t>
      </w:r>
      <w:r>
        <w:rPr>
          <w:i/>
        </w:rPr>
        <w:t>Fringe Benefits Tax Assessment Act 1986</w:t>
      </w:r>
      <w:r>
        <w:t xml:space="preserve"> of the Commonwealth;</w:t>
      </w:r>
    </w:p>
    <w:p>
      <w:pPr>
        <w:pStyle w:val="yDefstart"/>
      </w:pPr>
      <w:r>
        <w:tab/>
      </w:r>
      <w:r>
        <w:rPr>
          <w:b/>
        </w:rPr>
        <w:t>“</w:t>
      </w:r>
      <w:r>
        <w:rPr>
          <w:rStyle w:val="CharDefText"/>
        </w:rPr>
        <w:t>fringe benefit</w:t>
      </w:r>
      <w:r>
        <w:rPr>
          <w:b/>
        </w:rPr>
        <w:t>”</w:t>
      </w:r>
      <w:r>
        <w:t xml:space="preserve"> means anything that is a fringe benefit under the FBTA Act except a benefit prescribed not to be a fringe benefit for the purposes of this definition;</w:t>
      </w:r>
    </w:p>
    <w:p>
      <w:pPr>
        <w:pStyle w:val="yDefstart"/>
      </w:pPr>
      <w:r>
        <w:tab/>
      </w:r>
      <w:r>
        <w:rPr>
          <w:b/>
        </w:rPr>
        <w:t>“</w:t>
      </w:r>
      <w:r>
        <w:rPr>
          <w:rStyle w:val="CharDefText"/>
        </w:rPr>
        <w:t>group</w:t>
      </w:r>
      <w:r>
        <w:rPr>
          <w:b/>
        </w:rPr>
        <w:t>”</w:t>
      </w:r>
      <w:r>
        <w:t xml:space="preserve"> means a group constituted under Part 4;</w:t>
      </w:r>
    </w:p>
    <w:p>
      <w:pPr>
        <w:pStyle w:val="yDefstart"/>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b/>
        </w:rPr>
        <w:t>“</w:t>
      </w:r>
      <w:r>
        <w:rPr>
          <w:rStyle w:val="CharDefText"/>
        </w:rPr>
        <w:t>individual superannuation guarantee shortfall</w:t>
      </w:r>
      <w:r>
        <w:rPr>
          <w:b/>
        </w:rPr>
        <w:t>”</w:t>
      </w:r>
      <w:r>
        <w:t xml:space="preserve"> has the same definition as it has in the </w:t>
      </w:r>
      <w:r>
        <w:rPr>
          <w:i/>
        </w:rPr>
        <w:t>Superannuation Guarantee (Administration) Act 1992</w:t>
      </w:r>
      <w:r>
        <w:t xml:space="preserve"> of the Commonwealth;</w:t>
      </w:r>
    </w:p>
    <w:p>
      <w:pPr>
        <w:pStyle w:val="yDefstart"/>
      </w:pPr>
      <w:r>
        <w:tab/>
      </w:r>
      <w:r>
        <w:rPr>
          <w:b/>
        </w:rPr>
        <w:t>“</w:t>
      </w:r>
      <w:r>
        <w:rPr>
          <w:rStyle w:val="CharDefText"/>
        </w:rPr>
        <w:t>interstate non</w:t>
      </w:r>
      <w:r>
        <w:rPr>
          <w:rStyle w:val="CharDefText"/>
        </w:rPr>
        <w:noBreakHyphen/>
        <w:t>group employer</w:t>
      </w:r>
      <w:r>
        <w:rPr>
          <w:b/>
        </w:rPr>
        <w:t>”</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b/>
        </w:rPr>
        <w:t>“</w:t>
      </w:r>
      <w:r>
        <w:rPr>
          <w:rStyle w:val="CharDefText"/>
        </w:rPr>
        <w:t>interstate taxable wages</w:t>
      </w:r>
      <w:r>
        <w:rPr>
          <w:b/>
        </w:rPr>
        <w:t>”</w:t>
      </w:r>
      <w:r>
        <w:t xml:space="preserve"> means wages that are subject to pay</w:t>
      </w:r>
      <w:r>
        <w:noBreakHyphen/>
        <w:t>roll tax under a corresponding law;</w:t>
      </w:r>
    </w:p>
    <w:p>
      <w:pPr>
        <w:pStyle w:val="yDefstart"/>
      </w:pPr>
      <w:r>
        <w:tab/>
      </w:r>
      <w:r>
        <w:rPr>
          <w:b/>
        </w:rPr>
        <w:t>“</w:t>
      </w:r>
      <w:r>
        <w:rPr>
          <w:rStyle w:val="CharDefText"/>
        </w:rPr>
        <w:t>local non</w:t>
      </w:r>
      <w:r>
        <w:rPr>
          <w:rStyle w:val="CharDefText"/>
        </w:rPr>
        <w:noBreakHyphen/>
        <w:t>group employer</w:t>
      </w:r>
      <w:r>
        <w:rPr>
          <w:b/>
        </w:rPr>
        <w:t>”</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b/>
        </w:rPr>
        <w:t>“</w:t>
      </w:r>
      <w:r>
        <w:rPr>
          <w:rStyle w:val="CharDefText"/>
        </w:rPr>
        <w:t>monthly threshold amount</w:t>
      </w:r>
      <w:r>
        <w:rPr>
          <w:b/>
        </w:rPr>
        <w:t>”</w:t>
      </w:r>
      <w:r>
        <w:t>, in relation to a financial year, means the amount fixed as the monthly threshold amount for the financial year under section 8(2);</w:t>
      </w:r>
    </w:p>
    <w:p>
      <w:pPr>
        <w:pStyle w:val="yDefstart"/>
        <w:keepNext/>
      </w:pPr>
      <w:r>
        <w:tab/>
      </w:r>
      <w:r>
        <w:rPr>
          <w:b/>
        </w:rPr>
        <w:t>“</w:t>
      </w:r>
      <w:r>
        <w:rPr>
          <w:rStyle w:val="CharDefText"/>
        </w:rPr>
        <w:t>nominated deduction</w:t>
      </w:r>
      <w:r>
        <w:rPr>
          <w:b/>
        </w:rPr>
        <w:t>”</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b/>
        </w:rPr>
        <w:t>“</w:t>
      </w:r>
      <w:r>
        <w:rPr>
          <w:rStyle w:val="CharDefText"/>
        </w:rPr>
        <w:t>non</w:t>
      </w:r>
      <w:r>
        <w:rPr>
          <w:rStyle w:val="CharDefText"/>
        </w:rPr>
        <w:noBreakHyphen/>
        <w:t>group employer</w:t>
      </w:r>
      <w:r>
        <w:rPr>
          <w:b/>
        </w:rPr>
        <w:t>”</w:t>
      </w:r>
      <w:r>
        <w:t xml:space="preserve"> means an employer who is not a member of a group under Part 4;</w:t>
      </w:r>
    </w:p>
    <w:p>
      <w:pPr>
        <w:pStyle w:val="yDefstart"/>
      </w:pPr>
      <w:r>
        <w:tab/>
      </w:r>
      <w:r>
        <w:rPr>
          <w:b/>
        </w:rPr>
        <w:t>“</w:t>
      </w:r>
      <w:r>
        <w:rPr>
          <w:rStyle w:val="CharDefText"/>
        </w:rPr>
        <w:t>non</w:t>
      </w:r>
      <w:r>
        <w:rPr>
          <w:rStyle w:val="CharDefText"/>
        </w:rPr>
        <w:noBreakHyphen/>
        <w:t>profit organisation</w:t>
      </w:r>
      <w:r>
        <w:rPr>
          <w:b/>
        </w:rPr>
        <w:t>”</w:t>
      </w:r>
      <w:r>
        <w:t xml:space="preserve"> means body corporate, society or association formed otherwise than for the purpose of profit or gain to individual members of the body, society or association; </w:t>
      </w:r>
    </w:p>
    <w:p>
      <w:pPr>
        <w:pStyle w:val="yDefstart"/>
      </w:pPr>
      <w:r>
        <w:tab/>
      </w:r>
      <w:r>
        <w:rPr>
          <w:b/>
        </w:rPr>
        <w:t>“</w:t>
      </w:r>
      <w:r>
        <w:rPr>
          <w:rStyle w:val="CharDefText"/>
        </w:rPr>
        <w:t>‘otherwise deductible’ rule</w:t>
      </w:r>
      <w:r>
        <w:rPr>
          <w:b/>
        </w:rPr>
        <w:t>”</w:t>
      </w:r>
      <w:r>
        <w:t xml:space="preserve"> has the meaning given in clause 7(3);</w:t>
      </w:r>
    </w:p>
    <w:p>
      <w:pPr>
        <w:pStyle w:val="yDefstart"/>
        <w:keepNext/>
        <w:keepLines/>
      </w:pPr>
      <w:r>
        <w:tab/>
      </w:r>
      <w:r>
        <w:rPr>
          <w:b/>
        </w:rPr>
        <w:t>“</w:t>
      </w:r>
      <w:r>
        <w:rPr>
          <w:rStyle w:val="CharDefText"/>
        </w:rPr>
        <w:t>participant</w:t>
      </w:r>
      <w:r>
        <w:rPr>
          <w:b/>
        </w:rPr>
        <w:t>”</w:t>
      </w:r>
      <w:r>
        <w:t>, in relation to a superannuation scheme, means a person in respect of whom the fund provides for benefits that are, or are to be, funded to any extent by the employer’s contributions;</w:t>
      </w:r>
    </w:p>
    <w:p>
      <w:pPr>
        <w:pStyle w:val="yDefstart"/>
      </w:pPr>
      <w:r>
        <w:tab/>
      </w:r>
      <w:r>
        <w:rPr>
          <w:b/>
        </w:rPr>
        <w:t>“</w:t>
      </w:r>
      <w:r>
        <w:rPr>
          <w:rStyle w:val="CharDefText"/>
        </w:rPr>
        <w:t>pay</w:t>
      </w:r>
      <w:r>
        <w:rPr>
          <w:rStyle w:val="CharDefText"/>
        </w:rPr>
        <w:noBreakHyphen/>
        <w:t>roll tax</w:t>
      </w:r>
      <w:r>
        <w:rPr>
          <w:b/>
        </w:rPr>
        <w:t>”</w:t>
      </w:r>
      <w:r>
        <w:t xml:space="preserve"> means the tax imposed under the </w:t>
      </w:r>
      <w:r>
        <w:rPr>
          <w:i/>
        </w:rPr>
        <w:t>Pay</w:t>
      </w:r>
      <w:r>
        <w:rPr>
          <w:i/>
        </w:rPr>
        <w:noBreakHyphen/>
        <w:t>roll Tax Act 2002</w:t>
      </w:r>
      <w:r>
        <w:t>;</w:t>
      </w:r>
    </w:p>
    <w:p>
      <w:pPr>
        <w:pStyle w:val="yDefstart"/>
      </w:pPr>
      <w:r>
        <w:tab/>
      </w:r>
      <w:r>
        <w:rPr>
          <w:b/>
        </w:rPr>
        <w:t>“</w:t>
      </w:r>
      <w:r>
        <w:rPr>
          <w:rStyle w:val="CharDefText"/>
        </w:rPr>
        <w:t>pay</w:t>
      </w:r>
      <w:r>
        <w:rPr>
          <w:rStyle w:val="CharDefText"/>
        </w:rPr>
        <w:noBreakHyphen/>
        <w:t>roll tax Act</w:t>
      </w:r>
      <w:r>
        <w:rPr>
          <w:b/>
        </w:rPr>
        <w: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t>“</w:t>
      </w:r>
      <w:r>
        <w:rPr>
          <w:rStyle w:val="CharDefText"/>
          <w:color w:val="000000"/>
        </w:rPr>
        <w:t>pay</w:t>
      </w:r>
      <w:r>
        <w:rPr>
          <w:rStyle w:val="CharDefText"/>
          <w:color w:val="000000"/>
        </w:rPr>
        <w:noBreakHyphen/>
        <w:t>roll tax rate</w:t>
      </w:r>
      <w:r>
        <w:rPr>
          <w:b/>
          <w:color w:val="000000"/>
        </w:rPr>
        <w:t>”</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t>“</w:t>
      </w:r>
      <w:r>
        <w:rPr>
          <w:rStyle w:val="CharDefText"/>
        </w:rPr>
        <w:t>progressive return period</w:t>
      </w:r>
      <w:r>
        <w:rPr>
          <w:b/>
        </w:rPr>
        <w:t>”</w:t>
      </w:r>
      <w:r>
        <w:t xml:space="preserve"> means a period for which an employer is required by section 26, or by a condition of an exemption under section 29, to lodge a return;</w:t>
      </w:r>
    </w:p>
    <w:p>
      <w:pPr>
        <w:pStyle w:val="yDefstart"/>
      </w:pPr>
      <w:r>
        <w:tab/>
      </w:r>
      <w:r>
        <w:rPr>
          <w:b/>
        </w:rPr>
        <w:t>“</w:t>
      </w:r>
      <w:r>
        <w:rPr>
          <w:rStyle w:val="CharDefText"/>
        </w:rPr>
        <w:t>provide</w:t>
      </w:r>
      <w:r>
        <w:rPr>
          <w:b/>
        </w:rPr>
        <w:t>”</w:t>
      </w:r>
      <w:r>
        <w:t>, in relation to a fringe benefit or a specified taxable benefit, has the same definition as in section 136 of the FBTA Act;</w:t>
      </w:r>
    </w:p>
    <w:p>
      <w:pPr>
        <w:pStyle w:val="yDefstart"/>
      </w:pPr>
      <w:r>
        <w:tab/>
      </w:r>
      <w:r>
        <w:rPr>
          <w:b/>
        </w:rPr>
        <w:t>“</w:t>
      </w:r>
      <w:r>
        <w:rPr>
          <w:rStyle w:val="CharDefText"/>
        </w:rPr>
        <w:t>registered</w:t>
      </w:r>
      <w:r>
        <w:rPr>
          <w:b/>
        </w:rPr>
        <w:t>”</w:t>
      </w:r>
      <w:r>
        <w:t xml:space="preserve"> means registered as an employer under section 25;</w:t>
      </w:r>
    </w:p>
    <w:p>
      <w:pPr>
        <w:pStyle w:val="yDefstart"/>
      </w:pPr>
      <w:r>
        <w:tab/>
      </w:r>
      <w:r>
        <w:rPr>
          <w:b/>
        </w:rPr>
        <w:t>“</w:t>
      </w:r>
      <w:r>
        <w:rPr>
          <w:rStyle w:val="CharDefText"/>
        </w:rPr>
        <w:t>regulated superannuation fund</w:t>
      </w:r>
      <w:r>
        <w:rPr>
          <w:b/>
        </w:rPr>
        <w:t>”</w:t>
      </w:r>
      <w:r>
        <w:t xml:space="preserve"> has the same definition as in the </w:t>
      </w:r>
      <w:r>
        <w:rPr>
          <w:i/>
        </w:rPr>
        <w:t>Superannuation Industry (Supervision) Act 1993</w:t>
      </w:r>
      <w:r>
        <w:t xml:space="preserve"> of the Commonwealth;</w:t>
      </w:r>
    </w:p>
    <w:p>
      <w:pPr>
        <w:pStyle w:val="yDefstart"/>
      </w:pPr>
      <w:r>
        <w:tab/>
      </w:r>
      <w:r>
        <w:rPr>
          <w:b/>
        </w:rPr>
        <w:t>“</w:t>
      </w:r>
      <w:r>
        <w:rPr>
          <w:rStyle w:val="CharDefText"/>
        </w:rPr>
        <w:t>related corporation</w:t>
      </w:r>
      <w:r>
        <w:rPr>
          <w:b/>
        </w:rPr>
        <w:t>”</w:t>
      </w:r>
      <w:r>
        <w:t>, in relation to a second corporation, means a corporation that is related to the second corporation within the meaning of section 50 of the Corporations Act;</w:t>
      </w:r>
    </w:p>
    <w:p>
      <w:pPr>
        <w:pStyle w:val="yDefstart"/>
      </w:pPr>
      <w:r>
        <w:tab/>
      </w:r>
      <w:r>
        <w:rPr>
          <w:b/>
        </w:rPr>
        <w:t>“</w:t>
      </w:r>
      <w:r>
        <w:rPr>
          <w:rStyle w:val="CharDefText"/>
        </w:rPr>
        <w:t>remote location</w:t>
      </w:r>
      <w:r>
        <w:rPr>
          <w:b/>
        </w:rPr>
        <w:t>”</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b/>
        </w:rPr>
        <w:t>“</w:t>
      </w:r>
      <w:r>
        <w:rPr>
          <w:rStyle w:val="CharDefText"/>
        </w:rPr>
        <w:t>return</w:t>
      </w:r>
      <w:r>
        <w:rPr>
          <w:b/>
        </w:rPr>
        <w:t>”</w:t>
      </w:r>
      <w:r>
        <w:t xml:space="preserve"> means a return lodged under this Act;</w:t>
      </w:r>
    </w:p>
    <w:p>
      <w:pPr>
        <w:pStyle w:val="yDefstart"/>
      </w:pPr>
      <w:r>
        <w:tab/>
      </w:r>
      <w:r>
        <w:rPr>
          <w:b/>
        </w:rPr>
        <w:t>“</w:t>
      </w:r>
      <w:r>
        <w:rPr>
          <w:rStyle w:val="CharDefText"/>
        </w:rPr>
        <w:t>return period</w:t>
      </w:r>
      <w:r>
        <w:rPr>
          <w:b/>
        </w:rPr>
        <w:t>”</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yDefpara"/>
      </w:pPr>
      <w:r>
        <w:tab/>
        <w:t>(c)</w:t>
      </w:r>
      <w:r>
        <w:tab/>
        <w:t>if the employer is exempt under section 29 from lodging monthly returns, but no alternative return period is specified in the notice of exemption — an assessment year;</w:t>
      </w:r>
    </w:p>
    <w:p>
      <w:pPr>
        <w:pStyle w:val="yDefstart"/>
      </w:pPr>
      <w:r>
        <w:tab/>
      </w:r>
      <w:r>
        <w:rPr>
          <w:b/>
        </w:rPr>
        <w:t>“</w:t>
      </w:r>
      <w:r>
        <w:rPr>
          <w:rStyle w:val="CharDefText"/>
        </w:rPr>
        <w:t>smaller group</w:t>
      </w:r>
      <w:r>
        <w:rPr>
          <w:b/>
        </w:rPr>
        <w:t>”</w:t>
      </w:r>
      <w:r>
        <w:t>, for the purposes of section 36, has the meaning given in that section;</w:t>
      </w:r>
    </w:p>
    <w:p>
      <w:pPr>
        <w:pStyle w:val="yDefstart"/>
      </w:pPr>
      <w:r>
        <w:tab/>
      </w:r>
      <w:r>
        <w:rPr>
          <w:b/>
        </w:rPr>
        <w:t>“</w:t>
      </w:r>
      <w:r>
        <w:rPr>
          <w:rStyle w:val="CharDefText"/>
        </w:rPr>
        <w:t>specified exempt allowance</w:t>
      </w:r>
      <w:r>
        <w:rPr>
          <w:b/>
        </w:rPr>
        <w:t>”</w:t>
      </w:r>
      <w:r>
        <w:t xml:space="preserve"> means an allowance prescribed under section 45(2)(c);</w:t>
      </w:r>
    </w:p>
    <w:p>
      <w:pPr>
        <w:pStyle w:val="yDefstart"/>
      </w:pPr>
      <w:r>
        <w:tab/>
      </w:r>
      <w:r>
        <w:rPr>
          <w:b/>
        </w:rPr>
        <w:t>“</w:t>
      </w:r>
      <w:r>
        <w:rPr>
          <w:rStyle w:val="CharDefText"/>
        </w:rPr>
        <w:t>specified taxable benefit</w:t>
      </w:r>
      <w:r>
        <w:rPr>
          <w:b/>
        </w:rPr>
        <w:t>”</w:t>
      </w:r>
      <w:r>
        <w:t xml:space="preserve"> means a benefit prescribed under section 45(2)(b);</w:t>
      </w:r>
    </w:p>
    <w:p>
      <w:pPr>
        <w:pStyle w:val="yDefstart"/>
      </w:pPr>
      <w:r>
        <w:tab/>
      </w:r>
      <w:r>
        <w:rPr>
          <w:b/>
        </w:rPr>
        <w:t>“</w:t>
      </w:r>
      <w:r>
        <w:rPr>
          <w:rStyle w:val="CharDefText"/>
        </w:rPr>
        <w:t>State</w:t>
      </w:r>
      <w:r>
        <w:rPr>
          <w:b/>
        </w:rPr>
        <w:t>”</w:t>
      </w:r>
      <w:r>
        <w:t xml:space="preserve"> means a State or a Territory;</w:t>
      </w:r>
    </w:p>
    <w:p>
      <w:pPr>
        <w:pStyle w:val="yDefstart"/>
      </w:pPr>
      <w:r>
        <w:tab/>
      </w:r>
      <w:r>
        <w:rPr>
          <w:b/>
        </w:rPr>
        <w:t>“</w:t>
      </w:r>
      <w:r>
        <w:rPr>
          <w:rStyle w:val="CharDefText"/>
        </w:rPr>
        <w:t>superannuation fund</w:t>
      </w:r>
      <w:r>
        <w:rPr>
          <w:b/>
        </w:rPr>
        <w:t>”</w:t>
      </w:r>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r>
        <w:tab/>
      </w:r>
      <w:r>
        <w:tab/>
        <w:t xml:space="preserve">and includes the Superannuation Holding Accounts Reserve established by the </w:t>
      </w:r>
      <w:r>
        <w:rPr>
          <w:i/>
        </w:rPr>
        <w:t>Small Superannuation Accounts Act 1995</w:t>
      </w:r>
      <w:r>
        <w:t xml:space="preserve"> of the Commonwealth;</w:t>
      </w:r>
    </w:p>
    <w:p>
      <w:pPr>
        <w:pStyle w:val="yDefstart"/>
      </w:pPr>
      <w:r>
        <w:tab/>
      </w:r>
      <w:r>
        <w:rPr>
          <w:b/>
        </w:rPr>
        <w:t>“</w:t>
      </w:r>
      <w:r>
        <w:rPr>
          <w:rStyle w:val="CharDefText"/>
        </w:rPr>
        <w:t>superannuation guarantee charge</w:t>
      </w:r>
      <w:r>
        <w:rPr>
          <w:b/>
        </w:rPr>
        <w:t>”</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tab/>
      </w:r>
      <w:r>
        <w:rPr>
          <w:b/>
        </w:rPr>
        <w:t>“</w:t>
      </w:r>
      <w:r>
        <w:rPr>
          <w:rStyle w:val="CharDefText"/>
        </w:rPr>
        <w:t>superannuation scheme</w:t>
      </w:r>
      <w:r>
        <w:rPr>
          <w:b/>
        </w:rPr>
        <w:t>”</w:t>
      </w:r>
      <w:r>
        <w:t xml:space="preserve"> includes a provident or retirement fund or scheme;</w:t>
      </w:r>
    </w:p>
    <w:p>
      <w:pPr>
        <w:pStyle w:val="yDefstart"/>
      </w:pPr>
      <w:r>
        <w:tab/>
      </w:r>
      <w:r>
        <w:rPr>
          <w:b/>
        </w:rPr>
        <w:t>“</w:t>
      </w:r>
      <w:r>
        <w:rPr>
          <w:rStyle w:val="CharDefText"/>
        </w:rPr>
        <w:t>taxes</w:t>
      </w:r>
      <w:r>
        <w:rPr>
          <w:b/>
        </w:rPr>
        <w:t>”</w:t>
      </w:r>
      <w:r>
        <w:t>, for the purposes of section 42 or 43, has the meaning given in the respective section;</w:t>
      </w:r>
    </w:p>
    <w:p>
      <w:pPr>
        <w:pStyle w:val="yDefstart"/>
      </w:pPr>
      <w:r>
        <w:tab/>
      </w:r>
      <w:r>
        <w:rPr>
          <w:b/>
        </w:rPr>
        <w:t>“</w:t>
      </w:r>
      <w:r>
        <w:rPr>
          <w:rStyle w:val="CharDefText"/>
        </w:rPr>
        <w:t>tax</w:t>
      </w:r>
      <w:r>
        <w:rPr>
          <w:rStyle w:val="CharDefText"/>
        </w:rPr>
        <w:noBreakHyphen/>
        <w:t>reducing arrangement</w:t>
      </w:r>
      <w:r>
        <w:rPr>
          <w:b/>
        </w:rPr>
        <w:t>”</w:t>
      </w:r>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b/>
        </w:rPr>
        <w:t>“</w:t>
      </w:r>
      <w:r>
        <w:rPr>
          <w:rStyle w:val="CharDefText"/>
        </w:rPr>
        <w:t>Territory</w:t>
      </w:r>
      <w:r>
        <w:rPr>
          <w:b/>
        </w:rPr>
        <w:t>”</w:t>
      </w:r>
      <w:r>
        <w:t xml:space="preserve"> means the Australian Capital Territory, the Jervis Bay Territory or the Northern Territory;</w:t>
      </w:r>
    </w:p>
    <w:p>
      <w:pPr>
        <w:pStyle w:val="yDefstart"/>
      </w:pPr>
      <w:r>
        <w:tab/>
      </w:r>
      <w:r>
        <w:rPr>
          <w:b/>
        </w:rPr>
        <w:t>“</w:t>
      </w:r>
      <w:r>
        <w:rPr>
          <w:rStyle w:val="CharDefText"/>
        </w:rPr>
        <w:t>trustee</w:t>
      </w:r>
      <w:r>
        <w:rPr>
          <w:b/>
        </w:rPr>
        <w:t>”</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b/>
        </w:rPr>
        <w:t>“</w:t>
      </w:r>
      <w:r>
        <w:rPr>
          <w:rStyle w:val="CharDefText"/>
        </w:rPr>
        <w:t>unfunded public sector superannuation scheme</w:t>
      </w:r>
      <w:r>
        <w:rPr>
          <w:b/>
        </w:rPr>
        <w:t>”</w:t>
      </w:r>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r>
        <w:rPr>
          <w:b/>
        </w:rPr>
        <w:t>“</w:t>
      </w:r>
      <w:r>
        <w:rPr>
          <w:rStyle w:val="CharDefText"/>
        </w:rPr>
        <w:t>value</w:t>
      </w:r>
      <w:r>
        <w:rPr>
          <w:b/>
        </w:rPr>
        <w:t>”</w:t>
      </w:r>
      <w:r>
        <w:t xml:space="preserve"> — </w:t>
      </w:r>
    </w:p>
    <w:p>
      <w:pPr>
        <w:pStyle w:val="yDefpara"/>
      </w:pPr>
      <w:r>
        <w:tab/>
        <w:t>(a)</w:t>
      </w:r>
      <w:r>
        <w:tab/>
        <w:t>in relation to a beneficial interest in a discretionary trust, has the meaning given in section 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r>
        <w:rPr>
          <w:b/>
        </w:rPr>
        <w:t>“</w:t>
      </w:r>
      <w:r>
        <w:rPr>
          <w:rStyle w:val="CharDefText"/>
        </w:rPr>
        <w:t>voting share</w:t>
      </w:r>
      <w:r>
        <w:rPr>
          <w:b/>
        </w:rPr>
        <w:t>”</w:t>
      </w:r>
      <w:r>
        <w:t xml:space="preserve"> has the definition given by section 9 of the Corporations Act;</w:t>
      </w:r>
    </w:p>
    <w:p>
      <w:pPr>
        <w:pStyle w:val="yDefstart"/>
      </w:pPr>
      <w:r>
        <w:tab/>
      </w:r>
      <w:r>
        <w:rPr>
          <w:b/>
        </w:rPr>
        <w:t>“</w:t>
      </w:r>
      <w:r>
        <w:rPr>
          <w:rStyle w:val="CharDefText"/>
        </w:rPr>
        <w:t>wages</w:t>
      </w:r>
      <w:r>
        <w:rPr>
          <w:b/>
        </w:rPr>
        <w:t>”</w:t>
      </w:r>
      <w:r>
        <w:t xml:space="preserve"> has the definition given in clause 2;</w:t>
      </w:r>
    </w:p>
    <w:p>
      <w:pPr>
        <w:pStyle w:val="yDefstart"/>
      </w:pPr>
      <w:r>
        <w:tab/>
      </w:r>
      <w:r>
        <w:rPr>
          <w:b/>
        </w:rPr>
        <w:t>“</w:t>
      </w:r>
      <w:r>
        <w:rPr>
          <w:rStyle w:val="CharDefText"/>
        </w:rPr>
        <w:t>WA taxable wages</w:t>
      </w:r>
      <w:r>
        <w:rPr>
          <w:b/>
        </w:rPr>
        <w:t>”</w:t>
      </w:r>
      <w:r>
        <w:t xml:space="preserve"> means wages that are taxable in Western Australia under section 5(2);</w:t>
      </w:r>
    </w:p>
    <w:p>
      <w:pPr>
        <w:pStyle w:val="yDefstart"/>
      </w:pPr>
      <w:r>
        <w:tab/>
      </w:r>
      <w:r>
        <w:rPr>
          <w:b/>
        </w:rPr>
        <w:t>“</w:t>
      </w:r>
      <w:r>
        <w:rPr>
          <w:rStyle w:val="CharDefText"/>
        </w:rPr>
        <w:t>work</w:t>
      </w:r>
      <w:r>
        <w:rPr>
          <w:rStyle w:val="CharDefText"/>
        </w:rPr>
        <w:noBreakHyphen/>
        <w:t>related benefit</w:t>
      </w:r>
      <w:r>
        <w:rPr>
          <w:b/>
        </w:rPr>
        <w:t>”</w:t>
      </w:r>
      <w:r>
        <w:t xml:space="preserve"> means a benefit that is provided to an employee in the course of carrying out the duties of his or her employment and for the purpose of enabling the employee to carry out those duties.</w:t>
      </w:r>
    </w:p>
    <w:p>
      <w:pPr>
        <w:pStyle w:val="yFootnotesection"/>
      </w:pPr>
      <w:r>
        <w:tab/>
        <w:t>[Clause 1 amended by No. 40 of 2003 s. 26 and 28(1); No. 82 of 2004 s. 6.]</w:t>
      </w:r>
    </w:p>
    <w:p>
      <w:pPr>
        <w:pStyle w:val="yHeading5"/>
        <w:outlineLvl w:val="9"/>
      </w:pPr>
      <w:bookmarkStart w:id="57" w:name="_Toc389741175"/>
      <w:r>
        <w:t>2.</w:t>
      </w:r>
      <w:r>
        <w:tab/>
        <w:t>Wages — meaning</w:t>
      </w:r>
      <w:bookmarkEnd w:id="57"/>
    </w:p>
    <w:p>
      <w:pPr>
        <w:pStyle w:val="ySubsection"/>
      </w:pPr>
      <w:r>
        <w:tab/>
        <w:t>(1)</w:t>
      </w:r>
      <w:r>
        <w:tab/>
        <w:t>In a pay</w:t>
      </w:r>
      <w:r>
        <w:noBreakHyphen/>
        <w:t>roll tax Act, unless the contrary intention appears —</w:t>
      </w:r>
    </w:p>
    <w:p>
      <w:pPr>
        <w:pStyle w:val="yDefstart"/>
      </w:pPr>
      <w:r>
        <w:tab/>
      </w:r>
      <w:r>
        <w:rPr>
          <w:b/>
        </w:rPr>
        <w:t>“</w:t>
      </w:r>
      <w:r>
        <w:rPr>
          <w:rStyle w:val="CharDefText"/>
        </w:rPr>
        <w:t>wages</w:t>
      </w:r>
      <w:r>
        <w:rPr>
          <w:b/>
        </w:rPr>
        <w:t>”</w:t>
      </w:r>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 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r>
        <w:rPr>
          <w:b/>
        </w:rPr>
        <w:t>“</w:t>
      </w:r>
      <w:r>
        <w:rPr>
          <w:rStyle w:val="CharDefText"/>
          <w:color w:val="000000"/>
        </w:rPr>
        <w:t>retiree</w:t>
      </w:r>
      <w:r>
        <w:rPr>
          <w:b/>
        </w:rPr>
        <w:t>”</w:t>
      </w:r>
      <w:r>
        <w:t>),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 2 amended by No. 40 of 2003 s. 28(2).]</w:t>
      </w:r>
    </w:p>
    <w:p>
      <w:pPr>
        <w:pStyle w:val="yHeading5"/>
        <w:outlineLvl w:val="9"/>
      </w:pPr>
      <w:bookmarkStart w:id="58" w:name="_Toc389741176"/>
      <w:r>
        <w:t>3.</w:t>
      </w:r>
      <w:r>
        <w:tab/>
        <w:t>GST excluded from wages</w:t>
      </w:r>
      <w:bookmarkEnd w:id="58"/>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 xml:space="preserve">In subclause (1) — </w:t>
      </w:r>
    </w:p>
    <w:p>
      <w:pPr>
        <w:pStyle w:val="yDefstart"/>
      </w:pPr>
      <w:r>
        <w:tab/>
      </w:r>
      <w:r>
        <w:rPr>
          <w:b/>
        </w:rPr>
        <w:t>“</w:t>
      </w:r>
      <w:r>
        <w:rPr>
          <w:rStyle w:val="CharDefText"/>
        </w:rPr>
        <w:t>consideration</w:t>
      </w:r>
      <w:r>
        <w:rPr>
          <w:b/>
        </w:rPr>
        <w:t>”</w:t>
      </w:r>
      <w:r>
        <w:t xml:space="preserve"> has the same meaning as in the </w:t>
      </w:r>
      <w:r>
        <w:rPr>
          <w:i/>
        </w:rPr>
        <w:t xml:space="preserve">A New Tax System (Goods and Services Tax) Act 1999 </w:t>
      </w:r>
      <w:r>
        <w:t>of the Commonwealth;</w:t>
      </w:r>
    </w:p>
    <w:p>
      <w:pPr>
        <w:pStyle w:val="yDefstart"/>
      </w:pPr>
      <w:r>
        <w:tab/>
      </w:r>
      <w:r>
        <w:rPr>
          <w:b/>
        </w:rPr>
        <w:t>“</w:t>
      </w:r>
      <w:r>
        <w:rPr>
          <w:rStyle w:val="CharDefText"/>
        </w:rPr>
        <w:t>relevant proportion</w:t>
      </w:r>
      <w:r>
        <w:rPr>
          <w:b/>
        </w:rPr>
        <w:t>”</w:t>
      </w:r>
      <w:r>
        <w:t>, in relation to GST payable on a supply to which wages relate, means the proportion that the amount or value of the wages bears to the consideration for the supply to which the wages relate.</w:t>
      </w:r>
    </w:p>
    <w:p>
      <w:pPr>
        <w:pStyle w:val="yHeading5"/>
        <w:outlineLvl w:val="9"/>
      </w:pPr>
      <w:bookmarkStart w:id="59" w:name="_Toc389741177"/>
      <w:r>
        <w:t>4.</w:t>
      </w:r>
      <w:r>
        <w:tab/>
        <w:t>Place of payment of wages</w:t>
      </w:r>
      <w:bookmarkEnd w:id="59"/>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60" w:name="_Toc389741178"/>
      <w:r>
        <w:t>5.</w:t>
      </w:r>
      <w:r>
        <w:tab/>
        <w:t>Provider of fringe benefits or specified taxable benefits</w:t>
      </w:r>
      <w:bookmarkEnd w:id="60"/>
    </w:p>
    <w:p>
      <w:pPr>
        <w:pStyle w:val="ySubsection"/>
      </w:pPr>
      <w:r>
        <w:tab/>
        <w:t>(1)</w:t>
      </w:r>
      <w:r>
        <w:tab/>
        <w:t>A fringe benefit that is provided or liable to be provided by a person other than the employer is taken to be provided by the employer.</w:t>
      </w:r>
    </w:p>
    <w:p>
      <w:pPr>
        <w:pStyle w:val="ySubsection"/>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61" w:name="_Toc389741179"/>
      <w:r>
        <w:t>6.</w:t>
      </w:r>
      <w:r>
        <w:tab/>
        <w:t>Value of wages paid in kind and other benefits</w:t>
      </w:r>
      <w:bookmarkEnd w:id="61"/>
    </w:p>
    <w:p>
      <w:pPr>
        <w:pStyle w:val="ySubsection"/>
      </w:pPr>
      <w:r>
        <w:tab/>
        <w:t>(1)</w:t>
      </w:r>
      <w:r>
        <w:tab/>
        <w:t>The value of wages (except fringe benefits or specified taxable benefits) that are paid or payable in kind is the greater of —</w:t>
      </w:r>
    </w:p>
    <w:p>
      <w:pPr>
        <w:pStyle w:val="yIndenta"/>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62" w:name="_Toc389741180"/>
      <w:r>
        <w:t>7.</w:t>
      </w:r>
      <w:r>
        <w:tab/>
        <w:t>The value of fringe benefits</w:t>
      </w:r>
      <w:bookmarkEnd w:id="62"/>
    </w:p>
    <w:p>
      <w:pPr>
        <w:pStyle w:val="ySubsection"/>
        <w:rPr>
          <w:snapToGrid w:val="0"/>
        </w:rPr>
      </w:pPr>
      <w:r>
        <w:tab/>
        <w:t>(1)</w:t>
      </w:r>
      <w:r>
        <w:tab/>
      </w:r>
      <w:r>
        <w:rPr>
          <w:snapToGrid w:val="0"/>
        </w:rPr>
        <w:t>The value of a fringe benefit is — </w:t>
      </w:r>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 xml:space="preserve">up value of a fringe benefit is G in the formula — </w:t>
      </w:r>
    </w:p>
    <w:p>
      <w:pPr>
        <w:pStyle w:val="ySubsection"/>
        <w:rPr>
          <w:snapToGrid w:val="0"/>
        </w:rPr>
      </w:pPr>
      <w:r>
        <w:rPr>
          <w:snapToGrid w:val="0"/>
        </w:rPr>
        <w:tab/>
      </w:r>
      <w:r>
        <w:rPr>
          <w:snapToGrid w:val="0"/>
        </w:rPr>
        <w:tab/>
      </w:r>
      <w:r>
        <w:rPr>
          <w:noProof/>
          <w:position w:val="-6"/>
        </w:rPr>
        <w:drawing>
          <wp:inline distT="0" distB="0" distL="0" distR="0">
            <wp:extent cx="650875" cy="1752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50875" cy="175260"/>
                    </a:xfrm>
                    <a:prstGeom prst="rect">
                      <a:avLst/>
                    </a:prstGeom>
                    <a:noFill/>
                    <a:ln>
                      <a:noFill/>
                    </a:ln>
                  </pic:spPr>
                </pic:pic>
              </a:graphicData>
            </a:graphic>
          </wp:inline>
        </w:drawing>
      </w:r>
    </w:p>
    <w:p>
      <w:pPr>
        <w:pStyle w:val="ySubsection"/>
        <w:rPr>
          <w:snapToGrid w:val="0"/>
        </w:rPr>
      </w:pPr>
      <w:r>
        <w:rPr>
          <w:snapToGrid w:val="0"/>
        </w:rPr>
        <w:tab/>
      </w:r>
      <w:r>
        <w:rPr>
          <w:snapToGrid w:val="0"/>
        </w:rPr>
        <w:tab/>
        <w:t xml:space="preserve">where — </w:t>
      </w:r>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pPr>
      <w:r>
        <w:tab/>
        <w:t>F</w:t>
      </w:r>
      <w:r>
        <w:tab/>
        <w:t>is the factor by which —</w:t>
      </w:r>
    </w:p>
    <w:p>
      <w:pPr>
        <w:pStyle w:val="yIndenti0"/>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63" w:name="_Toc389741181"/>
      <w:r>
        <w:t>8.</w:t>
      </w:r>
      <w:r>
        <w:tab/>
        <w:t>Superannuation benefits</w:t>
      </w:r>
      <w:bookmarkEnd w:id="63"/>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64" w:name="_Toc389741182"/>
      <w:r>
        <w:t>9.</w:t>
      </w:r>
      <w:r>
        <w:tab/>
        <w:t>Superannuation fund contributions</w:t>
      </w:r>
      <w:bookmarkEnd w:id="64"/>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65" w:name="_Toc389741183"/>
      <w:r>
        <w:t>10.</w:t>
      </w:r>
      <w:r>
        <w:tab/>
      </w:r>
      <w:r>
        <w:rPr>
          <w:rStyle w:val="CharSectno"/>
        </w:rPr>
        <w:t>Contributions to defined superannuation benefit schemes</w:t>
      </w:r>
      <w:bookmarkEnd w:id="65"/>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 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66" w:name="_Toc389741184"/>
      <w:r>
        <w:t>11.</w:t>
      </w:r>
      <w:r>
        <w:tab/>
        <w:t>Unfunded credit to certain unregulated schemes</w:t>
      </w:r>
      <w:bookmarkEnd w:id="66"/>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 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67" w:name="_Toc389741185"/>
      <w:r>
        <w:t>12.</w:t>
      </w:r>
      <w:r>
        <w:tab/>
        <w:t>Superannuation guarantee charge</w:t>
      </w:r>
      <w:bookmarkEnd w:id="67"/>
    </w:p>
    <w:p>
      <w:pPr>
        <w:pStyle w:val="ySubsection"/>
      </w:pPr>
      <w:r>
        <w:tab/>
        <w:t>(1)</w:t>
      </w:r>
      <w:r>
        <w:tab/>
        <w:t>If any superannuation guarantee charge payable by an employer is imposed in a return period, a contribution of the amount of the charge is taken, for the purposes of clause 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 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pStyle w:val="yFootnotesection"/>
      </w:pPr>
      <w:r>
        <w:tab/>
        <w:t>[Glossary amended by No. 40 of 2003 s. 26 and 28.]</w:t>
      </w:r>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pPr>
      <w:bookmarkStart w:id="68" w:name="_Toc389741186"/>
      <w:r>
        <w:t>Notes</w:t>
      </w:r>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9" w:name="_Toc389741187"/>
      <w:r>
        <w:rPr>
          <w:snapToGrid w:val="0"/>
        </w:rP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Pay-roll Tax Assessment Act 2002</w:t>
            </w:r>
          </w:p>
        </w:tc>
        <w:tc>
          <w:tcPr>
            <w:tcW w:w="1134" w:type="dxa"/>
            <w:tcBorders>
              <w:top w:val="single" w:sz="4" w:space="0" w:color="auto"/>
            </w:tcBorders>
          </w:tcPr>
          <w:p>
            <w:pPr>
              <w:pStyle w:val="nTable"/>
              <w:spacing w:before="100"/>
              <w:rPr>
                <w:sz w:val="19"/>
              </w:rPr>
            </w:pPr>
            <w:r>
              <w:rPr>
                <w:sz w:val="19"/>
              </w:rPr>
              <w:t>48 of 2002</w:t>
            </w:r>
          </w:p>
        </w:tc>
        <w:tc>
          <w:tcPr>
            <w:tcW w:w="1134" w:type="dxa"/>
            <w:tcBorders>
              <w:top w:val="single" w:sz="4" w:space="0" w:color="auto"/>
            </w:tcBorders>
          </w:tcPr>
          <w:p>
            <w:pPr>
              <w:pStyle w:val="nTable"/>
              <w:spacing w:before="100"/>
              <w:rPr>
                <w:sz w:val="19"/>
              </w:rPr>
            </w:pPr>
            <w:r>
              <w:rPr>
                <w:sz w:val="19"/>
              </w:rPr>
              <w:t>20 Mar 2003</w:t>
            </w:r>
          </w:p>
        </w:tc>
        <w:tc>
          <w:tcPr>
            <w:tcW w:w="2552" w:type="dxa"/>
            <w:tcBorders>
              <w:top w:val="single" w:sz="4" w:space="0" w:color="auto"/>
            </w:tcBorders>
          </w:tcPr>
          <w:p>
            <w:pPr>
              <w:pStyle w:val="nTable"/>
              <w:spacing w:before="10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100"/>
              <w:rPr>
                <w:i/>
                <w:noProof/>
                <w:snapToGrid w:val="0"/>
                <w:sz w:val="19"/>
              </w:rPr>
            </w:pPr>
            <w:r>
              <w:rPr>
                <w:i/>
                <w:noProof/>
                <w:snapToGrid w:val="0"/>
                <w:sz w:val="19"/>
              </w:rPr>
              <w:t>Business Tax Review (Assessment) Act 2003</w:t>
            </w:r>
          </w:p>
          <w:p>
            <w:pPr>
              <w:pStyle w:val="nTable"/>
              <w:spacing w:before="0"/>
              <w:rPr>
                <w:noProof/>
                <w:snapToGrid w:val="0"/>
                <w:sz w:val="19"/>
              </w:rPr>
            </w:pPr>
            <w:r>
              <w:rPr>
                <w:noProof/>
                <w:snapToGrid w:val="0"/>
                <w:sz w:val="19"/>
              </w:rPr>
              <w:t>Pt. 4</w:t>
            </w:r>
            <w:r>
              <w:rPr>
                <w:noProof/>
                <w:snapToGrid w:val="0"/>
                <w:sz w:val="19"/>
              </w:rPr>
              <w:noBreakHyphen/>
              <w:t>5</w:t>
            </w:r>
          </w:p>
        </w:tc>
        <w:tc>
          <w:tcPr>
            <w:tcW w:w="1134" w:type="dxa"/>
          </w:tcPr>
          <w:p>
            <w:pPr>
              <w:pStyle w:val="nTable"/>
              <w:spacing w:before="100"/>
              <w:rPr>
                <w:sz w:val="19"/>
              </w:rPr>
            </w:pPr>
            <w:r>
              <w:rPr>
                <w:sz w:val="19"/>
              </w:rPr>
              <w:t>40 of 2003</w:t>
            </w:r>
          </w:p>
        </w:tc>
        <w:tc>
          <w:tcPr>
            <w:tcW w:w="1134" w:type="dxa"/>
          </w:tcPr>
          <w:p>
            <w:pPr>
              <w:pStyle w:val="nTable"/>
              <w:spacing w:before="100"/>
              <w:rPr>
                <w:sz w:val="19"/>
              </w:rPr>
            </w:pPr>
            <w:r>
              <w:rPr>
                <w:sz w:val="19"/>
              </w:rPr>
              <w:t>30 Jun 2003</w:t>
            </w:r>
          </w:p>
        </w:tc>
        <w:tc>
          <w:tcPr>
            <w:tcW w:w="2552" w:type="dxa"/>
          </w:tcPr>
          <w:p>
            <w:pPr>
              <w:pStyle w:val="nTable"/>
              <w:spacing w:before="100"/>
              <w:rPr>
                <w:sz w:val="19"/>
              </w:rPr>
            </w:pPr>
            <w:r>
              <w:rPr>
                <w:sz w:val="19"/>
              </w:rPr>
              <w:t>1 Jul 2003 (see s. 2(1))</w:t>
            </w:r>
          </w:p>
        </w:tc>
      </w:tr>
      <w:tr>
        <w:tc>
          <w:tcPr>
            <w:tcW w:w="2268" w:type="dxa"/>
          </w:tcPr>
          <w:p>
            <w:pPr>
              <w:pStyle w:val="nTable"/>
              <w:spacing w:before="10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100"/>
              <w:rPr>
                <w:sz w:val="19"/>
              </w:rPr>
            </w:pPr>
            <w:r>
              <w:rPr>
                <w:sz w:val="19"/>
              </w:rPr>
              <w:t>12 of 2004</w:t>
            </w:r>
          </w:p>
        </w:tc>
        <w:tc>
          <w:tcPr>
            <w:tcW w:w="1134" w:type="dxa"/>
          </w:tcPr>
          <w:p>
            <w:pPr>
              <w:pStyle w:val="nTable"/>
              <w:spacing w:before="100"/>
              <w:rPr>
                <w:sz w:val="19"/>
              </w:rPr>
            </w:pPr>
            <w:r>
              <w:rPr>
                <w:sz w:val="19"/>
              </w:rPr>
              <w:t>29 Jun 2004</w:t>
            </w:r>
          </w:p>
        </w:tc>
        <w:tc>
          <w:tcPr>
            <w:tcW w:w="2552" w:type="dxa"/>
          </w:tcPr>
          <w:p>
            <w:pPr>
              <w:pStyle w:val="nTable"/>
              <w:spacing w:before="100"/>
              <w:rPr>
                <w:sz w:val="19"/>
              </w:rPr>
            </w:pPr>
            <w:r>
              <w:rPr>
                <w:sz w:val="19"/>
              </w:rPr>
              <w:t>29 Jun 2004 (see s. 2(1))</w:t>
            </w:r>
          </w:p>
        </w:tc>
      </w:tr>
      <w:tr>
        <w:tc>
          <w:tcPr>
            <w:tcW w:w="2268" w:type="dxa"/>
          </w:tcPr>
          <w:p>
            <w:pPr>
              <w:pStyle w:val="nTable"/>
              <w:spacing w:before="100"/>
              <w:rPr>
                <w:i/>
                <w:noProof/>
                <w:snapToGrid w:val="0"/>
                <w:sz w:val="19"/>
              </w:rPr>
            </w:pPr>
            <w:r>
              <w:rPr>
                <w:i/>
                <w:sz w:val="19"/>
              </w:rPr>
              <w:t xml:space="preserve">Revenue Laws Amendment (Tax Relief) Act 2004 </w:t>
            </w:r>
            <w:r>
              <w:rPr>
                <w:iCs/>
                <w:sz w:val="19"/>
              </w:rPr>
              <w:t>Pt. 2 Div. 1 and 2 </w:t>
            </w:r>
            <w:r>
              <w:rPr>
                <w:iCs/>
                <w:sz w:val="19"/>
                <w:vertAlign w:val="superscript"/>
              </w:rPr>
              <w:t>3</w:t>
            </w:r>
          </w:p>
        </w:tc>
        <w:tc>
          <w:tcPr>
            <w:tcW w:w="1134" w:type="dxa"/>
          </w:tcPr>
          <w:p>
            <w:pPr>
              <w:pStyle w:val="nTable"/>
              <w:spacing w:before="100"/>
              <w:rPr>
                <w:sz w:val="19"/>
              </w:rPr>
            </w:pPr>
            <w:r>
              <w:rPr>
                <w:sz w:val="19"/>
              </w:rPr>
              <w:t>82 of 2004</w:t>
            </w:r>
          </w:p>
        </w:tc>
        <w:tc>
          <w:tcPr>
            <w:tcW w:w="1134" w:type="dxa"/>
          </w:tcPr>
          <w:p>
            <w:pPr>
              <w:pStyle w:val="nTable"/>
              <w:spacing w:before="100"/>
              <w:rPr>
                <w:sz w:val="19"/>
              </w:rPr>
            </w:pPr>
            <w:r>
              <w:rPr>
                <w:sz w:val="19"/>
              </w:rPr>
              <w:t>8 Dec 2004</w:t>
            </w:r>
          </w:p>
        </w:tc>
        <w:tc>
          <w:tcPr>
            <w:tcW w:w="2552" w:type="dxa"/>
          </w:tcPr>
          <w:p>
            <w:pPr>
              <w:pStyle w:val="nTable"/>
              <w:spacing w:before="100"/>
              <w:rPr>
                <w:sz w:val="19"/>
              </w:rPr>
            </w:pPr>
            <w:r>
              <w:rPr>
                <w:iCs/>
                <w:spacing w:val="-2"/>
                <w:sz w:val="19"/>
              </w:rPr>
              <w:t>Pt. 2 Div. 1 &amp; 2: 1 Jan 2005 (see s. 2(2))</w:t>
            </w:r>
          </w:p>
        </w:tc>
      </w:tr>
      <w:tr>
        <w:tc>
          <w:tcPr>
            <w:tcW w:w="2268" w:type="dxa"/>
            <w:tcBorders>
              <w:bottom w:val="single" w:sz="4" w:space="0" w:color="auto"/>
            </w:tcBorders>
          </w:tcPr>
          <w:p>
            <w:pPr>
              <w:pStyle w:val="nTable"/>
              <w:spacing w:before="100"/>
              <w:rPr>
                <w:iCs/>
                <w:sz w:val="19"/>
              </w:rPr>
            </w:pPr>
            <w:r>
              <w:rPr>
                <w:i/>
                <w:sz w:val="19"/>
              </w:rPr>
              <w:t>Revenue Laws Amendment Act 2005</w:t>
            </w:r>
            <w:r>
              <w:rPr>
                <w:iCs/>
                <w:sz w:val="19"/>
              </w:rPr>
              <w:t xml:space="preserve"> Pt. 2</w:t>
            </w:r>
          </w:p>
        </w:tc>
        <w:tc>
          <w:tcPr>
            <w:tcW w:w="1134" w:type="dxa"/>
            <w:tcBorders>
              <w:bottom w:val="single" w:sz="4" w:space="0" w:color="auto"/>
            </w:tcBorders>
          </w:tcPr>
          <w:p>
            <w:pPr>
              <w:pStyle w:val="nTable"/>
              <w:spacing w:before="100"/>
              <w:rPr>
                <w:sz w:val="19"/>
              </w:rPr>
            </w:pPr>
            <w:r>
              <w:rPr>
                <w:sz w:val="19"/>
              </w:rPr>
              <w:t>11 of 2005</w:t>
            </w:r>
          </w:p>
        </w:tc>
        <w:tc>
          <w:tcPr>
            <w:tcW w:w="1134" w:type="dxa"/>
            <w:tcBorders>
              <w:bottom w:val="single" w:sz="4" w:space="0" w:color="auto"/>
            </w:tcBorders>
          </w:tcPr>
          <w:p>
            <w:pPr>
              <w:pStyle w:val="nTable"/>
              <w:spacing w:before="100"/>
              <w:rPr>
                <w:sz w:val="19"/>
              </w:rPr>
            </w:pPr>
            <w:r>
              <w:rPr>
                <w:sz w:val="19"/>
              </w:rPr>
              <w:t>30 Aug 2005</w:t>
            </w:r>
          </w:p>
        </w:tc>
        <w:tc>
          <w:tcPr>
            <w:tcW w:w="2552" w:type="dxa"/>
            <w:tcBorders>
              <w:bottom w:val="single" w:sz="4" w:space="0" w:color="auto"/>
            </w:tcBorders>
          </w:tcPr>
          <w:p>
            <w:pPr>
              <w:pStyle w:val="nTable"/>
              <w:spacing w:before="100"/>
              <w:rPr>
                <w:iCs/>
                <w:spacing w:val="-2"/>
                <w:sz w:val="19"/>
              </w:rPr>
            </w:pPr>
            <w:r>
              <w:rPr>
                <w:iCs/>
                <w:spacing w:val="-2"/>
                <w:sz w:val="19"/>
              </w:rPr>
              <w:t>18 May 2005 (see s. 2(2))</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 w:name="_Toc389741188"/>
      <w:r>
        <w:rPr>
          <w:snapToGrid w:val="0"/>
        </w:rPr>
        <w:t>Provisions that have not come into operation</w:t>
      </w:r>
      <w:bookmarkEnd w:id="70"/>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7"/>
        <w:gridCol w:w="1101"/>
        <w:gridCol w:w="1195"/>
        <w:gridCol w:w="2552"/>
      </w:tblGrid>
      <w:tr>
        <w:tc>
          <w:tcPr>
            <w:tcW w:w="2223" w:type="dxa"/>
          </w:tcPr>
          <w:p>
            <w:pPr>
              <w:pStyle w:val="nTable"/>
              <w:rPr>
                <w:b/>
                <w:snapToGrid w:val="0"/>
                <w:sz w:val="19"/>
              </w:rPr>
            </w:pPr>
            <w:r>
              <w:rPr>
                <w:b/>
                <w:snapToGrid w:val="0"/>
                <w:sz w:val="19"/>
              </w:rPr>
              <w:t>Short title</w:t>
            </w:r>
          </w:p>
        </w:tc>
        <w:tc>
          <w:tcPr>
            <w:tcW w:w="1118" w:type="dxa"/>
            <w:gridSpan w:val="2"/>
          </w:tcPr>
          <w:p>
            <w:pPr>
              <w:pStyle w:val="nTable"/>
              <w:rPr>
                <w:b/>
                <w:snapToGrid w:val="0"/>
                <w:sz w:val="19"/>
              </w:rPr>
            </w:pPr>
            <w:r>
              <w:rPr>
                <w:b/>
                <w:snapToGrid w:val="0"/>
                <w:sz w:val="19"/>
              </w:rPr>
              <w:t>Number and year</w:t>
            </w:r>
          </w:p>
        </w:tc>
        <w:tc>
          <w:tcPr>
            <w:tcW w:w="1195" w:type="dxa"/>
          </w:tcPr>
          <w:p>
            <w:pPr>
              <w:pStyle w:val="nTable"/>
              <w:rPr>
                <w:b/>
                <w:snapToGrid w:val="0"/>
                <w:sz w:val="19"/>
              </w:rPr>
            </w:pPr>
            <w:r>
              <w:rPr>
                <w:b/>
                <w:snapToGrid w:val="0"/>
                <w:sz w:val="19"/>
              </w:rPr>
              <w:t>Assent</w:t>
            </w:r>
          </w:p>
        </w:tc>
        <w:tc>
          <w:tcPr>
            <w:tcW w:w="2552" w:type="dxa"/>
          </w:tcPr>
          <w:p>
            <w:pPr>
              <w:pStyle w:val="nTable"/>
              <w:rPr>
                <w:b/>
                <w:snapToGrid w:val="0"/>
                <w:sz w:val="19"/>
              </w:rPr>
            </w:pPr>
            <w:r>
              <w:rPr>
                <w:b/>
                <w:snapToGrid w:val="0"/>
                <w:sz w:val="19"/>
              </w:rPr>
              <w:t>Commencement</w:t>
            </w:r>
          </w:p>
        </w:tc>
      </w:tr>
      <w:tr>
        <w:tc>
          <w:tcPr>
            <w:tcW w:w="2240" w:type="dxa"/>
            <w:gridSpan w:val="2"/>
          </w:tcPr>
          <w:p>
            <w:pPr>
              <w:pStyle w:val="nTable"/>
              <w:rPr>
                <w:snapToGrid w:val="0"/>
                <w:sz w:val="19"/>
                <w:vertAlign w:val="superscript"/>
              </w:rPr>
            </w:pPr>
            <w:r>
              <w:rPr>
                <w:i/>
                <w:sz w:val="19"/>
              </w:rPr>
              <w:t xml:space="preserve">Revenue Laws Amendment (Tax Relief) Act 2004 </w:t>
            </w:r>
            <w:r>
              <w:rPr>
                <w:iCs/>
                <w:sz w:val="19"/>
              </w:rPr>
              <w:t>Pt. 2 Div. 3 </w:t>
            </w:r>
            <w:r>
              <w:rPr>
                <w:iCs/>
                <w:sz w:val="19"/>
                <w:vertAlign w:val="superscript"/>
              </w:rPr>
              <w:t>2</w:t>
            </w:r>
          </w:p>
        </w:tc>
        <w:tc>
          <w:tcPr>
            <w:tcW w:w="1101" w:type="dxa"/>
          </w:tcPr>
          <w:p>
            <w:pPr>
              <w:pStyle w:val="nTable"/>
              <w:rPr>
                <w:snapToGrid w:val="0"/>
                <w:sz w:val="19"/>
              </w:rPr>
            </w:pPr>
            <w:r>
              <w:rPr>
                <w:sz w:val="19"/>
              </w:rPr>
              <w:t>82 of 2004</w:t>
            </w:r>
          </w:p>
        </w:tc>
        <w:tc>
          <w:tcPr>
            <w:tcW w:w="1195" w:type="dxa"/>
          </w:tcPr>
          <w:p>
            <w:pPr>
              <w:pStyle w:val="nTable"/>
              <w:rPr>
                <w:snapToGrid w:val="0"/>
                <w:sz w:val="19"/>
              </w:rPr>
            </w:pPr>
            <w:r>
              <w:rPr>
                <w:sz w:val="19"/>
              </w:rPr>
              <w:t>8 Dec 2004</w:t>
            </w:r>
          </w:p>
        </w:tc>
        <w:tc>
          <w:tcPr>
            <w:tcW w:w="2552" w:type="dxa"/>
          </w:tcPr>
          <w:p>
            <w:pPr>
              <w:pStyle w:val="nTable"/>
              <w:rPr>
                <w:snapToGrid w:val="0"/>
                <w:sz w:val="19"/>
              </w:rPr>
            </w:pPr>
            <w:r>
              <w:rPr>
                <w:iCs/>
                <w:spacing w:val="-2"/>
                <w:sz w:val="19"/>
              </w:rPr>
              <w:t>Pt. 2 Div. 3: 1 Jul 2006 (see s. 2(3))</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rPr>
        <w:t xml:space="preserve">Revenue Laws Amendment (Tax Relief) Act 2004 </w:t>
      </w:r>
      <w:r>
        <w:rPr>
          <w:iCs/>
        </w:rPr>
        <w:t xml:space="preserve">Pt. 2 Div. 3 </w:t>
      </w:r>
      <w:r>
        <w:rPr>
          <w:snapToGrid w:val="0"/>
        </w:rPr>
        <w:t>had not come into operation.  It reads as follows:</w:t>
      </w:r>
    </w:p>
    <w:p>
      <w:pPr>
        <w:pStyle w:val="MiscOpen"/>
        <w:rPr>
          <w:rStyle w:val="CharPartNo"/>
        </w:rPr>
      </w:pPr>
      <w:r>
        <w:rPr>
          <w:rStyle w:val="CharPartNo"/>
        </w:rPr>
        <w:t>“</w:t>
      </w:r>
    </w:p>
    <w:p>
      <w:pPr>
        <w:pStyle w:val="nzHeading2"/>
      </w:pPr>
      <w:r>
        <w:rPr>
          <w:rStyle w:val="CharPartNo"/>
        </w:rPr>
        <w:t>Part 2</w:t>
      </w:r>
      <w:r>
        <w:t> — </w:t>
      </w:r>
      <w:r>
        <w:rPr>
          <w:rStyle w:val="CharPartText"/>
          <w:i/>
        </w:rPr>
        <w:t>Pay</w:t>
      </w:r>
      <w:r>
        <w:rPr>
          <w:rStyle w:val="CharPartText"/>
          <w:i/>
        </w:rPr>
        <w:noBreakHyphen/>
        <w:t xml:space="preserve">roll Tax Assessment Act 2002 </w:t>
      </w:r>
      <w:r>
        <w:rPr>
          <w:rStyle w:val="CharPartText"/>
        </w:rPr>
        <w:t>amended</w:t>
      </w:r>
    </w:p>
    <w:p>
      <w:pPr>
        <w:pStyle w:val="nzHeading3"/>
      </w:pPr>
      <w:r>
        <w:rPr>
          <w:rStyle w:val="CharDivNo"/>
        </w:rPr>
        <w:t>Division 3</w:t>
      </w:r>
      <w:r>
        <w:t> — </w:t>
      </w:r>
      <w:r>
        <w:rPr>
          <w:rStyle w:val="CharDivText"/>
        </w:rPr>
        <w:t>Amendments commencing on 1 July 2006</w:t>
      </w:r>
    </w:p>
    <w:p>
      <w:pPr>
        <w:pStyle w:val="nzHeading5"/>
      </w:pPr>
      <w:r>
        <w:rPr>
          <w:rStyle w:val="CharSectno"/>
        </w:rPr>
        <w:t>7</w:t>
      </w:r>
      <w:r>
        <w:t>.</w:t>
      </w:r>
      <w:r>
        <w:tab/>
        <w:t>Section 11 amended</w:t>
      </w:r>
    </w:p>
    <w:p>
      <w:pPr>
        <w:pStyle w:val="nzSubsection"/>
      </w:pPr>
      <w:r>
        <w:tab/>
      </w:r>
      <w:r>
        <w:tab/>
        <w:t>Section 11 is amended as follows:</w:t>
      </w:r>
    </w:p>
    <w:p>
      <w:pPr>
        <w:pStyle w:val="nzIndenta"/>
      </w:pPr>
      <w:r>
        <w:tab/>
        <w:t>(a)</w:t>
      </w:r>
      <w:r>
        <w:tab/>
        <w:t xml:space="preserve">by deleting “monthly” and inserting instead — </w:t>
      </w:r>
    </w:p>
    <w:p>
      <w:pPr>
        <w:pStyle w:val="nzIndenta"/>
      </w:pPr>
      <w:r>
        <w:tab/>
      </w:r>
      <w:r>
        <w:tab/>
        <w:t>“    progressive    ”;</w:t>
      </w:r>
    </w:p>
    <w:p>
      <w:pPr>
        <w:pStyle w:val="nzIndenta"/>
      </w:pPr>
      <w:r>
        <w:tab/>
        <w:t>(b)</w:t>
      </w:r>
      <w:r>
        <w:tab/>
        <w:t xml:space="preserve">by deleting “month” in the first place where it occurs and inserting instead — </w:t>
      </w:r>
    </w:p>
    <w:p>
      <w:pPr>
        <w:pStyle w:val="nzIndenta"/>
      </w:pPr>
      <w:r>
        <w:tab/>
      </w:r>
      <w:r>
        <w:tab/>
        <w:t>“    progressive return period    ”;</w:t>
      </w:r>
    </w:p>
    <w:p>
      <w:pPr>
        <w:pStyle w:val="nzIndenta"/>
      </w:pPr>
      <w:r>
        <w:tab/>
        <w:t>(c)</w:t>
      </w:r>
      <w:r>
        <w:tab/>
        <w:t xml:space="preserve">by deleting “month” in each place where it occurs in paragraph (a) or (b) and inserting instead — </w:t>
      </w:r>
    </w:p>
    <w:p>
      <w:pPr>
        <w:pStyle w:val="nzIndenta"/>
      </w:pPr>
      <w:r>
        <w:tab/>
      </w:r>
      <w:r>
        <w:tab/>
        <w:t>“    period    ”.</w:t>
      </w:r>
    </w:p>
    <w:p>
      <w:pPr>
        <w:pStyle w:val="nzHeading5"/>
      </w:pPr>
      <w:r>
        <w:rPr>
          <w:rStyle w:val="CharSectno"/>
        </w:rPr>
        <w:t>8</w:t>
      </w:r>
      <w:r>
        <w:t>.</w:t>
      </w:r>
      <w:r>
        <w:tab/>
        <w:t>Section 12 amended</w:t>
      </w:r>
    </w:p>
    <w:p>
      <w:pPr>
        <w:pStyle w:val="nzSubsection"/>
      </w:pPr>
      <w:r>
        <w:tab/>
      </w:r>
      <w:r>
        <w:tab/>
        <w:t>Section 12(2) is amended as follows:</w:t>
      </w:r>
    </w:p>
    <w:p>
      <w:pPr>
        <w:pStyle w:val="nzIndenta"/>
      </w:pPr>
      <w:r>
        <w:tab/>
        <w:t>(a)</w:t>
      </w:r>
      <w:r>
        <w:tab/>
        <w:t xml:space="preserve">by deleting “month” in the first 2 places where it occurs and inserting instead — </w:t>
      </w:r>
    </w:p>
    <w:p>
      <w:pPr>
        <w:pStyle w:val="nzIndenta"/>
      </w:pPr>
      <w:r>
        <w:tab/>
      </w:r>
      <w:r>
        <w:tab/>
        <w:t>“    progressive return period    ”;</w:t>
      </w:r>
    </w:p>
    <w:p>
      <w:pPr>
        <w:pStyle w:val="nzIndenta"/>
      </w:pPr>
      <w:r>
        <w:tab/>
        <w:t>(b)</w:t>
      </w:r>
      <w:r>
        <w:tab/>
        <w:t xml:space="preserve">in the formula — </w:t>
      </w:r>
    </w:p>
    <w:p>
      <w:pPr>
        <w:pStyle w:val="nzIndenti"/>
      </w:pPr>
      <w:r>
        <w:tab/>
        <w:t>(i)</w:t>
      </w:r>
      <w:r>
        <w:tab/>
        <w:t xml:space="preserve">by inserting before “T” — </w:t>
      </w:r>
    </w:p>
    <w:p>
      <w:pPr>
        <w:pStyle w:val="nzIndenti"/>
      </w:pPr>
      <w:r>
        <w:tab/>
      </w:r>
      <w:r>
        <w:tab/>
        <w:t>“    N x    ”; and</w:t>
      </w:r>
    </w:p>
    <w:p>
      <w:pPr>
        <w:pStyle w:val="nzIndenti"/>
      </w:pPr>
      <w:r>
        <w:tab/>
        <w:t>(ii)</w:t>
      </w:r>
      <w:r>
        <w:tab/>
        <w:t xml:space="preserve">by deleting “M” and inserting instead — </w:t>
      </w:r>
    </w:p>
    <w:p>
      <w:pPr>
        <w:pStyle w:val="nzIndenti"/>
      </w:pPr>
      <w:r>
        <w:tab/>
      </w:r>
      <w:r>
        <w:tab/>
        <w:t>“    P    ”;</w:t>
      </w:r>
    </w:p>
    <w:p>
      <w:pPr>
        <w:pStyle w:val="nzIndenta"/>
      </w:pPr>
      <w:r>
        <w:tab/>
        <w:t>(c)</w:t>
      </w:r>
      <w:r>
        <w:tab/>
        <w:t xml:space="preserve">by inserting before the description of “T” — </w:t>
      </w:r>
    </w:p>
    <w:p>
      <w:pPr>
        <w:pStyle w:val="MiscOpen"/>
        <w:ind w:left="1280"/>
      </w:pPr>
      <w:r>
        <w:t xml:space="preserve">“    </w:t>
      </w:r>
    </w:p>
    <w:p>
      <w:pPr>
        <w:pStyle w:val="nzIndenta"/>
      </w:pPr>
      <w:r>
        <w:t>N</w:t>
      </w:r>
      <w:r>
        <w:tab/>
        <w:t>is the number of months in the period;</w:t>
      </w:r>
    </w:p>
    <w:p>
      <w:pPr>
        <w:pStyle w:val="MiscClose"/>
      </w:pPr>
      <w:r>
        <w:t xml:space="preserve">    ”.</w:t>
      </w:r>
    </w:p>
    <w:p>
      <w:pPr>
        <w:pStyle w:val="nzIndenta"/>
      </w:pPr>
      <w:r>
        <w:tab/>
        <w:t>(d)</w:t>
      </w:r>
      <w:r>
        <w:tab/>
        <w:t xml:space="preserve">in the description of “D”, by deleting “month” in both places where it occurs and inserting instead — </w:t>
      </w:r>
    </w:p>
    <w:p>
      <w:pPr>
        <w:pStyle w:val="nzIndenta"/>
      </w:pPr>
      <w:r>
        <w:tab/>
      </w:r>
      <w:r>
        <w:tab/>
        <w:t>“    period    ”;</w:t>
      </w:r>
    </w:p>
    <w:p>
      <w:pPr>
        <w:pStyle w:val="nzIndenta"/>
      </w:pPr>
      <w:r>
        <w:tab/>
        <w:t>(e)</w:t>
      </w:r>
      <w:r>
        <w:tab/>
        <w:t xml:space="preserve">by deleting the description of “M” and inserting instead — </w:t>
      </w:r>
    </w:p>
    <w:p>
      <w:pPr>
        <w:pStyle w:val="MiscOpen"/>
        <w:ind w:left="1280"/>
      </w:pPr>
      <w:r>
        <w:t xml:space="preserve">“    </w:t>
      </w:r>
    </w:p>
    <w:p>
      <w:pPr>
        <w:pStyle w:val="nzIndenta"/>
      </w:pPr>
      <w:r>
        <w:t>P</w:t>
      </w:r>
      <w:r>
        <w:tab/>
        <w:t>is the number of days in the period.</w:t>
      </w:r>
    </w:p>
    <w:p>
      <w:pPr>
        <w:pStyle w:val="MiscClose"/>
      </w:pPr>
      <w:r>
        <w:t xml:space="preserve">    ”.</w:t>
      </w:r>
    </w:p>
    <w:p>
      <w:pPr>
        <w:pStyle w:val="nzHeading5"/>
      </w:pPr>
      <w:r>
        <w:rPr>
          <w:rStyle w:val="CharSectno"/>
        </w:rPr>
        <w:t>9</w:t>
      </w:r>
      <w:r>
        <w:t>.</w:t>
      </w:r>
      <w:r>
        <w:tab/>
        <w:t>Section 15 amended</w:t>
      </w:r>
    </w:p>
    <w:p>
      <w:pPr>
        <w:pStyle w:val="nzSubsection"/>
      </w:pPr>
      <w:r>
        <w:tab/>
        <w:t>(1)</w:t>
      </w:r>
      <w:r>
        <w:tab/>
        <w:t>Section 15(1) is amended as follows:</w:t>
      </w:r>
    </w:p>
    <w:p>
      <w:pPr>
        <w:pStyle w:val="nzIndenta"/>
      </w:pPr>
      <w:r>
        <w:tab/>
        <w:t>(a)</w:t>
      </w:r>
      <w:r>
        <w:tab/>
        <w:t xml:space="preserve">by deleting “month” in the first place where it occurs and inserting instead — </w:t>
      </w:r>
    </w:p>
    <w:p>
      <w:pPr>
        <w:pStyle w:val="nzIndenta"/>
      </w:pPr>
      <w:r>
        <w:tab/>
      </w:r>
      <w:r>
        <w:tab/>
        <w:t>“    progressive return period    ”;</w:t>
      </w:r>
    </w:p>
    <w:p>
      <w:pPr>
        <w:pStyle w:val="nzIndenta"/>
      </w:pPr>
      <w:r>
        <w:tab/>
        <w:t>(b)</w:t>
      </w:r>
      <w:r>
        <w:tab/>
        <w:t xml:space="preserve">in paragraph (a), by deleting “month” and inserting instead — </w:t>
      </w:r>
    </w:p>
    <w:p>
      <w:pPr>
        <w:pStyle w:val="nzIndenta"/>
      </w:pPr>
      <w:r>
        <w:tab/>
      </w:r>
      <w:r>
        <w:tab/>
        <w:t>“    period    ”.</w:t>
      </w:r>
    </w:p>
    <w:p>
      <w:pPr>
        <w:pStyle w:val="nzSubsection"/>
      </w:pPr>
      <w:r>
        <w:tab/>
        <w:t>(2)</w:t>
      </w:r>
      <w:r>
        <w:tab/>
        <w:t xml:space="preserve">Section 15(8) is amended by inserting before “return period” — </w:t>
      </w:r>
    </w:p>
    <w:p>
      <w:pPr>
        <w:pStyle w:val="nzSubsection"/>
      </w:pPr>
      <w:r>
        <w:tab/>
      </w:r>
      <w:r>
        <w:tab/>
        <w:t>“    progressive    ”.</w:t>
      </w:r>
    </w:p>
    <w:p>
      <w:pPr>
        <w:pStyle w:val="nzHeading5"/>
      </w:pPr>
      <w:r>
        <w:rPr>
          <w:rStyle w:val="CharSectno"/>
        </w:rPr>
        <w:t>10</w:t>
      </w:r>
      <w:r>
        <w:t>.</w:t>
      </w:r>
      <w:r>
        <w:tab/>
        <w:t>Section 16 amended</w:t>
      </w:r>
    </w:p>
    <w:p>
      <w:pPr>
        <w:pStyle w:val="nzSubsection"/>
      </w:pPr>
      <w:r>
        <w:tab/>
      </w:r>
      <w:r>
        <w:tab/>
        <w:t xml:space="preserve">Section 16(1) and (2) are each amended by inserting before “return periods” — </w:t>
      </w:r>
    </w:p>
    <w:p>
      <w:pPr>
        <w:pStyle w:val="nzSubsection"/>
      </w:pPr>
      <w:r>
        <w:tab/>
      </w:r>
      <w:r>
        <w:tab/>
        <w:t>“    progressive    ”.</w:t>
      </w:r>
    </w:p>
    <w:p>
      <w:pPr>
        <w:pStyle w:val="nzHeading5"/>
      </w:pPr>
      <w:r>
        <w:rPr>
          <w:rStyle w:val="CharSectno"/>
        </w:rPr>
        <w:t>11</w:t>
      </w:r>
      <w:r>
        <w:t>.</w:t>
      </w:r>
      <w:r>
        <w:tab/>
        <w:t>Section 19 amended</w:t>
      </w:r>
    </w:p>
    <w:p>
      <w:pPr>
        <w:pStyle w:val="nzSubsection"/>
      </w:pPr>
      <w:r>
        <w:tab/>
        <w:t>(1)</w:t>
      </w:r>
      <w:r>
        <w:tab/>
        <w:t>Section 19(1) is amended as follows:</w:t>
      </w:r>
    </w:p>
    <w:p>
      <w:pPr>
        <w:pStyle w:val="nzIndenta"/>
      </w:pPr>
      <w:r>
        <w:tab/>
        <w:t>(a)</w:t>
      </w:r>
      <w:r>
        <w:tab/>
        <w:t xml:space="preserve">by deleting “monthly” and inserting instead — </w:t>
      </w:r>
    </w:p>
    <w:p>
      <w:pPr>
        <w:pStyle w:val="nzIndenta"/>
      </w:pPr>
      <w:r>
        <w:tab/>
      </w:r>
      <w:r>
        <w:tab/>
        <w:t>“    progressive    ”;</w:t>
      </w:r>
    </w:p>
    <w:p>
      <w:pPr>
        <w:pStyle w:val="nzIndenta"/>
      </w:pPr>
      <w:r>
        <w:tab/>
        <w:t>(b)</w:t>
      </w:r>
      <w:r>
        <w:tab/>
        <w:t>by deleting “return” before “period.” at the end of the subsection.</w:t>
      </w:r>
    </w:p>
    <w:p>
      <w:pPr>
        <w:pStyle w:val="nzSubsection"/>
      </w:pPr>
      <w:r>
        <w:tab/>
        <w:t>(2)</w:t>
      </w:r>
      <w:r>
        <w:tab/>
        <w:t>Section 19(2) is amended as follows:</w:t>
      </w:r>
    </w:p>
    <w:p>
      <w:pPr>
        <w:pStyle w:val="nzIndenta"/>
      </w:pPr>
      <w:r>
        <w:tab/>
        <w:t>(a)</w:t>
      </w:r>
      <w:r>
        <w:tab/>
        <w:t xml:space="preserve">by deleting “monthly” and inserting instead — </w:t>
      </w:r>
    </w:p>
    <w:p>
      <w:pPr>
        <w:pStyle w:val="nzIndenta"/>
      </w:pPr>
      <w:r>
        <w:tab/>
      </w:r>
      <w:r>
        <w:tab/>
        <w:t>“    progressive    ”;</w:t>
      </w:r>
    </w:p>
    <w:p>
      <w:pPr>
        <w:pStyle w:val="nzIndenta"/>
      </w:pPr>
      <w:r>
        <w:tab/>
        <w:t>(b)</w:t>
      </w:r>
      <w:r>
        <w:tab/>
        <w:t>by deleting “return” before “period;” at the end of paragraph (a).</w:t>
      </w:r>
    </w:p>
    <w:p>
      <w:pPr>
        <w:pStyle w:val="nzHeading5"/>
      </w:pPr>
      <w:r>
        <w:rPr>
          <w:rStyle w:val="CharSectno"/>
        </w:rPr>
        <w:t>12</w:t>
      </w:r>
      <w:r>
        <w:t>.</w:t>
      </w:r>
      <w:r>
        <w:tab/>
        <w:t>Section 20 amended</w:t>
      </w:r>
    </w:p>
    <w:p>
      <w:pPr>
        <w:pStyle w:val="nzSubsection"/>
      </w:pPr>
      <w:r>
        <w:tab/>
      </w:r>
      <w:r>
        <w:tab/>
        <w:t xml:space="preserve">Section 20(1) and (2) are each amended by inserting before “return periods” — </w:t>
      </w:r>
    </w:p>
    <w:p>
      <w:pPr>
        <w:pStyle w:val="nzSubsection"/>
      </w:pPr>
      <w:r>
        <w:tab/>
      </w:r>
      <w:r>
        <w:tab/>
        <w:t>“    progressive    ”.</w:t>
      </w:r>
    </w:p>
    <w:p>
      <w:pPr>
        <w:pStyle w:val="nzHeading5"/>
      </w:pPr>
      <w:r>
        <w:rPr>
          <w:rStyle w:val="CharSectno"/>
        </w:rPr>
        <w:t>13</w:t>
      </w:r>
      <w:r>
        <w:t>.</w:t>
      </w:r>
      <w:r>
        <w:tab/>
        <w:t>Section 27 amended</w:t>
      </w:r>
    </w:p>
    <w:p>
      <w:pPr>
        <w:pStyle w:val="nzSubsection"/>
      </w:pPr>
      <w:r>
        <w:tab/>
      </w:r>
      <w:r>
        <w:tab/>
        <w:t xml:space="preserve">Section 27(1) is amended by deleting “monthly returns” and inserting instead — </w:t>
      </w:r>
    </w:p>
    <w:p>
      <w:pPr>
        <w:pStyle w:val="nzSubsection"/>
      </w:pPr>
      <w:r>
        <w:tab/>
      </w:r>
      <w:r>
        <w:tab/>
        <w:t>“    returns for progressive return periods    ”.</w:t>
      </w:r>
    </w:p>
    <w:p>
      <w:pPr>
        <w:pStyle w:val="nzHeading5"/>
      </w:pPr>
      <w:r>
        <w:rPr>
          <w:rStyle w:val="CharSectno"/>
        </w:rPr>
        <w:t>14</w:t>
      </w:r>
      <w:r>
        <w:t>.</w:t>
      </w:r>
      <w:r>
        <w:tab/>
        <w:t>Section 28A inserted</w:t>
      </w:r>
    </w:p>
    <w:p>
      <w:pPr>
        <w:pStyle w:val="nzSubsection"/>
      </w:pPr>
      <w:r>
        <w:tab/>
      </w:r>
      <w:r>
        <w:tab/>
        <w:t xml:space="preserve">After section 28 the following section is inserted — </w:t>
      </w:r>
    </w:p>
    <w:p>
      <w:pPr>
        <w:pStyle w:val="MiscOpen"/>
      </w:pPr>
      <w:r>
        <w:t xml:space="preserve">“    </w:t>
      </w:r>
    </w:p>
    <w:p>
      <w:pPr>
        <w:pStyle w:val="nzHeading5"/>
      </w:pPr>
      <w:r>
        <w:t>28A.</w:t>
      </w:r>
      <w:r>
        <w:tab/>
        <w:t>Manner of lodging and paying in certain cases</w:t>
      </w:r>
    </w:p>
    <w:p>
      <w:pPr>
        <w:pStyle w:val="nz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nzSubsection"/>
      </w:pPr>
      <w:r>
        <w:tab/>
        <w:t>(2)</w:t>
      </w:r>
      <w:r>
        <w:tab/>
        <w:t xml:space="preserve">Subsection (1) applies if — </w:t>
      </w:r>
    </w:p>
    <w:p>
      <w:pPr>
        <w:pStyle w:val="nzIndenta"/>
      </w:pPr>
      <w:r>
        <w:tab/>
        <w:t>(a)</w:t>
      </w:r>
      <w:r>
        <w:tab/>
        <w:t xml:space="preserve">an employer — </w:t>
      </w:r>
    </w:p>
    <w:p>
      <w:pPr>
        <w:pStyle w:val="nzIndenti"/>
      </w:pPr>
      <w:r>
        <w:tab/>
        <w:t>(i)</w:t>
      </w:r>
      <w:r>
        <w:tab/>
        <w:t>has, or is a member of a group that has, an expected pay</w:t>
      </w:r>
      <w:r>
        <w:noBreakHyphen/>
        <w:t>roll tax liability for an assessment year that is not less than the amount applying under section 29(1aa)(a) or (b); and</w:t>
      </w:r>
    </w:p>
    <w:p>
      <w:pPr>
        <w:pStyle w:val="nzIndenti"/>
      </w:pPr>
      <w:r>
        <w:tab/>
        <w:t>(ii)</w:t>
      </w:r>
      <w:r>
        <w:tab/>
        <w:t>is required to lodge a return for a progressive return period in that assessment year or, to lodge an additional return under section 27 for that year;</w:t>
      </w:r>
    </w:p>
    <w:p>
      <w:pPr>
        <w:pStyle w:val="nzIndenta"/>
      </w:pPr>
      <w:r>
        <w:tab/>
      </w:r>
      <w:r>
        <w:tab/>
        <w:t>or</w:t>
      </w:r>
    </w:p>
    <w:p>
      <w:pPr>
        <w:pStyle w:val="nzIndenta"/>
      </w:pPr>
      <w:r>
        <w:tab/>
        <w:t>(b)</w:t>
      </w:r>
      <w:r>
        <w:tab/>
        <w:t>a condition of an exemption under section 29 requires a return to be lodged in accordance with this section.</w:t>
      </w:r>
    </w:p>
    <w:p>
      <w:pPr>
        <w:pStyle w:val="nzSubsection"/>
      </w:pPr>
      <w:r>
        <w:tab/>
        <w:t>(3)</w:t>
      </w:r>
      <w:r>
        <w:tab/>
        <w:t xml:space="preserve">In subsection (2)(a)(i) — </w:t>
      </w:r>
    </w:p>
    <w:p>
      <w:pPr>
        <w:pStyle w:val="nzDefstart"/>
      </w:pPr>
      <w:r>
        <w:rPr>
          <w:b/>
        </w:rPr>
        <w:tab/>
        <w:t>“</w:t>
      </w:r>
      <w:r>
        <w:rPr>
          <w:rStyle w:val="CharDefText"/>
        </w:rPr>
        <w:t>expected pay</w:t>
      </w:r>
      <w:r>
        <w:rPr>
          <w:rStyle w:val="CharDefText"/>
        </w:rPr>
        <w:noBreakHyphen/>
        <w:t>roll tax liability</w:t>
      </w:r>
      <w:r>
        <w:rPr>
          <w:b/>
        </w:rPr>
        <w:t>”</w:t>
      </w:r>
      <w:r>
        <w:t xml:space="preserve"> has the meaning given to that term in section 29(1b).</w:t>
      </w:r>
    </w:p>
    <w:p>
      <w:pPr>
        <w:pStyle w:val="MiscClose"/>
      </w:pPr>
      <w:r>
        <w:t xml:space="preserve">    ”.</w:t>
      </w:r>
    </w:p>
    <w:p>
      <w:pPr>
        <w:pStyle w:val="nzHeading5"/>
      </w:pPr>
      <w:r>
        <w:rPr>
          <w:rStyle w:val="CharSectno"/>
        </w:rPr>
        <w:t>15</w:t>
      </w:r>
      <w:r>
        <w:t>.</w:t>
      </w:r>
      <w:r>
        <w:tab/>
        <w:t>Section 29 amended and transitional provision</w:t>
      </w:r>
    </w:p>
    <w:p>
      <w:pPr>
        <w:pStyle w:val="nzSubsection"/>
      </w:pPr>
      <w:r>
        <w:tab/>
        <w:t>(1)</w:t>
      </w:r>
      <w:r>
        <w:tab/>
        <w:t xml:space="preserve">After section 29(1a) the following subsection is inserted — </w:t>
      </w:r>
    </w:p>
    <w:p>
      <w:pPr>
        <w:pStyle w:val="MiscOpen"/>
        <w:ind w:left="600"/>
      </w:pPr>
      <w:r>
        <w:t xml:space="preserve">“    </w:t>
      </w:r>
    </w:p>
    <w:p>
      <w:pPr>
        <w:pStyle w:val="nz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nzIndenta"/>
      </w:pPr>
      <w:r>
        <w:tab/>
        <w:t>(a)</w:t>
      </w:r>
      <w:r>
        <w:tab/>
        <w:t>$100 000; or</w:t>
      </w:r>
    </w:p>
    <w:p>
      <w:pPr>
        <w:pStyle w:val="nzIndenta"/>
      </w:pPr>
      <w:r>
        <w:tab/>
        <w:t>(b)</w:t>
      </w:r>
      <w:r>
        <w:tab/>
        <w:t>a greater amount prescribed for the purpose of this subsection by the regulations.</w:t>
      </w:r>
    </w:p>
    <w:p>
      <w:pPr>
        <w:pStyle w:val="MiscClose"/>
      </w:pPr>
      <w:r>
        <w:t xml:space="preserve">    ”.</w:t>
      </w:r>
    </w:p>
    <w:p>
      <w:pPr>
        <w:pStyle w:val="nzSubsection"/>
      </w:pPr>
      <w:r>
        <w:tab/>
        <w:t>(2)</w:t>
      </w:r>
      <w:r>
        <w:tab/>
        <w:t xml:space="preserve">Section 29(1b) is amended by deleting “subsection (1a)” and inserting instead — </w:t>
      </w:r>
    </w:p>
    <w:p>
      <w:pPr>
        <w:pStyle w:val="nzSubsection"/>
      </w:pPr>
      <w:r>
        <w:tab/>
      </w:r>
      <w:r>
        <w:tab/>
        <w:t>“    subsections (1a) and (1aa)    ”.</w:t>
      </w:r>
    </w:p>
    <w:p>
      <w:pPr>
        <w:pStyle w:val="nzSubsection"/>
      </w:pPr>
      <w:r>
        <w:tab/>
        <w:t>(3)</w:t>
      </w:r>
      <w:r>
        <w:tab/>
        <w:t>Section 29(4) is amended as follows:</w:t>
      </w:r>
    </w:p>
    <w:p>
      <w:pPr>
        <w:pStyle w:val="nzIndenta"/>
      </w:pPr>
      <w:r>
        <w:tab/>
        <w:t>(a)</w:t>
      </w:r>
      <w:r>
        <w:tab/>
        <w:t>by deleting “prescribed”;</w:t>
      </w:r>
    </w:p>
    <w:p>
      <w:pPr>
        <w:pStyle w:val="nzIndenta"/>
      </w:pPr>
      <w:r>
        <w:tab/>
        <w:t>(b)</w:t>
      </w:r>
      <w:r>
        <w:tab/>
        <w:t xml:space="preserve">by inserting after “(if any)” in the first place where it occurs — </w:t>
      </w:r>
    </w:p>
    <w:p>
      <w:pPr>
        <w:pStyle w:val="nzIndenta"/>
      </w:pPr>
      <w:r>
        <w:tab/>
      </w:r>
      <w:r>
        <w:tab/>
        <w:t>“    prescribed in the regulations    ”.</w:t>
      </w:r>
    </w:p>
    <w:p>
      <w:pPr>
        <w:pStyle w:val="nzSubsection"/>
      </w:pPr>
      <w:r>
        <w:tab/>
        <w:t>(4)</w:t>
      </w:r>
      <w:r>
        <w:tab/>
        <w:t xml:space="preserve">After section 29(4b) the following subsections are inserted — </w:t>
      </w:r>
    </w:p>
    <w:p>
      <w:pPr>
        <w:pStyle w:val="MiscOpen"/>
        <w:ind w:left="600"/>
      </w:pPr>
      <w:r>
        <w:t xml:space="preserve">“    </w:t>
      </w:r>
    </w:p>
    <w:p>
      <w:pPr>
        <w:pStyle w:val="nzSubsection"/>
      </w:pPr>
      <w:r>
        <w:tab/>
        <w:t>(4c)</w:t>
      </w:r>
      <w:r>
        <w:tab/>
        <w:t xml:space="preserve">Without limiting any other conditions that can be prescribed or specified, an exemption under subsection (1aa) is on the conditions that — </w:t>
      </w:r>
    </w:p>
    <w:p>
      <w:pPr>
        <w:pStyle w:val="nz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nzIndenta"/>
      </w:pPr>
      <w:r>
        <w:tab/>
        <w:t>(b)</w:t>
      </w:r>
      <w:r>
        <w:tab/>
        <w:t>the return is lodged in accordance with section 28A; and</w:t>
      </w:r>
    </w:p>
    <w:p>
      <w:pPr>
        <w:pStyle w:val="nzIndenta"/>
      </w:pPr>
      <w:r>
        <w:tab/>
        <w:t>(c)</w:t>
      </w:r>
      <w:r>
        <w:tab/>
        <w:t>any return under section 27 is also lodged in accordance with section 28A.</w:t>
      </w:r>
    </w:p>
    <w:p>
      <w:pPr>
        <w:pStyle w:val="nzSubsection"/>
      </w:pPr>
      <w:r>
        <w:tab/>
        <w:t>(4d)</w:t>
      </w:r>
      <w:r>
        <w:tab/>
        <w:t xml:space="preserve">In subsection (4c) — </w:t>
      </w:r>
    </w:p>
    <w:p>
      <w:pPr>
        <w:pStyle w:val="nzDefstart"/>
      </w:pPr>
      <w:r>
        <w:rPr>
          <w:b/>
        </w:rPr>
        <w:tab/>
        <w:t>“</w:t>
      </w:r>
      <w:r>
        <w:rPr>
          <w:rStyle w:val="CharDefText"/>
        </w:rPr>
        <w:t>quarter</w:t>
      </w:r>
      <w:r>
        <w:rPr>
          <w:b/>
        </w:rPr>
        <w:t>”</w:t>
      </w:r>
      <w:r>
        <w:t xml:space="preserve"> means a period of 3 months commencing on 1 July, 1 October, 1 January or 1 April.</w:t>
      </w:r>
    </w:p>
    <w:p>
      <w:pPr>
        <w:pStyle w:val="MiscClose"/>
      </w:pPr>
      <w:r>
        <w:t xml:space="preserve">    ”.</w:t>
      </w:r>
    </w:p>
    <w:p>
      <w:pPr>
        <w:pStyle w:val="nzSubsection"/>
      </w:pPr>
      <w:r>
        <w:tab/>
        <w:t>(5)</w:t>
      </w:r>
      <w:r>
        <w:tab/>
        <w:t xml:space="preserve">Section 29(6) is amended by inserting after “subsection (1a)” — </w:t>
      </w:r>
    </w:p>
    <w:p>
      <w:pPr>
        <w:pStyle w:val="nzSubsection"/>
      </w:pPr>
      <w:r>
        <w:tab/>
      </w:r>
      <w:r>
        <w:tab/>
        <w:t>“    or (1aa)    ”.</w:t>
      </w:r>
    </w:p>
    <w:p>
      <w:pPr>
        <w:pStyle w:val="nzSubsection"/>
      </w:pPr>
      <w:r>
        <w:tab/>
        <w:t>(6)</w:t>
      </w:r>
      <w:r>
        <w:tab/>
        <w:t>Section 29(8) is amended as follows:</w:t>
      </w:r>
    </w:p>
    <w:p>
      <w:pPr>
        <w:pStyle w:val="nzIndenta"/>
      </w:pPr>
      <w:r>
        <w:tab/>
        <w:t>(a)</w:t>
      </w:r>
      <w:r>
        <w:tab/>
        <w:t>in paragraph (a), by deleting “the notice o</w:t>
      </w:r>
      <w:r>
        <w:rPr>
          <w:spacing w:val="40"/>
        </w:rPr>
        <w:t>f</w:t>
      </w:r>
      <w:r>
        <w:t xml:space="preserve">” and inserting instead — </w:t>
      </w:r>
    </w:p>
    <w:p>
      <w:pPr>
        <w:pStyle w:val="nzIndenta"/>
      </w:pPr>
      <w:r>
        <w:tab/>
      </w:r>
      <w:r>
        <w:tab/>
        <w:t>“    a condition of the    ”;</w:t>
      </w:r>
    </w:p>
    <w:p>
      <w:pPr>
        <w:pStyle w:val="nzIndenta"/>
      </w:pPr>
      <w:r>
        <w:tab/>
        <w:t>(b)</w:t>
      </w:r>
      <w:r>
        <w:tab/>
        <w:t xml:space="preserve">by deleting paragraph (b) and inserting instead the following paragraph — </w:t>
      </w:r>
    </w:p>
    <w:p>
      <w:pPr>
        <w:pStyle w:val="MiscOpen"/>
        <w:ind w:left="1340"/>
      </w:pPr>
      <w:r>
        <w:t xml:space="preserve">“    </w:t>
      </w:r>
    </w:p>
    <w:p>
      <w:pPr>
        <w:pStyle w:val="nzIndenta"/>
      </w:pPr>
      <w:r>
        <w:tab/>
        <w:t>(b)</w:t>
      </w:r>
      <w:r>
        <w:tab/>
        <w:t>if a condition of the exemption requires returns to be lodged more frequently than annually, lodge returns as the condition requires.</w:t>
      </w:r>
    </w:p>
    <w:p>
      <w:pPr>
        <w:pStyle w:val="MiscClose"/>
      </w:pPr>
      <w:r>
        <w:t xml:space="preserve">    ”.</w:t>
      </w:r>
    </w:p>
    <w:p>
      <w:pPr>
        <w:pStyle w:val="nzSubsection"/>
      </w:pPr>
      <w:r>
        <w:tab/>
        <w:t>(7)</w:t>
      </w:r>
      <w:r>
        <w:tab/>
        <w:t>The amendments made by this section do not affect an exemption given before the coming into operation of this section.</w:t>
      </w:r>
    </w:p>
    <w:p>
      <w:pPr>
        <w:pStyle w:val="nzHeading5"/>
      </w:pPr>
      <w:r>
        <w:rPr>
          <w:rStyle w:val="CharSectno"/>
        </w:rPr>
        <w:t>16</w:t>
      </w:r>
      <w:r>
        <w:t>.</w:t>
      </w:r>
      <w:r>
        <w:tab/>
        <w:t>Section 45 amended</w:t>
      </w:r>
    </w:p>
    <w:p>
      <w:pPr>
        <w:pStyle w:val="nzSubsection"/>
      </w:pPr>
      <w:r>
        <w:tab/>
      </w:r>
      <w:r>
        <w:tab/>
        <w:t xml:space="preserve">After section 45(2)(f) the following paragraph is inserted — </w:t>
      </w:r>
    </w:p>
    <w:p>
      <w:pPr>
        <w:pStyle w:val="MiscOpen"/>
        <w:ind w:left="1340"/>
      </w:pPr>
      <w:r>
        <w:t xml:space="preserve">“    </w:t>
      </w:r>
    </w:p>
    <w:p>
      <w:pPr>
        <w:pStyle w:val="nzIndenta"/>
      </w:pPr>
      <w:r>
        <w:tab/>
        <w:t>(fa)</w:t>
      </w:r>
      <w:r>
        <w:tab/>
        <w:t>the manner of lodging a return or making a payment in a circumstance in which section 28A(1) applies, which may include lodgment or payment by electronic means;</w:t>
      </w:r>
    </w:p>
    <w:p>
      <w:pPr>
        <w:pStyle w:val="MiscClose"/>
      </w:pPr>
      <w:r>
        <w:t xml:space="preserve">    ”.</w:t>
      </w:r>
    </w:p>
    <w:p>
      <w:pPr>
        <w:pStyle w:val="nzHeading5"/>
      </w:pPr>
      <w:r>
        <w:rPr>
          <w:rStyle w:val="CharSectno"/>
        </w:rPr>
        <w:t>17</w:t>
      </w:r>
      <w:r>
        <w:t>.</w:t>
      </w:r>
      <w:r>
        <w:tab/>
        <w:t>Glossary amended</w:t>
      </w:r>
    </w:p>
    <w:p>
      <w:pPr>
        <w:pStyle w:val="nzSubsection"/>
      </w:pPr>
      <w:r>
        <w:tab/>
        <w:t>(1)</w:t>
      </w:r>
      <w:r>
        <w:tab/>
        <w:t>The amendments in this section are to the Glossary at the end of the Act.</w:t>
      </w:r>
    </w:p>
    <w:p>
      <w:pPr>
        <w:pStyle w:val="nzSubsection"/>
      </w:pPr>
      <w:r>
        <w:tab/>
        <w:t>(2)</w:t>
      </w:r>
      <w:r>
        <w:tab/>
        <w:t xml:space="preserve">Clause 1 is amended in the definition of “return period” by deleting paragraph (c) and inserting instead — </w:t>
      </w:r>
    </w:p>
    <w:p>
      <w:pPr>
        <w:pStyle w:val="MiscOpen"/>
        <w:ind w:left="1340"/>
      </w:pPr>
      <w:r>
        <w:t xml:space="preserve">“    </w:t>
      </w:r>
    </w:p>
    <w:p>
      <w:pPr>
        <w:pStyle w:val="nzDefpara"/>
      </w:pPr>
      <w:r>
        <w:tab/>
        <w:t>(c)</w:t>
      </w:r>
      <w:r>
        <w:tab/>
        <w:t xml:space="preserve">if the employer is exempt under section 29 from lodging monthly returns — </w:t>
      </w:r>
    </w:p>
    <w:p>
      <w:pPr>
        <w:pStyle w:val="nzDefsubpara"/>
      </w:pPr>
      <w:r>
        <w:tab/>
        <w:t>(i)</w:t>
      </w:r>
      <w:r>
        <w:tab/>
        <w:t>unless subparagraph (ii) applies, an assessment year;</w:t>
      </w:r>
    </w:p>
    <w:p>
      <w:pPr>
        <w:pStyle w:val="nzDefsubpara"/>
      </w:pPr>
      <w:r>
        <w:tab/>
        <w:t>(ii)</w:t>
      </w:r>
      <w:r>
        <w:tab/>
        <w:t>if a condition of the exemption requires returns to be lodged more frequently than annually, a progressive return period;</w:t>
      </w:r>
    </w:p>
    <w:p>
      <w:pPr>
        <w:pStyle w:val="MiscClose"/>
      </w:pPr>
      <w:r>
        <w:t xml:space="preserve">    ”.</w:t>
      </w:r>
    </w:p>
    <w:p>
      <w:pPr>
        <w:pStyle w:val="MiscClose"/>
      </w:pPr>
      <w:r>
        <w:t xml:space="preserve">    ”.</w:t>
      </w:r>
    </w:p>
    <w:p>
      <w:pPr>
        <w:pStyle w:val="nSubsection"/>
        <w:rPr>
          <w:snapToGrid w:val="0"/>
        </w:rPr>
      </w:pPr>
      <w:r>
        <w:rPr>
          <w:vertAlign w:val="superscript"/>
        </w:rPr>
        <w:t>3</w:t>
      </w:r>
      <w:r>
        <w:tab/>
        <w:t xml:space="preserve">The </w:t>
      </w:r>
      <w:r>
        <w:rPr>
          <w:i/>
        </w:rPr>
        <w:t xml:space="preserve">Revenue Laws Amendment (Tax Relief) Act 2004 </w:t>
      </w:r>
      <w:r>
        <w:rPr>
          <w:iCs/>
        </w:rPr>
        <w:t>s.5(6)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sectPr>
      <w:headerReference w:type="even" r:id="rId45"/>
      <w:headerReference w:type="default" r:id="rId4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868B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849B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32D0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1647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9E7D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F74F6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8C05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EFC4F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366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197AB0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37EAF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051A1FE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409"/>
    <w:docVar w:name="WAFER_20140605140330" w:val="RemoveTocBookmarks,RemoveUnusedBookmarks,RemoveLanguageTags,UsedStyles,ResetPageSize"/>
    <w:docVar w:name="WAFER_20140605140330_GUID" w:val="15b2ca56-d4b2-45cd-a270-067e7d62932c"/>
    <w:docVar w:name="WAFER_20140605140337" w:val="RemoveTocBookmarks,RunningHeaders"/>
    <w:docVar w:name="WAFER_20140605140337_GUID" w:val="63fc89d5-ab3e-4e66-a227-2be421d57178"/>
    <w:docVar w:name="WAFER_20151208154409" w:val="RemoveTrackChanges"/>
    <w:docVar w:name="WAFER_20151208154409_GUID" w:val="31d7400c-ad0f-4a1e-b77d-80fe6fe2c7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uiPriority w:val="39"/>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uiPriority w:val="39"/>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7.xml"/><Relationship Id="rId42" Type="http://schemas.openxmlformats.org/officeDocument/2006/relationships/header" Target="header12.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7.xml"/><Relationship Id="rId38" Type="http://schemas.openxmlformats.org/officeDocument/2006/relationships/image" Target="media/image8.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6.xml"/><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footer" Target="footer8.xml"/><Relationship Id="rId43" Type="http://schemas.openxmlformats.org/officeDocument/2006/relationships/header" Target="header13.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15664</Words>
  <Characters>74251</Characters>
  <Application>Microsoft Office Word</Application>
  <DocSecurity>0</DocSecurity>
  <Lines>1953</Lines>
  <Paragraphs>1057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88858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2002 - 00-d0-05</dc:title>
  <dc:subject/>
  <dc:creator/>
  <cp:keywords/>
  <dc:description/>
  <cp:lastModifiedBy>svcMRProcess</cp:lastModifiedBy>
  <cp:revision>4</cp:revision>
  <cp:lastPrinted>2003-06-28T04:44:00Z</cp:lastPrinted>
  <dcterms:created xsi:type="dcterms:W3CDTF">2020-02-18T14:26:00Z</dcterms:created>
  <dcterms:modified xsi:type="dcterms:W3CDTF">2020-02-18T14:26:00Z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20050518</vt:lpwstr>
  </property>
  <property fmtid="{D5CDD505-2E9C-101B-9397-08002B2CF9AE}" pid="4" name="DocumentType">
    <vt:lpwstr>Act</vt:lpwstr>
  </property>
  <property fmtid="{D5CDD505-2E9C-101B-9397-08002B2CF9AE}" pid="5" name="OwlsUID">
    <vt:i4>6335</vt:i4>
  </property>
  <property fmtid="{D5CDD505-2E9C-101B-9397-08002B2CF9AE}" pid="6" name="AsAtDate">
    <vt:lpwstr>18 May 2005</vt:lpwstr>
  </property>
  <property fmtid="{D5CDD505-2E9C-101B-9397-08002B2CF9AE}" pid="7" name="Suffix">
    <vt:lpwstr>00-d0-05</vt:lpwstr>
  </property>
</Properties>
</file>