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_Toc389741198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_Toc389741199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_Toc389741200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_Toc389741201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wages</w:t>
      </w:r>
      <w:r>
        <w:tab/>
      </w:r>
      <w:r>
        <w:fldChar w:fldCharType="begin"/>
      </w:r>
      <w:r>
        <w:instrText xml:space="preserve"> PAGEREF _Toc389741204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_Toc389741205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_Toc389741206 \h </w:instrText>
      </w:r>
      <w:r>
        <w:fldChar w:fldCharType="separate"/>
      </w:r>
      <w:r>
        <w:t>3</w:t>
      </w:r>
      <w:r>
        <w:fldChar w:fldCharType="end"/>
      </w:r>
    </w:p>
    <w:p>
      <w:pPr>
        <w:pStyle w:val="TOC8"/>
        <w:rPr>
          <w:rFonts w:asciiTheme="minorHAnsi" w:eastAsiaTheme="minorEastAsia" w:hAnsiTheme="minorHAnsi" w:cstheme="minorBidi"/>
          <w:szCs w:val="22"/>
        </w:rPr>
      </w:pPr>
      <w:r>
        <w:t>8.</w:t>
      </w:r>
      <w:r>
        <w:tab/>
        <w:t>The tax threshold</w:t>
      </w:r>
      <w:r>
        <w:tab/>
      </w:r>
      <w:r>
        <w:fldChar w:fldCharType="begin"/>
      </w:r>
      <w:r>
        <w:instrText xml:space="preserve"> PAGEREF _Toc389741207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 local non</w:t>
      </w:r>
      <w:r>
        <w:noBreakHyphen/>
        <w:t>group employers</w:t>
      </w:r>
      <w:r>
        <w:tab/>
      </w:r>
      <w:r>
        <w:fldChar w:fldCharType="begin"/>
      </w:r>
      <w:r>
        <w:instrText xml:space="preserve"> PAGEREF _Toc389741209 \h </w:instrText>
      </w:r>
      <w:r>
        <w:fldChar w:fldCharType="separate"/>
      </w:r>
      <w:r>
        <w:t>4</w:t>
      </w:r>
      <w:r>
        <w:fldChar w:fldCharType="end"/>
      </w:r>
    </w:p>
    <w:p>
      <w:pPr>
        <w:pStyle w:val="TOC8"/>
        <w:rPr>
          <w:rFonts w:asciiTheme="minorHAnsi" w:eastAsiaTheme="minorEastAsia" w:hAnsiTheme="minorHAnsi" w:cstheme="minorBidi"/>
          <w:szCs w:val="22"/>
        </w:rPr>
      </w:pPr>
      <w:r>
        <w:t>11.</w:t>
      </w:r>
      <w:r>
        <w:tab/>
        <w:t>Tax payable with returns — local non</w:t>
      </w:r>
      <w:r>
        <w:noBreakHyphen/>
        <w:t>group employers</w:t>
      </w:r>
      <w:r>
        <w:tab/>
      </w:r>
      <w:r>
        <w:fldChar w:fldCharType="begin"/>
      </w:r>
      <w:r>
        <w:instrText xml:space="preserve"> PAGEREF _Toc389741210 \h </w:instrText>
      </w:r>
      <w:r>
        <w:fldChar w:fldCharType="separate"/>
      </w:r>
      <w:r>
        <w:t>5</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_Toc389741211 \h </w:instrText>
      </w:r>
      <w:r>
        <w:fldChar w:fldCharType="separate"/>
      </w:r>
      <w:r>
        <w:t>5</w:t>
      </w:r>
      <w:r>
        <w:fldChar w:fldCharType="end"/>
      </w:r>
    </w:p>
    <w:p>
      <w:pPr>
        <w:pStyle w:val="TOC8"/>
        <w:rPr>
          <w:rFonts w:asciiTheme="minorHAnsi" w:eastAsiaTheme="minorEastAsia" w:hAnsiTheme="minorHAnsi" w:cstheme="minorBidi"/>
          <w:szCs w:val="22"/>
        </w:rPr>
      </w:pPr>
      <w:r>
        <w:t>13.</w:t>
      </w:r>
      <w:r>
        <w:tab/>
        <w:t>Annual tax liability — interstate non</w:t>
      </w:r>
      <w:r>
        <w:noBreakHyphen/>
        <w:t>group employers</w:t>
      </w:r>
      <w:r>
        <w:tab/>
      </w:r>
      <w:r>
        <w:fldChar w:fldCharType="begin"/>
      </w:r>
      <w:r>
        <w:instrText xml:space="preserve"> PAGEREF _Toc389741212 \h </w:instrText>
      </w:r>
      <w:r>
        <w:fldChar w:fldCharType="separate"/>
      </w:r>
      <w:r>
        <w:t>6</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_Toc389741213 \h </w:instrText>
      </w:r>
      <w:r>
        <w:fldChar w:fldCharType="separate"/>
      </w:r>
      <w:r>
        <w:t>6</w:t>
      </w:r>
      <w:r>
        <w:fldChar w:fldCharType="end"/>
      </w:r>
    </w:p>
    <w:p>
      <w:pPr>
        <w:pStyle w:val="TOC8"/>
        <w:rPr>
          <w:rFonts w:asciiTheme="minorHAnsi" w:eastAsiaTheme="minorEastAsia" w:hAnsiTheme="minorHAnsi" w:cstheme="minorBidi"/>
          <w:szCs w:val="22"/>
        </w:rPr>
      </w:pPr>
      <w:r>
        <w:t>15.</w:t>
      </w:r>
      <w:r>
        <w:tab/>
        <w:t>Tax payable with monthly returns — interstate non</w:t>
      </w:r>
      <w:r>
        <w:noBreakHyphen/>
        <w:t>group employers</w:t>
      </w:r>
      <w:r>
        <w:tab/>
      </w:r>
      <w:r>
        <w:fldChar w:fldCharType="begin"/>
      </w:r>
      <w:r>
        <w:instrText xml:space="preserve"> PAGEREF _Toc389741214 \h </w:instrText>
      </w:r>
      <w:r>
        <w:fldChar w:fldCharType="separate"/>
      </w:r>
      <w:r>
        <w:t>7</w:t>
      </w:r>
      <w:r>
        <w:fldChar w:fldCharType="end"/>
      </w:r>
    </w:p>
    <w:p>
      <w:pPr>
        <w:pStyle w:val="TOC8"/>
        <w:rPr>
          <w:rFonts w:asciiTheme="minorHAnsi" w:eastAsiaTheme="minorEastAsia" w:hAnsiTheme="minorHAnsi" w:cstheme="minorBidi"/>
          <w:szCs w:val="22"/>
        </w:rPr>
      </w:pPr>
      <w:r>
        <w:t>16.</w:t>
      </w:r>
      <w:r>
        <w:tab/>
        <w:t>Annual reconciliation — non</w:t>
      </w:r>
      <w:r>
        <w:noBreakHyphen/>
        <w:t>group employers</w:t>
      </w:r>
      <w:r>
        <w:tab/>
      </w:r>
      <w:r>
        <w:fldChar w:fldCharType="begin"/>
      </w:r>
      <w:r>
        <w:instrText xml:space="preserve"> PAGEREF _Toc389741215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 groups</w:t>
      </w:r>
      <w:r>
        <w:tab/>
      </w:r>
      <w:r>
        <w:fldChar w:fldCharType="begin"/>
      </w:r>
      <w:r>
        <w:instrText xml:space="preserve"> PAGEREF _Toc389741217 \h </w:instrText>
      </w:r>
      <w:r>
        <w:fldChar w:fldCharType="separate"/>
      </w:r>
      <w:r>
        <w:t>9</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 groups</w:t>
      </w:r>
      <w:r>
        <w:tab/>
      </w:r>
      <w:r>
        <w:fldChar w:fldCharType="begin"/>
      </w:r>
      <w:r>
        <w:instrText xml:space="preserve"> PAGEREF _Toc389741218 \h </w:instrText>
      </w:r>
      <w:r>
        <w:fldChar w:fldCharType="separate"/>
      </w:r>
      <w:r>
        <w:t>10</w:t>
      </w:r>
      <w:r>
        <w:fldChar w:fldCharType="end"/>
      </w:r>
    </w:p>
    <w:p>
      <w:pPr>
        <w:pStyle w:val="TOC8"/>
        <w:rPr>
          <w:rFonts w:asciiTheme="minorHAnsi" w:eastAsiaTheme="minorEastAsia" w:hAnsiTheme="minorHAnsi" w:cstheme="minorBidi"/>
          <w:szCs w:val="22"/>
        </w:rPr>
      </w:pPr>
      <w:r>
        <w:t>19.</w:t>
      </w:r>
      <w:r>
        <w:tab/>
        <w:t>Tax payable with monthly returns — groups</w:t>
      </w:r>
      <w:r>
        <w:tab/>
      </w:r>
      <w:r>
        <w:fldChar w:fldCharType="begin"/>
      </w:r>
      <w:r>
        <w:instrText xml:space="preserve"> PAGEREF _Toc389741219 \h </w:instrText>
      </w:r>
      <w:r>
        <w:fldChar w:fldCharType="separate"/>
      </w:r>
      <w:r>
        <w:t>11</w:t>
      </w:r>
      <w:r>
        <w:fldChar w:fldCharType="end"/>
      </w:r>
    </w:p>
    <w:p>
      <w:pPr>
        <w:pStyle w:val="TOC8"/>
        <w:rPr>
          <w:rFonts w:asciiTheme="minorHAnsi" w:eastAsiaTheme="minorEastAsia" w:hAnsiTheme="minorHAnsi" w:cstheme="minorBidi"/>
          <w:szCs w:val="22"/>
        </w:rPr>
      </w:pPr>
      <w:r>
        <w:t>20.</w:t>
      </w:r>
      <w:r>
        <w:tab/>
        <w:t>Annual reconciliation — groups</w:t>
      </w:r>
      <w:r>
        <w:tab/>
      </w:r>
      <w:r>
        <w:fldChar w:fldCharType="begin"/>
      </w:r>
      <w:r>
        <w:instrText xml:space="preserve"> PAGEREF _Toc389741220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_Toc389741222 \h </w:instrText>
      </w:r>
      <w:r>
        <w:fldChar w:fldCharType="separate"/>
      </w:r>
      <w:r>
        <w:t>13</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_Toc389741223 \h </w:instrText>
      </w:r>
      <w:r>
        <w:fldChar w:fldCharType="separate"/>
      </w:r>
      <w:r>
        <w:t>13</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_Toc389741224 \h </w:instrText>
      </w:r>
      <w:r>
        <w:fldChar w:fldCharType="separate"/>
      </w:r>
      <w:r>
        <w:t>14</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_Toc389741225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an employer</w:t>
      </w:r>
      <w:r>
        <w:tab/>
      </w:r>
      <w:r>
        <w:fldChar w:fldCharType="begin"/>
      </w:r>
      <w:r>
        <w:instrText xml:space="preserve"> PAGEREF _Toc389741227 \h </w:instrText>
      </w:r>
      <w:r>
        <w:fldChar w:fldCharType="separate"/>
      </w:r>
      <w:r>
        <w:t>17</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_Toc389741228 \h </w:instrText>
      </w:r>
      <w:r>
        <w:fldChar w:fldCharType="separate"/>
      </w:r>
      <w:r>
        <w:t>17</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_Toc389741229 \h </w:instrText>
      </w:r>
      <w:r>
        <w:fldChar w:fldCharType="separate"/>
      </w:r>
      <w:r>
        <w:t>18</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_Toc389741230 \h </w:instrText>
      </w:r>
      <w:r>
        <w:fldChar w:fldCharType="separate"/>
      </w:r>
      <w:r>
        <w:t>18</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_Toc389741231 \h </w:instrText>
      </w:r>
      <w:r>
        <w:fldChar w:fldCharType="separate"/>
      </w:r>
      <w:r>
        <w:t>19</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_Toc389741232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_Toc389741234 \h </w:instrText>
      </w:r>
      <w:r>
        <w:fldChar w:fldCharType="separate"/>
      </w:r>
      <w:r>
        <w:t>23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_Toc389741235 \h </w:instrText>
      </w:r>
      <w:r>
        <w:fldChar w:fldCharType="separate"/>
      </w:r>
      <w:r>
        <w:t>23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_Toc389741236 \h </w:instrText>
      </w:r>
      <w:r>
        <w:fldChar w:fldCharType="separate"/>
      </w:r>
      <w:r>
        <w:t>24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_Toc389741237 \h </w:instrText>
      </w:r>
      <w:r>
        <w:fldChar w:fldCharType="separate"/>
      </w:r>
      <w:r>
        <w:t>25</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_Toc389741238 \h </w:instrText>
      </w:r>
      <w:r>
        <w:fldChar w:fldCharType="separate"/>
      </w:r>
      <w:r>
        <w:t>26</w:t>
      </w:r>
      <w:r>
        <w:fldChar w:fldCharType="end"/>
      </w:r>
    </w:p>
    <w:p>
      <w:pPr>
        <w:pStyle w:val="TOC8"/>
        <w:rPr>
          <w:rFonts w:asciiTheme="minorHAnsi" w:eastAsiaTheme="minorEastAsia" w:hAnsiTheme="minorHAnsi" w:cstheme="minorBidi"/>
          <w:szCs w:val="22"/>
        </w:rPr>
      </w:pPr>
      <w:r>
        <w:t>35.</w:t>
      </w:r>
      <w:r>
        <w:tab/>
        <w:t>Grouping head and branch businesses</w:t>
      </w:r>
      <w:r>
        <w:tab/>
      </w:r>
      <w:r>
        <w:fldChar w:fldCharType="begin"/>
      </w:r>
      <w:r>
        <w:instrText xml:space="preserve"> PAGEREF _Toc389741239 \h </w:instrText>
      </w:r>
      <w:r>
        <w:fldChar w:fldCharType="separate"/>
      </w:r>
      <w:r>
        <w:t>27</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_Toc389741240 \h </w:instrText>
      </w:r>
      <w:r>
        <w:fldChar w:fldCharType="separate"/>
      </w:r>
      <w:r>
        <w:t>27</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_Toc389741241 \h </w:instrText>
      </w:r>
      <w:r>
        <w:fldChar w:fldCharType="separate"/>
      </w:r>
      <w:r>
        <w:t>28</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_Toc389741242 \h </w:instrText>
      </w:r>
      <w:r>
        <w:fldChar w:fldCharType="separate"/>
      </w:r>
      <w:r>
        <w:t>28</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_Toc389741243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_Toc389741245 \h </w:instrText>
      </w:r>
      <w:r>
        <w:fldChar w:fldCharType="separate"/>
      </w:r>
      <w:r>
        <w:t>30</w:t>
      </w:r>
      <w:r>
        <w:fldChar w:fldCharType="end"/>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_Toc389741246 \h </w:instrText>
      </w:r>
      <w:r>
        <w:fldChar w:fldCharType="separate"/>
      </w:r>
      <w:r>
        <w:t>33</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_Toc389741247 \h </w:instrText>
      </w:r>
      <w:r>
        <w:fldChar w:fldCharType="separate"/>
      </w:r>
      <w:r>
        <w:t>33</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_Toc389741248 \h </w:instrText>
      </w:r>
      <w:r>
        <w:fldChar w:fldCharType="separate"/>
      </w:r>
      <w:r>
        <w:t>34</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_Toc389741249 \h </w:instrText>
      </w:r>
      <w:r>
        <w:fldChar w:fldCharType="separate"/>
      </w:r>
      <w:r>
        <w:t>35</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_Toc389741250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_Toc389741252 \h </w:instrText>
      </w:r>
      <w:r>
        <w:fldChar w:fldCharType="separate"/>
      </w:r>
      <w:r>
        <w:t>37</w:t>
      </w:r>
      <w:r>
        <w:fldChar w:fldCharType="end"/>
      </w:r>
    </w:p>
    <w:p>
      <w:pPr>
        <w:pStyle w:val="TOC8"/>
        <w:rPr>
          <w:rFonts w:asciiTheme="minorHAnsi" w:eastAsiaTheme="minorEastAsia" w:hAnsiTheme="minorHAnsi" w:cstheme="minorBidi"/>
          <w:szCs w:val="22"/>
        </w:rPr>
      </w:pPr>
      <w:r>
        <w:t>2.</w:t>
      </w:r>
      <w:r>
        <w:tab/>
        <w:t>Wages — meaning</w:t>
      </w:r>
      <w:r>
        <w:tab/>
      </w:r>
      <w:r>
        <w:fldChar w:fldCharType="begin"/>
      </w:r>
      <w:r>
        <w:instrText xml:space="preserve"> PAGEREF _Toc389741253 \h </w:instrText>
      </w:r>
      <w:r>
        <w:fldChar w:fldCharType="separate"/>
      </w:r>
      <w:r>
        <w:t>44</w:t>
      </w:r>
      <w:r>
        <w:fldChar w:fldCharType="end"/>
      </w:r>
    </w:p>
    <w:p>
      <w:pPr>
        <w:pStyle w:val="TOC8"/>
        <w:rPr>
          <w:rFonts w:asciiTheme="minorHAnsi" w:eastAsiaTheme="minorEastAsia" w:hAnsiTheme="minorHAnsi" w:cstheme="minorBidi"/>
          <w:szCs w:val="22"/>
        </w:rPr>
      </w:pPr>
      <w:r>
        <w:t>3.</w:t>
      </w:r>
      <w:r>
        <w:tab/>
        <w:t>GST excluded from wages</w:t>
      </w:r>
      <w:r>
        <w:tab/>
      </w:r>
      <w:r>
        <w:fldChar w:fldCharType="begin"/>
      </w:r>
      <w:r>
        <w:instrText xml:space="preserve"> PAGEREF _Toc389741254 \h </w:instrText>
      </w:r>
      <w:r>
        <w:fldChar w:fldCharType="separate"/>
      </w:r>
      <w:r>
        <w:t>45</w:t>
      </w:r>
      <w:r>
        <w:fldChar w:fldCharType="end"/>
      </w:r>
    </w:p>
    <w:p>
      <w:pPr>
        <w:pStyle w:val="TOC8"/>
        <w:rPr>
          <w:rFonts w:asciiTheme="minorHAnsi" w:eastAsiaTheme="minorEastAsia" w:hAnsiTheme="minorHAnsi" w:cstheme="minorBidi"/>
          <w:szCs w:val="22"/>
        </w:rPr>
      </w:pPr>
      <w:r>
        <w:t>4.</w:t>
      </w:r>
      <w:r>
        <w:tab/>
        <w:t>Place of payment of wages</w:t>
      </w:r>
      <w:r>
        <w:tab/>
      </w:r>
      <w:r>
        <w:fldChar w:fldCharType="begin"/>
      </w:r>
      <w:r>
        <w:instrText xml:space="preserve"> PAGEREF _Toc389741255 \h </w:instrText>
      </w:r>
      <w:r>
        <w:fldChar w:fldCharType="separate"/>
      </w:r>
      <w:r>
        <w:t>46</w:t>
      </w:r>
      <w:r>
        <w:fldChar w:fldCharType="end"/>
      </w:r>
    </w:p>
    <w:p>
      <w:pPr>
        <w:pStyle w:val="TOC8"/>
        <w:rPr>
          <w:rFonts w:asciiTheme="minorHAnsi" w:eastAsiaTheme="minorEastAsia" w:hAnsiTheme="minorHAnsi" w:cstheme="minorBidi"/>
          <w:szCs w:val="22"/>
        </w:rPr>
      </w:pPr>
      <w:r>
        <w:t>5.</w:t>
      </w:r>
      <w:r>
        <w:tab/>
        <w:t>Provider of fringe benefits or specified taxable benefits</w:t>
      </w:r>
      <w:r>
        <w:tab/>
      </w:r>
      <w:r>
        <w:fldChar w:fldCharType="begin"/>
      </w:r>
      <w:r>
        <w:instrText xml:space="preserve"> PAGEREF _Toc389741256 \h </w:instrText>
      </w:r>
      <w:r>
        <w:fldChar w:fldCharType="separate"/>
      </w:r>
      <w:r>
        <w:t>46</w:t>
      </w:r>
      <w:r>
        <w:fldChar w:fldCharType="end"/>
      </w:r>
    </w:p>
    <w:p>
      <w:pPr>
        <w:pStyle w:val="TOC8"/>
        <w:rPr>
          <w:rFonts w:asciiTheme="minorHAnsi" w:eastAsiaTheme="minorEastAsia" w:hAnsiTheme="minorHAnsi" w:cstheme="minorBidi"/>
          <w:szCs w:val="22"/>
        </w:rPr>
      </w:pPr>
      <w:r>
        <w:t>6.</w:t>
      </w:r>
      <w:r>
        <w:tab/>
        <w:t>Value of wages paid in kind and other benefits</w:t>
      </w:r>
      <w:r>
        <w:tab/>
      </w:r>
      <w:r>
        <w:fldChar w:fldCharType="begin"/>
      </w:r>
      <w:r>
        <w:instrText xml:space="preserve"> PAGEREF _Toc389741257 \h </w:instrText>
      </w:r>
      <w:r>
        <w:fldChar w:fldCharType="separate"/>
      </w:r>
      <w:r>
        <w:t>47</w:t>
      </w:r>
      <w:r>
        <w:fldChar w:fldCharType="end"/>
      </w:r>
    </w:p>
    <w:p>
      <w:pPr>
        <w:pStyle w:val="TOC8"/>
        <w:rPr>
          <w:rFonts w:asciiTheme="minorHAnsi" w:eastAsiaTheme="minorEastAsia" w:hAnsiTheme="minorHAnsi" w:cstheme="minorBidi"/>
          <w:szCs w:val="22"/>
        </w:rPr>
      </w:pPr>
      <w:r>
        <w:t>7.</w:t>
      </w:r>
      <w:r>
        <w:tab/>
        <w:t>The value of fringe benefits</w:t>
      </w:r>
      <w:r>
        <w:tab/>
      </w:r>
      <w:r>
        <w:fldChar w:fldCharType="begin"/>
      </w:r>
      <w:r>
        <w:instrText xml:space="preserve"> PAGEREF _Toc389741258 \h </w:instrText>
      </w:r>
      <w:r>
        <w:fldChar w:fldCharType="separate"/>
      </w:r>
      <w:r>
        <w:t>47</w:t>
      </w:r>
      <w:r>
        <w:fldChar w:fldCharType="end"/>
      </w:r>
    </w:p>
    <w:p>
      <w:pPr>
        <w:pStyle w:val="TOC8"/>
        <w:rPr>
          <w:rFonts w:asciiTheme="minorHAnsi" w:eastAsiaTheme="minorEastAsia" w:hAnsiTheme="minorHAnsi" w:cstheme="minorBidi"/>
          <w:szCs w:val="22"/>
        </w:rPr>
      </w:pPr>
      <w:r>
        <w:t>8.</w:t>
      </w:r>
      <w:r>
        <w:tab/>
        <w:t>Superannuation benefits</w:t>
      </w:r>
      <w:r>
        <w:tab/>
      </w:r>
      <w:r>
        <w:fldChar w:fldCharType="begin"/>
      </w:r>
      <w:r>
        <w:instrText xml:space="preserve"> PAGEREF _Toc389741259 \h </w:instrText>
      </w:r>
      <w:r>
        <w:fldChar w:fldCharType="separate"/>
      </w:r>
      <w:r>
        <w:t>48</w:t>
      </w:r>
      <w:r>
        <w:fldChar w:fldCharType="end"/>
      </w:r>
    </w:p>
    <w:p>
      <w:pPr>
        <w:pStyle w:val="TOC8"/>
        <w:rPr>
          <w:rFonts w:asciiTheme="minorHAnsi" w:eastAsiaTheme="minorEastAsia" w:hAnsiTheme="minorHAnsi" w:cstheme="minorBidi"/>
          <w:szCs w:val="22"/>
        </w:rPr>
      </w:pPr>
      <w:r>
        <w:t>9.</w:t>
      </w:r>
      <w:r>
        <w:tab/>
        <w:t>Superannuation fund contributions</w:t>
      </w:r>
      <w:r>
        <w:tab/>
      </w:r>
      <w:r>
        <w:fldChar w:fldCharType="begin"/>
      </w:r>
      <w:r>
        <w:instrText xml:space="preserve"> PAGEREF _Toc389741260 \h </w:instrText>
      </w:r>
      <w:r>
        <w:fldChar w:fldCharType="separate"/>
      </w:r>
      <w:r>
        <w:t>48</w:t>
      </w:r>
      <w:r>
        <w:fldChar w:fldCharType="end"/>
      </w:r>
    </w:p>
    <w:p>
      <w:pPr>
        <w:pStyle w:val="TOC8"/>
        <w:rPr>
          <w:rFonts w:asciiTheme="minorHAnsi" w:eastAsiaTheme="minorEastAsia" w:hAnsiTheme="minorHAnsi" w:cstheme="minorBidi"/>
          <w:szCs w:val="22"/>
        </w:rPr>
      </w:pPr>
      <w:r>
        <w:t>10.</w:t>
      </w:r>
      <w:r>
        <w:tab/>
        <w:t>Contributions to defined superannuation benefit schemes</w:t>
      </w:r>
      <w:r>
        <w:tab/>
      </w:r>
      <w:r>
        <w:fldChar w:fldCharType="begin"/>
      </w:r>
      <w:r>
        <w:instrText xml:space="preserve"> PAGEREF _Toc389741261 \h </w:instrText>
      </w:r>
      <w:r>
        <w:fldChar w:fldCharType="separate"/>
      </w:r>
      <w:r>
        <w:t>49</w:t>
      </w:r>
      <w:r>
        <w:fldChar w:fldCharType="end"/>
      </w:r>
    </w:p>
    <w:p>
      <w:pPr>
        <w:pStyle w:val="TOC8"/>
        <w:rPr>
          <w:rFonts w:asciiTheme="minorHAnsi" w:eastAsiaTheme="minorEastAsia" w:hAnsiTheme="minorHAnsi" w:cstheme="minorBidi"/>
          <w:szCs w:val="22"/>
        </w:rPr>
      </w:pPr>
      <w:r>
        <w:t>11.</w:t>
      </w:r>
      <w:r>
        <w:tab/>
        <w:t>Unfunded credit to certain unregulated schemes</w:t>
      </w:r>
      <w:r>
        <w:tab/>
      </w:r>
      <w:r>
        <w:fldChar w:fldCharType="begin"/>
      </w:r>
      <w:r>
        <w:instrText xml:space="preserve"> PAGEREF _Toc389741262 \h </w:instrText>
      </w:r>
      <w:r>
        <w:fldChar w:fldCharType="separate"/>
      </w:r>
      <w:r>
        <w:t>50</w:t>
      </w:r>
      <w:r>
        <w:fldChar w:fldCharType="end"/>
      </w:r>
    </w:p>
    <w:p>
      <w:pPr>
        <w:pStyle w:val="TOC8"/>
        <w:rPr>
          <w:rFonts w:asciiTheme="minorHAnsi" w:eastAsiaTheme="minorEastAsia" w:hAnsiTheme="minorHAnsi" w:cstheme="minorBidi"/>
          <w:szCs w:val="22"/>
        </w:rPr>
      </w:pPr>
      <w:r>
        <w:t>12.</w:t>
      </w:r>
      <w:r>
        <w:tab/>
        <w:t>Superannuation guarantee charge</w:t>
      </w:r>
      <w:r>
        <w:tab/>
      </w:r>
      <w:r>
        <w:fldChar w:fldCharType="begin"/>
      </w:r>
      <w:r>
        <w:instrText xml:space="preserve"> PAGEREF _Toc389741263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_Toc389741265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_Toc389741266 \h </w:instrText>
      </w:r>
      <w:r>
        <w:fldChar w:fldCharType="separate"/>
      </w:r>
      <w:r>
        <w:t>52</w:t>
      </w:r>
      <w:r>
        <w:fldChar w:fldCharType="end"/>
      </w:r>
    </w:p>
    <w:p>
      <w:pPr>
        <w:pStyle w:val="TOC2"/>
        <w:rPr>
          <w:rStyle w:val="CharPartNo"/>
        </w:rPr>
      </w:pPr>
      <w:r>
        <w:fldChar w:fldCharType="end"/>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t>Western Australia</w:t>
      </w:r>
    </w:p>
    <w:p>
      <w:pPr>
        <w:pStyle w:val="NameofActReg"/>
        <w:suppressLineNumbers/>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9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9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iCs/>
          <w:snapToGrid w:val="0"/>
          <w:vertAlign w:val="superscript"/>
        </w:rPr>
        <w:t> 1</w:t>
      </w:r>
      <w:r>
        <w:rPr>
          <w:i/>
          <w:snapToGrid w:val="0"/>
        </w:rPr>
        <w:t>.</w:t>
      </w:r>
    </w:p>
    <w:p>
      <w:pPr>
        <w:pStyle w:val="Heading5"/>
      </w:pPr>
      <w:bookmarkStart w:id="3" w:name="_Toc389741199"/>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200"/>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201"/>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202"/>
      <w:r>
        <w:rPr>
          <w:rStyle w:val="CharPartNo"/>
        </w:rPr>
        <w:t>Part 2</w:t>
      </w:r>
      <w:r>
        <w:t xml:space="preserve"> — </w:t>
      </w:r>
      <w:r>
        <w:rPr>
          <w:rStyle w:val="CharPartText"/>
        </w:rPr>
        <w:t>Liability and assessment</w:t>
      </w:r>
      <w:bookmarkEnd w:id="6"/>
    </w:p>
    <w:p>
      <w:pPr>
        <w:pStyle w:val="Heading3"/>
      </w:pPr>
      <w:bookmarkStart w:id="7" w:name="_Toc389741203"/>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204"/>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205"/>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206"/>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207"/>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208"/>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209"/>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210"/>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monthly return period or for part of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or part of the month; and</w:t>
      </w:r>
    </w:p>
    <w:p>
      <w:pPr>
        <w:pStyle w:val="Indenta"/>
        <w:rPr>
          <w:color w:val="000000"/>
        </w:rPr>
      </w:pPr>
      <w:r>
        <w:rPr>
          <w:color w:val="000000"/>
        </w:rPr>
        <w:tab/>
        <w:t>(b)</w:t>
      </w:r>
      <w:r>
        <w:rPr>
          <w:color w:val="000000"/>
        </w:rPr>
        <w:tab/>
        <w:t>the apportioned threshold amount for the month or part of the month calculated in accordance with section 12(2).</w:t>
      </w:r>
    </w:p>
    <w:p>
      <w:pPr>
        <w:pStyle w:val="Footnotesection"/>
      </w:pPr>
      <w:r>
        <w:tab/>
        <w:t>[Section 11 amended by No. 40 of 2003 s. 15.]</w:t>
      </w:r>
    </w:p>
    <w:p>
      <w:pPr>
        <w:pStyle w:val="Heading5"/>
      </w:pPr>
      <w:bookmarkStart w:id="15" w:name="_Toc389741211"/>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71618"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For the purposes of section 11(b), the apportioned threshold amount for a month or part of a month is A in the formula —</w:t>
      </w:r>
    </w:p>
    <w:p>
      <w:pPr>
        <w:pStyle w:val="Equation"/>
        <w:ind w:firstLine="879"/>
      </w:pPr>
      <w:r>
        <w:rPr>
          <w:position w:val="-28"/>
        </w:rPr>
        <w:object w:dxaOrig="1280" w:dyaOrig="680">
          <v:shape id="_x0000_i1026" type="#_x0000_t75" style="width:63.75pt;height:33.75pt" o:ole="" fillcolor="window">
            <v:imagedata r:id="rId21" o:title=""/>
          </v:shape>
          <o:OLEObject Type="Embed" ProgID="Equation.3" ShapeID="_x0000_i1026" DrawAspect="Content" ObjectID="_1643571619" r:id="rId22"/>
        </w:object>
      </w:r>
    </w:p>
    <w:p>
      <w:pPr>
        <w:pStyle w:val="Subsection"/>
      </w:pPr>
      <w:r>
        <w:tab/>
      </w:r>
      <w:r>
        <w:tab/>
        <w:t>where —</w:t>
      </w:r>
    </w:p>
    <w:p>
      <w:pPr>
        <w:pStyle w:val="Indenta"/>
      </w:pPr>
      <w:r>
        <w:rPr>
          <w:color w:val="000000"/>
        </w:rPr>
        <w:tab/>
        <w:t>T</w:t>
      </w:r>
      <w:r>
        <w:rPr>
          <w:color w:val="000000"/>
        </w:rPr>
        <w:tab/>
        <w:t>is the monthly threshold amount for the assessment year;</w:t>
      </w:r>
    </w:p>
    <w:p>
      <w:pPr>
        <w:pStyle w:val="Indenta"/>
      </w:pPr>
      <w:r>
        <w:tab/>
        <w:t>D</w:t>
      </w:r>
      <w:r>
        <w:tab/>
        <w:t>is the number of days in the month, or part of the month, during which WA taxable wages were paid or payable by the employer;</w:t>
      </w:r>
    </w:p>
    <w:p>
      <w:pPr>
        <w:pStyle w:val="Indenta"/>
      </w:pPr>
      <w:r>
        <w:tab/>
        <w:t>M</w:t>
      </w:r>
      <w:r>
        <w:tab/>
        <w:t>is the number of days in the month.</w:t>
      </w:r>
    </w:p>
    <w:p>
      <w:pPr>
        <w:pStyle w:val="Footnotesection"/>
      </w:pPr>
      <w:r>
        <w:tab/>
        <w:t>[Section 12 inserted by No. 40 of 2003 s. 16.]</w:t>
      </w:r>
    </w:p>
    <w:p>
      <w:pPr>
        <w:pStyle w:val="Heading5"/>
        <w:spacing w:before="180"/>
      </w:pPr>
      <w:bookmarkStart w:id="16" w:name="_Toc389741212"/>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213"/>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71620" r:id="rId24"/>
        </w:object>
      </w:r>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71621"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214"/>
      <w:r>
        <w:rPr>
          <w:rStyle w:val="CharSectno"/>
        </w:rPr>
        <w:t>15</w:t>
      </w:r>
      <w:r>
        <w:t>.</w:t>
      </w:r>
      <w:r>
        <w:tab/>
        <w:t>Tax payable with monthly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w:t>
      </w:r>
    </w:p>
    <w:p>
      <w:pPr>
        <w:pStyle w:val="Heading5"/>
      </w:pPr>
      <w:bookmarkStart w:id="19" w:name="_Toc389741215"/>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Heading3"/>
      </w:pPr>
      <w:bookmarkStart w:id="20" w:name="_Toc389741216"/>
      <w:r>
        <w:rPr>
          <w:rStyle w:val="CharDivNo"/>
        </w:rPr>
        <w:t>Division 3</w:t>
      </w:r>
      <w:r>
        <w:t xml:space="preserve"> — </w:t>
      </w:r>
      <w:r>
        <w:rPr>
          <w:rStyle w:val="CharDivText"/>
        </w:rPr>
        <w:t>Group employers’ liability</w:t>
      </w:r>
      <w:bookmarkEnd w:id="20"/>
    </w:p>
    <w:p>
      <w:pPr>
        <w:pStyle w:val="Heading5"/>
      </w:pPr>
      <w:bookmarkStart w:id="21" w:name="_Toc389741217"/>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218"/>
      <w:r>
        <w:rPr>
          <w:rStyle w:val="CharSectno"/>
        </w:rPr>
        <w:t>18</w:t>
      </w:r>
      <w:r>
        <w:rPr>
          <w:color w:val="000000"/>
        </w:rPr>
        <w:t>.</w:t>
      </w:r>
      <w:r>
        <w:rPr>
          <w:color w:val="000000"/>
        </w:rPr>
        <w:tab/>
        <w:t>Apportioned threshold amounts — groups</w:t>
      </w:r>
      <w:bookmarkEnd w:id="22"/>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71622"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71623"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219"/>
      <w:r>
        <w:rPr>
          <w:rStyle w:val="CharSectno"/>
        </w:rPr>
        <w:t>19</w:t>
      </w:r>
      <w:r>
        <w:t>.</w:t>
      </w:r>
      <w:r>
        <w:tab/>
        <w:t>Tax payable with monthly returns — groups</w:t>
      </w:r>
      <w:bookmarkEnd w:id="23"/>
    </w:p>
    <w:p>
      <w:pPr>
        <w:pStyle w:val="Subsection"/>
      </w:pPr>
      <w:r>
        <w:tab/>
        <w:t>(1)</w:t>
      </w:r>
      <w:r>
        <w:tab/>
        <w:t>The amount of pay</w:t>
      </w:r>
      <w:r>
        <w:noBreakHyphen/>
        <w:t xml:space="preserve">roll tax payable for a monthly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return period.</w:t>
      </w:r>
    </w:p>
    <w:p>
      <w:pPr>
        <w:pStyle w:val="Subsection"/>
        <w:keepNext/>
        <w:keepLines/>
      </w:pPr>
      <w:r>
        <w:tab/>
        <w:t>(2)</w:t>
      </w:r>
      <w:r>
        <w:tab/>
        <w:t>The amount of pay</w:t>
      </w:r>
      <w:r>
        <w:noBreakHyphen/>
        <w:t xml:space="preserve">roll tax payable for a monthly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return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w:t>
      </w:r>
    </w:p>
    <w:p>
      <w:pPr>
        <w:pStyle w:val="Heading5"/>
      </w:pPr>
      <w:bookmarkStart w:id="24" w:name="_Toc389741220"/>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Heading3"/>
      </w:pPr>
      <w:bookmarkStart w:id="25" w:name="_Toc389741221"/>
      <w:r>
        <w:rPr>
          <w:rStyle w:val="CharDivNo"/>
        </w:rPr>
        <w:t>Division 4</w:t>
      </w:r>
      <w:r>
        <w:t xml:space="preserve"> — </w:t>
      </w:r>
      <w:r>
        <w:rPr>
          <w:rStyle w:val="CharDivText"/>
        </w:rPr>
        <w:t>Assessment generally</w:t>
      </w:r>
      <w:bookmarkEnd w:id="25"/>
    </w:p>
    <w:p>
      <w:pPr>
        <w:pStyle w:val="Heading5"/>
      </w:pPr>
      <w:bookmarkStart w:id="26" w:name="_Toc389741222"/>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223"/>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224"/>
      <w:r>
        <w:rPr>
          <w:rStyle w:val="CharSectno"/>
        </w:rPr>
        <w:t>22A</w:t>
      </w:r>
      <w:r>
        <w:t>.</w:t>
      </w:r>
      <w:r>
        <w:tab/>
        <w:t>Effect of change in tax rate during 2004/5 year</w:t>
      </w:r>
      <w:bookmarkEnd w:id="28"/>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spacing w:before="120"/>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b/>
        </w:rPr>
        <w:t>“</w:t>
      </w:r>
      <w:r>
        <w:rPr>
          <w:rStyle w:val="CharDefText"/>
        </w:rPr>
        <w:t>tax period</w:t>
      </w:r>
      <w:r>
        <w:rPr>
          <w:b/>
        </w:rPr>
        <w:t>”</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and</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t>“</w:t>
      </w:r>
      <w:r>
        <w:rPr>
          <w:rStyle w:val="CharDefText"/>
        </w:rPr>
        <w:t>part period factor</w:t>
      </w:r>
      <w:r>
        <w:rPr>
          <w:b/>
        </w:rPr>
        <w:t>”</w:t>
      </w:r>
      <w:r>
        <w:t xml:space="preserve"> means the amount represented by F in the formula —</w:t>
      </w:r>
    </w:p>
    <w:p>
      <w:pPr>
        <w:pStyle w:val="Equation"/>
        <w:jc w:val="center"/>
      </w:pPr>
      <w:r>
        <w:rPr>
          <w:position w:val="-24"/>
        </w:rPr>
        <w:object w:dxaOrig="780" w:dyaOrig="620">
          <v:shape id="_x0000_i1031" type="#_x0000_t75" style="width:39pt;height:30.75pt" o:ole="">
            <v:imagedata r:id="rId31" o:title=""/>
          </v:shape>
          <o:OLEObject Type="Embed" ProgID="Equation.3" ShapeID="_x0000_i1031" DrawAspect="Content" ObjectID="_1643571624" r:id="rId32"/>
        </w:object>
      </w:r>
    </w:p>
    <w:p>
      <w:pPr>
        <w:pStyle w:val="Defstart"/>
      </w:pPr>
      <w:r>
        <w:tab/>
      </w: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225"/>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226"/>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227"/>
      <w:r>
        <w:rPr>
          <w:rStyle w:val="CharSectno"/>
        </w:rPr>
        <w:t>24</w:t>
      </w:r>
      <w:r>
        <w:t>.</w:t>
      </w:r>
      <w:r>
        <w:tab/>
        <w:t>Applications for registration as an employer</w:t>
      </w:r>
      <w:bookmarkEnd w:id="3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228"/>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229"/>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230"/>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group employer who lodges monthly returns 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w:t>
      </w:r>
    </w:p>
    <w:p>
      <w:pPr>
        <w:pStyle w:val="Heading5"/>
      </w:pPr>
      <w:bookmarkStart w:id="35" w:name="_Toc389741231"/>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232"/>
      <w:r>
        <w:rPr>
          <w:rStyle w:val="CharSectno"/>
        </w:rPr>
        <w:t>29</w:t>
      </w:r>
      <w:r>
        <w:t>.</w:t>
      </w:r>
      <w:r>
        <w:tab/>
        <w:t>Exemptions from lodging monthly returns</w:t>
      </w:r>
      <w:bookmarkEnd w:id="3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(1b)</w:t>
      </w:r>
      <w:r>
        <w:tab/>
        <w:t>In subsection (1a) —</w:t>
      </w:r>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prescribed conditions (if any)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the notice of exemption otherwise provides; or</w:t>
      </w:r>
    </w:p>
    <w:p>
      <w:pPr>
        <w:pStyle w:val="Indenta"/>
      </w:pPr>
      <w:r>
        <w:tab/>
        <w:t>(b)</w:t>
      </w:r>
      <w:r>
        <w:tab/>
        <w:t>if the notice otherwise provides — lodge returns as required by the notice.</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w:t>
      </w:r>
    </w:p>
    <w:p>
      <w:pPr>
        <w:pStyle w:val="Heading2"/>
      </w:pPr>
      <w:bookmarkStart w:id="37" w:name="_Toc389741233"/>
      <w:r>
        <w:rPr>
          <w:rStyle w:val="CharPartNo"/>
        </w:rPr>
        <w:t>Part 4</w:t>
      </w:r>
      <w:r>
        <w:t xml:space="preserve"> — </w:t>
      </w:r>
      <w:r>
        <w:rPr>
          <w:rStyle w:val="CharPartText"/>
        </w:rPr>
        <w:t>Constitution of business groups</w:t>
      </w:r>
      <w:bookmarkEnd w:id="37"/>
    </w:p>
    <w:p>
      <w:pPr>
        <w:pStyle w:val="Heading5"/>
      </w:pPr>
      <w:bookmarkStart w:id="38" w:name="_Toc389741234"/>
      <w:r>
        <w:rPr>
          <w:rStyle w:val="CharSectno"/>
        </w:rPr>
        <w:t>30</w:t>
      </w:r>
      <w:r>
        <w:t>.</w:t>
      </w:r>
      <w:r>
        <w:tab/>
        <w:t>Grouping corporations</w:t>
      </w:r>
      <w:bookmarkEnd w:id="38"/>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39" w:name="_Toc389741235"/>
      <w:r>
        <w:rPr>
          <w:rStyle w:val="CharSectno"/>
        </w:rPr>
        <w:t>31</w:t>
      </w:r>
      <w:r>
        <w:t>.</w:t>
      </w:r>
      <w:r>
        <w:tab/>
        <w:t>Grouping where employees used in another business</w:t>
      </w:r>
      <w:bookmarkEnd w:id="39"/>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0" w:name="_Toc389741236"/>
      <w:r>
        <w:rPr>
          <w:rStyle w:val="CharSectno"/>
        </w:rPr>
        <w:t>32</w:t>
      </w:r>
      <w:r>
        <w:t>.</w:t>
      </w:r>
      <w:r>
        <w:tab/>
        <w:t>Grouping commonly controlled businesses</w:t>
      </w:r>
      <w:bookmarkEnd w:id="40"/>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1" w:name="_Toc389741237"/>
      <w:r>
        <w:rPr>
          <w:rStyle w:val="CharSectno"/>
        </w:rPr>
        <w:t>33</w:t>
      </w:r>
      <w:r>
        <w:t>.</w:t>
      </w:r>
      <w:r>
        <w:tab/>
        <w:t>Controlling interest in business</w:t>
      </w:r>
      <w:bookmarkEnd w:id="41"/>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2" w:name="_Toc389741238"/>
      <w:r>
        <w:rPr>
          <w:rStyle w:val="CharSectno"/>
        </w:rPr>
        <w:t>34</w:t>
      </w:r>
      <w:r>
        <w:t>.</w:t>
      </w:r>
      <w:r>
        <w:tab/>
        <w:t>Value of beneficial interest in discretionary trusts</w:t>
      </w:r>
      <w:bookmarkEnd w:id="42"/>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43" w:name="_Toc389741239"/>
      <w:r>
        <w:rPr>
          <w:rStyle w:val="CharSectno"/>
        </w:rPr>
        <w:t>35</w:t>
      </w:r>
      <w:r>
        <w:t>.</w:t>
      </w:r>
      <w:r>
        <w:tab/>
        <w:t>Grouping head and branch businesses</w:t>
      </w:r>
      <w:bookmarkEnd w:id="43"/>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44" w:name="_Toc389741240"/>
      <w:r>
        <w:rPr>
          <w:rStyle w:val="CharSectno"/>
        </w:rPr>
        <w:t>36</w:t>
      </w:r>
      <w:r>
        <w:t>.</w:t>
      </w:r>
      <w:r>
        <w:tab/>
        <w:t>Smaller groups subsumed into larger groups</w:t>
      </w:r>
      <w:bookmarkEnd w:id="44"/>
    </w:p>
    <w:p>
      <w:pPr>
        <w:pStyle w:val="Subsection"/>
        <w:spacing w:before="120"/>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5" w:name="_Toc389741241"/>
      <w:r>
        <w:rPr>
          <w:rStyle w:val="CharSectno"/>
        </w:rPr>
        <w:t>37</w:t>
      </w:r>
      <w:r>
        <w:t>.</w:t>
      </w:r>
      <w:r>
        <w:tab/>
        <w:t>Grouping provisions operate independently</w:t>
      </w:r>
      <w:bookmarkEnd w:id="45"/>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6" w:name="_Toc389741242"/>
      <w:r>
        <w:rPr>
          <w:rStyle w:val="CharSectno"/>
        </w:rPr>
        <w:t>38</w:t>
      </w:r>
      <w:r>
        <w:t>.</w:t>
      </w:r>
      <w:r>
        <w:tab/>
        <w:t>Exclusion from groups</w:t>
      </w:r>
      <w:bookmarkEnd w:id="46"/>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7" w:name="_Toc389741243"/>
      <w:r>
        <w:rPr>
          <w:rStyle w:val="CharSectno"/>
        </w:rPr>
        <w:t>39</w:t>
      </w:r>
      <w:r>
        <w:t>.</w:t>
      </w:r>
      <w:r>
        <w:tab/>
        <w:t>Designated group employer</w:t>
      </w:r>
      <w:bookmarkEnd w:id="47"/>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8" w:name="_Toc389741244"/>
      <w:r>
        <w:rPr>
          <w:rStyle w:val="CharPartNo"/>
        </w:rPr>
        <w:t>Part 5</w:t>
      </w:r>
      <w:r>
        <w:rPr>
          <w:rStyle w:val="CharDivNo"/>
        </w:rPr>
        <w:t xml:space="preserve"> </w:t>
      </w:r>
      <w:r>
        <w:t>—</w:t>
      </w:r>
      <w:r>
        <w:rPr>
          <w:rStyle w:val="CharDivText"/>
        </w:rPr>
        <w:t xml:space="preserve"> </w:t>
      </w:r>
      <w:r>
        <w:rPr>
          <w:rStyle w:val="CharPartText"/>
        </w:rPr>
        <w:t>Miscellaneous</w:t>
      </w:r>
      <w:bookmarkEnd w:id="48"/>
    </w:p>
    <w:p>
      <w:pPr>
        <w:pStyle w:val="Heading5"/>
      </w:pPr>
      <w:bookmarkStart w:id="49" w:name="_Toc389741245"/>
      <w:r>
        <w:rPr>
          <w:rStyle w:val="CharSectno"/>
        </w:rPr>
        <w:t>40</w:t>
      </w:r>
      <w:r>
        <w:t>.</w:t>
      </w:r>
      <w:r>
        <w:tab/>
        <w:t>Exempt wages</w:t>
      </w:r>
      <w:bookmarkEnd w:id="49"/>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out of moneys expended for the purpose of a division or portion of a division referred to in the annual estimates of expenditure from the Consolidated Fund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Heading5"/>
      </w:pPr>
      <w:bookmarkStart w:id="50" w:name="_Toc389741246"/>
      <w:r>
        <w:rPr>
          <w:rStyle w:val="CharSectno"/>
        </w:rPr>
        <w:t>41</w:t>
      </w:r>
      <w:r>
        <w:t>.</w:t>
      </w:r>
      <w:r>
        <w:tab/>
        <w:t>Exempting charitable bodies or organisations</w:t>
      </w:r>
      <w:bookmarkEnd w:id="50"/>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1" w:name="_Toc389741247"/>
      <w:r>
        <w:rPr>
          <w:rStyle w:val="CharSectno"/>
        </w:rPr>
        <w:t>42</w:t>
      </w:r>
      <w:r>
        <w:t>.</w:t>
      </w:r>
      <w:r>
        <w:tab/>
        <w:t>Tax payable when employer leaves Australia</w:t>
      </w:r>
      <w:bookmarkEnd w:id="51"/>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2" w:name="_Toc389741248"/>
      <w:r>
        <w:rPr>
          <w:rStyle w:val="CharSectno"/>
        </w:rPr>
        <w:t>43</w:t>
      </w:r>
      <w:r>
        <w:t>.</w:t>
      </w:r>
      <w:r>
        <w:tab/>
        <w:t>Agents and trustees</w:t>
      </w:r>
      <w:bookmarkEnd w:id="5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249"/>
      <w:r>
        <w:rPr>
          <w:rStyle w:val="CharSectno"/>
        </w:rPr>
        <w:t>44</w:t>
      </w:r>
      <w:r>
        <w:t>.</w:t>
      </w:r>
      <w:r>
        <w:tab/>
        <w:t>Keeping books and accounts</w:t>
      </w:r>
      <w:bookmarkEnd w:id="5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4" w:name="_Toc389741250"/>
      <w:r>
        <w:rPr>
          <w:rStyle w:val="CharSectno"/>
        </w:rPr>
        <w:t>45</w:t>
      </w:r>
      <w:r>
        <w:t>.</w:t>
      </w:r>
      <w:r>
        <w:tab/>
        <w:t>Regulations</w:t>
      </w:r>
      <w:bookmarkEnd w:id="5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55" w:name="_Toc389741251"/>
      <w:r>
        <w:rPr>
          <w:rStyle w:val="CharSchNo"/>
        </w:rPr>
        <w:t>Glossary</w:t>
      </w:r>
      <w:bookmarkEnd w:id="55"/>
      <w:r>
        <w:t xml:space="preserve"> </w:t>
      </w:r>
    </w:p>
    <w:p>
      <w:pPr>
        <w:pStyle w:val="yShoulderClause"/>
      </w:pPr>
      <w:r>
        <w:t>[s. 4]</w:t>
      </w:r>
    </w:p>
    <w:p>
      <w:pPr>
        <w:pStyle w:val="yHeading5"/>
        <w:outlineLvl w:val="9"/>
      </w:pPr>
      <w:bookmarkStart w:id="56" w:name="_Toc389741252"/>
      <w:r>
        <w:rPr>
          <w:rStyle w:val="CharSClsNo"/>
        </w:rPr>
        <w:t>1</w:t>
      </w:r>
      <w:r>
        <w:t>.</w:t>
      </w:r>
      <w:r>
        <w:tab/>
        <w:t>Definitions</w:t>
      </w:r>
      <w:bookmarkEnd w:id="56"/>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rPr>
          <w:color w:val="000000"/>
        </w:rPr>
      </w:pPr>
      <w:r>
        <w:rPr>
          <w:color w:val="000000"/>
        </w:rPr>
        <w:tab/>
      </w:r>
      <w:r>
        <w:rPr>
          <w:b/>
          <w:color w:val="000000"/>
        </w:rPr>
        <w:t>“</w:t>
      </w:r>
      <w:r>
        <w:rPr>
          <w:rStyle w:val="CharDefText"/>
          <w:color w:val="000000"/>
        </w:rPr>
        <w:t>apportioned threshold amount</w:t>
      </w:r>
      <w:r>
        <w:rPr>
          <w:b/>
          <w:color w:val="000000"/>
        </w:rPr>
        <w: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pPr>
      <w:r>
        <w:tab/>
      </w:r>
      <w:r>
        <w:rPr>
          <w:b/>
        </w:rPr>
        <w:t>“</w:t>
      </w:r>
      <w:r>
        <w:rPr>
          <w:rStyle w:val="CharDefText"/>
        </w:rPr>
        <w:t>Australian superannuation scheme</w:t>
      </w:r>
      <w:r>
        <w:rPr>
          <w:b/>
        </w:rPr>
        <w:t>”</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b/>
        </w:rPr>
        <w:t>“</w:t>
      </w:r>
      <w:r>
        <w:rPr>
          <w:rStyle w:val="CharDefText"/>
        </w:rPr>
        <w:t>business</w:t>
      </w:r>
      <w:r>
        <w:rPr>
          <w:b/>
        </w:rPr>
        <w:t>”</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b/>
        </w:rPr>
        <w:t>“</w:t>
      </w:r>
      <w:r>
        <w:rPr>
          <w:rStyle w:val="CharDefText"/>
        </w:rPr>
        <w:t>company</w:t>
      </w:r>
      <w:r>
        <w:rPr>
          <w:b/>
        </w:rPr>
        <w:t>”</w:t>
      </w:r>
      <w:r>
        <w:t xml:space="preserve"> includes all bodies and associations (corporate and unincorporate) and partnerships;</w:t>
      </w:r>
    </w:p>
    <w:p>
      <w:pPr>
        <w:pStyle w:val="yDefstart"/>
        <w:spacing w:before="64"/>
      </w:pPr>
      <w:r>
        <w:tab/>
      </w:r>
      <w:r>
        <w:rPr>
          <w:b/>
        </w:rPr>
        <w:t>“</w:t>
      </w:r>
      <w:r>
        <w:rPr>
          <w:rStyle w:val="CharDefText"/>
        </w:rPr>
        <w:t>controlling interest</w:t>
      </w:r>
      <w:r>
        <w:rPr>
          <w:b/>
        </w:rPr>
        <w:t>”</w:t>
      </w:r>
      <w:r>
        <w:t>, in relation to a business, has the definition given in section 33;</w:t>
      </w:r>
    </w:p>
    <w:p>
      <w:pPr>
        <w:pStyle w:val="yDefstart"/>
        <w:spacing w:before="64"/>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spacing w:before="64"/>
      </w:pPr>
      <w:r>
        <w:tab/>
      </w:r>
      <w:r>
        <w:rPr>
          <w:b/>
        </w:rPr>
        <w:t>“</w:t>
      </w:r>
      <w:r>
        <w:rPr>
          <w:rStyle w:val="CharDefText"/>
        </w:rPr>
        <w:t>corporation</w:t>
      </w:r>
      <w:r>
        <w:rPr>
          <w:b/>
        </w:rPr>
        <w:t>”</w:t>
      </w:r>
      <w:r>
        <w:t xml:space="preserve"> has the meaning given by section 57A of the Corporations Act;</w:t>
      </w:r>
    </w:p>
    <w:p>
      <w:pPr>
        <w:pStyle w:val="yDefstart"/>
        <w:spacing w:before="64"/>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w:t>
      </w:r>
    </w:p>
    <w:p>
      <w:pPr>
        <w:pStyle w:val="yDefstart"/>
      </w:pPr>
      <w:r>
        <w:tab/>
      </w:r>
      <w:r>
        <w:rPr>
          <w:b/>
        </w:rPr>
        <w:t xml:space="preserve">“ </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yDefpara"/>
      </w:pPr>
      <w:r>
        <w:tab/>
        <w:t>(c)</w:t>
      </w:r>
      <w:r>
        <w:tab/>
        <w:t>if the employer is exempt under section 29 from lodging monthly returns, but no alternative return period is specified in the notice of exemption — an assessment year;</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keepNext/>
        <w:keepLines/>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w:t>
      </w:r>
    </w:p>
    <w:p>
      <w:pPr>
        <w:pStyle w:val="yHeading5"/>
        <w:outlineLvl w:val="9"/>
      </w:pPr>
      <w:bookmarkStart w:id="57" w:name="_Toc389741253"/>
      <w:r>
        <w:rPr>
          <w:rStyle w:val="CharSClsNo"/>
        </w:rPr>
        <w:t>2</w:t>
      </w:r>
      <w:r>
        <w:t>.</w:t>
      </w:r>
      <w:r>
        <w:tab/>
        <w:t>Wages — meaning</w:t>
      </w:r>
      <w:bookmarkEnd w:id="57"/>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8" w:name="_Toc389741254"/>
      <w:r>
        <w:rPr>
          <w:rStyle w:val="CharSClsNo"/>
        </w:rPr>
        <w:t>3</w:t>
      </w:r>
      <w:r>
        <w:t>.</w:t>
      </w:r>
      <w:r>
        <w:tab/>
        <w:t>GST excluded from wages</w:t>
      </w:r>
      <w:bookmarkEnd w:id="58"/>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59" w:name="_Toc389741255"/>
      <w:r>
        <w:rPr>
          <w:rStyle w:val="CharSClsNo"/>
        </w:rPr>
        <w:t>4</w:t>
      </w:r>
      <w:r>
        <w:t>.</w:t>
      </w:r>
      <w:r>
        <w:tab/>
        <w:t>Place of payment of wages</w:t>
      </w:r>
      <w:bookmarkEnd w:id="59"/>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0" w:name="_Toc389741256"/>
      <w:r>
        <w:rPr>
          <w:rStyle w:val="CharSClsNo"/>
        </w:rPr>
        <w:t>5</w:t>
      </w:r>
      <w:r>
        <w:t>.</w:t>
      </w:r>
      <w:r>
        <w:tab/>
        <w:t>Provider of fringe benefits or specified taxable benefits</w:t>
      </w:r>
      <w:bookmarkEnd w:id="60"/>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1" w:name="_Toc389741257"/>
      <w:r>
        <w:rPr>
          <w:rStyle w:val="CharSClsNo"/>
        </w:rPr>
        <w:t>6</w:t>
      </w:r>
      <w:r>
        <w:t>.</w:t>
      </w:r>
      <w:r>
        <w:tab/>
        <w:t>Value of wages paid in kind and other benefits</w:t>
      </w:r>
      <w:bookmarkEnd w:id="61"/>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2" w:name="_Toc389741258"/>
      <w:r>
        <w:rPr>
          <w:rStyle w:val="CharSClsNo"/>
        </w:rPr>
        <w:t>7</w:t>
      </w:r>
      <w:r>
        <w:t>.</w:t>
      </w:r>
      <w:r>
        <w:tab/>
        <w:t>The value of fringe benefits</w:t>
      </w:r>
      <w:bookmarkEnd w:id="62"/>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snapToGrid w:val="0"/>
        </w:rPr>
      </w:pPr>
      <w:r>
        <w:rPr>
          <w:snapToGrid w:val="0"/>
          <w:position w:val="-10"/>
        </w:rPr>
        <w:object w:dxaOrig="1060" w:dyaOrig="320">
          <v:shape id="_x0000_i1032" type="#_x0000_t75" style="width:53.25pt;height:15.75pt" o:ole="">
            <v:imagedata r:id="rId39" o:title=""/>
          </v:shape>
          <o:OLEObject Type="Embed" ProgID="Equation.3" ShapeID="_x0000_i1032" DrawAspect="Content" ObjectID="_1643571625" r:id="rId40"/>
        </w:object>
      </w:r>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3" w:name="_Toc389741259"/>
      <w:r>
        <w:rPr>
          <w:rStyle w:val="CharSClsNo"/>
        </w:rPr>
        <w:t>8</w:t>
      </w:r>
      <w:r>
        <w:t>.</w:t>
      </w:r>
      <w:r>
        <w:tab/>
        <w:t>Superannuation benefits</w:t>
      </w:r>
      <w:bookmarkEnd w:id="63"/>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4" w:name="_Toc389741260"/>
      <w:r>
        <w:rPr>
          <w:rStyle w:val="CharSClsNo"/>
        </w:rPr>
        <w:t>9</w:t>
      </w:r>
      <w:r>
        <w:t>.</w:t>
      </w:r>
      <w:r>
        <w:tab/>
        <w:t>Superannuation fund contributions</w:t>
      </w:r>
      <w:bookmarkEnd w:id="64"/>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5" w:name="_Toc389741261"/>
      <w:r>
        <w:rPr>
          <w:rStyle w:val="CharSClsNo"/>
        </w:rPr>
        <w:t>10</w:t>
      </w:r>
      <w:r>
        <w:t>.</w:t>
      </w:r>
      <w:r>
        <w:tab/>
      </w:r>
      <w:r>
        <w:rPr>
          <w:rStyle w:val="CharSectno"/>
        </w:rPr>
        <w:t>Contributions to defined superannuation benefit schemes</w:t>
      </w:r>
      <w:bookmarkEnd w:id="65"/>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6" w:name="_Toc389741262"/>
      <w:r>
        <w:rPr>
          <w:rStyle w:val="CharSClsNo"/>
        </w:rPr>
        <w:t>11</w:t>
      </w:r>
      <w:r>
        <w:t>.</w:t>
      </w:r>
      <w:r>
        <w:tab/>
        <w:t>Unfunded credit to certain unregulated schemes</w:t>
      </w:r>
      <w:bookmarkEnd w:id="66"/>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7" w:name="_Toc389741263"/>
      <w:r>
        <w:rPr>
          <w:rStyle w:val="CharSClsNo"/>
        </w:rPr>
        <w:t>12</w:t>
      </w:r>
      <w:r>
        <w:t>.</w:t>
      </w:r>
      <w:r>
        <w:tab/>
        <w:t>Superannuation guarantee charge</w:t>
      </w:r>
      <w:bookmarkEnd w:id="67"/>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pPr>
      <w:bookmarkStart w:id="68" w:name="_Toc389741264"/>
      <w:r>
        <w:t>Notes</w:t>
      </w:r>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 w:name="_Toc389741265"/>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 xml:space="preserve">Revenue Laws Amendment (Tax Relief) Act 2004 </w:t>
            </w:r>
            <w:r>
              <w:rPr>
                <w:iCs/>
                <w:sz w:val="19"/>
              </w:rPr>
              <w:t>Pt. 2 Div. 1 and 2 </w:t>
            </w:r>
            <w:r>
              <w:rPr>
                <w:iCs/>
                <w:sz w:val="19"/>
                <w:vertAlign w:val="superscript"/>
              </w:rPr>
              <w:t>2</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iCs/>
                <w:spacing w:val="-2"/>
                <w:sz w:val="19"/>
              </w:rPr>
              <w:t>1 Jan 2005 (see s. 2(2))</w:t>
            </w:r>
          </w:p>
        </w:tc>
      </w:tr>
      <w:tr>
        <w:tc>
          <w:tcPr>
            <w:tcW w:w="2268" w:type="dxa"/>
          </w:tcPr>
          <w:p>
            <w:pPr>
              <w:pStyle w:val="nTable"/>
              <w:spacing w:after="40"/>
              <w:rPr>
                <w:iCs/>
                <w:sz w:val="19"/>
              </w:rPr>
            </w:pPr>
            <w:r>
              <w:rPr>
                <w:i/>
                <w:sz w:val="19"/>
              </w:rPr>
              <w:t>Revenue Laws Amendment Act 2005</w:t>
            </w:r>
            <w:r>
              <w:rPr>
                <w:iCs/>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iCs/>
                <w:spacing w:val="-2"/>
                <w:sz w:val="19"/>
              </w:rPr>
            </w:pPr>
            <w:r>
              <w:rPr>
                <w:iCs/>
                <w:spacing w:val="-2"/>
                <w:sz w:val="19"/>
              </w:rPr>
              <w:t>18 May 2005 (see s. 2(2))</w:t>
            </w:r>
          </w:p>
        </w:tc>
      </w:tr>
      <w:tr>
        <w:trPr>
          <w:cantSplit/>
        </w:trPr>
        <w:tc>
          <w:tcPr>
            <w:tcW w:w="7088" w:type="dxa"/>
            <w:gridSpan w:val="4"/>
            <w:tcBorders>
              <w:bottom w:val="single" w:sz="8" w:space="0" w:color="auto"/>
            </w:tcBorders>
          </w:tcPr>
          <w:p>
            <w:pPr>
              <w:pStyle w:val="nTable"/>
              <w:spacing w:after="40"/>
              <w:rPr>
                <w:iCs/>
                <w:spacing w:val="-2"/>
                <w:sz w:val="19"/>
              </w:rPr>
            </w:pPr>
            <w:r>
              <w:rPr>
                <w:b/>
                <w:bCs/>
                <w:iCs/>
                <w:spacing w:val="-2"/>
                <w:sz w:val="19"/>
              </w:rPr>
              <w:t xml:space="preserve">Reprint 1: The </w:t>
            </w:r>
            <w:r>
              <w:rPr>
                <w:b/>
                <w:bCs/>
                <w:i/>
                <w:sz w:val="19"/>
              </w:rPr>
              <w:t>Pay</w:t>
            </w:r>
            <w:r>
              <w:rPr>
                <w:b/>
                <w:bCs/>
                <w:i/>
                <w:sz w:val="19"/>
              </w:rPr>
              <w:noBreakHyphen/>
              <w:t>roll Tax Assessment Act 2002</w:t>
            </w:r>
            <w:r>
              <w:rPr>
                <w:b/>
                <w:bCs/>
                <w:iCs/>
                <w:spacing w:val="-2"/>
                <w:sz w:val="19"/>
              </w:rPr>
              <w:t xml:space="preserve"> as at 6 Jan 2006</w:t>
            </w:r>
            <w:r>
              <w:rPr>
                <w:iCs/>
                <w:spacing w:val="-2"/>
                <w:sz w:val="19"/>
              </w:rPr>
              <w:t xml:space="preserve"> (includes amendments listed above)</w:t>
            </w:r>
          </w:p>
        </w:tc>
      </w:tr>
    </w:tbl>
    <w:p>
      <w:pPr>
        <w:pStyle w:val="nSubsection"/>
        <w:spacing w:before="12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0" w:name="_Toc389741266"/>
      <w:r>
        <w:rPr>
          <w:snapToGrid w:val="0"/>
        </w:rPr>
        <w:t>Provisions that have not come into operation</w:t>
      </w:r>
      <w:bookmarkEnd w:id="70"/>
    </w:p>
    <w:tbl>
      <w:tblPr>
        <w:tblW w:w="7088"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sz w:val="19"/>
              </w:rPr>
              <w:t xml:space="preserve">Revenue Laws Amendment (Tax Relief) Act 2004 </w:t>
            </w:r>
            <w:r>
              <w:rPr>
                <w:iCs/>
                <w:sz w:val="19"/>
              </w:rPr>
              <w:t>Pt. 2 Div. 3 </w:t>
            </w:r>
            <w:r>
              <w:rPr>
                <w:iCs/>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rPr>
            </w:pPr>
            <w:r>
              <w:rPr>
                <w:sz w:val="19"/>
              </w:rPr>
              <w:t>82 of 2004</w:t>
            </w:r>
          </w:p>
        </w:tc>
        <w:tc>
          <w:tcPr>
            <w:tcW w:w="1134" w:type="dxa"/>
            <w:tcBorders>
              <w:top w:val="single" w:sz="8" w:space="0" w:color="auto"/>
              <w:bottom w:val="single" w:sz="8" w:space="0" w:color="auto"/>
            </w:tcBorders>
          </w:tcPr>
          <w:p>
            <w:pPr>
              <w:pStyle w:val="nTable"/>
              <w:spacing w:after="40"/>
              <w:rPr>
                <w:snapToGrid w:val="0"/>
                <w:sz w:val="19"/>
              </w:rPr>
            </w:pPr>
            <w:r>
              <w:rPr>
                <w:sz w:val="19"/>
              </w:rPr>
              <w:t>8 Dec 2004</w:t>
            </w:r>
          </w:p>
        </w:tc>
        <w:tc>
          <w:tcPr>
            <w:tcW w:w="2551" w:type="dxa"/>
            <w:tcBorders>
              <w:top w:val="single" w:sz="8" w:space="0" w:color="auto"/>
              <w:bottom w:val="single" w:sz="8" w:space="0" w:color="auto"/>
            </w:tcBorders>
          </w:tcPr>
          <w:p>
            <w:pPr>
              <w:pStyle w:val="nTable"/>
              <w:spacing w:after="40"/>
              <w:rPr>
                <w:snapToGrid w:val="0"/>
                <w:sz w:val="19"/>
              </w:rPr>
            </w:pPr>
            <w:r>
              <w:rPr>
                <w:iCs/>
                <w:spacing w:val="-2"/>
                <w:sz w:val="19"/>
              </w:rPr>
              <w:t>1 Jul 2006 (see s. 2(3))</w:t>
            </w:r>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rPr>
          <w:iCs/>
        </w:rP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rPr>
          <w:snapToGrid w:val="0"/>
        </w:rPr>
      </w:pPr>
      <w:r>
        <w:rPr>
          <w:snapToGrid w:val="0"/>
          <w:vertAlign w:val="superscript"/>
        </w:rPr>
        <w:t>3</w:t>
      </w:r>
      <w:r>
        <w:rPr>
          <w:snapToGrid w:val="0"/>
        </w:rPr>
        <w:tab/>
        <w:t xml:space="preserve">On the date as at which this reprint was prepared, the </w:t>
      </w:r>
      <w:r>
        <w:rPr>
          <w:i/>
        </w:rPr>
        <w:t xml:space="preserve">Revenue Laws Amendment (Tax Relief) Act 2004 </w:t>
      </w:r>
      <w:r>
        <w:rPr>
          <w:iCs/>
        </w:rPr>
        <w:t xml:space="preserve">Pt. 2 Div. 3 </w:t>
      </w:r>
      <w:r>
        <w:rPr>
          <w:snapToGrid w:val="0"/>
        </w:rPr>
        <w:t>had not come into operation.  It reads as follows:</w:t>
      </w:r>
    </w:p>
    <w:p>
      <w:pPr>
        <w:pStyle w:val="MiscOpen"/>
        <w:spacing w:before="80"/>
        <w:rPr>
          <w:rStyle w:val="CharPartNo"/>
        </w:rPr>
      </w:pPr>
      <w:r>
        <w:rPr>
          <w:rStyle w:val="CharPartNo"/>
        </w:rPr>
        <w:t>“</w:t>
      </w:r>
    </w:p>
    <w:p>
      <w:pPr>
        <w:pStyle w:val="nzHeading2"/>
        <w:spacing w:before="80"/>
      </w:pPr>
      <w:r>
        <w:rPr>
          <w:rStyle w:val="CharPartNo"/>
        </w:rPr>
        <w:t>Part 2</w:t>
      </w:r>
      <w:r>
        <w:t> — </w:t>
      </w:r>
      <w:r>
        <w:rPr>
          <w:rStyle w:val="CharPartText"/>
          <w:i/>
        </w:rPr>
        <w:t>Pay</w:t>
      </w:r>
      <w:r>
        <w:rPr>
          <w:rStyle w:val="CharPartText"/>
          <w:i/>
        </w:rPr>
        <w:noBreakHyphen/>
        <w:t xml:space="preserve">roll Tax Assessment Act 2002 </w:t>
      </w:r>
      <w:r>
        <w:rPr>
          <w:rStyle w:val="CharPartText"/>
        </w:rPr>
        <w:t>amended</w:t>
      </w:r>
    </w:p>
    <w:p>
      <w:pPr>
        <w:pStyle w:val="nzHeading3"/>
      </w:pPr>
      <w:r>
        <w:rPr>
          <w:rStyle w:val="CharDivNo"/>
        </w:rPr>
        <w:t>Division 3</w:t>
      </w:r>
      <w:r>
        <w:t> — </w:t>
      </w:r>
      <w:r>
        <w:rPr>
          <w:rStyle w:val="CharDivText"/>
        </w:rPr>
        <w:t>Amendments commencing on 1 July 2006</w:t>
      </w:r>
    </w:p>
    <w:p>
      <w:pPr>
        <w:pStyle w:val="nzHeading5"/>
      </w:pPr>
      <w:r>
        <w:rPr>
          <w:rStyle w:val="CharSectno"/>
        </w:rPr>
        <w:t>7</w:t>
      </w:r>
      <w:r>
        <w:t>.</w:t>
      </w:r>
      <w:r>
        <w:tab/>
        <w:t>Section 11 amended</w:t>
      </w:r>
    </w:p>
    <w:p>
      <w:pPr>
        <w:pStyle w:val="nzSubsection"/>
      </w:pPr>
      <w:r>
        <w:tab/>
      </w:r>
      <w:r>
        <w:tab/>
        <w:t>Section 11 is amended as follows:</w:t>
      </w:r>
    </w:p>
    <w:p>
      <w:pPr>
        <w:pStyle w:val="nzIndenta"/>
      </w:pPr>
      <w:r>
        <w:tab/>
        <w:t>(a)</w:t>
      </w:r>
      <w:r>
        <w:tab/>
        <w:t>by deleting “monthly” and inserting instead —</w:t>
      </w:r>
    </w:p>
    <w:p>
      <w:pPr>
        <w:pStyle w:val="nzIndenta"/>
      </w:pPr>
      <w:r>
        <w:tab/>
      </w:r>
      <w:r>
        <w:tab/>
        <w:t>“    progressive    ”;</w:t>
      </w:r>
    </w:p>
    <w:p>
      <w:pPr>
        <w:pStyle w:val="nzIndenta"/>
      </w:pPr>
      <w:r>
        <w:tab/>
        <w:t>(b)</w:t>
      </w:r>
      <w:r>
        <w:tab/>
        <w:t>by deleting “month” in the first place where it occurs and inserting instead —</w:t>
      </w:r>
    </w:p>
    <w:p>
      <w:pPr>
        <w:pStyle w:val="nzIndenta"/>
      </w:pPr>
      <w:r>
        <w:tab/>
      </w:r>
      <w:r>
        <w:tab/>
        <w:t>“    progressive return period    ”;</w:t>
      </w:r>
    </w:p>
    <w:p>
      <w:pPr>
        <w:pStyle w:val="nzIndenta"/>
      </w:pPr>
      <w:r>
        <w:tab/>
        <w:t>(c)</w:t>
      </w:r>
      <w:r>
        <w:tab/>
        <w:t>by deleting “month” in each place where it occurs in paragraph (a) or (b) and inserting instead —</w:t>
      </w:r>
    </w:p>
    <w:p>
      <w:pPr>
        <w:pStyle w:val="nzIndenta"/>
      </w:pPr>
      <w:r>
        <w:tab/>
      </w:r>
      <w:r>
        <w:tab/>
        <w:t>“    period    ”.</w:t>
      </w:r>
    </w:p>
    <w:p>
      <w:pPr>
        <w:pStyle w:val="nzHeading5"/>
      </w:pPr>
      <w:r>
        <w:rPr>
          <w:rStyle w:val="CharSectno"/>
        </w:rPr>
        <w:t>8</w:t>
      </w:r>
      <w:r>
        <w:t>.</w:t>
      </w:r>
      <w:r>
        <w:tab/>
        <w:t>Section 12 amended</w:t>
      </w:r>
    </w:p>
    <w:p>
      <w:pPr>
        <w:pStyle w:val="nzSubsection"/>
      </w:pPr>
      <w:r>
        <w:tab/>
      </w:r>
      <w:r>
        <w:tab/>
        <w:t>Section 12(2) is amended as follows:</w:t>
      </w:r>
    </w:p>
    <w:p>
      <w:pPr>
        <w:pStyle w:val="nzIndenta"/>
      </w:pPr>
      <w:r>
        <w:tab/>
        <w:t>(a)</w:t>
      </w:r>
      <w:r>
        <w:tab/>
        <w:t>by deleting “month” in the first 2 places where it occurs and inserting instead —</w:t>
      </w:r>
    </w:p>
    <w:p>
      <w:pPr>
        <w:pStyle w:val="nzIndenta"/>
      </w:pPr>
      <w:r>
        <w:tab/>
      </w:r>
      <w:r>
        <w:tab/>
        <w:t>“    progressive return period    ”;</w:t>
      </w:r>
    </w:p>
    <w:p>
      <w:pPr>
        <w:pStyle w:val="nzIndenta"/>
      </w:pPr>
      <w:r>
        <w:tab/>
        <w:t>(b)</w:t>
      </w:r>
      <w:r>
        <w:tab/>
        <w:t>in the formula —</w:t>
      </w:r>
    </w:p>
    <w:p>
      <w:pPr>
        <w:pStyle w:val="nzIndenti"/>
      </w:pPr>
      <w:r>
        <w:tab/>
        <w:t>(i)</w:t>
      </w:r>
      <w:r>
        <w:tab/>
        <w:t>by inserting before “T” —</w:t>
      </w:r>
    </w:p>
    <w:p>
      <w:pPr>
        <w:pStyle w:val="nzIndenti"/>
      </w:pPr>
      <w:r>
        <w:tab/>
      </w:r>
      <w:r>
        <w:tab/>
        <w:t>“    N x    ”; and</w:t>
      </w:r>
    </w:p>
    <w:p>
      <w:pPr>
        <w:pStyle w:val="nzIndenti"/>
      </w:pPr>
      <w:r>
        <w:tab/>
        <w:t>(ii)</w:t>
      </w:r>
      <w:r>
        <w:tab/>
        <w:t>by deleting “M” and inserting instead —</w:t>
      </w:r>
    </w:p>
    <w:p>
      <w:pPr>
        <w:pStyle w:val="nzIndenti"/>
      </w:pPr>
      <w:r>
        <w:tab/>
      </w:r>
      <w:r>
        <w:tab/>
        <w:t>“    P    ”;</w:t>
      </w:r>
    </w:p>
    <w:p>
      <w:pPr>
        <w:pStyle w:val="nzIndenta"/>
      </w:pPr>
      <w:r>
        <w:tab/>
        <w:t>(c)</w:t>
      </w:r>
      <w:r>
        <w:tab/>
        <w:t>by inserting before the description of “T” —</w:t>
      </w:r>
    </w:p>
    <w:p>
      <w:pPr>
        <w:pStyle w:val="MiscOpen"/>
        <w:spacing w:before="80"/>
        <w:ind w:left="1281"/>
      </w:pPr>
      <w:r>
        <w:t>“</w:t>
      </w:r>
    </w:p>
    <w:p>
      <w:pPr>
        <w:pStyle w:val="nzIndenta"/>
      </w:pPr>
      <w:r>
        <w:t xml:space="preserve">N     </w:t>
      </w:r>
      <w:r>
        <w:tab/>
        <w:t>is the number of months in the period;</w:t>
      </w:r>
    </w:p>
    <w:p>
      <w:pPr>
        <w:pStyle w:val="MiscClose"/>
      </w:pPr>
      <w:r>
        <w:t xml:space="preserve">    ”.</w:t>
      </w:r>
    </w:p>
    <w:p>
      <w:pPr>
        <w:pStyle w:val="nzIndenta"/>
      </w:pPr>
      <w:r>
        <w:tab/>
        <w:t>(d)</w:t>
      </w:r>
      <w:r>
        <w:tab/>
        <w:t>in the description of “D”, by deleting “month” in both places where it occurs and inserting instead —</w:t>
      </w:r>
    </w:p>
    <w:p>
      <w:pPr>
        <w:pStyle w:val="nzIndenta"/>
      </w:pPr>
      <w:r>
        <w:tab/>
      </w:r>
      <w:r>
        <w:tab/>
        <w:t>“    period    ”;</w:t>
      </w:r>
    </w:p>
    <w:p>
      <w:pPr>
        <w:pStyle w:val="nzIndenta"/>
      </w:pPr>
      <w:r>
        <w:tab/>
        <w:t>(e)</w:t>
      </w:r>
      <w:r>
        <w:tab/>
        <w:t>by deleting the description of “M” and inserting instead —</w:t>
      </w:r>
    </w:p>
    <w:p>
      <w:pPr>
        <w:pStyle w:val="MiscOpen"/>
        <w:spacing w:before="80"/>
        <w:ind w:left="1281"/>
      </w:pPr>
      <w:r>
        <w:t>“</w:t>
      </w:r>
    </w:p>
    <w:p>
      <w:pPr>
        <w:pStyle w:val="nzIndenta"/>
      </w:pPr>
      <w:r>
        <w:t>P</w:t>
      </w:r>
      <w:r>
        <w:tab/>
        <w:t xml:space="preserve">     is the number of days in the period.</w:t>
      </w:r>
    </w:p>
    <w:p>
      <w:pPr>
        <w:pStyle w:val="MiscClose"/>
      </w:pPr>
      <w:r>
        <w:t xml:space="preserve">    ”.</w:t>
      </w:r>
    </w:p>
    <w:p>
      <w:pPr>
        <w:pStyle w:val="nzHeading5"/>
      </w:pPr>
      <w:r>
        <w:rPr>
          <w:rStyle w:val="CharSectno"/>
        </w:rPr>
        <w:t>9</w:t>
      </w:r>
      <w:r>
        <w:t>.</w:t>
      </w:r>
      <w:r>
        <w:tab/>
        <w:t>Section 15 amended</w:t>
      </w:r>
    </w:p>
    <w:p>
      <w:pPr>
        <w:pStyle w:val="nzSubsection"/>
      </w:pPr>
      <w:r>
        <w:tab/>
        <w:t>(1)</w:t>
      </w:r>
      <w:r>
        <w:tab/>
        <w:t>Section 15(1) is amended as follows:</w:t>
      </w:r>
    </w:p>
    <w:p>
      <w:pPr>
        <w:pStyle w:val="nzIndenta"/>
      </w:pPr>
      <w:r>
        <w:tab/>
        <w:t>(a)</w:t>
      </w:r>
      <w:r>
        <w:tab/>
        <w:t>by deleting “month” in the first place where it occurs and inserting instead —</w:t>
      </w:r>
    </w:p>
    <w:p>
      <w:pPr>
        <w:pStyle w:val="nzIndenta"/>
      </w:pPr>
      <w:r>
        <w:tab/>
      </w:r>
      <w:r>
        <w:tab/>
        <w:t>“    progressive return period    ”;</w:t>
      </w:r>
    </w:p>
    <w:p>
      <w:pPr>
        <w:pStyle w:val="nzIndenta"/>
      </w:pPr>
      <w:r>
        <w:tab/>
        <w:t>(b)</w:t>
      </w:r>
      <w:r>
        <w:tab/>
        <w:t>in paragraph (a), by deleting “month” and inserting instead —</w:t>
      </w:r>
    </w:p>
    <w:p>
      <w:pPr>
        <w:pStyle w:val="nzIndenta"/>
      </w:pPr>
      <w:r>
        <w:tab/>
      </w:r>
      <w:r>
        <w:tab/>
        <w:t>“    period    ”.</w:t>
      </w:r>
    </w:p>
    <w:p>
      <w:pPr>
        <w:pStyle w:val="nzSubsection"/>
      </w:pPr>
      <w:r>
        <w:tab/>
        <w:t>(2)</w:t>
      </w:r>
      <w:r>
        <w:tab/>
        <w:t>Section 15(8) is amended by inserting before “return period” —</w:t>
      </w:r>
    </w:p>
    <w:p>
      <w:pPr>
        <w:pStyle w:val="nzSubsection"/>
      </w:pPr>
      <w:r>
        <w:tab/>
      </w:r>
      <w:r>
        <w:tab/>
        <w:t>“    progressive    ”.</w:t>
      </w:r>
    </w:p>
    <w:p>
      <w:pPr>
        <w:pStyle w:val="nzHeading5"/>
      </w:pPr>
      <w:r>
        <w:rPr>
          <w:rStyle w:val="CharSectno"/>
        </w:rPr>
        <w:t>10</w:t>
      </w:r>
      <w:r>
        <w:t>.</w:t>
      </w:r>
      <w:r>
        <w:tab/>
        <w:t>Section 16 amended</w:t>
      </w:r>
    </w:p>
    <w:p>
      <w:pPr>
        <w:pStyle w:val="nzSubsection"/>
      </w:pPr>
      <w:r>
        <w:tab/>
      </w:r>
      <w:r>
        <w:tab/>
        <w:t>Section 16(1) and (2) are each amended by inserting before “return periods” —</w:t>
      </w:r>
    </w:p>
    <w:p>
      <w:pPr>
        <w:pStyle w:val="nzSubsection"/>
      </w:pPr>
      <w:r>
        <w:tab/>
      </w:r>
      <w:r>
        <w:tab/>
        <w:t>“    progressive    ”.</w:t>
      </w:r>
    </w:p>
    <w:p>
      <w:pPr>
        <w:pStyle w:val="nzHeading5"/>
      </w:pPr>
      <w:r>
        <w:rPr>
          <w:rStyle w:val="CharSectno"/>
        </w:rPr>
        <w:t>11</w:t>
      </w:r>
      <w:r>
        <w:t>.</w:t>
      </w:r>
      <w:r>
        <w:tab/>
        <w:t>Section 19 amended</w:t>
      </w:r>
    </w:p>
    <w:p>
      <w:pPr>
        <w:pStyle w:val="nzSubsection"/>
      </w:pPr>
      <w:r>
        <w:tab/>
        <w:t>(1)</w:t>
      </w:r>
      <w:r>
        <w:tab/>
        <w:t>Section 19(1) is amended as follows:</w:t>
      </w:r>
    </w:p>
    <w:p>
      <w:pPr>
        <w:pStyle w:val="nzIndenta"/>
      </w:pPr>
      <w:r>
        <w:tab/>
        <w:t>(a)</w:t>
      </w:r>
      <w:r>
        <w:tab/>
        <w:t>by deleting “monthly” and inserting instead —</w:t>
      </w:r>
    </w:p>
    <w:p>
      <w:pPr>
        <w:pStyle w:val="nzIndenta"/>
      </w:pPr>
      <w:r>
        <w:tab/>
      </w:r>
      <w:r>
        <w:tab/>
        <w:t>“    progressive    ”;</w:t>
      </w:r>
    </w:p>
    <w:p>
      <w:pPr>
        <w:pStyle w:val="nzIndenta"/>
      </w:pPr>
      <w:r>
        <w:tab/>
        <w:t>(b)</w:t>
      </w:r>
      <w:r>
        <w:tab/>
        <w:t>by deleting “return” before “period.” at the end of the subsection.</w:t>
      </w:r>
    </w:p>
    <w:p>
      <w:pPr>
        <w:pStyle w:val="nzSubsection"/>
      </w:pPr>
      <w:r>
        <w:tab/>
        <w:t>(2)</w:t>
      </w:r>
      <w:r>
        <w:tab/>
        <w:t>Section 19(2) is amended as follows:</w:t>
      </w:r>
    </w:p>
    <w:p>
      <w:pPr>
        <w:pStyle w:val="nzIndenta"/>
      </w:pPr>
      <w:r>
        <w:tab/>
        <w:t>(a)</w:t>
      </w:r>
      <w:r>
        <w:tab/>
        <w:t>by deleting “monthly” and inserting instead —</w:t>
      </w:r>
    </w:p>
    <w:p>
      <w:pPr>
        <w:pStyle w:val="nzIndenta"/>
      </w:pPr>
      <w:r>
        <w:tab/>
      </w:r>
      <w:r>
        <w:tab/>
        <w:t>“    progressive    ”;</w:t>
      </w:r>
    </w:p>
    <w:p>
      <w:pPr>
        <w:pStyle w:val="nzIndenta"/>
      </w:pPr>
      <w:r>
        <w:tab/>
        <w:t>(b)</w:t>
      </w:r>
      <w:r>
        <w:tab/>
        <w:t>by deleting “return” before “period;” at the end of paragraph (a).</w:t>
      </w:r>
    </w:p>
    <w:p>
      <w:pPr>
        <w:pStyle w:val="nzHeading5"/>
      </w:pPr>
      <w:r>
        <w:rPr>
          <w:rStyle w:val="CharSectno"/>
        </w:rPr>
        <w:t>12</w:t>
      </w:r>
      <w:r>
        <w:t>.</w:t>
      </w:r>
      <w:r>
        <w:tab/>
        <w:t>Section 20 amended</w:t>
      </w:r>
    </w:p>
    <w:p>
      <w:pPr>
        <w:pStyle w:val="nzSubsection"/>
      </w:pPr>
      <w:r>
        <w:tab/>
      </w:r>
      <w:r>
        <w:tab/>
        <w:t>Section 20(1) and (2) are each amended by inserting before “return periods” —</w:t>
      </w:r>
    </w:p>
    <w:p>
      <w:pPr>
        <w:pStyle w:val="nzSubsection"/>
      </w:pPr>
      <w:r>
        <w:tab/>
      </w:r>
      <w:r>
        <w:tab/>
        <w:t>“    progressive    ”.</w:t>
      </w:r>
    </w:p>
    <w:p>
      <w:pPr>
        <w:pStyle w:val="nzHeading5"/>
      </w:pPr>
      <w:r>
        <w:rPr>
          <w:rStyle w:val="CharSectno"/>
        </w:rPr>
        <w:t>13</w:t>
      </w:r>
      <w:r>
        <w:t>.</w:t>
      </w:r>
      <w:r>
        <w:tab/>
        <w:t>Section 27 amended</w:t>
      </w:r>
    </w:p>
    <w:p>
      <w:pPr>
        <w:pStyle w:val="nzSubsection"/>
      </w:pPr>
      <w:r>
        <w:tab/>
      </w:r>
      <w:r>
        <w:tab/>
        <w:t>Section 27(1) is amended by deleting “monthly returns” and inserting instead —</w:t>
      </w:r>
    </w:p>
    <w:p>
      <w:pPr>
        <w:pStyle w:val="nzSubsection"/>
      </w:pPr>
      <w:r>
        <w:tab/>
      </w:r>
      <w:r>
        <w:tab/>
        <w:t>“    returns for progressive return periods    ”.</w:t>
      </w:r>
    </w:p>
    <w:p>
      <w:pPr>
        <w:pStyle w:val="nzHeading5"/>
      </w:pPr>
      <w:r>
        <w:rPr>
          <w:rStyle w:val="CharSectno"/>
        </w:rPr>
        <w:t>14</w:t>
      </w:r>
      <w:r>
        <w:t>.</w:t>
      </w:r>
      <w:r>
        <w:tab/>
        <w:t>Section 28A inserted</w:t>
      </w:r>
    </w:p>
    <w:p>
      <w:pPr>
        <w:pStyle w:val="nzSubsection"/>
        <w:keepNext/>
      </w:pPr>
      <w:r>
        <w:tab/>
      </w:r>
      <w:r>
        <w:tab/>
        <w:t>After section 28 the following section is inserted —</w:t>
      </w:r>
    </w:p>
    <w:p>
      <w:pPr>
        <w:pStyle w:val="MiscOpen"/>
      </w:pPr>
      <w:r>
        <w:t>“</w:t>
      </w:r>
    </w:p>
    <w:p>
      <w:pPr>
        <w:pStyle w:val="nzHeading5"/>
        <w:spacing w:before="60"/>
      </w:pPr>
      <w:r>
        <w:t>28A.</w:t>
      </w:r>
      <w:r>
        <w:tab/>
        <w:t>Manner of lodging and paying in certain cases</w:t>
      </w:r>
    </w:p>
    <w:p>
      <w:pPr>
        <w:pStyle w:val="nzSubsection"/>
        <w:spacing w:before="60"/>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nzSubsection"/>
        <w:spacing w:before="60"/>
      </w:pPr>
      <w:r>
        <w:tab/>
        <w:t>(2)</w:t>
      </w:r>
      <w:r>
        <w:tab/>
        <w:t>Subsection (1) applies if —</w:t>
      </w:r>
    </w:p>
    <w:p>
      <w:pPr>
        <w:pStyle w:val="nzIndenta"/>
      </w:pPr>
      <w:r>
        <w:tab/>
        <w:t>(a)</w:t>
      </w:r>
      <w:r>
        <w:tab/>
        <w:t>an employer —</w:t>
      </w:r>
    </w:p>
    <w:p>
      <w:pPr>
        <w:pStyle w:val="nzIndenti"/>
      </w:pPr>
      <w:r>
        <w:tab/>
        <w:t>(i)</w:t>
      </w:r>
      <w:r>
        <w:tab/>
        <w:t>has, or is a member of a group that has, an expected pay</w:t>
      </w:r>
      <w:r>
        <w:noBreakHyphen/>
        <w:t>roll tax liability for an assessment year that is not less than the amount applying under section 29(1aa)(a) or (b); and</w:t>
      </w:r>
    </w:p>
    <w:p>
      <w:pPr>
        <w:pStyle w:val="nzIndenti"/>
      </w:pPr>
      <w:r>
        <w:tab/>
        <w:t>(ii)</w:t>
      </w:r>
      <w:r>
        <w:tab/>
        <w:t>is required to lodge a return for a progressive return period in that assessment year or, to lodge an additional return under section 27 for that year;</w:t>
      </w:r>
    </w:p>
    <w:p>
      <w:pPr>
        <w:pStyle w:val="nzIndenta"/>
      </w:pPr>
      <w:r>
        <w:tab/>
      </w:r>
      <w:r>
        <w:tab/>
        <w:t>or</w:t>
      </w:r>
    </w:p>
    <w:p>
      <w:pPr>
        <w:pStyle w:val="nzIndenta"/>
      </w:pPr>
      <w:r>
        <w:tab/>
        <w:t>(b)</w:t>
      </w:r>
      <w:r>
        <w:tab/>
        <w:t>a condition of an exemption under section 29 requires a return to be lodged in accordance with this section.</w:t>
      </w:r>
    </w:p>
    <w:p>
      <w:pPr>
        <w:pStyle w:val="nzSubsection"/>
        <w:spacing w:before="60"/>
      </w:pPr>
      <w:r>
        <w:tab/>
        <w:t>(3)</w:t>
      </w:r>
      <w:r>
        <w:tab/>
        <w:t>In subsection (2)(a)(i) —</w:t>
      </w:r>
    </w:p>
    <w:p>
      <w:pPr>
        <w:pStyle w:val="nz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MiscClose"/>
      </w:pPr>
      <w:r>
        <w:t xml:space="preserve">    ”.</w:t>
      </w:r>
    </w:p>
    <w:p>
      <w:pPr>
        <w:pStyle w:val="nzHeading5"/>
        <w:spacing w:before="60"/>
      </w:pPr>
      <w:r>
        <w:rPr>
          <w:rStyle w:val="CharSectno"/>
        </w:rPr>
        <w:t>15</w:t>
      </w:r>
      <w:r>
        <w:t>.</w:t>
      </w:r>
      <w:r>
        <w:tab/>
        <w:t>Section 29 amended and transitional provision</w:t>
      </w:r>
    </w:p>
    <w:p>
      <w:pPr>
        <w:pStyle w:val="nzSubsection"/>
        <w:spacing w:before="60"/>
      </w:pPr>
      <w:r>
        <w:tab/>
        <w:t>(1)</w:t>
      </w:r>
      <w:r>
        <w:tab/>
        <w:t>After section 29(1a) the following subsection is inserted —</w:t>
      </w:r>
    </w:p>
    <w:p>
      <w:pPr>
        <w:pStyle w:val="MiscOpen"/>
        <w:ind w:left="600"/>
      </w:pPr>
      <w:r>
        <w:t>“</w:t>
      </w:r>
    </w:p>
    <w:p>
      <w:pPr>
        <w:pStyle w:val="nzSubsection"/>
        <w:spacing w:before="60"/>
      </w:pPr>
      <w:r>
        <w:tab/>
        <w:t>(1aa)</w:t>
      </w:r>
      <w:r>
        <w:tab/>
        <w:t>Except as stated in subsection (1c) or (1d), the Commissioner has to give an exemption on receiving an application from an employer having, or the DGE of a group having, an expected pay</w:t>
      </w:r>
      <w:r>
        <w:noBreakHyphen/>
        <w:t>roll tax liability for the assessment year that is not less than the amount applying under subsection (1a)(a) or (b) but is less than —</w:t>
      </w:r>
    </w:p>
    <w:p>
      <w:pPr>
        <w:pStyle w:val="nzIndenta"/>
      </w:pPr>
      <w:r>
        <w:tab/>
        <w:t>(a)</w:t>
      </w:r>
      <w:r>
        <w:tab/>
        <w:t>$100 000; or</w:t>
      </w:r>
    </w:p>
    <w:p>
      <w:pPr>
        <w:pStyle w:val="nzIndenta"/>
      </w:pPr>
      <w:r>
        <w:tab/>
        <w:t>(b)</w:t>
      </w:r>
      <w:r>
        <w:tab/>
        <w:t>a greater amount prescribed for the purpose of this subsection by the regulations.</w:t>
      </w:r>
    </w:p>
    <w:p>
      <w:pPr>
        <w:pStyle w:val="MiscClose"/>
      </w:pPr>
      <w:r>
        <w:t xml:space="preserve">    ”.</w:t>
      </w:r>
    </w:p>
    <w:p>
      <w:pPr>
        <w:pStyle w:val="nzSubsection"/>
      </w:pPr>
      <w:r>
        <w:tab/>
        <w:t>(2)</w:t>
      </w:r>
      <w:r>
        <w:tab/>
        <w:t>Section 29(1b) is amended by deleting “subsection (1a)” and inserting instead —</w:t>
      </w:r>
    </w:p>
    <w:p>
      <w:pPr>
        <w:pStyle w:val="nzSubsection"/>
      </w:pPr>
      <w:r>
        <w:tab/>
      </w:r>
      <w:r>
        <w:tab/>
        <w:t>“    subsections (1a) and (1aa)    ”.</w:t>
      </w:r>
    </w:p>
    <w:p>
      <w:pPr>
        <w:pStyle w:val="nzSubsection"/>
      </w:pPr>
      <w:r>
        <w:tab/>
        <w:t>(3)</w:t>
      </w:r>
      <w:r>
        <w:tab/>
        <w:t>Section 29(4) is amended as follows:</w:t>
      </w:r>
    </w:p>
    <w:p>
      <w:pPr>
        <w:pStyle w:val="nzIndenta"/>
      </w:pPr>
      <w:r>
        <w:tab/>
        <w:t>(a)</w:t>
      </w:r>
      <w:r>
        <w:tab/>
        <w:t>by deleting “prescribed”;</w:t>
      </w:r>
    </w:p>
    <w:p>
      <w:pPr>
        <w:pStyle w:val="nzIndenta"/>
      </w:pPr>
      <w:r>
        <w:tab/>
        <w:t>(b)</w:t>
      </w:r>
      <w:r>
        <w:tab/>
        <w:t>by inserting after “(if any)” in the first place where it occurs —</w:t>
      </w:r>
    </w:p>
    <w:p>
      <w:pPr>
        <w:pStyle w:val="nzIndenta"/>
      </w:pPr>
      <w:r>
        <w:tab/>
      </w:r>
      <w:r>
        <w:tab/>
        <w:t>“    prescribed in the regulations    ”.</w:t>
      </w:r>
    </w:p>
    <w:p>
      <w:pPr>
        <w:pStyle w:val="nzSubsection"/>
      </w:pPr>
      <w:r>
        <w:tab/>
        <w:t>(4)</w:t>
      </w:r>
      <w:r>
        <w:tab/>
        <w:t>After section 29(4b) the following subsections are inserted —</w:t>
      </w:r>
    </w:p>
    <w:p>
      <w:pPr>
        <w:pStyle w:val="MiscOpen"/>
        <w:ind w:left="600"/>
      </w:pPr>
      <w:r>
        <w:t>“</w:t>
      </w:r>
    </w:p>
    <w:p>
      <w:pPr>
        <w:pStyle w:val="nzSubsection"/>
      </w:pPr>
      <w:r>
        <w:tab/>
        <w:t>(4c)</w:t>
      </w:r>
      <w:r>
        <w:tab/>
        <w:t>Without limiting any other conditions that can be prescribed or specified, an exemption under subsection (1aa) is on the conditions that —</w:t>
      </w:r>
    </w:p>
    <w:p>
      <w:pPr>
        <w:pStyle w:val="nz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nzIndenta"/>
      </w:pPr>
      <w:r>
        <w:tab/>
        <w:t>(b)</w:t>
      </w:r>
      <w:r>
        <w:tab/>
        <w:t>the return is lodged in accordance with section 28A; and</w:t>
      </w:r>
    </w:p>
    <w:p>
      <w:pPr>
        <w:pStyle w:val="nzIndenta"/>
      </w:pPr>
      <w:r>
        <w:tab/>
        <w:t>(c)</w:t>
      </w:r>
      <w:r>
        <w:tab/>
        <w:t>any return under section 27 is also lodged in accordance with section 28A.</w:t>
      </w:r>
    </w:p>
    <w:p>
      <w:pPr>
        <w:pStyle w:val="nzSubsection"/>
      </w:pPr>
      <w:r>
        <w:tab/>
        <w:t>(4d)</w:t>
      </w:r>
      <w:r>
        <w:tab/>
        <w:t>In subsection (4c) —</w:t>
      </w:r>
    </w:p>
    <w:p>
      <w:pPr>
        <w:pStyle w:val="nzDefstart"/>
      </w:pPr>
      <w:r>
        <w:rPr>
          <w:b/>
        </w:rPr>
        <w:tab/>
        <w:t>“</w:t>
      </w:r>
      <w:r>
        <w:rPr>
          <w:rStyle w:val="CharDefText"/>
        </w:rPr>
        <w:t>quarter</w:t>
      </w:r>
      <w:r>
        <w:rPr>
          <w:b/>
        </w:rPr>
        <w:t>”</w:t>
      </w:r>
      <w:r>
        <w:t xml:space="preserve"> means a period of 3 months commencing on 1 July, 1 October, 1 January or 1 April.</w:t>
      </w:r>
    </w:p>
    <w:p>
      <w:pPr>
        <w:pStyle w:val="MiscClose"/>
      </w:pPr>
      <w:r>
        <w:t xml:space="preserve">    ”.</w:t>
      </w:r>
    </w:p>
    <w:p>
      <w:pPr>
        <w:pStyle w:val="nzSubsection"/>
      </w:pPr>
      <w:r>
        <w:tab/>
        <w:t>(5)</w:t>
      </w:r>
      <w:r>
        <w:tab/>
        <w:t>Section 29(6) is amended by inserting after “subsection (1a)” —</w:t>
      </w:r>
    </w:p>
    <w:p>
      <w:pPr>
        <w:pStyle w:val="nzSubsection"/>
      </w:pPr>
      <w:r>
        <w:tab/>
      </w:r>
      <w:r>
        <w:tab/>
        <w:t>“    or (1aa)    ”.</w:t>
      </w:r>
    </w:p>
    <w:p>
      <w:pPr>
        <w:pStyle w:val="nzSubsection"/>
      </w:pPr>
      <w:r>
        <w:tab/>
        <w:t>(6)</w:t>
      </w:r>
      <w:r>
        <w:tab/>
        <w:t>Section 29(8) is amended as follows:</w:t>
      </w:r>
    </w:p>
    <w:p>
      <w:pPr>
        <w:pStyle w:val="nzIndenta"/>
      </w:pPr>
      <w:r>
        <w:tab/>
        <w:t>(a)</w:t>
      </w:r>
      <w:r>
        <w:tab/>
        <w:t>in paragraph (a), by deleting “the notice o</w:t>
      </w:r>
      <w:r>
        <w:rPr>
          <w:spacing w:val="40"/>
        </w:rPr>
        <w:t>f</w:t>
      </w:r>
      <w:r>
        <w:t>” and inserting instead —</w:t>
      </w:r>
    </w:p>
    <w:p>
      <w:pPr>
        <w:pStyle w:val="nzIndenta"/>
      </w:pPr>
      <w:r>
        <w:tab/>
      </w:r>
      <w:r>
        <w:tab/>
        <w:t>“    a condition of the    ”;</w:t>
      </w:r>
    </w:p>
    <w:p>
      <w:pPr>
        <w:pStyle w:val="nzIndenta"/>
      </w:pPr>
      <w:r>
        <w:tab/>
        <w:t>(b)</w:t>
      </w:r>
      <w:r>
        <w:tab/>
        <w:t>by deleting paragraph (b) and inserting instead the following paragraph —</w:t>
      </w:r>
    </w:p>
    <w:p>
      <w:pPr>
        <w:pStyle w:val="MiscOpen"/>
        <w:keepNext w:val="0"/>
        <w:keepLines w:val="0"/>
        <w:spacing w:before="80"/>
        <w:ind w:left="1338"/>
      </w:pPr>
      <w:r>
        <w:t>“</w:t>
      </w:r>
    </w:p>
    <w:p>
      <w:pPr>
        <w:pStyle w:val="nzIndenta"/>
        <w:tabs>
          <w:tab w:val="left" w:pos="2760"/>
        </w:tabs>
        <w:ind w:left="2760" w:hanging="1428"/>
      </w:pPr>
      <w:r>
        <w:tab/>
      </w:r>
      <w:r>
        <w:tab/>
        <w:t>(b)</w:t>
      </w:r>
      <w:r>
        <w:tab/>
        <w:t>if a condition of the exemption requires returns to be lodged more frequently than annually, lodge returns as the condition requires.</w:t>
      </w:r>
    </w:p>
    <w:p>
      <w:pPr>
        <w:pStyle w:val="MiscClose"/>
        <w:keepLines w:val="0"/>
      </w:pPr>
      <w:r>
        <w:t xml:space="preserve">    ”.</w:t>
      </w:r>
    </w:p>
    <w:p>
      <w:pPr>
        <w:pStyle w:val="nzSubsection"/>
      </w:pPr>
      <w:r>
        <w:tab/>
        <w:t>(7)</w:t>
      </w:r>
      <w:r>
        <w:tab/>
        <w:t>The amendments made by this section do not affect an exemption given before the coming into operation of this section.</w:t>
      </w:r>
    </w:p>
    <w:p>
      <w:pPr>
        <w:pStyle w:val="nzHeading5"/>
      </w:pPr>
      <w:r>
        <w:rPr>
          <w:rStyle w:val="CharSectno"/>
        </w:rPr>
        <w:t>16</w:t>
      </w:r>
      <w:r>
        <w:t>.</w:t>
      </w:r>
      <w:r>
        <w:tab/>
        <w:t>Section 45 amended</w:t>
      </w:r>
    </w:p>
    <w:p>
      <w:pPr>
        <w:pStyle w:val="nzSubsection"/>
      </w:pPr>
      <w:r>
        <w:tab/>
      </w:r>
      <w:r>
        <w:tab/>
        <w:t>After section 45(2)(f) the following paragraph is inserted —</w:t>
      </w:r>
    </w:p>
    <w:p>
      <w:pPr>
        <w:pStyle w:val="MiscOpen"/>
        <w:ind w:left="1340"/>
      </w:pPr>
      <w:r>
        <w:t>“</w:t>
      </w:r>
    </w:p>
    <w:p>
      <w:pPr>
        <w:pStyle w:val="nzIndenta"/>
      </w:pPr>
      <w:r>
        <w:tab/>
        <w:t>(fa)</w:t>
      </w:r>
      <w:r>
        <w:tab/>
        <w:t>the manner of lodging a return or making a payment in a circumstance in which section 28A(1) applies, which may include lodgment or payment by electronic means;</w:t>
      </w:r>
    </w:p>
    <w:p>
      <w:pPr>
        <w:pStyle w:val="MiscClose"/>
      </w:pPr>
      <w:r>
        <w:t xml:space="preserve">    ”.</w:t>
      </w:r>
    </w:p>
    <w:p>
      <w:pPr>
        <w:pStyle w:val="nzHeading5"/>
      </w:pPr>
      <w:r>
        <w:rPr>
          <w:rStyle w:val="CharSectno"/>
        </w:rPr>
        <w:t>17</w:t>
      </w:r>
      <w:r>
        <w:t>.</w:t>
      </w:r>
      <w:r>
        <w:tab/>
        <w:t>Glossary amended</w:t>
      </w:r>
    </w:p>
    <w:p>
      <w:pPr>
        <w:pStyle w:val="nzSubsection"/>
      </w:pPr>
      <w:r>
        <w:tab/>
        <w:t>(1)</w:t>
      </w:r>
      <w:r>
        <w:tab/>
        <w:t>The amendments in this section are to the Glossary at the end of the Act.</w:t>
      </w:r>
    </w:p>
    <w:p>
      <w:pPr>
        <w:pStyle w:val="nzSubsection"/>
      </w:pPr>
      <w:r>
        <w:tab/>
        <w:t>(2)</w:t>
      </w:r>
      <w:r>
        <w:tab/>
        <w:t>Clause 1 is amended in the definition of “return period” by deleting paragraph (c) and inserting instead —</w:t>
      </w:r>
    </w:p>
    <w:p>
      <w:pPr>
        <w:pStyle w:val="MiscOpen"/>
        <w:ind w:left="1340"/>
      </w:pPr>
      <w:r>
        <w:t>“</w:t>
      </w:r>
    </w:p>
    <w:p>
      <w:pPr>
        <w:pStyle w:val="nzDefpara"/>
      </w:pPr>
      <w:r>
        <w:tab/>
        <w:t>(c)</w:t>
      </w:r>
      <w:r>
        <w:tab/>
        <w:t>if the employer is exempt under section 29 from lodging monthly returns —</w:t>
      </w:r>
    </w:p>
    <w:p>
      <w:pPr>
        <w:pStyle w:val="nzDefsubpara"/>
      </w:pPr>
      <w:r>
        <w:tab/>
        <w:t>(i)</w:t>
      </w:r>
      <w:r>
        <w:tab/>
        <w:t>unless subparagraph (ii) applies, an assessment year;</w:t>
      </w:r>
    </w:p>
    <w:p>
      <w:pPr>
        <w:pStyle w:val="nzDefsubpara"/>
      </w:pPr>
      <w:r>
        <w:tab/>
        <w:t>(ii)</w:t>
      </w:r>
      <w:r>
        <w:tab/>
        <w:t>if a condition of the exemption requires returns to be lodged more frequently than annually, a progressive return period;</w:t>
      </w:r>
    </w:p>
    <w:p>
      <w:pPr>
        <w:pStyle w:val="MiscClose"/>
      </w:pPr>
      <w:r>
        <w:t xml:space="preserve">    ”.</w:t>
      </w:r>
    </w:p>
    <w:p>
      <w:pPr>
        <w:pStyle w:val="MiscClose"/>
      </w:pPr>
      <w:r>
        <w:t xml:space="preserve">    ”.</w:t>
      </w: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fldSimple w:instr=" STYLEREF CharPartNo ">
      <w:r>
        <w:rPr>
          <w:noProof/>
        </w:rPr>
        <w:cr/>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Glossary</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fldSimple w:instr=" STYLEREF CharSchNo \* MERGEFORMAT ">
            <w:r>
              <w:rPr>
                <w:noProof/>
              </w:rPr>
              <w:t>Glossary</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350"/>
    <w:docVar w:name="WAFER_20140605140350" w:val="RemoveTocBookmarks,RemoveUnusedBookmarks,RemoveLanguageTags,UsedStyles,ResetPageSize"/>
    <w:docVar w:name="WAFER_20140605140350_GUID" w:val="3760cb1e-221f-4b7a-a13b-7ea61c14f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8.xml"/><Relationship Id="rId40" Type="http://schemas.openxmlformats.org/officeDocument/2006/relationships/oleObject" Target="embeddings/oleObject8.bin"/><Relationship Id="rId45"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15685</Words>
  <Characters>74349</Characters>
  <Application>Microsoft Office Word</Application>
  <DocSecurity>0</DocSecurity>
  <Lines>1956</Lines>
  <Paragraphs>1059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88975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2002 - 01-a0-03</dc:title>
  <dc:subject/>
  <dc:creator/>
  <cp:keywords/>
  <dc:description/>
  <cp:lastModifiedBy>svcMRProcess</cp:lastModifiedBy>
  <cp:revision>4</cp:revision>
  <cp:lastPrinted>2006-01-11T07:15:00Z</cp:lastPrinted>
  <dcterms:created xsi:type="dcterms:W3CDTF">2020-02-18T14:53:00Z</dcterms:created>
  <dcterms:modified xsi:type="dcterms:W3CDTF">2020-02-18T14:53:00Z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20060106</vt:lpwstr>
  </property>
  <property fmtid="{D5CDD505-2E9C-101B-9397-08002B2CF9AE}" pid="4" name="DocumentType">
    <vt:lpwstr>Act</vt:lpwstr>
  </property>
  <property fmtid="{D5CDD505-2E9C-101B-9397-08002B2CF9AE}" pid="5" name="OwlsUID">
    <vt:i4>6335</vt:i4>
  </property>
  <property fmtid="{D5CDD505-2E9C-101B-9397-08002B2CF9AE}" pid="6" name="ReprintNo">
    <vt:lpwstr>1</vt:lpwstr>
  </property>
  <property fmtid="{D5CDD505-2E9C-101B-9397-08002B2CF9AE}" pid="7" name="AsAtDate">
    <vt:lpwstr>06 Jan 2006</vt:lpwstr>
  </property>
  <property fmtid="{D5CDD505-2E9C-101B-9397-08002B2CF9AE}" pid="8" name="Suffix">
    <vt:lpwstr>01-a0-03</vt:lpwstr>
  </property>
</Properties>
</file>