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WA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>
        <w:rPr>
          <w:noProof/>
        </w:rPr>
        <w:t>Births, Deaths and Marriages Registration Act 1998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Births, Deaths and Marriages Registration Regulations 1999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_Toc415055497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_Toc415055498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 in these regulations</w:t>
      </w:r>
      <w:r>
        <w:tab/>
      </w:r>
      <w:r>
        <w:fldChar w:fldCharType="begin"/>
      </w:r>
      <w:r>
        <w:instrText xml:space="preserve"> PAGEREF _Toc415055499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</w:t>
      </w:r>
      <w:r>
        <w:tab/>
      </w:r>
      <w:r>
        <w:fldChar w:fldCharType="begin"/>
      </w:r>
      <w:r>
        <w:instrText xml:space="preserve"> PAGEREF _Toc415055500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_Toc415055502 \h </w:instrText>
      </w:r>
      <w:r>
        <w:fldChar w:fldCharType="separate"/>
      </w:r>
      <w:r>
        <w:t>3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WA"/>
      </w:pPr>
      <w:r>
        <w:t>Western Australia</w:t>
      </w:r>
    </w:p>
    <w:p>
      <w:pPr>
        <w:pStyle w:val="PrincipalActReg"/>
      </w:pPr>
      <w:r>
        <w:t>Births, Deaths and Marriages Registration Act 1998</w:t>
      </w:r>
    </w:p>
    <w:p>
      <w:pPr>
        <w:pStyle w:val="NameofActReg"/>
        <w:spacing w:before="720" w:after="720"/>
      </w:pPr>
      <w:r>
        <w:t>Births, Deaths and Marriages Registration Regulations 1999</w:t>
      </w:r>
    </w:p>
    <w:p>
      <w:pPr>
        <w:pStyle w:val="Heading5"/>
      </w:pPr>
      <w:bookmarkStart w:id="3" w:name="_Toc378063689"/>
      <w:bookmarkStart w:id="4" w:name="_Toc415055497"/>
      <w:r>
        <w:rPr>
          <w:rStyle w:val="CharSectno"/>
        </w:rPr>
        <w:t>1</w:t>
      </w:r>
      <w:r>
        <w:t>.</w:t>
      </w:r>
      <w:r>
        <w:tab/>
        <w:t>Citation</w:t>
      </w:r>
      <w:bookmarkEnd w:id="3"/>
      <w:bookmarkEnd w:id="4"/>
    </w:p>
    <w:p>
      <w:pPr>
        <w:pStyle w:val="Subsection"/>
        <w:rPr>
          <w:i/>
        </w:rPr>
      </w:pPr>
      <w:r>
        <w:tab/>
      </w:r>
      <w:r>
        <w:tab/>
      </w:r>
      <w:bookmarkStart w:id="5" w:name="Start_Cursor"/>
      <w:bookmarkEnd w:id="5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</w:t>
      </w:r>
      <w:r>
        <w:rPr>
          <w:iCs/>
          <w:vertAlign w:val="superscript"/>
        </w:rPr>
        <w:t> 1</w:t>
      </w:r>
      <w:r>
        <w:rPr>
          <w:i/>
        </w:rPr>
        <w:t>.</w:t>
      </w:r>
    </w:p>
    <w:p>
      <w:pPr>
        <w:pStyle w:val="Heading5"/>
        <w:rPr>
          <w:spacing w:val="-2"/>
        </w:rPr>
      </w:pPr>
      <w:bookmarkStart w:id="6" w:name="_Toc378063690"/>
      <w:bookmarkStart w:id="7" w:name="_Toc415055498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6"/>
      <w:bookmarkEnd w:id="7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rPr>
          <w:iCs/>
          <w:vertAlign w:val="superscript"/>
        </w:rPr>
        <w:t> 1</w:t>
      </w:r>
      <w:r>
        <w:t>.</w:t>
      </w:r>
    </w:p>
    <w:p>
      <w:pPr>
        <w:pStyle w:val="Heading5"/>
      </w:pPr>
      <w:bookmarkStart w:id="8" w:name="_Toc378063691"/>
      <w:bookmarkStart w:id="9" w:name="_Toc415055499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8"/>
      <w:bookmarkEnd w:id="9"/>
    </w:p>
    <w:p>
      <w:pPr>
        <w:pStyle w:val="Subsection"/>
      </w:pPr>
      <w:r>
        <w:tab/>
      </w:r>
      <w:r>
        <w:tab/>
        <w:t xml:space="preserve">In these regulations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>
      <w:pPr>
        <w:pStyle w:val="Footnotesection"/>
      </w:pPr>
      <w:r>
        <w:tab/>
        <w:t>[Regulation 3 inserted in Gazette 15 Jun 2007 p. 2786.]</w:t>
      </w:r>
    </w:p>
    <w:p>
      <w:pPr>
        <w:pStyle w:val="Heading5"/>
      </w:pPr>
      <w:bookmarkStart w:id="10" w:name="_Toc378063692"/>
      <w:bookmarkStart w:id="11" w:name="_Toc415055500"/>
      <w:r>
        <w:rPr>
          <w:rStyle w:val="CharSectno"/>
        </w:rPr>
        <w:t>4</w:t>
      </w:r>
      <w:r>
        <w:t>.</w:t>
      </w:r>
      <w:r>
        <w:tab/>
        <w:t>Fees</w:t>
      </w:r>
      <w:bookmarkEnd w:id="10"/>
      <w:bookmarkEnd w:id="11"/>
    </w:p>
    <w:p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>
      <w:pPr>
        <w:pStyle w:val="yTHeadingNAm"/>
      </w:pPr>
      <w:r>
        <w:t>Table</w:t>
      </w:r>
    </w:p>
    <w:tbl>
      <w:tblPr>
        <w:tblW w:w="0" w:type="auto"/>
        <w:tblInd w:w="640" w:type="dxa"/>
        <w:tblLayout w:type="fixed"/>
        <w:tblLook w:val="0000" w:firstRow="0" w:lastRow="0" w:firstColumn="0" w:lastColumn="0" w:noHBand="0" w:noVBand="0"/>
      </w:tblPr>
      <w:tblGrid>
        <w:gridCol w:w="742"/>
        <w:gridCol w:w="4396"/>
        <w:gridCol w:w="1497"/>
      </w:tblGrid>
      <w:tr>
        <w:trPr>
          <w:tblHeader/>
        </w:trPr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NAm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Matter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</w:tcPr>
          <w:p>
            <w:pPr>
              <w:pStyle w:val="yTableNAm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</w:tc>
      </w:tr>
      <w:tr>
        <w:tc>
          <w:tcPr>
            <w:tcW w:w="742" w:type="dxa"/>
          </w:tcPr>
          <w:p>
            <w:pPr>
              <w:pStyle w:val="yTableNAm"/>
            </w:pPr>
          </w:p>
        </w:tc>
        <w:tc>
          <w:tcPr>
            <w:tcW w:w="4396" w:type="dxa"/>
          </w:tcPr>
          <w:p>
            <w:pPr>
              <w:pStyle w:val="yTableNAm"/>
              <w:rPr>
                <w:b/>
                <w:bCs/>
              </w:rPr>
            </w:pPr>
            <w:r>
              <w:rPr>
                <w:b/>
                <w:bCs/>
              </w:rPr>
              <w:t>Certificates and searches</w:t>
            </w:r>
          </w:p>
        </w:tc>
        <w:tc>
          <w:tcPr>
            <w:tcW w:w="1497" w:type="dxa"/>
          </w:tcPr>
          <w:p>
            <w:pPr>
              <w:pStyle w:val="yTableNAm"/>
            </w:pPr>
          </w:p>
        </w:tc>
      </w:tr>
      <w:tr>
        <w:tc>
          <w:tcPr>
            <w:tcW w:w="742" w:type="dxa"/>
          </w:tcPr>
          <w:p>
            <w:pPr>
              <w:pStyle w:val="yTableNAm"/>
            </w:pPr>
            <w:r>
              <w:t>1.</w:t>
            </w:r>
          </w:p>
        </w:tc>
        <w:tc>
          <w:tcPr>
            <w:tcW w:w="4396" w:type="dxa"/>
          </w:tcPr>
          <w:p>
            <w:pPr>
              <w:pStyle w:val="yTableNAm"/>
              <w:rPr>
                <w:rStyle w:val="DraftersNotes"/>
              </w:rPr>
            </w:pPr>
            <w:r>
              <w:rPr>
                <w:spacing w:val="-4"/>
              </w:rPr>
              <w:t xml:space="preserve">Certified copy of a </w:t>
            </w:r>
            <w:r>
              <w:t>registration</w:t>
            </w:r>
            <w:r>
              <w:rPr>
                <w:spacing w:val="-4"/>
              </w:rPr>
              <w:t xml:space="preserve"> other than one provided under item 2, 3, 5, 6 or 7 (including one 10 year search)</w:t>
            </w:r>
          </w:p>
        </w:tc>
        <w:tc>
          <w:tcPr>
            <w:tcW w:w="1497" w:type="dxa"/>
          </w:tcPr>
          <w:p>
            <w:pPr>
              <w:pStyle w:val="yTableNAm"/>
            </w:pPr>
            <w:r>
              <w:br/>
            </w:r>
            <w:r>
              <w:br/>
              <w:t>$44</w:t>
            </w:r>
          </w:p>
        </w:tc>
      </w:tr>
      <w:tr>
        <w:tc>
          <w:tcPr>
            <w:tcW w:w="742" w:type="dxa"/>
          </w:tcPr>
          <w:p>
            <w:pPr>
              <w:pStyle w:val="yTableNAm"/>
            </w:pPr>
            <w:r>
              <w:t>2.</w:t>
            </w:r>
          </w:p>
        </w:tc>
        <w:tc>
          <w:tcPr>
            <w:tcW w:w="4396" w:type="dxa"/>
          </w:tcPr>
          <w:p>
            <w:pPr>
              <w:pStyle w:val="yTableNAm"/>
            </w:pPr>
            <w:r>
              <w:t xml:space="preserve">Commemorative certificate (including one 10 year </w:t>
            </w:r>
            <w:r>
              <w:rPr>
                <w:spacing w:val="-4"/>
              </w:rPr>
              <w:t>search</w:t>
            </w:r>
            <w:r>
              <w:t xml:space="preserve"> and a certified copy of the registration)</w:t>
            </w:r>
          </w:p>
        </w:tc>
        <w:tc>
          <w:tcPr>
            <w:tcW w:w="1497" w:type="dxa"/>
          </w:tcPr>
          <w:p>
            <w:pPr>
              <w:pStyle w:val="yTableNAm"/>
            </w:pPr>
            <w:r>
              <w:br/>
            </w:r>
            <w:r>
              <w:br/>
              <w:t>$54</w:t>
            </w:r>
          </w:p>
        </w:tc>
      </w:tr>
      <w:tr>
        <w:tc>
          <w:tcPr>
            <w:tcW w:w="742" w:type="dxa"/>
          </w:tcPr>
          <w:p>
            <w:pPr>
              <w:pStyle w:val="yTableNAm"/>
            </w:pPr>
            <w:r>
              <w:t>3.</w:t>
            </w:r>
          </w:p>
        </w:tc>
        <w:tc>
          <w:tcPr>
            <w:tcW w:w="4396" w:type="dxa"/>
          </w:tcPr>
          <w:p>
            <w:pPr>
              <w:pStyle w:val="yTableNAm"/>
            </w:pPr>
            <w:r>
              <w:t>Certified copy of a registration at least 75 years old if the applicant provides the registration number and identifies the registration district</w:t>
            </w:r>
          </w:p>
        </w:tc>
        <w:tc>
          <w:tcPr>
            <w:tcW w:w="1497" w:type="dxa"/>
          </w:tcPr>
          <w:p>
            <w:pPr>
              <w:pStyle w:val="yTableNAm"/>
            </w:pPr>
            <w:r>
              <w:br/>
            </w:r>
            <w:r>
              <w:br/>
              <w:t>$31</w:t>
            </w:r>
          </w:p>
        </w:tc>
      </w:tr>
      <w:tr>
        <w:tc>
          <w:tcPr>
            <w:tcW w:w="742" w:type="dxa"/>
          </w:tcPr>
          <w:p>
            <w:pPr>
              <w:pStyle w:val="yTableNAm"/>
            </w:pPr>
            <w:r>
              <w:t>4.</w:t>
            </w:r>
          </w:p>
        </w:tc>
        <w:tc>
          <w:tcPr>
            <w:tcW w:w="4396" w:type="dxa"/>
          </w:tcPr>
          <w:p>
            <w:pPr>
              <w:pStyle w:val="yTableNAm"/>
            </w:pPr>
            <w:r>
              <w:t>Each 10 year search other than one provided under item 1 or 2 (including a Result of Search certificate)</w:t>
            </w:r>
          </w:p>
        </w:tc>
        <w:tc>
          <w:tcPr>
            <w:tcW w:w="1497" w:type="dxa"/>
          </w:tcPr>
          <w:p>
            <w:pPr>
              <w:pStyle w:val="yTableNAm"/>
            </w:pPr>
            <w:r>
              <w:br/>
            </w:r>
            <w:r>
              <w:br/>
              <w:t>$31</w:t>
            </w:r>
          </w:p>
        </w:tc>
      </w:tr>
      <w:tr>
        <w:tc>
          <w:tcPr>
            <w:tcW w:w="742" w:type="dxa"/>
          </w:tcPr>
          <w:p>
            <w:pPr>
              <w:pStyle w:val="yTableNAm"/>
            </w:pPr>
          </w:p>
        </w:tc>
        <w:tc>
          <w:tcPr>
            <w:tcW w:w="4396" w:type="dxa"/>
          </w:tcPr>
          <w:p>
            <w:pPr>
              <w:pStyle w:val="yTableNAm"/>
              <w:rPr>
                <w:b/>
                <w:bCs/>
              </w:rPr>
            </w:pPr>
            <w:r>
              <w:rPr>
                <w:b/>
                <w:bCs/>
              </w:rPr>
              <w:t>Registrations and changes to the Register</w:t>
            </w:r>
          </w:p>
        </w:tc>
        <w:tc>
          <w:tcPr>
            <w:tcW w:w="1497" w:type="dxa"/>
          </w:tcPr>
          <w:p>
            <w:pPr>
              <w:pStyle w:val="yTableNAm"/>
            </w:pPr>
          </w:p>
        </w:tc>
      </w:tr>
      <w:tr>
        <w:tc>
          <w:tcPr>
            <w:tcW w:w="742" w:type="dxa"/>
          </w:tcPr>
          <w:p>
            <w:pPr>
              <w:pStyle w:val="yTableNAm"/>
            </w:pPr>
            <w:r>
              <w:t>5.</w:t>
            </w:r>
          </w:p>
        </w:tc>
        <w:tc>
          <w:tcPr>
            <w:tcW w:w="4396" w:type="dxa"/>
          </w:tcPr>
          <w:p>
            <w:pPr>
              <w:pStyle w:val="yTableNAm"/>
            </w:pPr>
            <w:r>
              <w:t>Registration of a change of name (including one certified copy of the change of name registration)</w:t>
            </w:r>
          </w:p>
        </w:tc>
        <w:tc>
          <w:tcPr>
            <w:tcW w:w="1497" w:type="dxa"/>
          </w:tcPr>
          <w:p>
            <w:pPr>
              <w:pStyle w:val="yTableNAm"/>
            </w:pPr>
            <w:r>
              <w:br/>
            </w:r>
            <w:r>
              <w:br/>
              <w:t>$156</w:t>
            </w:r>
          </w:p>
        </w:tc>
      </w:tr>
      <w:tr>
        <w:trPr>
          <w:cantSplit/>
        </w:trPr>
        <w:tc>
          <w:tcPr>
            <w:tcW w:w="742" w:type="dxa"/>
          </w:tcPr>
          <w:p>
            <w:pPr>
              <w:pStyle w:val="yTableNAm"/>
            </w:pPr>
            <w:r>
              <w:t>6.</w:t>
            </w:r>
          </w:p>
        </w:tc>
        <w:tc>
          <w:tcPr>
            <w:tcW w:w="4396" w:type="dxa"/>
          </w:tcPr>
          <w:p>
            <w:pPr>
              <w:pStyle w:val="yTableNAm"/>
              <w:rPr>
                <w:rStyle w:val="DraftersNotes"/>
              </w:rPr>
            </w:pPr>
            <w:r>
              <w:t>Addition to, or correction of, information in respect of a registration (including one certified copy of the amended registration)</w:t>
            </w:r>
          </w:p>
        </w:tc>
        <w:tc>
          <w:tcPr>
            <w:tcW w:w="1497" w:type="dxa"/>
          </w:tcPr>
          <w:p>
            <w:pPr>
              <w:pStyle w:val="yTableNAm"/>
            </w:pPr>
            <w:r>
              <w:br/>
            </w:r>
            <w:r>
              <w:br/>
              <w:t>$44</w:t>
            </w:r>
          </w:p>
        </w:tc>
      </w:tr>
      <w:tr>
        <w:tc>
          <w:tcPr>
            <w:tcW w:w="742" w:type="dxa"/>
          </w:tcPr>
          <w:p>
            <w:pPr>
              <w:pStyle w:val="yTableNAm"/>
            </w:pPr>
            <w:r>
              <w:t>7.</w:t>
            </w:r>
          </w:p>
        </w:tc>
        <w:tc>
          <w:tcPr>
            <w:tcW w:w="4396" w:type="dxa"/>
          </w:tcPr>
          <w:p>
            <w:pPr>
              <w:pStyle w:val="yTableNAm"/>
            </w:pPr>
            <w:r>
              <w:t>Change to a child’s name, in respect of a birth registration, within 12 months of birth (including one certified copy of the amended registration)</w:t>
            </w:r>
          </w:p>
        </w:tc>
        <w:tc>
          <w:tcPr>
            <w:tcW w:w="1497" w:type="dxa"/>
          </w:tcPr>
          <w:p>
            <w:pPr>
              <w:pStyle w:val="yTableNAm"/>
            </w:pPr>
            <w:r>
              <w:br/>
            </w:r>
            <w:r>
              <w:br/>
            </w:r>
            <w:r>
              <w:br/>
              <w:t>$44</w:t>
            </w:r>
          </w:p>
        </w:tc>
      </w:tr>
      <w:tr>
        <w:tc>
          <w:tcPr>
            <w:tcW w:w="742" w:type="dxa"/>
          </w:tcPr>
          <w:p>
            <w:pPr>
              <w:pStyle w:val="yTableNAm"/>
              <w:keepNext/>
            </w:pPr>
          </w:p>
        </w:tc>
        <w:tc>
          <w:tcPr>
            <w:tcW w:w="4396" w:type="dxa"/>
          </w:tcPr>
          <w:p>
            <w:pPr>
              <w:pStyle w:val="yTableNAm"/>
              <w:keepNext/>
              <w:rPr>
                <w:b/>
                <w:bCs/>
              </w:rPr>
            </w:pPr>
            <w:r>
              <w:rPr>
                <w:b/>
                <w:bCs/>
              </w:rPr>
              <w:t>Miscellaneous</w:t>
            </w:r>
          </w:p>
        </w:tc>
        <w:tc>
          <w:tcPr>
            <w:tcW w:w="1497" w:type="dxa"/>
          </w:tcPr>
          <w:p>
            <w:pPr>
              <w:pStyle w:val="yTableNAm"/>
              <w:keepNext/>
            </w:pPr>
          </w:p>
        </w:tc>
      </w:tr>
      <w:tr>
        <w:tc>
          <w:tcPr>
            <w:tcW w:w="742" w:type="dxa"/>
            <w:tcBorders>
              <w:bottom w:val="single" w:sz="4" w:space="0" w:color="auto"/>
            </w:tcBorders>
          </w:tcPr>
          <w:p>
            <w:pPr>
              <w:pStyle w:val="yTableNAm"/>
              <w:keepNext/>
            </w:pPr>
            <w:r>
              <w:t>8.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>
            <w:pPr>
              <w:pStyle w:val="yTableNAm"/>
              <w:keepNext/>
            </w:pPr>
            <w:r>
              <w:t>Priority service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>
            <w:pPr>
              <w:pStyle w:val="yTableNAm"/>
              <w:keepNext/>
            </w:pPr>
            <w:r>
              <w:t>$34 in addition to any other fee</w:t>
            </w:r>
          </w:p>
        </w:tc>
      </w:tr>
    </w:tbl>
    <w:p>
      <w:pPr>
        <w:pStyle w:val="Footnotesection"/>
        <w:keepNext/>
        <w:keepLines w:val="0"/>
      </w:pPr>
      <w:r>
        <w:tab/>
        <w:t>[Regulation 4 inserted in Gazette 15 Jun 2007 p. 2786-7; amended in Gazette 12 Jun 2009 p. 2116-17.]</w:t>
      </w:r>
    </w:p>
    <w:p>
      <w:pPr>
        <w:rPr>
          <w:rStyle w:val="CharDivText"/>
        </w:rPr>
        <w:sectPr>
          <w:headerReference w:type="even" r:id="rId21"/>
          <w:headerReference w:type="default" r:id="rId22"/>
          <w:headerReference w:type="first" r:id="rId23"/>
          <w:pgSz w:w="11907" w:h="16840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12" w:name="_Toc378063693"/>
      <w:bookmarkStart w:id="13" w:name="_Toc415055483"/>
      <w:bookmarkStart w:id="14" w:name="_Toc415055501"/>
      <w:r>
        <w:t>Notes</w:t>
      </w:r>
      <w:bookmarkEnd w:id="12"/>
      <w:bookmarkEnd w:id="13"/>
      <w:bookmarkEnd w:id="14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Births, Deaths and Marriages Registration Regulations 1999</w:t>
      </w:r>
      <w:r>
        <w:rPr>
          <w:snapToGrid w:val="0"/>
        </w:rPr>
        <w:t xml:space="preserve"> and includes the amendments made by the other written laws referred to in the following table.  The table also contains information about any reprint.</w:t>
      </w:r>
    </w:p>
    <w:p>
      <w:pPr>
        <w:pStyle w:val="nHeading3"/>
      </w:pPr>
      <w:bookmarkStart w:id="15" w:name="_Toc378063694"/>
      <w:bookmarkStart w:id="16" w:name="_Toc415055502"/>
      <w:r>
        <w:t>Compilation table</w:t>
      </w:r>
      <w:bookmarkEnd w:id="15"/>
      <w:bookmarkEnd w:id="16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Sep 2000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2003 (see r. 2)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</w:pPr>
            <w:r>
              <w:t>1 Jul 2004 (see r. 2)</w:t>
            </w:r>
          </w:p>
        </w:tc>
      </w:tr>
      <w:tr>
        <w:trPr>
          <w:cantSplit/>
        </w:trPr>
        <w:tc>
          <w:tcPr>
            <w:tcW w:w="7088" w:type="dxa"/>
            <w:gridSpan w:val="3"/>
          </w:tcPr>
          <w:p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>
        <w:tc>
          <w:tcPr>
            <w:tcW w:w="3119" w:type="dxa"/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>
            <w:pPr>
              <w:pStyle w:val="nTable"/>
            </w:pPr>
            <w:r>
              <w:t>r. 1 and 2: 15 Jun 2007 (see r. 2(a));</w:t>
            </w:r>
          </w:p>
          <w:p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>
        <w:tc>
          <w:tcPr>
            <w:tcW w:w="3119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>
            <w:pPr>
              <w:pStyle w:val="nTable"/>
            </w:pPr>
            <w:r>
              <w:t>r. 1 &amp; 2: 12 Jun 2009 (see r. 2(a));</w:t>
            </w:r>
            <w:r>
              <w:br/>
              <w:t>Regulations other than r. 1 and 2: 1 Jul 2009 (see r. 2(b))</w:t>
            </w:r>
          </w:p>
        </w:tc>
      </w:tr>
    </w:tbl>
    <w:p/>
    <w:p>
      <w:pPr>
        <w:sectPr>
          <w:headerReference w:type="even" r:id="rId24"/>
          <w:headerReference w:type="default" r:id="rId25"/>
          <w:headerReference w:type="first" r:id="rId26"/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18" w:name="_Toc415055503"/>
      <w:r>
        <w:rPr>
          <w:sz w:val="28"/>
        </w:rPr>
        <w:t>Defined terms</w:t>
      </w:r>
      <w:bookmarkEnd w:id="18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10 year search</w:t>
      </w:r>
      <w:r>
        <w:tab/>
        <w:t>3</w:t>
      </w:r>
    </w:p>
    <w:p/>
    <w:p>
      <w:pPr>
        <w:sectPr>
          <w:headerReference w:type="even" r:id="rId27"/>
          <w:headerReference w:type="default" r:id="rId28"/>
          <w:pgSz w:w="11907" w:h="16840" w:code="9"/>
          <w:pgMar w:top="2381" w:right="2409" w:bottom="3543" w:left="2409" w:header="720" w:footer="3380" w:gutter="0"/>
          <w:cols w:space="720"/>
          <w:noEndnote/>
          <w:docGrid w:linePitch="326"/>
        </w:sectPr>
      </w:pPr>
    </w:p>
    <w:p/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1191" w:right="2404" w:bottom="1134" w:left="2404" w:header="1134" w:footer="338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01-d0-03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4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01-d0-03</w: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01-d0-03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2009</w:t>
    </w:r>
    <w:r>
      <w:rPr>
        <w:sz w:val="20"/>
      </w:rPr>
      <w:fldChar w:fldCharType="end"/>
    </w:r>
    <w:r>
      <w:rPr>
        <w:sz w:val="20"/>
      </w:rPr>
      <w:tab/>
      <w:t xml:space="preserve">Version </w:t>
    </w:r>
    <w:r>
      <w:rPr>
        <w:sz w:val="20"/>
      </w:rPr>
      <w:fldChar w:fldCharType="begin"/>
    </w:r>
    <w:r>
      <w:rPr>
        <w:sz w:val="20"/>
      </w:rPr>
      <w:instrText xml:space="preserve"> DOCPROPERTY "Suffix" </w:instrText>
    </w:r>
    <w:r>
      <w:rPr>
        <w:sz w:val="20"/>
      </w:rPr>
      <w:fldChar w:fldCharType="separate"/>
    </w:r>
    <w:r>
      <w:rPr>
        <w:sz w:val="20"/>
      </w:rPr>
      <w:t>01-d0-03</w: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c>
        <w:tcPr>
          <w:tcW w:w="7312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  <w:vAlign w:val="bottom"/>
        </w:tcPr>
        <w:p>
          <w:pPr>
            <w:pStyle w:val="Header"/>
            <w:spacing w:before="40"/>
          </w:pPr>
        </w:p>
      </w:tc>
      <w:tc>
        <w:tcPr>
          <w:tcW w:w="5764" w:type="dxa"/>
          <w:vAlign w:val="bottom"/>
        </w:tcPr>
        <w:p>
          <w:pPr>
            <w:pStyle w:val="Header"/>
            <w:spacing w:before="40"/>
          </w:pPr>
        </w:p>
      </w:tc>
    </w:tr>
    <w:tr>
      <w:tc>
        <w:tcPr>
          <w:tcW w:w="7312" w:type="dxa"/>
          <w:gridSpan w:val="2"/>
          <w:vAlign w:val="bottom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60"/>
      <w:gridCol w:w="1552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60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52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17" w:name="Compilation"/>
    <w:bookmarkEnd w:id="17"/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>
    <w:pPr>
      <w:pStyle w:val="Header"/>
      <w:pBdr>
        <w:top w:val="single" w:sz="4" w:space="1" w:color="auto"/>
      </w:pBdr>
    </w:pPr>
    <w:bookmarkStart w:id="19" w:name="DefinedTerms"/>
    <w:bookmarkEnd w:id="19"/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20" w:name="Coversheet"/>
    <w:bookmarkEnd w:id="20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  <w:bookmarkStart w:id="1" w:name="TitlePage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2" w:name="TOC"/>
    <w:bookmarkEnd w:id="2"/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>
      <w:tc>
        <w:tcPr>
          <w:tcW w:w="7263" w:type="dxa"/>
          <w:gridSpan w:val="2"/>
          <w:vAlign w:val="bottom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c>
        <w:tcPr>
          <w:tcW w:w="152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263" w:type="dxa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c>
        <w:tcPr>
          <w:tcW w:w="7263" w:type="dxa"/>
          <w:gridSpan w:val="2"/>
          <w:vAlign w:val="bottom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c>
        <w:tcPr>
          <w:tcW w:w="5742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A5CE75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172741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54CA72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71C04D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F3652E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BC3A1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E587AB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160A9E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D32465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76CF4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0F3C3412"/>
    <w:multiLevelType w:val="multilevel"/>
    <w:tmpl w:val="D062F99C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3">
    <w:nsid w:val="138B63E2"/>
    <w:multiLevelType w:val="multilevel"/>
    <w:tmpl w:val="0D0AADC8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22FF52EB"/>
    <w:multiLevelType w:val="multilevel"/>
    <w:tmpl w:val="6E622E8A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6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9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3C2808C0"/>
    <w:multiLevelType w:val="singleLevel"/>
    <w:tmpl w:val="36C6C394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3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5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6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7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2"/>
  </w:num>
  <w:num w:numId="13">
    <w:abstractNumId w:val="15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22"/>
  </w:num>
  <w:num w:numId="25">
    <w:abstractNumId w:val="15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WAFER" w:val="20150325123740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25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  <w:noProof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6"/>
      </w:numPr>
    </w:pPr>
  </w:style>
  <w:style w:type="paragraph" w:styleId="ListBullet2">
    <w:name w:val="List Bullet 2"/>
    <w:basedOn w:val="Normal"/>
    <w:autoRedefine/>
    <w:semiHidden/>
    <w:pPr>
      <w:numPr>
        <w:numId w:val="2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2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2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3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31"/>
      </w:numPr>
    </w:pPr>
  </w:style>
  <w:style w:type="paragraph" w:styleId="ListNumber2">
    <w:name w:val="List Number 2"/>
    <w:basedOn w:val="Normal"/>
    <w:semiHidden/>
    <w:pPr>
      <w:numPr>
        <w:numId w:val="3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3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3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3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9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36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.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25"/>
      </w:numPr>
    </w:pPr>
  </w:style>
  <w:style w:type="paragraph" w:customStyle="1" w:styleId="Defitem">
    <w:name w:val="Defitem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customStyle="1" w:styleId="Defpara">
    <w:name w:val="Defpara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rPr>
      <w:rFonts w:ascii="Arial" w:hAnsi="Arial"/>
      <w:noProof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6"/>
      </w:numPr>
    </w:pPr>
  </w:style>
  <w:style w:type="paragraph" w:styleId="ListBullet2">
    <w:name w:val="List Bullet 2"/>
    <w:basedOn w:val="Normal"/>
    <w:autoRedefine/>
    <w:semiHidden/>
    <w:pPr>
      <w:numPr>
        <w:numId w:val="27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28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29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30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31"/>
      </w:numPr>
    </w:pPr>
  </w:style>
  <w:style w:type="paragraph" w:styleId="ListNumber2">
    <w:name w:val="List Number 2"/>
    <w:basedOn w:val="Normal"/>
    <w:semiHidden/>
    <w:pPr>
      <w:numPr>
        <w:numId w:val="32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33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34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35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customStyle="1" w:styleId="Mainnumbers">
    <w:name w:val="Mainnumbers"/>
    <w:basedOn w:val="Normal"/>
    <w:pPr>
      <w:tabs>
        <w:tab w:val="num" w:pos="1440"/>
      </w:tabs>
      <w:ind w:left="360" w:hanging="360"/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line="240" w:lineRule="auto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9"/>
    </w:rPr>
  </w:style>
  <w:style w:type="paragraph" w:customStyle="1" w:styleId="zDefpara">
    <w:name w:val="zDefpara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  <w:rPr>
      <w:snapToGrid w:val="0"/>
    </w:r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Normal"/>
    <w:pPr>
      <w:tabs>
        <w:tab w:val="left" w:pos="312"/>
      </w:tabs>
      <w:spacing w:before="80" w:line="260" w:lineRule="atLeast"/>
      <w:ind w:left="1446" w:right="284" w:hanging="312"/>
    </w:pPr>
    <w:rPr>
      <w:snapToGrid w:val="0"/>
    </w:r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Normal"/>
    <w:pPr>
      <w:keepLines/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tabs>
        <w:tab w:val="num" w:pos="0"/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Normal"/>
    <w:pPr>
      <w:tabs>
        <w:tab w:val="right" w:pos="3459"/>
        <w:tab w:val="left" w:pos="3771"/>
      </w:tabs>
      <w:spacing w:before="80" w:line="260" w:lineRule="atLeast"/>
      <w:ind w:left="3686" w:right="284" w:hanging="851"/>
    </w:p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rFonts w:ascii="Arial" w:hAnsi="Arial"/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otesPerm2">
    <w:name w:val="NotesPerm(2)"/>
    <w:basedOn w:val="NotesPerm"/>
    <w:pPr>
      <w:numPr>
        <w:numId w:val="36"/>
      </w:numPr>
      <w:tabs>
        <w:tab w:val="clear" w:pos="879"/>
      </w:tabs>
    </w:p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basedOn w:val="yHeading5"/>
    <w:pPr>
      <w:keepNext w:val="0"/>
      <w:keepLines w:val="0"/>
      <w:spacing w:before="120"/>
      <w:outlineLvl w:val="9"/>
    </w:pPr>
    <w:rPr>
      <w:b w:val="0"/>
    </w:rPr>
  </w:style>
  <w:style w:type="paragraph" w:customStyle="1" w:styleId="zyNumberedItem">
    <w:name w:val="zyNumberedItem"/>
    <w:basedOn w:val="yNumberedItem"/>
    <w:pPr>
      <w:tabs>
        <w:tab w:val="clear" w:pos="879"/>
        <w:tab w:val="left" w:pos="1446"/>
      </w:tabs>
      <w:ind w:left="1446" w:right="284"/>
    </w:p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otesPerm">
    <w:name w:val="nzNotesPerm"/>
    <w:basedOn w:val="NotesPerm"/>
    <w:pPr>
      <w:tabs>
        <w:tab w:val="clear" w:pos="879"/>
        <w:tab w:val="left" w:pos="1446"/>
      </w:tabs>
      <w:spacing w:before="40"/>
      <w:ind w:left="1446" w:right="284"/>
    </w:pPr>
    <w:rPr>
      <w:sz w:val="14"/>
    </w:rPr>
  </w:style>
  <w:style w:type="paragraph" w:customStyle="1" w:styleId="nzNumberedItem">
    <w:name w:val="nzNumberedItem"/>
    <w:basedOn w:val="zyNumberedItem"/>
    <w:pPr>
      <w:spacing w:before="40"/>
    </w:pPr>
    <w:rPr>
      <w:sz w:val="20"/>
    </w:rPr>
  </w:style>
  <w:style w:type="paragraph" w:customStyle="1" w:styleId="yHeading6">
    <w:name w:val="yHeading 6"/>
    <w:basedOn w:val="Heading6"/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.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Ednotedefitem"/>
    <w:rPr>
      <w:i/>
      <w:sz w:val="22"/>
    </w:rPr>
  </w:style>
  <w:style w:type="paragraph" w:customStyle="1" w:styleId="yEdnotedefpara">
    <w:name w:val="yEdnote(defpara)"/>
    <w:basedOn w:val="Ednotedefpara"/>
    <w:rPr>
      <w:i/>
      <w:sz w:val="22"/>
    </w:rPr>
  </w:style>
  <w:style w:type="paragraph" w:customStyle="1" w:styleId="yEdnotedefsubpara">
    <w:name w:val="yEdnote(defsubpara)"/>
    <w:basedOn w:val="Ednotedefsubpara"/>
    <w:rPr>
      <w:i/>
      <w:sz w:val="22"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egTblHist">
    <w:name w:val="LegTblHist"/>
    <w:basedOn w:val="Heading2"/>
    <w:rPr>
      <w:bCs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basedOn w:val="NotesPerm"/>
    <w:pPr>
      <w:tabs>
        <w:tab w:val="clear" w:pos="879"/>
        <w:tab w:val="left" w:pos="567"/>
      </w:tabs>
      <w:spacing w:before="60"/>
      <w:ind w:left="0" w:firstLine="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2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33" Type="http://schemas.openxmlformats.org/officeDocument/2006/relationships/header" Target="header17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5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4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3.xml"/><Relationship Id="rId30" Type="http://schemas.openxmlformats.org/officeDocument/2006/relationships/header" Target="header16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755</Words>
  <Characters>3777</Characters>
  <Application>Microsoft Office Word</Application>
  <DocSecurity>0</DocSecurity>
  <Lines>222</Lines>
  <Paragraphs>125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Company>Parliamentary Counsel's Office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1999 - 01-d0-03</dc:title>
  <dc:subject>Subsidiary Legislation</dc:subject>
  <dc:creator>svcMRProcess</dc:creator>
  <cp:keywords/>
  <cp:lastModifiedBy>svcMRProcess</cp:lastModifiedBy>
  <cp:revision>4</cp:revision>
  <cp:lastPrinted>2005-01-10T06:46:00Z</cp:lastPrinted>
  <dcterms:created xsi:type="dcterms:W3CDTF">2015-03-25T06:22:00Z</dcterms:created>
  <dcterms:modified xsi:type="dcterms:W3CDTF">2015-03-25T06:22:00Z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CommencementDate">
    <vt:lpwstr>20090701</vt:lpwstr>
  </property>
  <property fmtid="{D5CDD505-2E9C-101B-9397-08002B2CF9AE}" pid="4" name="DocumentType">
    <vt:lpwstr>Reg</vt:lpwstr>
  </property>
  <property fmtid="{D5CDD505-2E9C-101B-9397-08002B2CF9AE}" pid="5" name="OwlsUID">
    <vt:i4>933</vt:i4>
  </property>
  <property fmtid="{D5CDD505-2E9C-101B-9397-08002B2CF9AE}" pid="6" name="ReprintNo">
    <vt:lpwstr>1</vt:lpwstr>
  </property>
  <property fmtid="{D5CDD505-2E9C-101B-9397-08002B2CF9AE}" pid="7" name="AsAtDate">
    <vt:lpwstr>01 Jul 2009</vt:lpwstr>
  </property>
  <property fmtid="{D5CDD505-2E9C-101B-9397-08002B2CF9AE}" pid="8" name="Suffix">
    <vt:lpwstr>01-d0-03</vt:lpwstr>
  </property>
</Properties>
</file>