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6" name="Picture 1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200" w:after="0"/>
        <w:rPr>
          <w:i/>
        </w:rPr>
      </w:pPr>
      <w:r>
        <w:t>Housing Act 1980</w:t>
      </w:r>
    </w:p>
    <w:p>
      <w:pPr>
        <w:pStyle w:val="NameofActRegPage1"/>
        <w:tabs>
          <w:tab w:val="left" w:pos="6960"/>
        </w:tabs>
        <w:spacing w:before="1200" w:after="4200"/>
        <w:ind w:left="23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Housing Regulations 1980</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Housing Regulations 1980</w:t>
      </w:r>
      <w:r>
        <w:fldChar w:fldCharType="end"/>
      </w:r>
    </w:p>
    <w:p>
      <w:pPr>
        <w:pStyle w:val="Arrangement"/>
      </w:pPr>
      <w:r>
        <w:t>CONTENTS</w:t>
      </w:r>
    </w:p>
    <w:p>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_Toc233186181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_Toc233186182 \h </w:instrText>
      </w:r>
      <w:r>
        <w:fldChar w:fldCharType="separate"/>
      </w:r>
      <w:r>
        <w:t>1</w:t>
      </w:r>
      <w:r>
        <w:fldChar w:fldCharType="end"/>
      </w:r>
    </w:p>
    <w:p>
      <w:pPr>
        <w:pStyle w:val="TOC8"/>
        <w:rPr>
          <w:sz w:val="24"/>
          <w:szCs w:val="24"/>
        </w:rPr>
      </w:pPr>
      <w:r>
        <w:rPr>
          <w:szCs w:val="24"/>
        </w:rPr>
        <w:t>3.</w:t>
      </w:r>
      <w:r>
        <w:rPr>
          <w:szCs w:val="24"/>
        </w:rPr>
        <w:tab/>
        <w:t>Repeal</w:t>
      </w:r>
      <w:r>
        <w:tab/>
      </w:r>
      <w:r>
        <w:fldChar w:fldCharType="begin"/>
      </w:r>
      <w:r>
        <w:instrText xml:space="preserve"> PAGEREF _Toc233186183 \h </w:instrText>
      </w:r>
      <w:r>
        <w:fldChar w:fldCharType="separate"/>
      </w:r>
      <w:r>
        <w:t>1</w:t>
      </w:r>
      <w:r>
        <w:fldChar w:fldCharType="end"/>
      </w:r>
    </w:p>
    <w:p>
      <w:pPr>
        <w:pStyle w:val="TOC8"/>
        <w:rPr>
          <w:sz w:val="24"/>
          <w:szCs w:val="24"/>
        </w:rPr>
      </w:pPr>
      <w:r>
        <w:rPr>
          <w:szCs w:val="24"/>
        </w:rPr>
        <w:t>4.</w:t>
      </w:r>
      <w:r>
        <w:rPr>
          <w:szCs w:val="24"/>
        </w:rPr>
        <w:tab/>
        <w:t>Definition</w:t>
      </w:r>
      <w:r>
        <w:tab/>
      </w:r>
      <w:r>
        <w:fldChar w:fldCharType="begin"/>
      </w:r>
      <w:r>
        <w:instrText xml:space="preserve"> PAGEREF _Toc233186184 \h </w:instrText>
      </w:r>
      <w:r>
        <w:fldChar w:fldCharType="separate"/>
      </w:r>
      <w:r>
        <w:t>1</w:t>
      </w:r>
      <w:r>
        <w:fldChar w:fldCharType="end"/>
      </w:r>
    </w:p>
    <w:p>
      <w:pPr>
        <w:pStyle w:val="TOC8"/>
        <w:rPr>
          <w:sz w:val="24"/>
          <w:szCs w:val="24"/>
        </w:rPr>
      </w:pPr>
      <w:r>
        <w:rPr>
          <w:szCs w:val="24"/>
        </w:rPr>
        <w:t>5.</w:t>
      </w:r>
      <w:r>
        <w:rPr>
          <w:szCs w:val="24"/>
        </w:rPr>
        <w:tab/>
        <w:t>Common Seal</w:t>
      </w:r>
      <w:r>
        <w:tab/>
      </w:r>
      <w:r>
        <w:fldChar w:fldCharType="begin"/>
      </w:r>
      <w:r>
        <w:instrText xml:space="preserve"> PAGEREF _Toc233186185 \h </w:instrText>
      </w:r>
      <w:r>
        <w:fldChar w:fldCharType="separate"/>
      </w:r>
      <w:r>
        <w:t>1</w:t>
      </w:r>
      <w:r>
        <w:fldChar w:fldCharType="end"/>
      </w:r>
    </w:p>
    <w:p>
      <w:pPr>
        <w:pStyle w:val="TOC8"/>
        <w:rPr>
          <w:sz w:val="24"/>
          <w:szCs w:val="24"/>
        </w:rPr>
      </w:pPr>
      <w:r>
        <w:rPr>
          <w:szCs w:val="24"/>
        </w:rPr>
        <w:t>6.</w:t>
      </w:r>
      <w:r>
        <w:rPr>
          <w:szCs w:val="24"/>
        </w:rPr>
        <w:tab/>
        <w:t>Interest on loans made under 1978 agreement</w:t>
      </w:r>
      <w:r>
        <w:tab/>
      </w:r>
      <w:r>
        <w:fldChar w:fldCharType="begin"/>
      </w:r>
      <w:r>
        <w:instrText xml:space="preserve"> PAGEREF _Toc233186186 \h </w:instrText>
      </w:r>
      <w:r>
        <w:fldChar w:fldCharType="separate"/>
      </w:r>
      <w:r>
        <w:t>2</w:t>
      </w:r>
      <w:r>
        <w:fldChar w:fldCharType="end"/>
      </w:r>
    </w:p>
    <w:p>
      <w:pPr>
        <w:pStyle w:val="TOC8"/>
        <w:rPr>
          <w:sz w:val="24"/>
          <w:szCs w:val="24"/>
        </w:rPr>
      </w:pPr>
      <w:r>
        <w:rPr>
          <w:szCs w:val="24"/>
        </w:rPr>
        <w:t>8.</w:t>
      </w:r>
      <w:r>
        <w:rPr>
          <w:szCs w:val="24"/>
        </w:rPr>
        <w:tab/>
        <w:t>Conveyancing fees</w:t>
      </w:r>
      <w:r>
        <w:tab/>
      </w:r>
      <w:r>
        <w:fldChar w:fldCharType="begin"/>
      </w:r>
      <w:r>
        <w:instrText xml:space="preserve"> PAGEREF _Toc233186187 \h </w:instrText>
      </w:r>
      <w:r>
        <w:fldChar w:fldCharType="separate"/>
      </w:r>
      <w:r>
        <w:t>3</w:t>
      </w:r>
      <w:r>
        <w:fldChar w:fldCharType="end"/>
      </w:r>
    </w:p>
    <w:p>
      <w:pPr>
        <w:pStyle w:val="TOC8"/>
        <w:rPr>
          <w:sz w:val="24"/>
          <w:szCs w:val="24"/>
        </w:rPr>
      </w:pPr>
      <w:r>
        <w:rPr>
          <w:szCs w:val="24"/>
        </w:rPr>
        <w:t>9.</w:t>
      </w:r>
      <w:r>
        <w:rPr>
          <w:szCs w:val="24"/>
        </w:rPr>
        <w:tab/>
        <w:t>Architectural fees</w:t>
      </w:r>
      <w:r>
        <w:tab/>
      </w:r>
      <w:r>
        <w:fldChar w:fldCharType="begin"/>
      </w:r>
      <w:r>
        <w:instrText xml:space="preserve"> PAGEREF _Toc233186188 \h </w:instrText>
      </w:r>
      <w:r>
        <w:fldChar w:fldCharType="separate"/>
      </w:r>
      <w:r>
        <w:t>4</w:t>
      </w:r>
      <w:r>
        <w:fldChar w:fldCharType="end"/>
      </w:r>
    </w:p>
    <w:p>
      <w:pPr>
        <w:pStyle w:val="TOC8"/>
        <w:rPr>
          <w:sz w:val="24"/>
          <w:szCs w:val="24"/>
        </w:rPr>
      </w:pPr>
      <w:r>
        <w:rPr>
          <w:szCs w:val="24"/>
        </w:rPr>
        <w:t>10.</w:t>
      </w:r>
      <w:r>
        <w:rPr>
          <w:szCs w:val="24"/>
        </w:rPr>
        <w:tab/>
        <w:t>Strata management fees</w:t>
      </w:r>
      <w:r>
        <w:tab/>
      </w:r>
      <w:r>
        <w:fldChar w:fldCharType="begin"/>
      </w:r>
      <w:r>
        <w:instrText xml:space="preserve"> PAGEREF _Toc233186189 \h </w:instrText>
      </w:r>
      <w:r>
        <w:fldChar w:fldCharType="separate"/>
      </w:r>
      <w:r>
        <w:t>5</w:t>
      </w:r>
      <w:r>
        <w:fldChar w:fldCharType="end"/>
      </w:r>
    </w:p>
    <w:p>
      <w:pPr>
        <w:pStyle w:val="TOC2"/>
        <w:tabs>
          <w:tab w:val="right" w:leader="dot" w:pos="707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_Toc233186191 \h </w:instrText>
      </w:r>
      <w:r>
        <w:fldChar w:fldCharType="separate"/>
      </w:r>
      <w:r>
        <w:t>7</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81" w:right="2409" w:bottom="3543" w:left="2409" w:header="720" w:footer="3380" w:gutter="0"/>
          <w:pgNumType w:fmt="lowerRoman" w:start="1"/>
          <w:cols w:space="720"/>
          <w:noEndnote/>
          <w:titlePg/>
          <w:docGrid w:linePitch="326"/>
        </w:sectPr>
      </w:pPr>
    </w:p>
    <w:p>
      <w:pPr>
        <w:pStyle w:val="WA"/>
      </w:pPr>
      <w:r>
        <w:lastRenderedPageBreak/>
        <w:t>Western Australia</w:t>
      </w:r>
    </w:p>
    <w:p>
      <w:pPr>
        <w:pStyle w:val="PrincipalActReg"/>
      </w:pPr>
      <w:r>
        <w:t>Housing Act 1980</w:t>
      </w:r>
    </w:p>
    <w:p>
      <w:pPr>
        <w:pStyle w:val="NameofActReg"/>
      </w:pPr>
      <w:r>
        <w:t>Housing Regulations 1980</w:t>
      </w:r>
    </w:p>
    <w:p>
      <w:pPr>
        <w:pStyle w:val="Heading5"/>
      </w:pPr>
      <w:bookmarkStart w:id="1" w:name="_Toc434313644"/>
      <w:bookmarkStart w:id="2" w:name="_Toc521399486"/>
      <w:bookmarkStart w:id="3" w:name="_Toc523124815"/>
      <w:bookmarkStart w:id="4" w:name="_Toc233186181"/>
      <w:r>
        <w:rPr>
          <w:rStyle w:val="CharSectno"/>
        </w:rPr>
        <w:t>1</w:t>
      </w:r>
      <w:r>
        <w:t>.</w:t>
      </w:r>
      <w:r>
        <w:tab/>
        <w:t>Citation</w:t>
      </w:r>
      <w:bookmarkEnd w:id="1"/>
      <w:bookmarkEnd w:id="2"/>
      <w:bookmarkEnd w:id="3"/>
      <w:bookmarkEnd w:id="4"/>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5" w:name="_Toc434313645"/>
      <w:bookmarkStart w:id="6" w:name="_Toc521399487"/>
      <w:bookmarkStart w:id="7" w:name="_Toc523124816"/>
      <w:bookmarkStart w:id="8" w:name="_Toc233186182"/>
      <w:r>
        <w:rPr>
          <w:rStyle w:val="CharSectno"/>
        </w:rPr>
        <w:t>2</w:t>
      </w:r>
      <w:r>
        <w:t>.</w:t>
      </w:r>
      <w:r>
        <w:tab/>
        <w:t>Commencement</w:t>
      </w:r>
      <w:bookmarkEnd w:id="5"/>
      <w:bookmarkEnd w:id="6"/>
      <w:bookmarkEnd w:id="7"/>
      <w:bookmarkEnd w:id="8"/>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Heading5"/>
      </w:pPr>
      <w:bookmarkStart w:id="9" w:name="_Toc434313646"/>
      <w:bookmarkStart w:id="10" w:name="_Toc521399488"/>
      <w:bookmarkStart w:id="11" w:name="_Toc523124817"/>
      <w:bookmarkStart w:id="12" w:name="_Toc233186183"/>
      <w:r>
        <w:rPr>
          <w:rStyle w:val="CharSectno"/>
        </w:rPr>
        <w:t>3</w:t>
      </w:r>
      <w:r>
        <w:t>.</w:t>
      </w:r>
      <w:r>
        <w:tab/>
        <w:t>Repeal</w:t>
      </w:r>
      <w:bookmarkEnd w:id="9"/>
      <w:bookmarkEnd w:id="10"/>
      <w:bookmarkEnd w:id="11"/>
      <w:bookmarkEnd w:id="12"/>
    </w:p>
    <w:p>
      <w:pPr>
        <w:pStyle w:val="Subsection"/>
      </w:pPr>
      <w:r>
        <w:tab/>
      </w:r>
      <w:r>
        <w:tab/>
        <w:t xml:space="preserve">The </w:t>
      </w:r>
      <w:r>
        <w:rPr>
          <w:i/>
        </w:rPr>
        <w:t>State Housing Act Regulations</w:t>
      </w:r>
      <w:r>
        <w:rPr>
          <w:vertAlign w:val="superscript"/>
        </w:rPr>
        <w:t> 2</w:t>
      </w:r>
      <w:r>
        <w:t>, as amended are hereby repealed.</w:t>
      </w:r>
    </w:p>
    <w:p>
      <w:pPr>
        <w:pStyle w:val="Heading5"/>
      </w:pPr>
      <w:bookmarkStart w:id="13" w:name="_Toc434313647"/>
      <w:bookmarkStart w:id="14" w:name="_Toc521399489"/>
      <w:bookmarkStart w:id="15" w:name="_Toc523124818"/>
      <w:bookmarkStart w:id="16" w:name="_Toc233186184"/>
      <w:r>
        <w:rPr>
          <w:rStyle w:val="CharSectno"/>
        </w:rPr>
        <w:t>4</w:t>
      </w:r>
      <w:r>
        <w:t>.</w:t>
      </w:r>
      <w:r>
        <w:tab/>
        <w:t>Definition</w:t>
      </w:r>
      <w:bookmarkEnd w:id="13"/>
      <w:bookmarkEnd w:id="14"/>
      <w:bookmarkEnd w:id="15"/>
      <w:bookmarkEnd w:id="16"/>
    </w:p>
    <w:p>
      <w:pPr>
        <w:pStyle w:val="Subsection"/>
      </w:pPr>
      <w:r>
        <w:tab/>
      </w:r>
      <w:r>
        <w:tab/>
        <w:t xml:space="preserve">In these regulations </w:t>
      </w:r>
      <w:r>
        <w:rPr>
          <w:rStyle w:val="CharDefText"/>
        </w:rPr>
        <w:t>the Act</w:t>
      </w:r>
      <w:r>
        <w:t xml:space="preserve"> means the </w:t>
      </w:r>
      <w:r>
        <w:rPr>
          <w:i/>
        </w:rPr>
        <w:t>Housing Act 1980</w:t>
      </w:r>
      <w:r>
        <w:t>.</w:t>
      </w:r>
    </w:p>
    <w:p>
      <w:pPr>
        <w:pStyle w:val="Heading5"/>
      </w:pPr>
      <w:bookmarkStart w:id="17" w:name="_Toc434313648"/>
      <w:bookmarkStart w:id="18" w:name="_Toc521399490"/>
      <w:bookmarkStart w:id="19" w:name="_Toc523124819"/>
      <w:bookmarkStart w:id="20" w:name="_Toc233186185"/>
      <w:r>
        <w:rPr>
          <w:rStyle w:val="CharSectno"/>
        </w:rPr>
        <w:t>5</w:t>
      </w:r>
      <w:r>
        <w:t>.</w:t>
      </w:r>
      <w:r>
        <w:tab/>
        <w:t>Common Seal</w:t>
      </w:r>
      <w:bookmarkEnd w:id="17"/>
      <w:bookmarkEnd w:id="18"/>
      <w:bookmarkEnd w:id="19"/>
      <w:bookmarkEnd w:id="20"/>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5"/>
      </w:pPr>
      <w:bookmarkStart w:id="21" w:name="_Toc434313649"/>
      <w:bookmarkStart w:id="22" w:name="_Toc521399491"/>
      <w:bookmarkStart w:id="23" w:name="_Toc523124820"/>
      <w:bookmarkStart w:id="24" w:name="_Toc233186186"/>
      <w:r>
        <w:rPr>
          <w:rStyle w:val="CharSectno"/>
        </w:rPr>
        <w:t>6</w:t>
      </w:r>
      <w:r>
        <w:t>.</w:t>
      </w:r>
      <w:r>
        <w:tab/>
        <w:t>Interest on loans made under 1978 agreement</w:t>
      </w:r>
      <w:bookmarkEnd w:id="21"/>
      <w:bookmarkEnd w:id="22"/>
      <w:bookmarkEnd w:id="23"/>
      <w:bookmarkEnd w:id="24"/>
    </w:p>
    <w:p>
      <w:pPr>
        <w:pStyle w:val="Subsection"/>
      </w:pPr>
      <w:r>
        <w:tab/>
        <w:t>(1)</w:t>
      </w:r>
      <w:r>
        <w:tab/>
        <w:t>In this regulation — </w:t>
      </w:r>
    </w:p>
    <w:p>
      <w:pPr>
        <w:pStyle w:val="Defstart"/>
      </w:pPr>
      <w:r>
        <w:rPr>
          <w:b/>
        </w:rPr>
        <w:tab/>
      </w:r>
      <w:r>
        <w:rPr>
          <w:rStyle w:val="CharDefText"/>
        </w:rPr>
        <w:t>home purchaser</w:t>
      </w:r>
      <w:r>
        <w:t xml:space="preserve"> has the same meaning as that expression has in clause 24 of the agreement;</w:t>
      </w:r>
    </w:p>
    <w:p>
      <w:pPr>
        <w:pStyle w:val="Defstart"/>
      </w:pPr>
      <w:r>
        <w:rPr>
          <w:b/>
        </w:rPr>
        <w:tab/>
      </w:r>
      <w:r>
        <w:rPr>
          <w:rStyle w:val="CharDefText"/>
        </w:rPr>
        <w:t>the agreement</w:t>
      </w:r>
      <w:r>
        <w:t xml:space="preserve"> means the agreement referred to in the </w:t>
      </w:r>
      <w:r>
        <w:rPr>
          <w:i/>
        </w:rPr>
        <w:t>Housing Agreement (Commonwealth and State) Act 1973</w:t>
      </w:r>
      <w:r>
        <w:rPr>
          <w:vertAlign w:val="superscript"/>
        </w:rPr>
        <w:t> 3</w:t>
      </w:r>
      <w:r>
        <w:t>, as amended, as the second supplemental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Deleted in Gazette 19 Apr 1984 p. 1114.]</w:t>
      </w:r>
    </w:p>
    <w:p>
      <w:pPr>
        <w:pStyle w:val="Heading5"/>
      </w:pPr>
      <w:bookmarkStart w:id="25" w:name="_Toc434313650"/>
      <w:bookmarkStart w:id="26" w:name="_Toc521399492"/>
      <w:bookmarkStart w:id="27" w:name="_Toc523124821"/>
      <w:bookmarkStart w:id="28" w:name="_Toc233186187"/>
      <w:r>
        <w:rPr>
          <w:rStyle w:val="CharSectno"/>
        </w:rPr>
        <w:t>8</w:t>
      </w:r>
      <w:r>
        <w:t>.</w:t>
      </w:r>
      <w:r>
        <w:tab/>
        <w:t>Conveyancing fees</w:t>
      </w:r>
      <w:bookmarkEnd w:id="25"/>
      <w:bookmarkEnd w:id="26"/>
      <w:bookmarkEnd w:id="27"/>
      <w:bookmarkEnd w:id="28"/>
    </w:p>
    <w:p>
      <w:pPr>
        <w:pStyle w:val="Subsection"/>
        <w:keepNext/>
      </w:pPr>
      <w:r>
        <w:tab/>
      </w:r>
      <w:r>
        <w:tab/>
        <w:t>The amounts specified in column 3 of the Table are the fees to be paid to the Authority in respect of the corresponding item specified in column 2 of the Table.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685"/>
        <w:gridCol w:w="1382"/>
      </w:tblGrid>
      <w:tr>
        <w:trPr>
          <w:tblHeader/>
        </w:trPr>
        <w:tc>
          <w:tcPr>
            <w:tcW w:w="1276" w:type="dxa"/>
          </w:tcPr>
          <w:p>
            <w:pPr>
              <w:pStyle w:val="TableNAm"/>
              <w:jc w:val="center"/>
              <w:rPr>
                <w:b/>
                <w:bCs/>
              </w:rPr>
            </w:pPr>
            <w:r>
              <w:rPr>
                <w:b/>
                <w:bCs/>
              </w:rPr>
              <w:t>Column 1</w:t>
            </w:r>
            <w:r>
              <w:rPr>
                <w:b/>
                <w:bCs/>
              </w:rPr>
              <w:br/>
              <w:t>Item no.</w:t>
            </w:r>
          </w:p>
        </w:tc>
        <w:tc>
          <w:tcPr>
            <w:tcW w:w="3685" w:type="dxa"/>
          </w:tcPr>
          <w:p>
            <w:pPr>
              <w:pStyle w:val="TableNAm"/>
              <w:jc w:val="center"/>
              <w:rPr>
                <w:b/>
                <w:bCs/>
              </w:rPr>
            </w:pPr>
            <w:r>
              <w:rPr>
                <w:b/>
                <w:bCs/>
              </w:rPr>
              <w:t>Column 2</w:t>
            </w:r>
            <w:r>
              <w:rPr>
                <w:b/>
                <w:bCs/>
              </w:rPr>
              <w:br/>
              <w:t>Item</w:t>
            </w:r>
          </w:p>
        </w:tc>
        <w:tc>
          <w:tcPr>
            <w:tcW w:w="1382" w:type="dxa"/>
          </w:tcPr>
          <w:p>
            <w:pPr>
              <w:pStyle w:val="TableNAm"/>
              <w:jc w:val="center"/>
              <w:rPr>
                <w:b/>
                <w:bCs/>
              </w:rPr>
            </w:pPr>
            <w:r>
              <w:rPr>
                <w:b/>
                <w:bCs/>
              </w:rPr>
              <w:t>Column 3</w:t>
            </w:r>
            <w:r>
              <w:rPr>
                <w:b/>
                <w:bCs/>
              </w:rPr>
              <w:br/>
              <w:t>Fee $</w:t>
            </w:r>
          </w:p>
        </w:tc>
      </w:tr>
      <w:tr>
        <w:tc>
          <w:tcPr>
            <w:tcW w:w="1276" w:type="dxa"/>
          </w:tcPr>
          <w:p>
            <w:pPr>
              <w:pStyle w:val="TableNAm"/>
            </w:pPr>
          </w:p>
        </w:tc>
        <w:tc>
          <w:tcPr>
            <w:tcW w:w="3685" w:type="dxa"/>
          </w:tcPr>
          <w:p>
            <w:pPr>
              <w:pStyle w:val="TableNAm"/>
              <w:rPr>
                <w:b/>
                <w:bCs/>
                <w:i/>
                <w:iCs/>
              </w:rPr>
            </w:pPr>
            <w:r>
              <w:rPr>
                <w:b/>
                <w:bCs/>
                <w:i/>
                <w:iCs/>
              </w:rPr>
              <w:t>Preparation of documents</w:t>
            </w:r>
          </w:p>
        </w:tc>
        <w:tc>
          <w:tcPr>
            <w:tcW w:w="1382" w:type="dxa"/>
          </w:tcPr>
          <w:p>
            <w:pPr>
              <w:pStyle w:val="TableNAm"/>
              <w:tabs>
                <w:tab w:val="clear" w:pos="567"/>
                <w:tab w:val="right" w:pos="680"/>
              </w:tabs>
            </w:pPr>
          </w:p>
        </w:tc>
      </w:tr>
      <w:tr>
        <w:tc>
          <w:tcPr>
            <w:tcW w:w="1276" w:type="dxa"/>
          </w:tcPr>
          <w:p>
            <w:pPr>
              <w:pStyle w:val="TableNAm"/>
            </w:pPr>
            <w:r>
              <w:t>1.</w:t>
            </w:r>
          </w:p>
        </w:tc>
        <w:tc>
          <w:tcPr>
            <w:tcW w:w="3685" w:type="dxa"/>
          </w:tcPr>
          <w:p>
            <w:pPr>
              <w:pStyle w:val="TableNAm"/>
            </w:pPr>
            <w:r>
              <w:t>Mortgage</w:t>
            </w:r>
          </w:p>
        </w:tc>
        <w:tc>
          <w:tcPr>
            <w:tcW w:w="1382" w:type="dxa"/>
          </w:tcPr>
          <w:p>
            <w:pPr>
              <w:pStyle w:val="TableNAm"/>
              <w:tabs>
                <w:tab w:val="clear" w:pos="567"/>
                <w:tab w:val="right" w:pos="680"/>
              </w:tabs>
            </w:pPr>
            <w:r>
              <w:tab/>
              <w:t>128</w:t>
            </w:r>
          </w:p>
        </w:tc>
      </w:tr>
      <w:tr>
        <w:tc>
          <w:tcPr>
            <w:tcW w:w="1276" w:type="dxa"/>
          </w:tcPr>
          <w:p>
            <w:pPr>
              <w:pStyle w:val="TableNAm"/>
            </w:pPr>
            <w:r>
              <w:t>2.</w:t>
            </w:r>
          </w:p>
        </w:tc>
        <w:tc>
          <w:tcPr>
            <w:tcW w:w="3685" w:type="dxa"/>
          </w:tcPr>
          <w:p>
            <w:pPr>
              <w:pStyle w:val="TableNAm"/>
            </w:pPr>
            <w:r>
              <w:t>Discharge of mortgage</w:t>
            </w:r>
          </w:p>
        </w:tc>
        <w:tc>
          <w:tcPr>
            <w:tcW w:w="1382" w:type="dxa"/>
          </w:tcPr>
          <w:p>
            <w:pPr>
              <w:pStyle w:val="TableNAm"/>
              <w:tabs>
                <w:tab w:val="clear" w:pos="567"/>
                <w:tab w:val="right" w:pos="680"/>
              </w:tabs>
            </w:pPr>
            <w:r>
              <w:tab/>
              <w:t>50</w:t>
            </w:r>
          </w:p>
        </w:tc>
      </w:tr>
      <w:tr>
        <w:tc>
          <w:tcPr>
            <w:tcW w:w="1276" w:type="dxa"/>
          </w:tcPr>
          <w:p>
            <w:pPr>
              <w:pStyle w:val="TableNAm"/>
            </w:pPr>
            <w:r>
              <w:t>3.</w:t>
            </w:r>
          </w:p>
        </w:tc>
        <w:tc>
          <w:tcPr>
            <w:tcW w:w="3685" w:type="dxa"/>
          </w:tcPr>
          <w:p>
            <w:pPr>
              <w:pStyle w:val="TableNAm"/>
            </w:pPr>
            <w:r>
              <w:t>Caveat</w:t>
            </w:r>
          </w:p>
        </w:tc>
        <w:tc>
          <w:tcPr>
            <w:tcW w:w="1382" w:type="dxa"/>
          </w:tcPr>
          <w:p>
            <w:pPr>
              <w:pStyle w:val="TableNAm"/>
              <w:tabs>
                <w:tab w:val="clear" w:pos="567"/>
                <w:tab w:val="right" w:pos="680"/>
              </w:tabs>
            </w:pPr>
            <w:r>
              <w:tab/>
              <w:t>45</w:t>
            </w:r>
          </w:p>
        </w:tc>
      </w:tr>
      <w:tr>
        <w:tc>
          <w:tcPr>
            <w:tcW w:w="1276" w:type="dxa"/>
          </w:tcPr>
          <w:p>
            <w:pPr>
              <w:pStyle w:val="TableNAm"/>
            </w:pPr>
            <w:r>
              <w:t>4.</w:t>
            </w:r>
          </w:p>
        </w:tc>
        <w:tc>
          <w:tcPr>
            <w:tcW w:w="3685" w:type="dxa"/>
          </w:tcPr>
          <w:p>
            <w:pPr>
              <w:pStyle w:val="TableNAm"/>
            </w:pPr>
            <w:r>
              <w:t>Withdrawal of caveat</w:t>
            </w:r>
          </w:p>
        </w:tc>
        <w:tc>
          <w:tcPr>
            <w:tcW w:w="1382" w:type="dxa"/>
          </w:tcPr>
          <w:p>
            <w:pPr>
              <w:pStyle w:val="TableNAm"/>
              <w:tabs>
                <w:tab w:val="clear" w:pos="567"/>
                <w:tab w:val="right" w:pos="680"/>
              </w:tabs>
            </w:pPr>
            <w:r>
              <w:tab/>
              <w:t>45</w:t>
            </w:r>
          </w:p>
        </w:tc>
      </w:tr>
      <w:tr>
        <w:tc>
          <w:tcPr>
            <w:tcW w:w="1276" w:type="dxa"/>
          </w:tcPr>
          <w:p>
            <w:pPr>
              <w:pStyle w:val="TableNAm"/>
            </w:pPr>
            <w:r>
              <w:t>5.</w:t>
            </w:r>
          </w:p>
        </w:tc>
        <w:tc>
          <w:tcPr>
            <w:tcW w:w="3685" w:type="dxa"/>
          </w:tcPr>
          <w:p>
            <w:pPr>
              <w:pStyle w:val="TableNAm"/>
            </w:pPr>
            <w:r>
              <w:t>Deed of co-ownership</w:t>
            </w:r>
          </w:p>
        </w:tc>
        <w:tc>
          <w:tcPr>
            <w:tcW w:w="1382" w:type="dxa"/>
          </w:tcPr>
          <w:p>
            <w:pPr>
              <w:pStyle w:val="TableNAm"/>
              <w:tabs>
                <w:tab w:val="clear" w:pos="567"/>
                <w:tab w:val="right" w:pos="680"/>
              </w:tabs>
            </w:pPr>
            <w:r>
              <w:tab/>
              <w:t>153</w:t>
            </w:r>
          </w:p>
        </w:tc>
      </w:tr>
      <w:tr>
        <w:tc>
          <w:tcPr>
            <w:tcW w:w="1276" w:type="dxa"/>
          </w:tcPr>
          <w:p>
            <w:pPr>
              <w:pStyle w:val="TableNAm"/>
            </w:pPr>
            <w:r>
              <w:t>6.</w:t>
            </w:r>
          </w:p>
        </w:tc>
        <w:tc>
          <w:tcPr>
            <w:tcW w:w="3685" w:type="dxa"/>
          </w:tcPr>
          <w:p>
            <w:pPr>
              <w:pStyle w:val="TableNAm"/>
            </w:pPr>
            <w:r>
              <w:t>Any other deed</w:t>
            </w:r>
          </w:p>
        </w:tc>
        <w:tc>
          <w:tcPr>
            <w:tcW w:w="1382" w:type="dxa"/>
          </w:tcPr>
          <w:p>
            <w:pPr>
              <w:pStyle w:val="TableNAm"/>
              <w:tabs>
                <w:tab w:val="clear" w:pos="567"/>
                <w:tab w:val="right" w:pos="680"/>
              </w:tabs>
            </w:pPr>
            <w:r>
              <w:tab/>
              <w:t>95</w:t>
            </w:r>
          </w:p>
        </w:tc>
      </w:tr>
      <w:tr>
        <w:tc>
          <w:tcPr>
            <w:tcW w:w="1276" w:type="dxa"/>
          </w:tcPr>
          <w:p>
            <w:pPr>
              <w:pStyle w:val="TableNAm"/>
            </w:pPr>
            <w:r>
              <w:t>7.</w:t>
            </w:r>
          </w:p>
        </w:tc>
        <w:tc>
          <w:tcPr>
            <w:tcW w:w="3685" w:type="dxa"/>
          </w:tcPr>
          <w:p>
            <w:pPr>
              <w:pStyle w:val="TableNAm"/>
            </w:pPr>
            <w:r>
              <w:t>Transfer of land</w:t>
            </w:r>
          </w:p>
        </w:tc>
        <w:tc>
          <w:tcPr>
            <w:tcW w:w="1382" w:type="dxa"/>
          </w:tcPr>
          <w:p>
            <w:pPr>
              <w:pStyle w:val="TableNAm"/>
              <w:tabs>
                <w:tab w:val="clear" w:pos="567"/>
                <w:tab w:val="right" w:pos="680"/>
              </w:tabs>
            </w:pPr>
            <w:r>
              <w:tab/>
              <w:t>160</w:t>
            </w:r>
          </w:p>
        </w:tc>
      </w:tr>
      <w:tr>
        <w:tc>
          <w:tcPr>
            <w:tcW w:w="1276" w:type="dxa"/>
          </w:tcPr>
          <w:p>
            <w:pPr>
              <w:pStyle w:val="TableNAm"/>
            </w:pPr>
            <w:r>
              <w:t>8.</w:t>
            </w:r>
          </w:p>
        </w:tc>
        <w:tc>
          <w:tcPr>
            <w:tcW w:w="3685" w:type="dxa"/>
          </w:tcPr>
          <w:p>
            <w:pPr>
              <w:pStyle w:val="TableNAm"/>
            </w:pPr>
            <w:r>
              <w:t>Statutory declaration</w:t>
            </w:r>
          </w:p>
        </w:tc>
        <w:tc>
          <w:tcPr>
            <w:tcW w:w="1382" w:type="dxa"/>
          </w:tcPr>
          <w:p>
            <w:pPr>
              <w:pStyle w:val="TableNAm"/>
              <w:tabs>
                <w:tab w:val="clear" w:pos="567"/>
                <w:tab w:val="right" w:pos="680"/>
              </w:tabs>
            </w:pPr>
            <w:r>
              <w:tab/>
              <w:t>38</w:t>
            </w:r>
          </w:p>
        </w:tc>
      </w:tr>
      <w:tr>
        <w:tc>
          <w:tcPr>
            <w:tcW w:w="1276" w:type="dxa"/>
          </w:tcPr>
          <w:p>
            <w:pPr>
              <w:pStyle w:val="TableNAm"/>
            </w:pPr>
            <w:r>
              <w:t>9.</w:t>
            </w:r>
          </w:p>
        </w:tc>
        <w:tc>
          <w:tcPr>
            <w:tcW w:w="3685" w:type="dxa"/>
          </w:tcPr>
          <w:p>
            <w:pPr>
              <w:pStyle w:val="TableNAm"/>
            </w:pPr>
            <w:r>
              <w:t>Settlement statement</w:t>
            </w:r>
          </w:p>
        </w:tc>
        <w:tc>
          <w:tcPr>
            <w:tcW w:w="1382" w:type="dxa"/>
          </w:tcPr>
          <w:p>
            <w:pPr>
              <w:pStyle w:val="TableNAm"/>
              <w:tabs>
                <w:tab w:val="clear" w:pos="567"/>
                <w:tab w:val="right" w:pos="680"/>
              </w:tabs>
            </w:pPr>
            <w:r>
              <w:tab/>
              <w:t>126</w:t>
            </w:r>
          </w:p>
        </w:tc>
      </w:tr>
      <w:tr>
        <w:tc>
          <w:tcPr>
            <w:tcW w:w="1276" w:type="dxa"/>
          </w:tcPr>
          <w:p>
            <w:pPr>
              <w:pStyle w:val="TableNAm"/>
            </w:pPr>
            <w:r>
              <w:t>10.</w:t>
            </w:r>
          </w:p>
        </w:tc>
        <w:tc>
          <w:tcPr>
            <w:tcW w:w="3685" w:type="dxa"/>
          </w:tcPr>
          <w:p>
            <w:pPr>
              <w:pStyle w:val="TableNAm"/>
            </w:pPr>
            <w:r>
              <w:t>Any other document</w:t>
            </w:r>
          </w:p>
        </w:tc>
        <w:tc>
          <w:tcPr>
            <w:tcW w:w="1382" w:type="dxa"/>
          </w:tcPr>
          <w:p>
            <w:pPr>
              <w:pStyle w:val="TableNAm"/>
              <w:tabs>
                <w:tab w:val="clear" w:pos="567"/>
                <w:tab w:val="right" w:pos="680"/>
              </w:tabs>
            </w:pPr>
            <w:r>
              <w:tab/>
              <w:t>59</w:t>
            </w:r>
          </w:p>
        </w:tc>
      </w:tr>
      <w:tr>
        <w:tc>
          <w:tcPr>
            <w:tcW w:w="1276" w:type="dxa"/>
          </w:tcPr>
          <w:p>
            <w:pPr>
              <w:pStyle w:val="TableNAm"/>
            </w:pPr>
          </w:p>
        </w:tc>
        <w:tc>
          <w:tcPr>
            <w:tcW w:w="3685" w:type="dxa"/>
          </w:tcPr>
          <w:p>
            <w:pPr>
              <w:pStyle w:val="TableNAm"/>
              <w:rPr>
                <w:b/>
                <w:bCs/>
              </w:rPr>
            </w:pPr>
            <w:r>
              <w:rPr>
                <w:b/>
                <w:bCs/>
                <w:i/>
                <w:iCs/>
              </w:rPr>
              <w:t>Miscellaneous</w:t>
            </w:r>
          </w:p>
        </w:tc>
        <w:tc>
          <w:tcPr>
            <w:tcW w:w="1382" w:type="dxa"/>
          </w:tcPr>
          <w:p>
            <w:pPr>
              <w:pStyle w:val="TableNAm"/>
              <w:tabs>
                <w:tab w:val="clear" w:pos="567"/>
                <w:tab w:val="right" w:pos="680"/>
              </w:tabs>
            </w:pPr>
          </w:p>
        </w:tc>
      </w:tr>
      <w:tr>
        <w:tc>
          <w:tcPr>
            <w:tcW w:w="1276" w:type="dxa"/>
          </w:tcPr>
          <w:p>
            <w:pPr>
              <w:pStyle w:val="TableNAm"/>
            </w:pPr>
            <w:r>
              <w:t>1.</w:t>
            </w:r>
          </w:p>
        </w:tc>
        <w:tc>
          <w:tcPr>
            <w:tcW w:w="3685" w:type="dxa"/>
          </w:tcPr>
          <w:p>
            <w:pPr>
              <w:pStyle w:val="TableNAm"/>
            </w:pPr>
            <w:r>
              <w:t>Production of titles and other documents</w:t>
            </w:r>
          </w:p>
        </w:tc>
        <w:tc>
          <w:tcPr>
            <w:tcW w:w="1382" w:type="dxa"/>
          </w:tcPr>
          <w:p>
            <w:pPr>
              <w:pStyle w:val="TableNAm"/>
              <w:tabs>
                <w:tab w:val="clear" w:pos="567"/>
                <w:tab w:val="right" w:pos="680"/>
              </w:tabs>
            </w:pPr>
            <w:r>
              <w:tab/>
              <w:t>24</w:t>
            </w:r>
          </w:p>
        </w:tc>
      </w:tr>
    </w:tbl>
    <w:p>
      <w:pPr>
        <w:pStyle w:val="Footnotesection"/>
      </w:pPr>
      <w:r>
        <w:tab/>
        <w:t>[Regulation 8 inserted in Gazette 1 Jun 1993 p. 2682; amended in Gazette 13 Apr 1995 p. 1323</w:t>
      </w:r>
      <w:r>
        <w:noBreakHyphen/>
        <w:t>4; 16 Jul 1996 p. 3397; 16 Jan 1998 p. 344; 30 Jun 2006 p. 2361; 12 Jun 2009 p. 2115.]</w:t>
      </w:r>
    </w:p>
    <w:p>
      <w:pPr>
        <w:pStyle w:val="Heading5"/>
      </w:pPr>
      <w:bookmarkStart w:id="29" w:name="_Toc434313651"/>
      <w:bookmarkStart w:id="30" w:name="_Toc521399493"/>
      <w:bookmarkStart w:id="31" w:name="_Toc523124822"/>
      <w:bookmarkStart w:id="32" w:name="_Toc233186188"/>
      <w:r>
        <w:rPr>
          <w:rStyle w:val="CharSectno"/>
        </w:rPr>
        <w:t>9</w:t>
      </w:r>
      <w:r>
        <w:t>.</w:t>
      </w:r>
      <w:r>
        <w:tab/>
        <w:t>Architectural fees</w:t>
      </w:r>
      <w:bookmarkEnd w:id="29"/>
      <w:bookmarkEnd w:id="30"/>
      <w:bookmarkEnd w:id="31"/>
      <w:bookmarkEnd w:id="32"/>
    </w:p>
    <w:p>
      <w:pPr>
        <w:pStyle w:val="Subsection"/>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812"/>
        <w:gridCol w:w="1276"/>
      </w:tblGrid>
      <w:tr>
        <w:trPr>
          <w:tblHeader/>
        </w:trPr>
        <w:tc>
          <w:tcPr>
            <w:tcW w:w="5812" w:type="dxa"/>
          </w:tcPr>
          <w:p>
            <w:pPr>
              <w:pStyle w:val="Table"/>
              <w:spacing w:before="0"/>
              <w:rPr>
                <w:b/>
                <w:lang w:val="en-US"/>
              </w:rPr>
            </w:pPr>
          </w:p>
          <w:p>
            <w:pPr>
              <w:pStyle w:val="Table"/>
              <w:spacing w:before="0"/>
              <w:jc w:val="center"/>
              <w:rPr>
                <w:b/>
              </w:rPr>
            </w:pPr>
            <w:r>
              <w:rPr>
                <w:b/>
              </w:rPr>
              <w:t>Service</w:t>
            </w:r>
          </w:p>
        </w:tc>
        <w:tc>
          <w:tcPr>
            <w:tcW w:w="1276" w:type="dxa"/>
          </w:tcPr>
          <w:p>
            <w:pPr>
              <w:pStyle w:val="Table"/>
              <w:spacing w:before="0" w:line="240" w:lineRule="auto"/>
              <w:ind w:left="-142" w:right="-142"/>
              <w:jc w:val="center"/>
              <w:rPr>
                <w:b/>
              </w:rPr>
            </w:pPr>
            <w:r>
              <w:rPr>
                <w:b/>
              </w:rPr>
              <w:t>% of estimated cost of construction</w:t>
            </w:r>
          </w:p>
        </w:tc>
      </w:tr>
      <w:tr>
        <w:tc>
          <w:tcPr>
            <w:tcW w:w="5812" w:type="dxa"/>
          </w:tcPr>
          <w:p>
            <w:pPr>
              <w:pStyle w:val="Table"/>
              <w:tabs>
                <w:tab w:val="left" w:pos="1418"/>
                <w:tab w:val="left" w:pos="1985"/>
                <w:tab w:val="right" w:leader="dot" w:pos="5216"/>
              </w:tabs>
              <w:spacing w:before="0"/>
              <w:ind w:left="851"/>
            </w:pPr>
            <w:r>
              <w:t>(a)</w:t>
            </w:r>
            <w:r>
              <w:tab/>
              <w:t>New design</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hanging="1134"/>
            </w:pPr>
            <w:r>
              <w:tab/>
            </w:r>
            <w:r>
              <w:tab/>
              <w:t>cost under $100 000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hanging="1134"/>
            </w:pPr>
            <w:r>
              <w:tab/>
            </w:r>
            <w:r>
              <w:tab/>
              <w:t>cost $100 000 to $200 000 .................</w:t>
            </w:r>
          </w:p>
        </w:tc>
        <w:tc>
          <w:tcPr>
            <w:tcW w:w="1276" w:type="dxa"/>
          </w:tcPr>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hanging="1134"/>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tabs>
                <w:tab w:val="left" w:pos="1418"/>
                <w:tab w:val="left" w:pos="1985"/>
                <w:tab w:val="right" w:leader="dot" w:pos="5216"/>
              </w:tabs>
              <w:spacing w:before="0"/>
              <w:ind w:left="851"/>
            </w:pPr>
            <w:r>
              <w:t>(b)</w:t>
            </w:r>
            <w:r>
              <w:tab/>
              <w:t xml:space="preserve">Repetitive designs </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pPr>
            <w:r>
              <w:tab/>
            </w:r>
            <w:r>
              <w:tab/>
              <w:t>cost not over $200 000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keepNext/>
              <w:tabs>
                <w:tab w:val="left" w:pos="1418"/>
                <w:tab w:val="left" w:pos="1985"/>
                <w:tab w:val="right" w:leader="dot" w:pos="5216"/>
              </w:tabs>
              <w:spacing w:before="0"/>
              <w:ind w:left="851"/>
            </w:pPr>
            <w:r>
              <w:t>(c)</w:t>
            </w:r>
            <w:r>
              <w:tab/>
              <w:t>Additions, renovations and repairs</w:t>
            </w:r>
          </w:p>
          <w:p>
            <w:pPr>
              <w:pStyle w:val="Table"/>
              <w:tabs>
                <w:tab w:val="left" w:pos="1418"/>
                <w:tab w:val="left" w:pos="1985"/>
                <w:tab w:val="right" w:leader="dot" w:pos="5216"/>
              </w:tabs>
              <w:spacing w:before="0"/>
              <w:ind w:left="851"/>
            </w:pPr>
            <w:r>
              <w:tab/>
              <w:t>(i)</w:t>
            </w:r>
            <w:r>
              <w:tab/>
              <w:t>Cost under $200 000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pPr>
            <w:r>
              <w:tab/>
              <w:t>(ii)</w:t>
            </w:r>
            <w:r>
              <w:tab/>
              <w:t>Cost $200 000 and over ......................</w:t>
            </w:r>
          </w:p>
        </w:tc>
        <w:tc>
          <w:tcPr>
            <w:tcW w:w="1276" w:type="dxa"/>
          </w:tcPr>
          <w:p>
            <w:pPr>
              <w:pStyle w:val="Table"/>
              <w:tabs>
                <w:tab w:val="right" w:pos="708"/>
              </w:tabs>
              <w:spacing w:before="0"/>
              <w:jc w:val="center"/>
            </w:pPr>
            <w: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33" w:name="_Toc434313652"/>
      <w:bookmarkStart w:id="34" w:name="_Toc521399494"/>
      <w:bookmarkStart w:id="35" w:name="_Toc523124823"/>
      <w:bookmarkStart w:id="36" w:name="_Toc233186189"/>
      <w:r>
        <w:rPr>
          <w:rStyle w:val="CharSectno"/>
        </w:rPr>
        <w:t>10</w:t>
      </w:r>
      <w:r>
        <w:t>.</w:t>
      </w:r>
      <w:r>
        <w:tab/>
        <w:t>Strata management fees</w:t>
      </w:r>
      <w:bookmarkEnd w:id="33"/>
      <w:bookmarkEnd w:id="34"/>
      <w:bookmarkEnd w:id="35"/>
      <w:bookmarkEnd w:id="36"/>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bookmarkStart w:id="37" w:name="endcomma"/>
      <w:bookmarkEnd w:id="37"/>
      <w:r>
        <w:rPr>
          <w:rStyle w:val="CharDefText"/>
        </w:rPr>
        <w:t>strata company</w:t>
      </w:r>
      <w:r>
        <w:t xml:space="preserve"> </w:t>
      </w:r>
      <w:bookmarkStart w:id="38" w:name="comma"/>
      <w:bookmarkEnd w:id="38"/>
      <w:r>
        <w:t xml:space="preserve">have the same respective meanings as they have in the </w:t>
      </w:r>
      <w:r>
        <w:rPr>
          <w:i/>
        </w:rPr>
        <w:t>Strata Titles Act 1985</w:t>
      </w:r>
      <w:r>
        <w:t>.</w:t>
      </w:r>
    </w:p>
    <w:p>
      <w:pPr>
        <w:pStyle w:val="Footnotesection"/>
      </w:pPr>
      <w:r>
        <w:tab/>
        <w:t>[Regulation 10 inserted in Gazette 16 Jul 1996 p. 3398; amended in Gazette 30 Jun 2006 p. 2361.]</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81" w:right="2409" w:bottom="3543" w:left="2409" w:header="720" w:footer="3380" w:gutter="0"/>
          <w:pgNumType w:start="1"/>
          <w:cols w:space="720"/>
          <w:noEndnote/>
          <w:titlePg/>
          <w:docGrid w:linePitch="326"/>
        </w:sectPr>
      </w:pPr>
    </w:p>
    <w:p>
      <w:pPr>
        <w:pStyle w:val="nHeading2"/>
      </w:pPr>
      <w:bookmarkStart w:id="39" w:name="_Toc139430969"/>
      <w:bookmarkStart w:id="40" w:name="_Toc139683124"/>
      <w:bookmarkStart w:id="41" w:name="_Toc232587393"/>
      <w:bookmarkStart w:id="42" w:name="_Toc233186085"/>
      <w:bookmarkStart w:id="43" w:name="_Toc233186190"/>
      <w:r>
        <w:t>Notes</w:t>
      </w:r>
      <w:bookmarkEnd w:id="39"/>
      <w:bookmarkEnd w:id="40"/>
      <w:bookmarkEnd w:id="41"/>
      <w:bookmarkEnd w:id="42"/>
      <w:bookmarkEnd w:id="43"/>
    </w:p>
    <w:p>
      <w:pPr>
        <w:pStyle w:val="nSubsection"/>
      </w:pPr>
      <w:r>
        <w:rPr>
          <w:vertAlign w:val="superscript"/>
        </w:rPr>
        <w:t>1</w:t>
      </w:r>
      <w:r>
        <w:tab/>
        <w:t xml:space="preserve">This is a compilation of the </w:t>
      </w:r>
      <w:r>
        <w:rPr>
          <w:i/>
        </w:rPr>
        <w:t>Housing Regulations 1980</w:t>
      </w:r>
      <w:r>
        <w:t xml:space="preserve"> and includes the amendments made by the other written laws referred to in the following table.  </w:t>
      </w:r>
      <w:r>
        <w:rPr>
          <w:snapToGrid w:val="0"/>
        </w:rPr>
        <w:t>The table also contains information about any reprint.</w:t>
      </w:r>
    </w:p>
    <w:p>
      <w:pPr>
        <w:pStyle w:val="nHeading3"/>
      </w:pPr>
      <w:bookmarkStart w:id="44" w:name="_Toc233186191"/>
      <w:r>
        <w:t>Compilation table</w:t>
      </w:r>
      <w:bookmarkEnd w:id="44"/>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rHeight w:val="241"/>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65"/>
              <w:rPr>
                <w:b/>
                <w:sz w:val="19"/>
              </w:rPr>
            </w:pPr>
            <w:r>
              <w:rPr>
                <w:b/>
                <w:sz w:val="19"/>
              </w:rPr>
              <w:t>Gazettal</w:t>
            </w:r>
          </w:p>
        </w:tc>
        <w:tc>
          <w:tcPr>
            <w:tcW w:w="2693" w:type="dxa"/>
            <w:tcBorders>
              <w:top w:val="single" w:sz="8" w:space="0" w:color="auto"/>
              <w:bottom w:val="single" w:sz="8" w:space="0" w:color="auto"/>
            </w:tcBorders>
          </w:tcPr>
          <w:p>
            <w:pPr>
              <w:pStyle w:val="nTable"/>
              <w:spacing w:after="40"/>
              <w:ind w:left="35"/>
              <w:rPr>
                <w:b/>
                <w:sz w:val="19"/>
              </w:rPr>
            </w:pPr>
            <w:r>
              <w:rPr>
                <w:b/>
                <w:sz w:val="19"/>
              </w:rPr>
              <w:t>Commencement</w:t>
            </w:r>
          </w:p>
        </w:tc>
      </w:tr>
      <w:tr>
        <w:trPr>
          <w:cantSplit/>
        </w:trPr>
        <w:tc>
          <w:tcPr>
            <w:tcW w:w="3119" w:type="dxa"/>
          </w:tcPr>
          <w:p>
            <w:pPr>
              <w:pStyle w:val="nTable"/>
              <w:spacing w:after="40"/>
              <w:ind w:right="113"/>
              <w:rPr>
                <w:sz w:val="19"/>
              </w:rPr>
            </w:pPr>
            <w:r>
              <w:rPr>
                <w:i/>
                <w:sz w:val="19"/>
              </w:rPr>
              <w:t>Housing Regulations 1980</w:t>
            </w:r>
          </w:p>
        </w:tc>
        <w:tc>
          <w:tcPr>
            <w:tcW w:w="1276" w:type="dxa"/>
          </w:tcPr>
          <w:p>
            <w:pPr>
              <w:pStyle w:val="nTable"/>
              <w:spacing w:after="40"/>
              <w:ind w:left="65"/>
              <w:rPr>
                <w:sz w:val="19"/>
              </w:rPr>
            </w:pPr>
            <w:r>
              <w:rPr>
                <w:sz w:val="19"/>
              </w:rPr>
              <w:t>24 Dec 1980 p. 4361</w:t>
            </w:r>
            <w:r>
              <w:rPr>
                <w:sz w:val="19"/>
              </w:rPr>
              <w:noBreakHyphen/>
              <w:t>3</w:t>
            </w:r>
          </w:p>
        </w:tc>
        <w:tc>
          <w:tcPr>
            <w:tcW w:w="2693" w:type="dxa"/>
          </w:tcPr>
          <w:p>
            <w:pPr>
              <w:pStyle w:val="nTable"/>
              <w:spacing w:after="40"/>
              <w:ind w:left="35"/>
              <w:rPr>
                <w:sz w:val="19"/>
              </w:rPr>
            </w:pPr>
            <w:r>
              <w:rPr>
                <w:sz w:val="19"/>
              </w:rPr>
              <w:t xml:space="preserve">1 Jan 1981 (see r. 2 and </w:t>
            </w:r>
            <w:r>
              <w:rPr>
                <w:i/>
                <w:sz w:val="19"/>
              </w:rPr>
              <w:t>Gazette</w:t>
            </w:r>
            <w:r>
              <w:rPr>
                <w:sz w:val="19"/>
              </w:rPr>
              <w:t xml:space="preserve"> 24 Dec 1980 p. 4349)</w:t>
            </w:r>
          </w:p>
        </w:tc>
      </w:tr>
      <w:tr>
        <w:trPr>
          <w:cantSplit/>
        </w:trPr>
        <w:tc>
          <w:tcPr>
            <w:tcW w:w="3119" w:type="dxa"/>
          </w:tcPr>
          <w:p>
            <w:pPr>
              <w:pStyle w:val="nTable"/>
              <w:spacing w:after="40"/>
              <w:ind w:right="113"/>
              <w:rPr>
                <w:sz w:val="19"/>
              </w:rPr>
            </w:pPr>
            <w:r>
              <w:rPr>
                <w:i/>
                <w:sz w:val="19"/>
              </w:rPr>
              <w:t>Housing Amendment Regulations 1984</w:t>
            </w:r>
          </w:p>
        </w:tc>
        <w:tc>
          <w:tcPr>
            <w:tcW w:w="1276" w:type="dxa"/>
          </w:tcPr>
          <w:p>
            <w:pPr>
              <w:pStyle w:val="nTable"/>
              <w:spacing w:after="40"/>
              <w:ind w:left="65"/>
              <w:rPr>
                <w:sz w:val="19"/>
              </w:rPr>
            </w:pPr>
            <w:r>
              <w:rPr>
                <w:sz w:val="19"/>
              </w:rPr>
              <w:t xml:space="preserve">19 Apr 1984 </w:t>
            </w:r>
            <w:r>
              <w:rPr>
                <w:sz w:val="19"/>
              </w:rPr>
              <w:br/>
              <w:t>p. 1114</w:t>
            </w:r>
          </w:p>
        </w:tc>
        <w:tc>
          <w:tcPr>
            <w:tcW w:w="2693" w:type="dxa"/>
          </w:tcPr>
          <w:p>
            <w:pPr>
              <w:pStyle w:val="nTable"/>
              <w:spacing w:after="40"/>
              <w:ind w:left="35"/>
              <w:rPr>
                <w:sz w:val="19"/>
              </w:rPr>
            </w:pPr>
            <w:r>
              <w:rPr>
                <w:sz w:val="19"/>
              </w:rPr>
              <w:t>19 Apr 1984</w:t>
            </w:r>
          </w:p>
        </w:tc>
      </w:tr>
      <w:tr>
        <w:trPr>
          <w:cantSplit/>
        </w:trPr>
        <w:tc>
          <w:tcPr>
            <w:tcW w:w="3119" w:type="dxa"/>
          </w:tcPr>
          <w:p>
            <w:pPr>
              <w:pStyle w:val="nTable"/>
              <w:spacing w:after="40"/>
              <w:ind w:right="113"/>
              <w:rPr>
                <w:sz w:val="19"/>
              </w:rPr>
            </w:pPr>
            <w:r>
              <w:rPr>
                <w:i/>
                <w:sz w:val="19"/>
              </w:rPr>
              <w:t>Housing Amendment Regulations 1986</w:t>
            </w:r>
          </w:p>
        </w:tc>
        <w:tc>
          <w:tcPr>
            <w:tcW w:w="1276" w:type="dxa"/>
          </w:tcPr>
          <w:p>
            <w:pPr>
              <w:pStyle w:val="nTable"/>
              <w:spacing w:after="40"/>
              <w:ind w:left="65"/>
              <w:rPr>
                <w:sz w:val="19"/>
              </w:rPr>
            </w:pPr>
            <w:r>
              <w:rPr>
                <w:sz w:val="19"/>
              </w:rPr>
              <w:t xml:space="preserve">24 Oct 1986 </w:t>
            </w:r>
            <w:r>
              <w:rPr>
                <w:sz w:val="19"/>
              </w:rPr>
              <w:br/>
              <w:t>p. 3958</w:t>
            </w:r>
          </w:p>
        </w:tc>
        <w:tc>
          <w:tcPr>
            <w:tcW w:w="2693" w:type="dxa"/>
          </w:tcPr>
          <w:p>
            <w:pPr>
              <w:pStyle w:val="nTable"/>
              <w:spacing w:after="40"/>
              <w:ind w:left="35"/>
              <w:rPr>
                <w:sz w:val="19"/>
              </w:rPr>
            </w:pPr>
            <w:r>
              <w:rPr>
                <w:sz w:val="19"/>
              </w:rPr>
              <w:t>24 Oct 1986</w:t>
            </w:r>
          </w:p>
        </w:tc>
      </w:tr>
      <w:tr>
        <w:trPr>
          <w:cantSplit/>
        </w:trPr>
        <w:tc>
          <w:tcPr>
            <w:tcW w:w="3119" w:type="dxa"/>
          </w:tcPr>
          <w:p>
            <w:pPr>
              <w:pStyle w:val="nTable"/>
              <w:spacing w:after="40"/>
              <w:ind w:right="113"/>
              <w:rPr>
                <w:sz w:val="19"/>
              </w:rPr>
            </w:pPr>
            <w:r>
              <w:rPr>
                <w:i/>
                <w:sz w:val="19"/>
              </w:rPr>
              <w:t>Housing Amendment Regulations 1993</w:t>
            </w:r>
          </w:p>
        </w:tc>
        <w:tc>
          <w:tcPr>
            <w:tcW w:w="1276" w:type="dxa"/>
          </w:tcPr>
          <w:p>
            <w:pPr>
              <w:pStyle w:val="nTable"/>
              <w:spacing w:after="40"/>
              <w:ind w:left="65"/>
              <w:rPr>
                <w:sz w:val="19"/>
              </w:rPr>
            </w:pPr>
            <w:r>
              <w:rPr>
                <w:sz w:val="19"/>
              </w:rPr>
              <w:t xml:space="preserve">1 Jun 1993 </w:t>
            </w:r>
            <w:r>
              <w:rPr>
                <w:sz w:val="19"/>
              </w:rPr>
              <w:br/>
              <w:t>p. 2682</w:t>
            </w:r>
          </w:p>
        </w:tc>
        <w:tc>
          <w:tcPr>
            <w:tcW w:w="2693" w:type="dxa"/>
          </w:tcPr>
          <w:p>
            <w:pPr>
              <w:pStyle w:val="nTable"/>
              <w:spacing w:after="40"/>
              <w:ind w:left="35"/>
              <w:rPr>
                <w:sz w:val="19"/>
              </w:rPr>
            </w:pPr>
            <w:r>
              <w:rPr>
                <w:sz w:val="19"/>
              </w:rPr>
              <w:t>1 Jul 1993 (see r. 2)</w:t>
            </w:r>
          </w:p>
        </w:tc>
      </w:tr>
      <w:tr>
        <w:trPr>
          <w:cantSplit/>
        </w:trPr>
        <w:tc>
          <w:tcPr>
            <w:tcW w:w="3119" w:type="dxa"/>
          </w:tcPr>
          <w:p>
            <w:pPr>
              <w:pStyle w:val="nTable"/>
              <w:spacing w:after="40"/>
              <w:ind w:right="113"/>
              <w:rPr>
                <w:sz w:val="19"/>
              </w:rPr>
            </w:pPr>
            <w:r>
              <w:rPr>
                <w:i/>
                <w:sz w:val="19"/>
              </w:rPr>
              <w:t>Housing Amendment Regulations 1995</w:t>
            </w:r>
          </w:p>
        </w:tc>
        <w:tc>
          <w:tcPr>
            <w:tcW w:w="1276" w:type="dxa"/>
          </w:tcPr>
          <w:p>
            <w:pPr>
              <w:pStyle w:val="nTable"/>
              <w:spacing w:after="40"/>
              <w:ind w:left="65"/>
              <w:rPr>
                <w:sz w:val="19"/>
              </w:rPr>
            </w:pPr>
            <w:r>
              <w:rPr>
                <w:sz w:val="19"/>
              </w:rPr>
              <w:t>13 Apr 1995 p. 1323</w:t>
            </w:r>
            <w:r>
              <w:rPr>
                <w:sz w:val="19"/>
              </w:rPr>
              <w:noBreakHyphen/>
              <w:t>4</w:t>
            </w:r>
          </w:p>
        </w:tc>
        <w:tc>
          <w:tcPr>
            <w:tcW w:w="2693" w:type="dxa"/>
          </w:tcPr>
          <w:p>
            <w:pPr>
              <w:pStyle w:val="nTable"/>
              <w:spacing w:after="40"/>
              <w:ind w:left="35"/>
              <w:rPr>
                <w:sz w:val="19"/>
              </w:rPr>
            </w:pPr>
            <w:r>
              <w:rPr>
                <w:sz w:val="19"/>
              </w:rPr>
              <w:t>13 Apr 1995</w:t>
            </w:r>
          </w:p>
        </w:tc>
      </w:tr>
      <w:tr>
        <w:trPr>
          <w:cantSplit/>
        </w:trPr>
        <w:tc>
          <w:tcPr>
            <w:tcW w:w="3119" w:type="dxa"/>
          </w:tcPr>
          <w:p>
            <w:pPr>
              <w:pStyle w:val="nTable"/>
              <w:spacing w:after="40"/>
              <w:ind w:right="113"/>
              <w:rPr>
                <w:sz w:val="19"/>
              </w:rPr>
            </w:pPr>
            <w:r>
              <w:rPr>
                <w:i/>
                <w:sz w:val="19"/>
              </w:rPr>
              <w:t>Housing Amendment Regulations 1996</w:t>
            </w:r>
          </w:p>
        </w:tc>
        <w:tc>
          <w:tcPr>
            <w:tcW w:w="1276" w:type="dxa"/>
          </w:tcPr>
          <w:p>
            <w:pPr>
              <w:pStyle w:val="nTable"/>
              <w:spacing w:after="40"/>
              <w:ind w:left="65"/>
              <w:rPr>
                <w:sz w:val="19"/>
              </w:rPr>
            </w:pPr>
            <w:r>
              <w:rPr>
                <w:sz w:val="19"/>
              </w:rPr>
              <w:t>16 Jul 1996 p. 3397</w:t>
            </w:r>
            <w:r>
              <w:rPr>
                <w:sz w:val="19"/>
              </w:rPr>
              <w:noBreakHyphen/>
              <w:t>8</w:t>
            </w:r>
          </w:p>
        </w:tc>
        <w:tc>
          <w:tcPr>
            <w:tcW w:w="2693" w:type="dxa"/>
          </w:tcPr>
          <w:p>
            <w:pPr>
              <w:pStyle w:val="nTable"/>
              <w:spacing w:after="40"/>
              <w:ind w:left="35"/>
              <w:rPr>
                <w:sz w:val="19"/>
              </w:rPr>
            </w:pPr>
            <w:r>
              <w:rPr>
                <w:sz w:val="19"/>
              </w:rPr>
              <w:t>16 Jul 1996</w:t>
            </w:r>
          </w:p>
        </w:tc>
      </w:tr>
      <w:tr>
        <w:trPr>
          <w:cantSplit/>
        </w:trPr>
        <w:tc>
          <w:tcPr>
            <w:tcW w:w="3119" w:type="dxa"/>
          </w:tcPr>
          <w:p>
            <w:pPr>
              <w:pStyle w:val="nTable"/>
              <w:spacing w:after="40"/>
              <w:ind w:right="113"/>
              <w:rPr>
                <w:sz w:val="19"/>
              </w:rPr>
            </w:pPr>
            <w:r>
              <w:rPr>
                <w:i/>
                <w:sz w:val="19"/>
              </w:rPr>
              <w:t>Housing Amendment Regulations 1997</w:t>
            </w:r>
          </w:p>
        </w:tc>
        <w:tc>
          <w:tcPr>
            <w:tcW w:w="1276" w:type="dxa"/>
          </w:tcPr>
          <w:p>
            <w:pPr>
              <w:pStyle w:val="nTable"/>
              <w:spacing w:after="40"/>
              <w:ind w:left="65"/>
              <w:rPr>
                <w:sz w:val="19"/>
              </w:rPr>
            </w:pPr>
            <w:r>
              <w:rPr>
                <w:sz w:val="19"/>
              </w:rPr>
              <w:t xml:space="preserve">16 Jan 1998 </w:t>
            </w:r>
            <w:r>
              <w:rPr>
                <w:sz w:val="19"/>
              </w:rPr>
              <w:br/>
              <w:t>p. 344</w:t>
            </w:r>
          </w:p>
        </w:tc>
        <w:tc>
          <w:tcPr>
            <w:tcW w:w="2693" w:type="dxa"/>
          </w:tcPr>
          <w:p>
            <w:pPr>
              <w:pStyle w:val="nTable"/>
              <w:spacing w:after="40"/>
              <w:ind w:left="35"/>
              <w:rPr>
                <w:sz w:val="19"/>
              </w:rPr>
            </w:pPr>
            <w:r>
              <w:rPr>
                <w:sz w:val="19"/>
              </w:rPr>
              <w:t>16 Jan 1998</w:t>
            </w:r>
          </w:p>
        </w:tc>
      </w:tr>
      <w:tr>
        <w:trPr>
          <w:cantSplit/>
        </w:trPr>
        <w:tc>
          <w:tcPr>
            <w:tcW w:w="7088" w:type="dxa"/>
            <w:gridSpan w:val="3"/>
          </w:tcPr>
          <w:p>
            <w:pPr>
              <w:pStyle w:val="nTable"/>
              <w:spacing w:after="40"/>
              <w:ind w:left="35" w:right="113"/>
              <w:rPr>
                <w:sz w:val="19"/>
              </w:rPr>
            </w:pPr>
            <w:r>
              <w:rPr>
                <w:b/>
                <w:sz w:val="19"/>
              </w:rPr>
              <w:t xml:space="preserve">Reprint of the </w:t>
            </w:r>
            <w:r>
              <w:rPr>
                <w:b/>
                <w:i/>
                <w:sz w:val="19"/>
              </w:rPr>
              <w:t>Housing Regulations 1980</w:t>
            </w:r>
            <w:r>
              <w:rPr>
                <w:b/>
                <w:sz w:val="19"/>
              </w:rPr>
              <w:t xml:space="preserve"> as at 24 August 2001 </w:t>
            </w:r>
            <w:r>
              <w:rPr>
                <w:sz w:val="19"/>
              </w:rPr>
              <w:t xml:space="preserve"> (includes amendments listed above)</w:t>
            </w:r>
          </w:p>
        </w:tc>
      </w:tr>
      <w:tr>
        <w:trPr>
          <w:cantSplit/>
        </w:trPr>
        <w:tc>
          <w:tcPr>
            <w:tcW w:w="3119" w:type="dxa"/>
          </w:tcPr>
          <w:p>
            <w:pPr>
              <w:pStyle w:val="nTable"/>
              <w:spacing w:after="40"/>
              <w:ind w:right="113"/>
              <w:rPr>
                <w:sz w:val="19"/>
              </w:rPr>
            </w:pPr>
            <w:r>
              <w:rPr>
                <w:i/>
                <w:sz w:val="19"/>
              </w:rPr>
              <w:t>Housing Amendment Regulations 2006</w:t>
            </w:r>
          </w:p>
        </w:tc>
        <w:tc>
          <w:tcPr>
            <w:tcW w:w="1276" w:type="dxa"/>
          </w:tcPr>
          <w:p>
            <w:pPr>
              <w:pStyle w:val="nTable"/>
              <w:spacing w:after="40"/>
              <w:ind w:left="65"/>
              <w:rPr>
                <w:sz w:val="19"/>
              </w:rPr>
            </w:pPr>
            <w:r>
              <w:rPr>
                <w:sz w:val="19"/>
              </w:rPr>
              <w:t>30 Jun 2006 p. 2360-1</w:t>
            </w:r>
          </w:p>
        </w:tc>
        <w:tc>
          <w:tcPr>
            <w:tcW w:w="2693" w:type="dxa"/>
          </w:tcPr>
          <w:p>
            <w:pPr>
              <w:pStyle w:val="nTable"/>
              <w:spacing w:after="40"/>
              <w:ind w:left="35"/>
              <w:rPr>
                <w:sz w:val="19"/>
              </w:rPr>
            </w:pPr>
            <w:r>
              <w:rPr>
                <w:sz w:val="19"/>
              </w:rPr>
              <w:t>1 Jul 2006 (see r. 2)</w:t>
            </w:r>
          </w:p>
        </w:tc>
      </w:tr>
      <w:tr>
        <w:trPr>
          <w:cantSplit/>
        </w:trPr>
        <w:tc>
          <w:tcPr>
            <w:tcW w:w="3118" w:type="dxa"/>
            <w:tcBorders>
              <w:bottom w:val="single" w:sz="8" w:space="0" w:color="auto"/>
            </w:tcBorders>
          </w:tcPr>
          <w:p>
            <w:pPr>
              <w:pStyle w:val="nTable"/>
              <w:spacing w:after="40"/>
              <w:ind w:right="113"/>
              <w:rPr>
                <w:i/>
                <w:sz w:val="19"/>
              </w:rPr>
            </w:pPr>
            <w:r>
              <w:rPr>
                <w:i/>
                <w:sz w:val="19"/>
              </w:rPr>
              <w:t xml:space="preserve">Housing Amendment Regulations 2009 </w:t>
            </w:r>
          </w:p>
        </w:tc>
        <w:tc>
          <w:tcPr>
            <w:tcW w:w="1276" w:type="dxa"/>
            <w:tcBorders>
              <w:bottom w:val="single" w:sz="8" w:space="0" w:color="auto"/>
            </w:tcBorders>
          </w:tcPr>
          <w:p>
            <w:pPr>
              <w:pStyle w:val="nTable"/>
              <w:spacing w:after="40"/>
              <w:ind w:left="65"/>
              <w:rPr>
                <w:sz w:val="19"/>
              </w:rPr>
            </w:pPr>
            <w:r>
              <w:rPr>
                <w:sz w:val="19"/>
              </w:rPr>
              <w:t>12 Jun 2009 p. 2114</w:t>
            </w:r>
            <w:r>
              <w:rPr>
                <w:sz w:val="19"/>
              </w:rPr>
              <w:noBreakHyphen/>
              <w:t>15</w:t>
            </w:r>
          </w:p>
        </w:tc>
        <w:tc>
          <w:tcPr>
            <w:tcW w:w="2693" w:type="dxa"/>
            <w:tcBorders>
              <w:bottom w:val="single" w:sz="8" w:space="0" w:color="auto"/>
            </w:tcBorders>
          </w:tcPr>
          <w:p>
            <w:pPr>
              <w:pStyle w:val="nTable"/>
              <w:spacing w:after="40"/>
              <w:ind w:left="35"/>
              <w:rPr>
                <w:sz w:val="19"/>
              </w:rPr>
            </w:pPr>
            <w:r>
              <w:rPr>
                <w:sz w:val="19"/>
              </w:rPr>
              <w:t>r. 1 and 2: 12 Jun 2009 (see r. 2(a));</w:t>
            </w:r>
          </w:p>
          <w:p>
            <w:pPr>
              <w:pStyle w:val="nTable"/>
              <w:spacing w:after="40"/>
              <w:ind w:left="35"/>
              <w:rPr>
                <w:sz w:val="19"/>
              </w:rPr>
            </w:pPr>
            <w:r>
              <w:rPr>
                <w:sz w:val="19"/>
              </w:rPr>
              <w:t>Regulations other than r. 1 and 2: 1 Jul 2009 (see r. 2(b))</w:t>
            </w:r>
          </w:p>
        </w:tc>
      </w:tr>
    </w:tbl>
    <w:p>
      <w:pPr>
        <w:pStyle w:val="nSubsection"/>
        <w:tabs>
          <w:tab w:val="clear" w:pos="454"/>
          <w:tab w:val="left" w:pos="461"/>
        </w:tabs>
        <w:spacing w:before="160" w:line="260" w:lineRule="atLeast"/>
        <w:ind w:left="459" w:hanging="459"/>
      </w:pPr>
      <w:r>
        <w:rPr>
          <w:vertAlign w:val="superscript"/>
        </w:rPr>
        <w:t>2</w:t>
      </w:r>
      <w:r>
        <w:tab/>
      </w:r>
      <w:r>
        <w:rPr>
          <w:snapToGrid w:val="0"/>
        </w:rPr>
        <w:t>Published</w:t>
      </w:r>
      <w:r>
        <w:t xml:space="preserve"> in </w:t>
      </w:r>
      <w:r>
        <w:rPr>
          <w:i/>
        </w:rPr>
        <w:t xml:space="preserve">Gazette </w:t>
      </w:r>
      <w:r>
        <w:t>12 August 1949 p. 2</w:t>
      </w:r>
      <w:bookmarkStart w:id="45" w:name="UpToHere"/>
      <w:bookmarkEnd w:id="45"/>
      <w:r>
        <w:t>042.</w:t>
      </w:r>
    </w:p>
    <w:p>
      <w:pPr>
        <w:pStyle w:val="nSubsection"/>
        <w:tabs>
          <w:tab w:val="clear" w:pos="454"/>
          <w:tab w:val="left" w:pos="461"/>
        </w:tabs>
        <w:spacing w:before="160" w:line="260" w:lineRule="atLeast"/>
        <w:ind w:left="459" w:hanging="459"/>
      </w:pPr>
      <w:r>
        <w:rPr>
          <w:vertAlign w:val="superscript"/>
        </w:rPr>
        <w:t>3</w:t>
      </w:r>
      <w:r>
        <w:tab/>
      </w:r>
      <w:r>
        <w:rPr>
          <w:snapToGrid w:val="0"/>
        </w:rPr>
        <w:t>Repealed</w:t>
      </w:r>
      <w:r>
        <w:t xml:space="preserve"> by the </w:t>
      </w:r>
      <w:r>
        <w:rPr>
          <w:i/>
        </w:rPr>
        <w:t>Statutes (Repeals and Minor Amendments) Act (No. 2) 1998</w:t>
      </w:r>
      <w:r>
        <w:t>.</w:t>
      </w:r>
    </w:p>
    <w:p/>
    <w:p>
      <w:pPr>
        <w:sectPr>
          <w:headerReference w:type="even" r:id="rId27"/>
          <w:headerReference w:type="default" r:id="rId28"/>
          <w:headerReference w:type="first" r:id="rId29"/>
          <w:endnotePr>
            <w:numFmt w:val="decimal"/>
          </w:endnotePr>
          <w:pgSz w:w="11906" w:h="16838" w:code="9"/>
          <w:pgMar w:top="2381" w:right="2409" w:bottom="3543" w:left="2409" w:header="720" w:footer="3380" w:gutter="0"/>
          <w:cols w:space="720"/>
          <w:noEndnote/>
          <w:docGrid w:linePitch="326"/>
        </w:sectPr>
      </w:pPr>
    </w:p>
    <w:p/>
    <w:sectPr>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New Century Schoolbook">
    <w:altName w:val="NewCenturySchlbk"/>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Housing Regulations 1980</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Housing Regulations 1980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6</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862AFB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F64562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E607FF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32C10EE"/>
    <w:lvl w:ilvl="0">
      <w:start w:val="1"/>
      <w:numFmt w:val="decimal"/>
      <w:pStyle w:val="ListNumber2"/>
      <w:lvlText w:val="%1."/>
      <w:lvlJc w:val="left"/>
      <w:pPr>
        <w:tabs>
          <w:tab w:val="num" w:pos="720"/>
        </w:tabs>
        <w:ind w:left="720" w:hanging="360"/>
      </w:pPr>
    </w:lvl>
  </w:abstractNum>
  <w:abstractNum w:abstractNumId="4">
    <w:nsid w:val="FFFFFF80"/>
    <w:multiLevelType w:val="singleLevel"/>
    <w:tmpl w:val="E836218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E825E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CC83C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89A478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FD01742"/>
    <w:lvl w:ilvl="0">
      <w:start w:val="1"/>
      <w:numFmt w:val="decimal"/>
      <w:pStyle w:val="ListNumber"/>
      <w:lvlText w:val="%1."/>
      <w:lvlJc w:val="left"/>
      <w:pPr>
        <w:tabs>
          <w:tab w:val="num" w:pos="360"/>
        </w:tabs>
        <w:ind w:left="360" w:hanging="360"/>
      </w:pPr>
    </w:lvl>
  </w:abstractNum>
  <w:abstractNum w:abstractNumId="9">
    <w:nsid w:val="FFFFFF89"/>
    <w:multiLevelType w:val="singleLevel"/>
    <w:tmpl w:val="249E4A1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22FF52EB"/>
    <w:multiLevelType w:val="multilevel"/>
    <w:tmpl w:val="5324F19A"/>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2">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3C2808C0"/>
    <w:multiLevelType w:val="singleLevel"/>
    <w:tmpl w:val="C1149068"/>
    <w:lvl w:ilvl="0">
      <w:start w:val="1"/>
      <w:numFmt w:val="bullet"/>
      <w:pStyle w:val="NotesPerm2"/>
      <w:lvlText w:val=""/>
      <w:lvlJc w:val="left"/>
      <w:pPr>
        <w:tabs>
          <w:tab w:val="num" w:pos="1446"/>
        </w:tabs>
        <w:ind w:left="1446" w:hanging="567"/>
      </w:pPr>
      <w:rPr>
        <w:rFonts w:ascii="Symbol" w:hAnsi="Symbol" w:hint="default"/>
      </w:rPr>
    </w:lvl>
  </w:abstractNum>
  <w:abstractNum w:abstractNumId="1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GrammaticalErrors/>
  <w:revisionView w:formatting="0"/>
  <w:defaultTabStop w:val="720"/>
  <w:hyphenationZone w:val="748"/>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740"/>
    <w:docVar w:name="WAFER_20151211132740" w:val="RemoveTrackChanges"/>
    <w:docVar w:name="WAFER_20151211132740_GUID" w:val="95c3a38f-727f-4c3c-8163-5c6e3e539a7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lang w:val="en-AU"/>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New Century Schoolbook" w:hAnsi="New Century Schoolbook"/>
      <w:noProof w:val="0"/>
      <w:sz w:val="20"/>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New Century Schoolbook" w:hAnsi="New Century Schoolbook"/>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New Century Schoolbook" w:hAnsi="New Century Schoolbook"/>
      <w:snapToGrid w:val="0"/>
      <w:lang w:val="en-US" w:eastAsia="en-US"/>
    </w:rPr>
  </w:style>
  <w:style w:type="character" w:customStyle="1" w:styleId="DocInit">
    <w:name w:val="Doc Init"/>
    <w:basedOn w:val="DefaultParagraphFont"/>
  </w:style>
  <w:style w:type="character" w:customStyle="1" w:styleId="TechInit">
    <w:name w:val="Tech Init"/>
    <w:basedOn w:val="DefaultParagraphFont"/>
    <w:rPr>
      <w:rFonts w:ascii="New Century Schoolbook" w:hAnsi="New Century Schoolbook"/>
      <w:noProof w:val="0"/>
      <w:sz w:val="20"/>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New Century Schoolbook" w:hAnsi="New Century Schoolbook"/>
      <w:noProof w:val="0"/>
      <w:sz w:val="20"/>
      <w:lang w:val="en-US"/>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Technical4">
    <w:name w:val="Technical 4"/>
    <w:basedOn w:val="DefaultParagraphFont"/>
  </w:style>
  <w:style w:type="character" w:customStyle="1" w:styleId="Technical1">
    <w:name w:val="Technical 1"/>
    <w:basedOn w:val="DefaultParagraphFont"/>
    <w:rPr>
      <w:rFonts w:ascii="New Century Schoolbook" w:hAnsi="New Century Schoolbook"/>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Proc">
    <w:name w:val="Proc."/>
    <w:basedOn w:val="DefaultParagraphFont"/>
  </w:style>
  <w:style w:type="character" w:customStyle="1" w:styleId="Certificate">
    <w:name w:val="Certificate"/>
    <w:basedOn w:val="DefaultParagraphFont"/>
  </w:style>
  <w:style w:type="character" w:customStyle="1" w:styleId="ProcLieu">
    <w:name w:val="ProcLieu"/>
    <w:basedOn w:val="DefaultParagraphFont"/>
  </w:style>
  <w:style w:type="character" w:customStyle="1" w:styleId="ProcGov">
    <w:name w:val="ProcGov"/>
    <w:basedOn w:val="DefaultParagraphFont"/>
  </w:style>
  <w:style w:type="character" w:customStyle="1" w:styleId="Proc0">
    <w:name w:val="Proc"/>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note">
    <w:name w:val="note"/>
    <w:basedOn w:val="DefaultParagraphFont"/>
  </w:style>
  <w:style w:type="character" w:customStyle="1" w:styleId="CharSDivNo">
    <w:name w:val="CharSDivNo"/>
    <w:basedOn w:val="DefaultParagraphFont"/>
    <w:rPr>
      <w:sz w:val="24"/>
      <w:lang w:val="en-AU"/>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lang w:val="en-AU"/>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New Century Schoolbook" w:hAnsi="New Century Schoolbook"/>
      <w:noProof w:val="0"/>
      <w:sz w:val="20"/>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New Century Schoolbook" w:hAnsi="New Century Schoolbook"/>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New Century Schoolbook" w:hAnsi="New Century Schoolbook"/>
      <w:snapToGrid w:val="0"/>
      <w:lang w:val="en-US" w:eastAsia="en-US"/>
    </w:rPr>
  </w:style>
  <w:style w:type="character" w:customStyle="1" w:styleId="DocInit">
    <w:name w:val="Doc Init"/>
    <w:basedOn w:val="DefaultParagraphFont"/>
  </w:style>
  <w:style w:type="character" w:customStyle="1" w:styleId="TechInit">
    <w:name w:val="Tech Init"/>
    <w:basedOn w:val="DefaultParagraphFont"/>
    <w:rPr>
      <w:rFonts w:ascii="New Century Schoolbook" w:hAnsi="New Century Schoolbook"/>
      <w:noProof w:val="0"/>
      <w:sz w:val="20"/>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New Century Schoolbook" w:hAnsi="New Century Schoolbook"/>
      <w:noProof w:val="0"/>
      <w:sz w:val="20"/>
      <w:lang w:val="en-US"/>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Technical4">
    <w:name w:val="Technical 4"/>
    <w:basedOn w:val="DefaultParagraphFont"/>
  </w:style>
  <w:style w:type="character" w:customStyle="1" w:styleId="Technical1">
    <w:name w:val="Technical 1"/>
    <w:basedOn w:val="DefaultParagraphFont"/>
    <w:rPr>
      <w:rFonts w:ascii="New Century Schoolbook" w:hAnsi="New Century Schoolbook"/>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Proc">
    <w:name w:val="Proc."/>
    <w:basedOn w:val="DefaultParagraphFont"/>
  </w:style>
  <w:style w:type="character" w:customStyle="1" w:styleId="Certificate">
    <w:name w:val="Certificate"/>
    <w:basedOn w:val="DefaultParagraphFont"/>
  </w:style>
  <w:style w:type="character" w:customStyle="1" w:styleId="ProcLieu">
    <w:name w:val="ProcLieu"/>
    <w:basedOn w:val="DefaultParagraphFont"/>
  </w:style>
  <w:style w:type="character" w:customStyle="1" w:styleId="ProcGov">
    <w:name w:val="ProcGov"/>
    <w:basedOn w:val="DefaultParagraphFont"/>
  </w:style>
  <w:style w:type="character" w:customStyle="1" w:styleId="Proc0">
    <w:name w:val="Proc"/>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note">
    <w:name w:val="note"/>
    <w:basedOn w:val="DefaultParagraphFont"/>
  </w:style>
  <w:style w:type="character" w:customStyle="1" w:styleId="CharSDivNo">
    <w:name w:val="CharSDivNo"/>
    <w:basedOn w:val="DefaultParagraphFont"/>
    <w:rPr>
      <w:sz w:val="24"/>
      <w:lang w:val="en-AU"/>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1432</Words>
  <Characters>6862</Characters>
  <Application>Microsoft Office Word</Application>
  <DocSecurity>0</DocSecurity>
  <Lines>311</Lines>
  <Paragraphs>224</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8070</CharactersWithSpaces>
  <SharedDoc>false</SharedDoc>
  <HLinks>
    <vt:vector size="6" baseType="variant">
      <vt:variant>
        <vt:i4>65542</vt:i4>
      </vt:variant>
      <vt:variant>
        <vt:i4>-1</vt:i4>
      </vt:variant>
      <vt:variant>
        <vt:i4>2064</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1980 - 01-d0-03</dc:title>
  <dc:subject/>
  <dc:creator/>
  <cp:keywords/>
  <dc:description/>
  <cp:lastModifiedBy>svcMRProcess</cp:lastModifiedBy>
  <cp:revision>4</cp:revision>
  <cp:lastPrinted>2001-08-24T08:33:00Z</cp:lastPrinted>
  <dcterms:created xsi:type="dcterms:W3CDTF">2015-12-14T07:16:00Z</dcterms:created>
  <dcterms:modified xsi:type="dcterms:W3CDTF">2015-12-14T07:16:00Z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4513</vt:i4>
  </property>
  <property fmtid="{D5CDD505-2E9C-101B-9397-08002B2CF9AE}" pid="6" name="AsAtDate">
    <vt:lpwstr>01 Jul 2009</vt:lpwstr>
  </property>
  <property fmtid="{D5CDD505-2E9C-101B-9397-08002B2CF9AE}" pid="7" name="Suffix">
    <vt:lpwstr>01-d0-03</vt:lpwstr>
  </property>
</Properties>
</file>