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t>Western Australia</w:t>
      </w:r>
    </w:p>
    <w:p>
      <w:pPr>
        <w:pStyle w:val="PrincipalActReg"/>
        <w:spacing w:before="2600" w:after="0"/>
      </w:pPr>
      <w:r>
        <w:rPr>
          <w:snapToGrid w:val="0"/>
        </w:rPr>
        <w:t>Marine Navigational Aids Act 1973</w:t>
      </w:r>
    </w:p>
    <w:p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Marine Navigational Aids Regulations 1985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Marine Navigational Aids Regulations 1985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_Toc233186304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_Toc233186305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Fees payable in respect of fishing boats</w:t>
      </w:r>
      <w:r>
        <w:tab/>
      </w:r>
      <w:r>
        <w:fldChar w:fldCharType="begin"/>
      </w:r>
      <w:r>
        <w:instrText xml:space="preserve"> PAGEREF _Toc233186306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 1 — Fees — Fishing Boats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_Toc233186309 \h </w:instrText>
      </w:r>
      <w:r>
        <w:fldChar w:fldCharType="separate"/>
      </w:r>
      <w:r>
        <w:t>4</w:t>
      </w:r>
      <w:r>
        <w:fldChar w:fldCharType="end"/>
      </w:r>
    </w:p>
    <w:p>
      <w:pPr>
        <w:pStyle w:val="TOC4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Marine Navigational Aids Act 1973</w:t>
      </w:r>
    </w:p>
    <w:p>
      <w:pPr>
        <w:pStyle w:val="NameofActReg"/>
        <w:spacing w:before="360"/>
      </w:pPr>
      <w:r>
        <w:t>Marine Navigational Aids Regulations 1985</w:t>
      </w:r>
    </w:p>
    <w:p>
      <w:pPr>
        <w:pStyle w:val="Heading5"/>
        <w:spacing w:before="240"/>
        <w:rPr>
          <w:snapToGrid w:val="0"/>
        </w:rPr>
      </w:pPr>
      <w:bookmarkStart w:id="1" w:name="_Toc434914682"/>
      <w:bookmarkStart w:id="2" w:name="_Toc472755203"/>
      <w:bookmarkStart w:id="3" w:name="_Toc11832779"/>
      <w:bookmarkStart w:id="4" w:name="_Toc44408529"/>
      <w:bookmarkStart w:id="5" w:name="_Toc76381307"/>
      <w:bookmarkStart w:id="6" w:name="_Toc101762112"/>
      <w:bookmarkStart w:id="7" w:name="_Toc107634601"/>
      <w:bookmarkStart w:id="8" w:name="_Toc233186304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spacing w:before="180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Marine Navigational Aids Regulations 1985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spacing w:before="240"/>
        <w:rPr>
          <w:snapToGrid w:val="0"/>
        </w:rPr>
      </w:pPr>
      <w:bookmarkStart w:id="9" w:name="_Toc434914683"/>
      <w:bookmarkStart w:id="10" w:name="_Toc472755204"/>
      <w:bookmarkStart w:id="11" w:name="_Toc11832780"/>
      <w:bookmarkStart w:id="12" w:name="_Toc44408530"/>
      <w:bookmarkStart w:id="13" w:name="_Toc76381308"/>
      <w:bookmarkStart w:id="14" w:name="_Toc101762113"/>
      <w:bookmarkStart w:id="15" w:name="_Toc107634602"/>
      <w:bookmarkStart w:id="16" w:name="_Toc233186305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  <w:r>
        <w:rPr>
          <w:snapToGrid w:val="0"/>
        </w:rPr>
        <w:t xml:space="preserve"> 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coming into operation of the </w:t>
      </w:r>
      <w:r>
        <w:rPr>
          <w:i/>
          <w:snapToGrid w:val="0"/>
        </w:rPr>
        <w:t>Marine Navigational Aids Amendment Act 1978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spacing w:before="240"/>
        <w:rPr>
          <w:snapToGrid w:val="0"/>
        </w:rPr>
      </w:pPr>
      <w:bookmarkStart w:id="17" w:name="_Toc434914684"/>
      <w:bookmarkStart w:id="18" w:name="_Toc472755205"/>
      <w:bookmarkStart w:id="19" w:name="_Toc11832781"/>
      <w:bookmarkStart w:id="20" w:name="_Toc44408531"/>
      <w:bookmarkStart w:id="21" w:name="_Toc76381309"/>
      <w:bookmarkStart w:id="22" w:name="_Toc101762114"/>
      <w:bookmarkStart w:id="23" w:name="_Toc107634603"/>
      <w:bookmarkStart w:id="24" w:name="_Toc23318630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 payable in respect of fishing boats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  <w:r>
        <w:rPr>
          <w:snapToGrid w:val="0"/>
        </w:rPr>
        <w:t xml:space="preserve"> 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master and the owner of a fishing boat other than a fishing boat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which does not exceed 5.5 metres in length exclusive of bowsprit;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engaged solely in fishing in estuaries or inland waters; or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for which conservancy dues are prescribed as payable under the </w:t>
      </w:r>
      <w:r>
        <w:rPr>
          <w:i/>
          <w:snapToGrid w:val="0"/>
        </w:rPr>
        <w:t>Ports and Harbours Regulations 1966</w:t>
      </w:r>
      <w:r>
        <w:rPr>
          <w:i/>
          <w:snapToGrid w:val="0"/>
          <w:vertAlign w:val="superscript"/>
        </w:rPr>
        <w:t> </w:t>
      </w:r>
      <w:r>
        <w:rPr>
          <w:iCs/>
          <w:snapToGrid w:val="0"/>
          <w:vertAlign w:val="superscript"/>
        </w:rPr>
        <w:t>2</w:t>
      </w:r>
      <w:r>
        <w:rPr>
          <w:snapToGrid w:val="0"/>
        </w:rPr>
        <w:t xml:space="preserve"> made under the </w:t>
      </w:r>
      <w:r>
        <w:rPr>
          <w:i/>
          <w:snapToGrid w:val="0"/>
        </w:rPr>
        <w:t>Shipping and Pilotage Act 1967</w:t>
      </w:r>
      <w:r>
        <w:rPr>
          <w:snapToGrid w:val="0"/>
        </w:rPr>
        <w:t>,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are jointly and severally liable to pay to the Department the fee set out in Schedule 1 that is appropriate to that fishing boat.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fee referred to in subregulation (1) is payable — </w:t>
      </w:r>
    </w:p>
    <w:p>
      <w:pPr>
        <w:pStyle w:val="Indenta"/>
        <w:rPr>
          <w:snapToGrid w:val="0"/>
        </w:rPr>
      </w:pPr>
      <w:r>
        <w:rPr>
          <w:snapToGrid w:val="0"/>
        </w:rPr>
        <w:lastRenderedPageBreak/>
        <w:tab/>
        <w:t>(a)</w:t>
      </w:r>
      <w:r>
        <w:rPr>
          <w:snapToGrid w:val="0"/>
        </w:rPr>
        <w:tab/>
        <w:t>for the period ending 30 June 1986, on 1 September 1985;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for each period of 12 months ending on 30 June in any year after 1986, on 1 July in the preceding year.</w:t>
      </w:r>
    </w:p>
    <w:p>
      <w:pPr>
        <w:pStyle w:val="Footnotesection"/>
      </w:pPr>
      <w:r>
        <w:tab/>
        <w:t>[Regulation 3 amended in Gazette 12 Jun 2009 p. 2127.]</w:t>
      </w:r>
    </w:p>
    <w:p>
      <w:pPr>
        <w:rPr>
          <w:rStyle w:val="CharDivText"/>
        </w:r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25" w:name="_Toc44408532"/>
      <w:bookmarkStart w:id="26" w:name="_Toc76381310"/>
    </w:p>
    <w:p>
      <w:pPr>
        <w:pStyle w:val="yScheduleHeading"/>
      </w:pPr>
      <w:bookmarkStart w:id="27" w:name="_Toc233186307"/>
      <w:bookmarkStart w:id="28" w:name="_Toc99179428"/>
      <w:bookmarkEnd w:id="25"/>
      <w:bookmarkEnd w:id="26"/>
      <w:r>
        <w:rPr>
          <w:rStyle w:val="CharSchNo"/>
        </w:rPr>
        <w:lastRenderedPageBreak/>
        <w:t>Schedule 1</w:t>
      </w:r>
      <w:r>
        <w:t> — </w:t>
      </w:r>
      <w:r>
        <w:rPr>
          <w:rStyle w:val="CharSchText"/>
        </w:rPr>
        <w:t>Fees — Fishing Boats</w:t>
      </w:r>
      <w:bookmarkEnd w:id="27"/>
    </w:p>
    <w:p>
      <w:pPr>
        <w:pStyle w:val="yShoulderClause"/>
      </w:pPr>
      <w:r>
        <w:t>[r. 3]</w:t>
      </w:r>
    </w:p>
    <w:p>
      <w:pPr>
        <w:pStyle w:val="yFootnoteheading"/>
      </w:pPr>
      <w:r>
        <w:tab/>
        <w:t>[Heading inserted in Gazette 12 Jun 2009 p. 2127.]</w:t>
      </w:r>
    </w:p>
    <w:p>
      <w:pPr>
        <w:pStyle w:val="ySubsection"/>
      </w:pPr>
      <w:r>
        <w:tab/>
      </w:r>
      <w:r>
        <w:tab/>
        <w:t>The fees in the Table are payable in respect of the provision of marine navigational aids outside any port under the control of a port authority and the approaches to that port.</w:t>
      </w:r>
    </w:p>
    <w:p>
      <w:pPr>
        <w:pStyle w:val="yTHeadingNAm"/>
      </w:pPr>
      <w:r>
        <w:t>Table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4961"/>
        <w:gridCol w:w="1276"/>
      </w:tblGrid>
      <w:tr>
        <w:trPr>
          <w:tblHeader/>
        </w:trPr>
        <w:tc>
          <w:tcPr>
            <w:tcW w:w="4961" w:type="dxa"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Length of the fishing boat (excluding bowsprit)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 ($)</w:t>
            </w:r>
          </w:p>
        </w:tc>
      </w:tr>
      <w:tr>
        <w:tc>
          <w:tcPr>
            <w:tcW w:w="4961" w:type="dxa"/>
          </w:tcPr>
          <w:p>
            <w:pPr>
              <w:pStyle w:val="yTableNAm"/>
            </w:pPr>
            <w:r>
              <w:t>Not more than 6 m</w:t>
            </w:r>
          </w:p>
        </w:tc>
        <w:tc>
          <w:tcPr>
            <w:tcW w:w="1276" w:type="dxa"/>
          </w:tcPr>
          <w:p>
            <w:pPr>
              <w:pStyle w:val="yTableNAm"/>
              <w:ind w:right="238"/>
              <w:jc w:val="right"/>
            </w:pPr>
            <w:r>
              <w:t>116.40</w:t>
            </w:r>
          </w:p>
        </w:tc>
      </w:tr>
      <w:tr>
        <w:tc>
          <w:tcPr>
            <w:tcW w:w="4961" w:type="dxa"/>
          </w:tcPr>
          <w:p>
            <w:pPr>
              <w:pStyle w:val="yTableNAm"/>
            </w:pPr>
            <w:r>
              <w:t xml:space="preserve">More than 6 m but not more than 10 m </w:t>
            </w:r>
          </w:p>
        </w:tc>
        <w:tc>
          <w:tcPr>
            <w:tcW w:w="1276" w:type="dxa"/>
          </w:tcPr>
          <w:p>
            <w:pPr>
              <w:pStyle w:val="yTableNAm"/>
              <w:ind w:right="238"/>
              <w:jc w:val="right"/>
            </w:pPr>
            <w:r>
              <w:t>152.40</w:t>
            </w:r>
          </w:p>
        </w:tc>
      </w:tr>
      <w:tr>
        <w:tc>
          <w:tcPr>
            <w:tcW w:w="4961" w:type="dxa"/>
          </w:tcPr>
          <w:p>
            <w:pPr>
              <w:pStyle w:val="yTableNAm"/>
            </w:pPr>
            <w:r>
              <w:t>More than 10 m but not more than 20 m</w:t>
            </w:r>
          </w:p>
        </w:tc>
        <w:tc>
          <w:tcPr>
            <w:tcW w:w="1276" w:type="dxa"/>
          </w:tcPr>
          <w:p>
            <w:pPr>
              <w:pStyle w:val="yTableNAm"/>
              <w:ind w:right="238"/>
              <w:jc w:val="right"/>
            </w:pPr>
            <w:r>
              <w:t>223.00</w:t>
            </w:r>
          </w:p>
        </w:tc>
      </w:tr>
      <w:tr>
        <w:tc>
          <w:tcPr>
            <w:tcW w:w="4961" w:type="dxa"/>
          </w:tcPr>
          <w:p>
            <w:pPr>
              <w:pStyle w:val="yTableNAm"/>
            </w:pPr>
            <w:r>
              <w:t>More than 20 m but not more than 30 m</w:t>
            </w:r>
          </w:p>
        </w:tc>
        <w:tc>
          <w:tcPr>
            <w:tcW w:w="1276" w:type="dxa"/>
          </w:tcPr>
          <w:p>
            <w:pPr>
              <w:pStyle w:val="yTableNAm"/>
              <w:ind w:right="238"/>
              <w:jc w:val="right"/>
            </w:pPr>
            <w:r>
              <w:t>342.50</w:t>
            </w:r>
          </w:p>
        </w:tc>
      </w:tr>
      <w:tr>
        <w:tc>
          <w:tcPr>
            <w:tcW w:w="4961" w:type="dxa"/>
          </w:tcPr>
          <w:p>
            <w:pPr>
              <w:pStyle w:val="yTableNAm"/>
            </w:pPr>
            <w:r>
              <w:t>More than 30 m but not more than 50 m</w:t>
            </w:r>
          </w:p>
        </w:tc>
        <w:tc>
          <w:tcPr>
            <w:tcW w:w="1276" w:type="dxa"/>
          </w:tcPr>
          <w:p>
            <w:pPr>
              <w:pStyle w:val="yTableNAm"/>
              <w:ind w:right="238"/>
              <w:jc w:val="right"/>
            </w:pPr>
            <w:r>
              <w:t>522.60</w:t>
            </w:r>
          </w:p>
        </w:tc>
      </w:tr>
      <w:tr>
        <w:tc>
          <w:tcPr>
            <w:tcW w:w="4961" w:type="dxa"/>
          </w:tcPr>
          <w:p>
            <w:pPr>
              <w:pStyle w:val="yTableNAm"/>
            </w:pPr>
            <w:r>
              <w:t>More than 50 m</w:t>
            </w:r>
          </w:p>
        </w:tc>
        <w:tc>
          <w:tcPr>
            <w:tcW w:w="1276" w:type="dxa"/>
          </w:tcPr>
          <w:p>
            <w:pPr>
              <w:pStyle w:val="yTableNAm"/>
              <w:ind w:right="238"/>
              <w:jc w:val="right"/>
            </w:pPr>
            <w:r>
              <w:t>816.70</w:t>
            </w:r>
          </w:p>
        </w:tc>
      </w:tr>
    </w:tbl>
    <w:p>
      <w:pPr>
        <w:pStyle w:val="yFootnotesection"/>
      </w:pPr>
      <w:r>
        <w:tab/>
        <w:t>[Schedule 1 inserted in Gazette 12 Jun 2009 p. 2127</w:t>
      </w:r>
      <w:r>
        <w:noBreakHyphen/>
        <w:t>8.]</w:t>
      </w:r>
    </w:p>
    <w:p>
      <w:p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9" w:name="_Toc99181429"/>
      <w:bookmarkStart w:id="30" w:name="_Toc99181576"/>
      <w:bookmarkStart w:id="31" w:name="_Toc99270246"/>
      <w:bookmarkStart w:id="32" w:name="_Toc101762117"/>
      <w:bookmarkStart w:id="33" w:name="_Toc107389400"/>
      <w:bookmarkStart w:id="34" w:name="_Toc107634606"/>
      <w:bookmarkStart w:id="35" w:name="_Toc139102239"/>
      <w:bookmarkStart w:id="36" w:name="_Toc139275581"/>
      <w:bookmarkStart w:id="37" w:name="_Toc139275608"/>
      <w:bookmarkStart w:id="38" w:name="_Toc170615475"/>
      <w:bookmarkStart w:id="39" w:name="_Toc170790536"/>
      <w:bookmarkStart w:id="40" w:name="_Toc173643496"/>
      <w:bookmarkStart w:id="41" w:name="_Toc175726725"/>
      <w:bookmarkStart w:id="42" w:name="_Toc178048540"/>
      <w:bookmarkStart w:id="43" w:name="_Toc202522045"/>
      <w:bookmarkStart w:id="44" w:name="_Toc232587442"/>
      <w:bookmarkStart w:id="45" w:name="_Toc233186308"/>
      <w:r>
        <w:lastRenderedPageBreak/>
        <w:t>Notes</w:t>
      </w:r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Marine Navigational Aids Regulations 1985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46" w:name="_Toc233186309"/>
      <w:r>
        <w:rPr>
          <w:snapToGrid w:val="0"/>
        </w:rPr>
        <w:t>Compilation table</w:t>
      </w:r>
      <w:bookmarkEnd w:id="4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pacing w:val="-2"/>
                <w:sz w:val="19"/>
              </w:rPr>
              <w:t>28 Jun 1985 p. 2318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 xml:space="preserve">1 Jul 1985 (see r. 2 and </w:t>
            </w:r>
            <w:r>
              <w:rPr>
                <w:i/>
                <w:snapToGrid w:val="0"/>
                <w:sz w:val="19"/>
              </w:rPr>
              <w:t>Gazette</w:t>
            </w:r>
            <w:r>
              <w:rPr>
                <w:snapToGrid w:val="0"/>
                <w:sz w:val="19"/>
              </w:rPr>
              <w:t xml:space="preserve"> 28 Jun 1985 p. 2292)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8 Aug 1986 p. 2830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8 Aug 1986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 Mar 1990 p. 1329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 Mar 1990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b/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1990 p. 3640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1990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26 Jul 1991 p. 3933</w:t>
            </w:r>
            <w:r>
              <w:rPr>
                <w:snapToGrid w:val="0"/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1991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30 Jun 1992 p. 2909</w:t>
            </w:r>
            <w:r>
              <w:rPr>
                <w:snapToGrid w:val="0"/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1992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30 Jun 1995 p. 2698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1995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25 Jun 1996 p. 2991</w:t>
            </w:r>
            <w:r>
              <w:rPr>
                <w:snapToGrid w:val="0"/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1996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Jun 1997 p. 3147</w:t>
            </w:r>
            <w:r>
              <w:rPr>
                <w:snapToGrid w:val="0"/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1997 (see 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of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11 Feb 2000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20 Jun 2000 p. 3061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2000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Jul 2001 p. 3798</w:t>
            </w:r>
            <w:r>
              <w:rPr>
                <w:snapToGrid w:val="0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2001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14 Jun 2002 p. 2818</w:t>
            </w:r>
            <w:r>
              <w:rPr>
                <w:snapToGrid w:val="0"/>
                <w:sz w:val="19"/>
              </w:rPr>
              <w:noBreakHyphen/>
              <w:t>19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Jun 2003 p. 2520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25 Jun 2004 p. 2288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2004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2: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1 Apr 2005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24 Jun 2005 p. 2783</w:t>
            </w:r>
            <w:r>
              <w:rPr>
                <w:snapToGrid w:val="0"/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23 Jun 2006 p. 2205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22 Jun 2007 p. 2848</w:t>
            </w:r>
            <w:r>
              <w:rPr>
                <w:snapToGrid w:val="0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2007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3: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7 Sep 2007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24 Jun 2008 p. 2890-1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24 Jun 2008 (see r. 2(a))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 xml:space="preserve">Marine Navigational Aids Amendment Regulations 2009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z w:val="19"/>
              </w:rPr>
              <w:t>12 Jun 2009 p. 2127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 1 and 2: 12 Jun 2009 (see r. 2(a));</w:t>
            </w:r>
          </w:p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z w:val="19"/>
              </w:rPr>
              <w:t>Regulations other than r. 1 and 2: 1 Jul 2009 (see r. 2(b))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Formerly referred to the </w:t>
      </w:r>
      <w:r>
        <w:rPr>
          <w:i/>
          <w:iCs/>
        </w:rPr>
        <w:t>Ports and Harbours Regulation</w:t>
      </w:r>
      <w:r>
        <w:t xml:space="preserve">s, the citation of which was changed to the </w:t>
      </w:r>
      <w:r>
        <w:rPr>
          <w:i/>
          <w:iCs/>
        </w:rPr>
        <w:t>Ports and Harbours Regulations 1966</w:t>
      </w:r>
      <w:r>
        <w:t xml:space="preserve"> by the </w:t>
      </w:r>
      <w:r>
        <w:rPr>
          <w:i/>
          <w:iCs/>
        </w:rPr>
        <w:t>Ports and Harbours Amendment Regulations 2005</w:t>
      </w:r>
      <w:r>
        <w:t xml:space="preserve"> r. 4.  The reference was changed under the </w:t>
      </w:r>
      <w:r>
        <w:rPr>
          <w:i/>
          <w:iCs/>
        </w:rPr>
        <w:t>Reprints Act 1984</w:t>
      </w:r>
      <w:r>
        <w:t xml:space="preserve"> s. 7(3)(gb). </w:t>
      </w:r>
    </w:p>
    <w:p/>
    <w:p>
      <w:pPr>
        <w:sectPr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bookmarkStart w:id="47" w:name="UpToHere"/>
      <w:bookmarkEnd w:id="47"/>
    </w:p>
    <w:sectPr>
      <w:headerReference w:type="even" r:id="rId31"/>
      <w:headerReference w:type="default" r:id="rId32"/>
      <w:headerReference w:type="first" r:id="rId33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03-d0-02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03-d0-02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03-d0-02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03-d0-02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03-d0-02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03-d0-02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03-d0-02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03-d0-02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03-d0-02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Marine Navigational Aids Regulations 1985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Sch. </w:t>
          </w:r>
          <w:r>
            <w:fldChar w:fldCharType="begin"/>
          </w:r>
          <w:r>
            <w:instrText xml:space="preserve"> styleref CharSchNo</w:instrText>
          </w:r>
          <w:r>
            <w:fldChar w:fldCharType="end"/>
          </w:r>
        </w:p>
      </w:tc>
    </w:tr>
  </w:tbl>
  <w:p>
    <w:pPr>
      <w:pStyle w:val="HeaderNumberLeft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c>
        <w:tcPr>
          <w:tcW w:w="7312" w:type="dxa"/>
          <w:gridSpan w:val="2"/>
          <w:vAlign w:val="bottom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  <w:vAlign w:val="bottom"/>
        </w:tcPr>
        <w:p>
          <w:pPr>
            <w:pStyle w:val="HeaderNumberLeft"/>
          </w:pPr>
        </w:p>
      </w:tc>
      <w:tc>
        <w:tcPr>
          <w:tcW w:w="5764" w:type="dxa"/>
          <w:vAlign w:val="bottom"/>
        </w:tcPr>
        <w:p>
          <w:pPr>
            <w:pStyle w:val="HeaderTextLeft"/>
          </w:pPr>
        </w:p>
      </w:tc>
    </w:tr>
    <w:tr>
      <w:tc>
        <w:tcPr>
          <w:tcW w:w="1548" w:type="dxa"/>
          <w:vAlign w:val="bottom"/>
        </w:tcPr>
        <w:p>
          <w:pPr>
            <w:pStyle w:val="HeaderNumberLeft"/>
          </w:pPr>
        </w:p>
      </w:tc>
      <w:tc>
        <w:tcPr>
          <w:tcW w:w="5764" w:type="dxa"/>
          <w:vAlign w:val="bottom"/>
        </w:tcPr>
        <w:p>
          <w:pPr>
            <w:pStyle w:val="HeaderTextLeft"/>
          </w:pPr>
        </w:p>
      </w:tc>
    </w:tr>
    <w:tr>
      <w:tc>
        <w:tcPr>
          <w:tcW w:w="7312" w:type="dxa"/>
          <w:gridSpan w:val="2"/>
          <w:vAlign w:val="bottom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c>
        <w:tcPr>
          <w:tcW w:w="7263" w:type="dxa"/>
          <w:gridSpan w:val="2"/>
          <w:vAlign w:val="bottom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</w:p>
      </w:tc>
      <w:tc>
        <w:tcPr>
          <w:tcW w:w="1548" w:type="dxa"/>
          <w:vAlign w:val="bottom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</w:p>
      </w:tc>
      <w:tc>
        <w:tcPr>
          <w:tcW w:w="1548" w:type="dxa"/>
          <w:vAlign w:val="bottom"/>
        </w:tcPr>
        <w:p>
          <w:pPr>
            <w:pStyle w:val="HeaderNumberRight"/>
            <w:ind w:right="17"/>
          </w:pPr>
        </w:p>
      </w:tc>
    </w:tr>
    <w:tr>
      <w:tc>
        <w:tcPr>
          <w:tcW w:w="7263" w:type="dxa"/>
          <w:gridSpan w:val="2"/>
          <w:vAlign w:val="bottom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C30D06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4D282A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41AE33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C66978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DF424F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0220F6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370DD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136D0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8FCAA5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2E85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7F185B7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6962443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 w:numId="13">
    <w:abstractNumId w:val="16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8120106"/>
    <w:docVar w:name="WAFER_20151208120106" w:val="RemoveTrackChanges"/>
    <w:docVar w:name="WAFER_20151208120106_GUID" w:val="9045bbcb-a71d-4488-9e61-f2df824025b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4"/>
      </w:numPr>
    </w:pPr>
  </w:style>
  <w:style w:type="paragraph" w:styleId="ListBullet2">
    <w:name w:val="List Bullet 2"/>
    <w:basedOn w:val="Normal"/>
    <w:autoRedefine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9"/>
      </w:numPr>
    </w:pPr>
  </w:style>
  <w:style w:type="paragraph" w:styleId="ListNumber2">
    <w:name w:val="List Number 2"/>
    <w:basedOn w:val="Normal"/>
    <w:semiHidden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4"/>
      </w:numPr>
    </w:pPr>
  </w:style>
  <w:style w:type="paragraph" w:styleId="ListBullet2">
    <w:name w:val="List Bullet 2"/>
    <w:basedOn w:val="Normal"/>
    <w:autoRedefine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9"/>
      </w:numPr>
    </w:pPr>
  </w:style>
  <w:style w:type="paragraph" w:styleId="ListNumber2">
    <w:name w:val="List Number 2"/>
    <w:basedOn w:val="Normal"/>
    <w:semiHidden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967</Words>
  <Characters>4528</Characters>
  <Application>Microsoft Office Word</Application>
  <DocSecurity>0</DocSecurity>
  <Lines>215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Navigational Aids Regulations 1985 - 03-d0-02</dc:title>
  <dc:subject/>
  <dc:creator/>
  <cp:keywords/>
  <dc:description/>
  <cp:lastModifiedBy>svcMRProcess</cp:lastModifiedBy>
  <cp:revision>4</cp:revision>
  <cp:lastPrinted>2007-08-24T05:49:00Z</cp:lastPrinted>
  <dcterms:created xsi:type="dcterms:W3CDTF">2015-12-10T10:08:00Z</dcterms:created>
  <dcterms:modified xsi:type="dcterms:W3CDTF">2015-12-10T10:08:00Z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28-Jun-1985 p.2318 </vt:lpwstr>
  </property>
  <property fmtid="{D5CDD505-2E9C-101B-9397-08002B2CF9AE}" pid="3" name="CommencementDate">
    <vt:lpwstr>20090701</vt:lpwstr>
  </property>
  <property fmtid="{D5CDD505-2E9C-101B-9397-08002B2CF9AE}" pid="4" name="DocumentType">
    <vt:lpwstr>Reg</vt:lpwstr>
  </property>
  <property fmtid="{D5CDD505-2E9C-101B-9397-08002B2CF9AE}" pid="5" name="OwlsUID">
    <vt:i4>4614</vt:i4>
  </property>
  <property fmtid="{D5CDD505-2E9C-101B-9397-08002B2CF9AE}" pid="6" name="ReprintNo">
    <vt:lpwstr>3</vt:lpwstr>
  </property>
  <property fmtid="{D5CDD505-2E9C-101B-9397-08002B2CF9AE}" pid="7" name="AsAtDate">
    <vt:lpwstr>01 Jul 2009</vt:lpwstr>
  </property>
  <property fmtid="{D5CDD505-2E9C-101B-9397-08002B2CF9AE}" pid="8" name="Suffix">
    <vt:lpwstr>03-d0-02</vt:lpwstr>
  </property>
</Properties>
</file>