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Vocational Education and Training Act 1996</w:t>
      </w:r>
    </w:p>
    <w:p>
      <w:pPr>
        <w:pStyle w:val="NameofActRegPage1"/>
        <w:spacing w:before="3760" w:after="420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_Toc233801736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_Toc233801737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_Toc233801738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_Toc233801740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_Toc233801742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_Toc233801743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_Toc233801744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_Toc233801747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_Toc233801748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_Toc233801749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_Toc233801750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_Toc233801751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_Toc233801752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_Toc233801754 \h </w:instrText>
      </w:r>
      <w:r>
        <w:fldChar w:fldCharType="separate"/>
      </w:r>
      <w:r>
        <w:t>8</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_Toc233801755 \h </w:instrText>
      </w:r>
      <w:r>
        <w:fldChar w:fldCharType="separate"/>
      </w:r>
      <w:r>
        <w:t>9</w:t>
      </w:r>
      <w:r>
        <w:fldChar w:fldCharType="end"/>
      </w:r>
    </w:p>
    <w:p>
      <w:pPr>
        <w:pStyle w:val="TOC8"/>
        <w:rPr>
          <w:sz w:val="24"/>
          <w:szCs w:val="24"/>
        </w:rPr>
      </w:pPr>
      <w:r>
        <w:rPr>
          <w:szCs w:val="24"/>
        </w:rPr>
        <w:t>14.</w:t>
      </w:r>
      <w:r>
        <w:rPr>
          <w:szCs w:val="24"/>
        </w:rPr>
        <w:tab/>
        <w:t>Unemployed persons exempt from course fees</w:t>
      </w:r>
      <w:r>
        <w:tab/>
      </w:r>
      <w:r>
        <w:fldChar w:fldCharType="begin"/>
      </w:r>
      <w:r>
        <w:instrText xml:space="preserve"> PAGEREF _Toc233801756 \h </w:instrText>
      </w:r>
      <w:r>
        <w:fldChar w:fldCharType="separate"/>
      </w:r>
      <w:r>
        <w:t>9</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_Toc233801757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_Toc233801759 \h </w:instrText>
      </w:r>
      <w:r>
        <w:fldChar w:fldCharType="separate"/>
      </w:r>
      <w:r>
        <w:t>11</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_Toc233801761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_Toc233801762 \h </w:instrText>
      </w:r>
      <w:r>
        <w:fldChar w:fldCharType="separate"/>
      </w:r>
      <w:r>
        <w:t>12</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_Toc233801765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_Toc233801766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_Toc233801768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_Toc233801769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_Toc233801770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_Toc233801771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_Toc233801772 \h </w:instrText>
      </w:r>
      <w:r>
        <w:fldChar w:fldCharType="separate"/>
      </w:r>
      <w:r>
        <w:t>18</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_Toc233801773 \h </w:instrText>
      </w:r>
      <w:r>
        <w:fldChar w:fldCharType="separate"/>
      </w:r>
      <w:r>
        <w:t>19</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_Toc233801775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_Toc233801776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_Toc233801777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_Toc233801778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_Toc233801779 \h </w:instrText>
      </w:r>
      <w:r>
        <w:fldChar w:fldCharType="separate"/>
      </w:r>
      <w:r>
        <w:t>20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_Toc233801782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bookmarkStart w:id="9" w:name="_Toc182378655"/>
      <w:bookmarkStart w:id="10" w:name="_Toc184793089"/>
      <w:bookmarkStart w:id="11" w:name="_Toc184800836"/>
      <w:bookmarkStart w:id="12" w:name="_Toc185751208"/>
      <w:bookmarkStart w:id="13" w:name="_Toc188262376"/>
      <w:bookmarkStart w:id="14" w:name="_Toc199838230"/>
      <w:bookmarkStart w:id="15" w:name="_Toc215039807"/>
      <w:bookmarkStart w:id="16" w:name="_Toc218487663"/>
      <w:bookmarkStart w:id="17" w:name="_Toc230679669"/>
      <w:bookmarkStart w:id="18" w:name="_Toc230679726"/>
      <w:bookmarkStart w:id="19" w:name="_Toc230749098"/>
      <w:bookmarkStart w:id="20" w:name="_Toc2338017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67309253"/>
      <w:bookmarkStart w:id="22" w:name="_Toc57799421"/>
      <w:bookmarkStart w:id="23" w:name="_Toc149030468"/>
      <w:bookmarkStart w:id="24" w:name="_Toc233801736"/>
      <w:r>
        <w:rPr>
          <w:rStyle w:val="CharSectno"/>
        </w:rPr>
        <w:t>1</w:t>
      </w:r>
      <w:r>
        <w:rPr>
          <w:snapToGrid w:val="0"/>
        </w:rPr>
        <w:t>.</w:t>
      </w:r>
      <w:r>
        <w:rPr>
          <w:snapToGrid w:val="0"/>
        </w:rPr>
        <w:tab/>
        <w:t>Citation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5" w:name="_Toc467309254"/>
      <w:bookmarkStart w:id="26" w:name="_Toc57799422"/>
      <w:bookmarkStart w:id="27" w:name="_Toc149030469"/>
      <w:bookmarkStart w:id="28" w:name="_Toc233801737"/>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9" w:name="_Toc467309255"/>
      <w:bookmarkStart w:id="30" w:name="_Toc57799423"/>
      <w:bookmarkStart w:id="31" w:name="_Toc149030470"/>
      <w:bookmarkStart w:id="32" w:name="_Toc233801738"/>
      <w:r>
        <w:rPr>
          <w:rStyle w:val="CharSectno"/>
        </w:rPr>
        <w:t>3</w:t>
      </w:r>
      <w:r>
        <w:rPr>
          <w:snapToGrid w:val="0"/>
        </w:rPr>
        <w:t>.</w:t>
      </w:r>
      <w:r>
        <w:rPr>
          <w:snapToGrid w:val="0"/>
        </w:rPr>
        <w:tab/>
      </w:r>
      <w:bookmarkEnd w:id="29"/>
      <w:bookmarkEnd w:id="30"/>
      <w:bookmarkEnd w:id="31"/>
      <w:r>
        <w:rPr>
          <w:snapToGrid w:val="0"/>
        </w:rPr>
        <w:t>Terms used in these regulations</w:t>
      </w:r>
      <w:bookmarkEnd w:id="32"/>
    </w:p>
    <w:p>
      <w:pPr>
        <w:pStyle w:val="Subsection"/>
      </w:pPr>
      <w:r>
        <w:tab/>
        <w:t>(1)</w:t>
      </w:r>
      <w:r>
        <w:tab/>
        <w:t xml:space="preserve">In these regulations, unless the contrary intention appears — </w:t>
      </w:r>
    </w:p>
    <w:p>
      <w:pPr>
        <w:pStyle w:val="Defstart"/>
      </w:pPr>
      <w:r>
        <w:tab/>
      </w:r>
      <w:r>
        <w:rPr>
          <w:rStyle w:val="CharDefText"/>
        </w:rPr>
        <w:t>Act</w:t>
      </w:r>
      <w:r>
        <w:t xml:space="preserve"> means the </w:t>
      </w:r>
      <w:r>
        <w:rPr>
          <w:i/>
        </w:rPr>
        <w:t>Vocational Education and Training Act 1996</w:t>
      </w:r>
      <w:r>
        <w: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rStyle w:val="CharDefText"/>
        </w:rPr>
        <w:tab/>
        <w:t>Centrelink</w:t>
      </w:r>
      <w:r>
        <w:t xml:space="preserve"> has the meaning given in regulation 20(1);</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 22 May 2009 p. 1693-4; 26 Jun 2009 p. 2566.]</w:t>
      </w:r>
    </w:p>
    <w:p>
      <w:pPr>
        <w:pStyle w:val="Heading2"/>
        <w:rPr>
          <w:rStyle w:val="CharPartText"/>
        </w:rPr>
      </w:pPr>
      <w:bookmarkStart w:id="33" w:name="_Toc230679673"/>
      <w:bookmarkStart w:id="34" w:name="_Toc230679730"/>
      <w:bookmarkStart w:id="35" w:name="_Toc230749102"/>
      <w:bookmarkStart w:id="36" w:name="_Toc233801739"/>
      <w:bookmarkStart w:id="37" w:name="_Toc84738975"/>
      <w:bookmarkStart w:id="38" w:name="_Toc84740210"/>
      <w:bookmarkStart w:id="39" w:name="_Toc90177039"/>
      <w:bookmarkStart w:id="40" w:name="_Toc123101457"/>
      <w:bookmarkStart w:id="41" w:name="_Toc149030471"/>
      <w:bookmarkStart w:id="42" w:name="_Toc149036904"/>
      <w:bookmarkStart w:id="43" w:name="_Toc152144617"/>
      <w:bookmarkStart w:id="44" w:name="_Toc182378659"/>
      <w:bookmarkStart w:id="45" w:name="_Toc184793093"/>
      <w:bookmarkStart w:id="46" w:name="_Toc184800840"/>
      <w:bookmarkStart w:id="47" w:name="_Toc185751212"/>
      <w:bookmarkStart w:id="48" w:name="_Toc188262380"/>
      <w:bookmarkStart w:id="49" w:name="_Toc199838234"/>
      <w:bookmarkStart w:id="50" w:name="_Toc215039811"/>
      <w:bookmarkStart w:id="51" w:name="_Toc218487667"/>
      <w:r>
        <w:rPr>
          <w:rStyle w:val="CharPartNo"/>
        </w:rPr>
        <w:t>Part 2A</w:t>
      </w:r>
      <w:r>
        <w:rPr>
          <w:b w:val="0"/>
        </w:rPr>
        <w:t> </w:t>
      </w:r>
      <w:r>
        <w:t>—</w:t>
      </w:r>
      <w:r>
        <w:rPr>
          <w:b w:val="0"/>
        </w:rPr>
        <w:t> </w:t>
      </w:r>
      <w:r>
        <w:rPr>
          <w:rStyle w:val="CharPartText"/>
        </w:rPr>
        <w:t>Management of colleges</w:t>
      </w:r>
      <w:bookmarkEnd w:id="33"/>
      <w:bookmarkEnd w:id="34"/>
      <w:bookmarkEnd w:id="35"/>
      <w:bookmarkEnd w:id="36"/>
    </w:p>
    <w:p>
      <w:pPr>
        <w:pStyle w:val="Footnoteheading"/>
      </w:pPr>
      <w:r>
        <w:tab/>
        <w:t>[Heading inserted in Gazette 22 May 2009 p. 1694.]</w:t>
      </w:r>
    </w:p>
    <w:p>
      <w:pPr>
        <w:pStyle w:val="Heading5"/>
      </w:pPr>
      <w:bookmarkStart w:id="52" w:name="_Toc233801740"/>
      <w:r>
        <w:rPr>
          <w:rStyle w:val="CharSectno"/>
        </w:rPr>
        <w:t>3A</w:t>
      </w:r>
      <w:r>
        <w:t>.</w:t>
      </w:r>
      <w:r>
        <w:tab/>
        <w:t>Strategic plan (Act s. 43)</w:t>
      </w:r>
      <w:bookmarkEnd w:id="52"/>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53" w:name="_Toc230679675"/>
      <w:bookmarkStart w:id="54" w:name="_Toc230679732"/>
      <w:bookmarkStart w:id="55" w:name="_Toc230749104"/>
      <w:bookmarkStart w:id="56" w:name="_Toc233801741"/>
      <w:r>
        <w:rPr>
          <w:rStyle w:val="CharPartNo"/>
        </w:rPr>
        <w:t>Part 2</w:t>
      </w:r>
      <w:r>
        <w:rPr>
          <w:rStyle w:val="CharDivNo"/>
        </w:rPr>
        <w:t> </w:t>
      </w:r>
      <w:r>
        <w:t>—</w:t>
      </w:r>
      <w:r>
        <w:rPr>
          <w:rStyle w:val="CharDivText"/>
        </w:rPr>
        <w:t> </w:t>
      </w:r>
      <w:r>
        <w:rPr>
          <w:rStyle w:val="CharPartText"/>
        </w:rPr>
        <w:t>Classification of courses</w:t>
      </w:r>
      <w:bookmarkEnd w:id="37"/>
      <w:bookmarkEnd w:id="38"/>
      <w:bookmarkEnd w:id="39"/>
      <w:bookmarkEnd w:id="40"/>
      <w:bookmarkEnd w:id="41"/>
      <w:bookmarkEnd w:id="42"/>
      <w:bookmarkEnd w:id="43"/>
      <w:r>
        <w:rPr>
          <w:rStyle w:val="CharPartText"/>
        </w:rPr>
        <w:t xml:space="preserve"> and units</w:t>
      </w:r>
      <w:bookmarkEnd w:id="44"/>
      <w:bookmarkEnd w:id="45"/>
      <w:bookmarkEnd w:id="46"/>
      <w:bookmarkEnd w:id="47"/>
      <w:bookmarkEnd w:id="48"/>
      <w:bookmarkEnd w:id="49"/>
      <w:bookmarkEnd w:id="50"/>
      <w:bookmarkEnd w:id="51"/>
      <w:bookmarkEnd w:id="53"/>
      <w:bookmarkEnd w:id="54"/>
      <w:bookmarkEnd w:id="55"/>
      <w:bookmarkEnd w:id="56"/>
    </w:p>
    <w:p>
      <w:pPr>
        <w:pStyle w:val="Footnoteheading"/>
      </w:pPr>
      <w:r>
        <w:tab/>
        <w:t>[Heading amended in Gazette 9 Nov 2007 p. 5606.]</w:t>
      </w:r>
    </w:p>
    <w:p>
      <w:pPr>
        <w:pStyle w:val="Heading5"/>
        <w:rPr>
          <w:snapToGrid w:val="0"/>
        </w:rPr>
      </w:pPr>
      <w:bookmarkStart w:id="57" w:name="_Toc467309256"/>
      <w:bookmarkStart w:id="58" w:name="_Toc57799424"/>
      <w:bookmarkStart w:id="59" w:name="_Toc149030472"/>
      <w:bookmarkStart w:id="60" w:name="_Toc233801742"/>
      <w:r>
        <w:rPr>
          <w:rStyle w:val="CharSectno"/>
        </w:rPr>
        <w:t>4</w:t>
      </w:r>
      <w:r>
        <w:rPr>
          <w:snapToGrid w:val="0"/>
        </w:rPr>
        <w:t>.</w:t>
      </w:r>
      <w:r>
        <w:rPr>
          <w:snapToGrid w:val="0"/>
        </w:rPr>
        <w:tab/>
        <w:t>Classification by Minister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61" w:name="_Toc233801743"/>
      <w:bookmarkStart w:id="62" w:name="_Toc84738977"/>
      <w:bookmarkStart w:id="63" w:name="_Toc84740212"/>
      <w:bookmarkStart w:id="64" w:name="_Toc90177041"/>
      <w:bookmarkStart w:id="65" w:name="_Toc123101459"/>
      <w:bookmarkStart w:id="66" w:name="_Toc149030473"/>
      <w:bookmarkStart w:id="67" w:name="_Toc149036906"/>
      <w:bookmarkStart w:id="68" w:name="_Toc152144619"/>
      <w:r>
        <w:rPr>
          <w:rStyle w:val="CharSectno"/>
        </w:rPr>
        <w:t>4A</w:t>
      </w:r>
      <w:r>
        <w:t>.</w:t>
      </w:r>
      <w:r>
        <w:tab/>
        <w:t>Classification of units</w:t>
      </w:r>
      <w:bookmarkEnd w:id="61"/>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69" w:name="_Toc233801744"/>
      <w:bookmarkStart w:id="70" w:name="_Toc182378662"/>
      <w:bookmarkStart w:id="71" w:name="_Toc184793096"/>
      <w:bookmarkStart w:id="72" w:name="_Toc184800843"/>
      <w:bookmarkStart w:id="73" w:name="_Toc185751215"/>
      <w:bookmarkStart w:id="74" w:name="_Toc188262383"/>
      <w:bookmarkStart w:id="75" w:name="_Toc199838237"/>
      <w:bookmarkStart w:id="76" w:name="_Toc215039814"/>
      <w:bookmarkStart w:id="77" w:name="_Toc218487670"/>
      <w:r>
        <w:rPr>
          <w:rStyle w:val="CharSectno"/>
        </w:rPr>
        <w:t>4B</w:t>
      </w:r>
      <w:r>
        <w:t>.</w:t>
      </w:r>
      <w:r>
        <w:tab/>
        <w:t>Nominal duration of courses and units</w:t>
      </w:r>
      <w:bookmarkEnd w:id="69"/>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78" w:name="_Toc230679679"/>
      <w:bookmarkStart w:id="79" w:name="_Toc230679736"/>
      <w:bookmarkStart w:id="80" w:name="_Toc230749108"/>
      <w:bookmarkStart w:id="81" w:name="_Toc233801745"/>
      <w:r>
        <w:rPr>
          <w:rStyle w:val="CharPartNo"/>
        </w:rPr>
        <w:t>Part 3</w:t>
      </w:r>
      <w:r>
        <w:t> — </w:t>
      </w:r>
      <w:r>
        <w:rPr>
          <w:rStyle w:val="CharPartText"/>
        </w:rPr>
        <w:t>Selection and fees</w:t>
      </w:r>
      <w:bookmarkEnd w:id="62"/>
      <w:bookmarkEnd w:id="63"/>
      <w:bookmarkEnd w:id="64"/>
      <w:bookmarkEnd w:id="65"/>
      <w:bookmarkEnd w:id="66"/>
      <w:bookmarkEnd w:id="67"/>
      <w:bookmarkEnd w:id="68"/>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84738978"/>
      <w:bookmarkStart w:id="83" w:name="_Toc84740213"/>
      <w:bookmarkStart w:id="84" w:name="_Toc90177042"/>
      <w:bookmarkStart w:id="85" w:name="_Toc123101460"/>
      <w:bookmarkStart w:id="86" w:name="_Toc149030474"/>
      <w:bookmarkStart w:id="87" w:name="_Toc149036907"/>
      <w:bookmarkStart w:id="88" w:name="_Toc152144620"/>
      <w:bookmarkStart w:id="89" w:name="_Toc182378663"/>
      <w:bookmarkStart w:id="90" w:name="_Toc184793097"/>
      <w:bookmarkStart w:id="91" w:name="_Toc184800844"/>
      <w:bookmarkStart w:id="92" w:name="_Toc185751216"/>
      <w:bookmarkStart w:id="93" w:name="_Toc188262384"/>
      <w:bookmarkStart w:id="94" w:name="_Toc199838238"/>
      <w:bookmarkStart w:id="95" w:name="_Toc215039815"/>
      <w:bookmarkStart w:id="96" w:name="_Toc218487671"/>
      <w:bookmarkStart w:id="97" w:name="_Toc230679680"/>
      <w:bookmarkStart w:id="98" w:name="_Toc230679737"/>
      <w:bookmarkStart w:id="99" w:name="_Toc230749109"/>
      <w:bookmarkStart w:id="100" w:name="_Toc233801746"/>
      <w:r>
        <w:rPr>
          <w:rStyle w:val="CharDivNo"/>
        </w:rPr>
        <w:t>Division 1</w:t>
      </w:r>
      <w:r>
        <w:rPr>
          <w:snapToGrid w:val="0"/>
        </w:rPr>
        <w:t> — </w:t>
      </w:r>
      <w:r>
        <w:rPr>
          <w:rStyle w:val="CharDivText"/>
        </w:rPr>
        <w:t>Selection for category A courses, and fees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67309257"/>
      <w:bookmarkStart w:id="102" w:name="_Toc57799425"/>
      <w:bookmarkStart w:id="103" w:name="_Toc149030475"/>
      <w:bookmarkStart w:id="104" w:name="_Toc233801747"/>
      <w:r>
        <w:rPr>
          <w:rStyle w:val="CharSectno"/>
        </w:rPr>
        <w:t>5</w:t>
      </w:r>
      <w:r>
        <w:rPr>
          <w:snapToGrid w:val="0"/>
        </w:rPr>
        <w:t>.</w:t>
      </w:r>
      <w:r>
        <w:rPr>
          <w:snapToGrid w:val="0"/>
        </w:rPr>
        <w:tab/>
      </w:r>
      <w:bookmarkEnd w:id="101"/>
      <w:bookmarkEnd w:id="102"/>
      <w:bookmarkEnd w:id="103"/>
      <w:r>
        <w:rPr>
          <w:snapToGrid w:val="0"/>
        </w:rPr>
        <w:t>Terms used in this Division</w:t>
      </w:r>
      <w:bookmarkEnd w:id="104"/>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05" w:name="_Toc467309258"/>
      <w:bookmarkStart w:id="106" w:name="_Toc57799426"/>
      <w:bookmarkStart w:id="107" w:name="_Toc149030476"/>
      <w:bookmarkStart w:id="108" w:name="_Toc233801748"/>
      <w:r>
        <w:rPr>
          <w:rStyle w:val="CharSectno"/>
        </w:rPr>
        <w:t>6</w:t>
      </w:r>
      <w:r>
        <w:rPr>
          <w:snapToGrid w:val="0"/>
        </w:rPr>
        <w:t>.</w:t>
      </w:r>
      <w:r>
        <w:rPr>
          <w:snapToGrid w:val="0"/>
        </w:rPr>
        <w:tab/>
        <w:t>Application of this Division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09" w:name="_Toc467309259"/>
      <w:bookmarkStart w:id="110" w:name="_Toc57799427"/>
      <w:bookmarkStart w:id="111" w:name="_Toc149030477"/>
      <w:bookmarkStart w:id="112" w:name="_Toc233801749"/>
      <w:r>
        <w:rPr>
          <w:rStyle w:val="CharSectno"/>
        </w:rPr>
        <w:t>7</w:t>
      </w:r>
      <w:r>
        <w:rPr>
          <w:snapToGrid w:val="0"/>
        </w:rPr>
        <w:t>.</w:t>
      </w:r>
      <w:r>
        <w:rPr>
          <w:snapToGrid w:val="0"/>
        </w:rPr>
        <w:tab/>
        <w:t>Admissions Manager to perform functions on behalf of colleges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13" w:name="_Toc467309260"/>
      <w:bookmarkStart w:id="114" w:name="_Toc57799428"/>
      <w:bookmarkStart w:id="115" w:name="_Toc149030478"/>
      <w:r>
        <w:tab/>
        <w:t>[Regulation 7 amended in Gazette 9 Nov 2007 p. 5607.]</w:t>
      </w:r>
    </w:p>
    <w:p>
      <w:pPr>
        <w:pStyle w:val="Heading5"/>
      </w:pPr>
      <w:bookmarkStart w:id="116" w:name="_Toc233801750"/>
      <w:bookmarkStart w:id="117" w:name="_Toc467309261"/>
      <w:bookmarkStart w:id="118" w:name="_Toc57799429"/>
      <w:bookmarkStart w:id="119" w:name="_Toc149030479"/>
      <w:bookmarkEnd w:id="113"/>
      <w:bookmarkEnd w:id="114"/>
      <w:bookmarkEnd w:id="115"/>
      <w:r>
        <w:rPr>
          <w:rStyle w:val="CharSectno"/>
        </w:rPr>
        <w:t>8</w:t>
      </w:r>
      <w:r>
        <w:t>.</w:t>
      </w:r>
      <w:r>
        <w:tab/>
        <w:t>Application for a selection of a course</w:t>
      </w:r>
      <w:bookmarkEnd w:id="11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20" w:name="_Toc233801751"/>
      <w:r>
        <w:rPr>
          <w:rStyle w:val="CharSectno"/>
        </w:rPr>
        <w:t>9</w:t>
      </w:r>
      <w:r>
        <w:rPr>
          <w:snapToGrid w:val="0"/>
        </w:rPr>
        <w:t>.</w:t>
      </w:r>
      <w:r>
        <w:rPr>
          <w:snapToGrid w:val="0"/>
        </w:rPr>
        <w:tab/>
        <w:t>Late applications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21" w:name="_Toc467309262"/>
      <w:bookmarkStart w:id="122" w:name="_Toc57799430"/>
      <w:bookmarkStart w:id="12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24" w:name="_Toc233801752"/>
      <w:r>
        <w:rPr>
          <w:rStyle w:val="CharSectno"/>
        </w:rPr>
        <w:t>10</w:t>
      </w:r>
      <w:r>
        <w:rPr>
          <w:snapToGrid w:val="0"/>
        </w:rPr>
        <w:t>.</w:t>
      </w:r>
      <w:r>
        <w:rPr>
          <w:snapToGrid w:val="0"/>
        </w:rPr>
        <w:tab/>
        <w:t>Fee for assessing suitability of particular practical experience</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25" w:name="_Toc467309263"/>
      <w:bookmarkStart w:id="126" w:name="_Toc57799431"/>
      <w:bookmarkStart w:id="127"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28" w:name="_Toc123101473"/>
      <w:bookmarkStart w:id="129" w:name="_Toc149030482"/>
      <w:bookmarkStart w:id="130" w:name="_Toc149036915"/>
      <w:bookmarkStart w:id="131" w:name="_Toc152144628"/>
      <w:bookmarkStart w:id="132" w:name="_Toc467309268"/>
      <w:bookmarkStart w:id="133" w:name="_Toc57799436"/>
      <w:bookmarkEnd w:id="125"/>
      <w:bookmarkEnd w:id="126"/>
      <w:bookmarkEnd w:id="127"/>
      <w:r>
        <w:t>[</w:t>
      </w:r>
      <w:r>
        <w:rPr>
          <w:b/>
          <w:bCs/>
        </w:rPr>
        <w:t>11.</w:t>
      </w:r>
      <w:r>
        <w:tab/>
        <w:t>Deleted in Gazette 9 Nov 2007 p. 5608.]</w:t>
      </w:r>
    </w:p>
    <w:p>
      <w:pPr>
        <w:pStyle w:val="Heading3"/>
        <w:keepLines/>
      </w:pPr>
      <w:bookmarkStart w:id="134" w:name="_Toc182378670"/>
      <w:bookmarkStart w:id="135" w:name="_Toc184793104"/>
      <w:bookmarkStart w:id="136" w:name="_Toc184800851"/>
      <w:bookmarkStart w:id="137" w:name="_Toc185751223"/>
      <w:bookmarkStart w:id="138" w:name="_Toc188262391"/>
      <w:bookmarkStart w:id="139" w:name="_Toc199838245"/>
      <w:bookmarkStart w:id="140" w:name="_Toc215039822"/>
      <w:bookmarkStart w:id="141" w:name="_Toc218487678"/>
      <w:bookmarkStart w:id="142" w:name="_Toc230679687"/>
      <w:bookmarkStart w:id="143" w:name="_Toc230679744"/>
      <w:bookmarkStart w:id="144" w:name="_Toc230749116"/>
      <w:bookmarkStart w:id="145" w:name="_Toc233801753"/>
      <w:r>
        <w:rPr>
          <w:rStyle w:val="CharDivNo"/>
        </w:rPr>
        <w:t>Division 2</w:t>
      </w:r>
      <w:r>
        <w:t> — </w:t>
      </w:r>
      <w:r>
        <w:rPr>
          <w:rStyle w:val="CharDivText"/>
        </w:rPr>
        <w:t>Course fees</w:t>
      </w:r>
      <w:bookmarkEnd w:id="128"/>
      <w:bookmarkEnd w:id="129"/>
      <w:bookmarkEnd w:id="130"/>
      <w:bookmarkEnd w:id="131"/>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keepNext/>
        <w:keepLines/>
      </w:pPr>
      <w:r>
        <w:tab/>
        <w:t>[Heading inserted in Gazette 23 Dec 2005 p. 6247.]</w:t>
      </w:r>
    </w:p>
    <w:p>
      <w:pPr>
        <w:pStyle w:val="Heading5"/>
      </w:pPr>
      <w:bookmarkStart w:id="146" w:name="_Toc149030483"/>
      <w:bookmarkStart w:id="147" w:name="_Toc233801754"/>
      <w:r>
        <w:rPr>
          <w:rStyle w:val="CharSectno"/>
        </w:rPr>
        <w:t>12</w:t>
      </w:r>
      <w:r>
        <w:t>.</w:t>
      </w:r>
      <w:r>
        <w:tab/>
        <w:t>Course fees</w:t>
      </w:r>
      <w:bookmarkEnd w:id="146"/>
      <w:bookmarkEnd w:id="147"/>
    </w:p>
    <w:p>
      <w:pPr>
        <w:pStyle w:val="Subsection"/>
      </w:pPr>
      <w:r>
        <w:tab/>
        <w:t>(1)</w:t>
      </w:r>
      <w:r>
        <w:tab/>
        <w:t>Subject to regulations 13, 14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the person is enrolled in for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w:t>
      </w:r>
    </w:p>
    <w:p>
      <w:pPr>
        <w:pStyle w:val="Footnotesection"/>
      </w:pPr>
      <w:r>
        <w:tab/>
        <w:t>[Regulation 12 inserted in Gazette 23 Dec 2005 p. 6247-8; amended in Gazette 9 Nov 2007 p. 5608; 21 Nov 2008 p. 4921; 31 Dec 2008 p. 5681; 26 Jun 2009 p. 2566.]</w:t>
      </w:r>
    </w:p>
    <w:p>
      <w:pPr>
        <w:pStyle w:val="Heading5"/>
      </w:pPr>
      <w:bookmarkStart w:id="148" w:name="_Toc233801755"/>
      <w:r>
        <w:rPr>
          <w:rStyle w:val="CharSectno"/>
        </w:rPr>
        <w:t>13</w:t>
      </w:r>
      <w:r>
        <w:t>.</w:t>
      </w:r>
      <w:r>
        <w:tab/>
        <w:t>Courses exempt from course fees</w:t>
      </w:r>
      <w:bookmarkEnd w:id="148"/>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Heading5"/>
      </w:pPr>
      <w:bookmarkStart w:id="149" w:name="_Toc233801756"/>
      <w:r>
        <w:rPr>
          <w:rStyle w:val="CharSectno"/>
        </w:rPr>
        <w:t>14</w:t>
      </w:r>
      <w:r>
        <w:t>.</w:t>
      </w:r>
      <w:r>
        <w:tab/>
        <w:t>Unemployed persons exempt from course fees</w:t>
      </w:r>
      <w:bookmarkEnd w:id="149"/>
    </w:p>
    <w:p>
      <w:pPr>
        <w:pStyle w:val="Subsection"/>
      </w:pPr>
      <w:r>
        <w:tab/>
        <w:t>(1)</w:t>
      </w:r>
      <w:r>
        <w:tab/>
        <w:t xml:space="preserve">In this regulation —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 </w:t>
      </w:r>
    </w:p>
    <w:p>
      <w:pPr>
        <w:pStyle w:val="Defpara"/>
      </w:pPr>
      <w:r>
        <w:tab/>
        <w:t>(a)</w:t>
      </w:r>
      <w:r>
        <w:tab/>
        <w:t>a Health Care Card issued by Centrelink that identifies the person as being in receipt of the Newstart Allowance; or</w:t>
      </w:r>
    </w:p>
    <w:p>
      <w:pPr>
        <w:pStyle w:val="Defpara"/>
      </w:pPr>
      <w:r>
        <w:tab/>
        <w:t>(b)</w:t>
      </w:r>
      <w:r>
        <w:tab/>
        <w:t>a Health Care Card issued by Centrelink that identifies the person as being in receipt of the Youth Allowance — Jobseeker;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course fee is payable by an unemployed person for a category A course.</w:t>
      </w:r>
    </w:p>
    <w:p>
      <w:pPr>
        <w:pStyle w:val="Subsection"/>
      </w:pPr>
      <w:r>
        <w:tab/>
        <w:t>(3)</w:t>
      </w:r>
      <w:r>
        <w:tab/>
        <w:t xml:space="preserve">Subregulation (2) does not apply if the unemployed person was —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pPr>
      <w:r>
        <w:tab/>
        <w:t>[Regulation 14 inserted in Gazette 26Jun 2009 p. 2566</w:t>
      </w:r>
      <w:r>
        <w:noBreakHyphen/>
        <w:t>7.]</w:t>
      </w:r>
    </w:p>
    <w:p>
      <w:pPr>
        <w:pStyle w:val="Ednotesection"/>
      </w:pPr>
      <w:r>
        <w:t>[</w:t>
      </w:r>
      <w:r>
        <w:rPr>
          <w:b/>
          <w:bCs/>
        </w:rPr>
        <w:t>15.</w:t>
      </w:r>
      <w:r>
        <w:rPr>
          <w:b/>
          <w:bCs/>
        </w:rPr>
        <w:tab/>
      </w:r>
      <w:r>
        <w:t>Deleted in Gazette 23 Dec 2005 p. 6247.]</w:t>
      </w:r>
    </w:p>
    <w:p>
      <w:pPr>
        <w:pStyle w:val="Heading5"/>
      </w:pPr>
      <w:bookmarkStart w:id="150" w:name="_Toc149030484"/>
      <w:bookmarkStart w:id="151" w:name="_Toc233801757"/>
      <w:r>
        <w:rPr>
          <w:rStyle w:val="CharSectno"/>
        </w:rPr>
        <w:t>15A</w:t>
      </w:r>
      <w:r>
        <w:t>.</w:t>
      </w:r>
      <w:r>
        <w:tab/>
        <w:t>Course fees for overseas students</w:t>
      </w:r>
      <w:bookmarkEnd w:id="132"/>
      <w:bookmarkEnd w:id="133"/>
      <w:bookmarkEnd w:id="150"/>
      <w:bookmarkEnd w:id="15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52" w:name="_Toc84738992"/>
      <w:bookmarkStart w:id="153" w:name="_Toc84740227"/>
      <w:bookmarkStart w:id="154" w:name="_Toc90177056"/>
      <w:bookmarkStart w:id="155" w:name="_Toc123101476"/>
      <w:bookmarkStart w:id="156" w:name="_Toc149030485"/>
      <w:bookmarkStart w:id="157" w:name="_Toc149036918"/>
      <w:bookmarkStart w:id="158" w:name="_Toc152144631"/>
      <w:bookmarkStart w:id="159" w:name="_Toc182378673"/>
      <w:bookmarkStart w:id="160" w:name="_Toc184793107"/>
      <w:bookmarkStart w:id="161" w:name="_Toc184800854"/>
      <w:bookmarkStart w:id="162" w:name="_Toc185751226"/>
      <w:bookmarkStart w:id="163" w:name="_Toc188262394"/>
      <w:bookmarkStart w:id="164" w:name="_Toc199838248"/>
      <w:bookmarkStart w:id="165" w:name="_Toc215039825"/>
      <w:bookmarkStart w:id="166" w:name="_Toc218487682"/>
      <w:bookmarkStart w:id="167" w:name="_Toc230679691"/>
      <w:bookmarkStart w:id="168" w:name="_Toc230679748"/>
      <w:bookmarkStart w:id="169" w:name="_Toc230749120"/>
      <w:bookmarkStart w:id="170" w:name="_Toc233801758"/>
      <w:r>
        <w:rPr>
          <w:rStyle w:val="CharDivNo"/>
        </w:rPr>
        <w:t>Division 3</w:t>
      </w:r>
      <w:r>
        <w:rPr>
          <w:snapToGrid w:val="0"/>
        </w:rPr>
        <w:t> — </w:t>
      </w:r>
      <w:r>
        <w:rPr>
          <w:rStyle w:val="CharDivText"/>
        </w:rPr>
        <w:t>Other 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67309269"/>
      <w:bookmarkStart w:id="172" w:name="_Toc57799437"/>
      <w:bookmarkStart w:id="173" w:name="_Toc149030486"/>
      <w:bookmarkStart w:id="174" w:name="_Toc233801759"/>
      <w:r>
        <w:rPr>
          <w:rStyle w:val="CharSectno"/>
        </w:rPr>
        <w:t>16</w:t>
      </w:r>
      <w:r>
        <w:rPr>
          <w:snapToGrid w:val="0"/>
        </w:rPr>
        <w:t>.</w:t>
      </w:r>
      <w:r>
        <w:rPr>
          <w:snapToGrid w:val="0"/>
        </w:rPr>
        <w:tab/>
        <w:t>Colleges may determine other fees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175" w:name="_Toc84738995"/>
      <w:bookmarkStart w:id="176" w:name="_Toc84740230"/>
      <w:bookmarkStart w:id="177" w:name="_Toc90177059"/>
      <w:bookmarkStart w:id="178" w:name="_Toc123101479"/>
      <w:bookmarkStart w:id="179" w:name="_Toc149030489"/>
      <w:bookmarkStart w:id="180" w:name="_Toc149036922"/>
      <w:bookmarkStart w:id="181" w:name="_Toc152144635"/>
      <w:bookmarkStart w:id="182" w:name="_Toc182378677"/>
      <w:bookmarkStart w:id="183" w:name="_Toc184793111"/>
      <w:bookmarkStart w:id="184" w:name="_Toc184800858"/>
      <w:bookmarkStart w:id="185" w:name="_Toc185751230"/>
      <w:bookmarkStart w:id="186" w:name="_Toc188262398"/>
      <w:bookmarkStart w:id="187" w:name="_Toc199838252"/>
      <w:bookmarkStart w:id="188" w:name="_Toc215039829"/>
      <w:bookmarkStart w:id="189" w:name="_Toc218487686"/>
      <w:bookmarkStart w:id="190" w:name="_Toc230679695"/>
      <w:bookmarkStart w:id="191" w:name="_Toc230679752"/>
      <w:bookmarkStart w:id="192" w:name="_Toc230749122"/>
      <w:bookmarkStart w:id="193" w:name="_Toc233801760"/>
      <w:r>
        <w:rPr>
          <w:rStyle w:val="CharPartNo"/>
        </w:rPr>
        <w:t>Part 4</w:t>
      </w:r>
      <w:r>
        <w:rPr>
          <w:rStyle w:val="CharDivNo"/>
        </w:rPr>
        <w:t> </w:t>
      </w:r>
      <w:r>
        <w:t>—</w:t>
      </w:r>
      <w:r>
        <w:rPr>
          <w:rStyle w:val="CharDivText"/>
        </w:rPr>
        <w:t> </w:t>
      </w:r>
      <w:r>
        <w:rPr>
          <w:rStyle w:val="CharPartText"/>
        </w:rPr>
        <w:t>Enrolment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spacing w:before="120"/>
        <w:rPr>
          <w:snapToGrid w:val="0"/>
        </w:rPr>
      </w:pPr>
      <w:bookmarkStart w:id="194" w:name="_Toc467309271"/>
      <w:bookmarkStart w:id="195" w:name="_Toc57799439"/>
      <w:bookmarkStart w:id="196" w:name="_Toc149030490"/>
      <w:bookmarkStart w:id="197" w:name="_Toc233801761"/>
      <w:r>
        <w:rPr>
          <w:rStyle w:val="CharSectno"/>
        </w:rPr>
        <w:t>17</w:t>
      </w:r>
      <w:r>
        <w:rPr>
          <w:snapToGrid w:val="0"/>
        </w:rPr>
        <w:t>.</w:t>
      </w:r>
      <w:r>
        <w:rPr>
          <w:snapToGrid w:val="0"/>
        </w:rPr>
        <w:tab/>
        <w:t>Enrolment</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98" w:name="_Toc467309272"/>
      <w:bookmarkStart w:id="199" w:name="_Toc57799440"/>
      <w:bookmarkStart w:id="200" w:name="_Toc149030491"/>
      <w:bookmarkStart w:id="201" w:name="_Toc233801762"/>
      <w:r>
        <w:rPr>
          <w:rStyle w:val="CharSectno"/>
        </w:rPr>
        <w:t>18</w:t>
      </w:r>
      <w:r>
        <w:rPr>
          <w:snapToGrid w:val="0"/>
        </w:rPr>
        <w:t>.</w:t>
      </w:r>
      <w:r>
        <w:rPr>
          <w:snapToGrid w:val="0"/>
        </w:rPr>
        <w:tab/>
        <w:t>When enrolment may be refused</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02" w:name="_Toc84738999"/>
      <w:bookmarkStart w:id="203" w:name="_Toc84740234"/>
      <w:bookmarkStart w:id="204" w:name="_Toc90177063"/>
      <w:bookmarkStart w:id="205" w:name="_Toc123101483"/>
      <w:bookmarkStart w:id="206" w:name="_Toc149030493"/>
      <w:bookmarkStart w:id="207" w:name="_Toc149036926"/>
      <w:bookmarkStart w:id="208" w:name="_Toc152144639"/>
      <w:r>
        <w:t>[</w:t>
      </w:r>
      <w:r>
        <w:rPr>
          <w:b/>
          <w:bCs/>
        </w:rPr>
        <w:t>19.</w:t>
      </w:r>
      <w:r>
        <w:tab/>
        <w:t>Deleted in Gazette 9 Nov 2007 p. 5608.]</w:t>
      </w:r>
    </w:p>
    <w:p>
      <w:pPr>
        <w:pStyle w:val="Heading2"/>
      </w:pPr>
      <w:bookmarkStart w:id="209" w:name="_Toc182378680"/>
      <w:bookmarkStart w:id="210" w:name="_Toc184793114"/>
      <w:bookmarkStart w:id="211" w:name="_Toc184800861"/>
      <w:bookmarkStart w:id="212" w:name="_Toc185751233"/>
      <w:bookmarkStart w:id="213" w:name="_Toc188262401"/>
      <w:bookmarkStart w:id="214" w:name="_Toc199838255"/>
      <w:bookmarkStart w:id="215" w:name="_Toc215039832"/>
      <w:bookmarkStart w:id="216" w:name="_Toc218487689"/>
      <w:bookmarkStart w:id="217" w:name="_Toc230679698"/>
      <w:bookmarkStart w:id="218" w:name="_Toc230679755"/>
      <w:bookmarkStart w:id="219" w:name="_Toc230749125"/>
      <w:bookmarkStart w:id="220" w:name="_Toc233801763"/>
      <w:r>
        <w:rPr>
          <w:rStyle w:val="CharPartNo"/>
        </w:rPr>
        <w:t>Part 5</w:t>
      </w:r>
      <w:r>
        <w:t> — </w:t>
      </w:r>
      <w:r>
        <w:rPr>
          <w:rStyle w:val="CharPartText"/>
        </w:rPr>
        <w:t>Fee concessions, exemptions etc.</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3"/>
        <w:rPr>
          <w:snapToGrid w:val="0"/>
        </w:rPr>
      </w:pPr>
      <w:bookmarkStart w:id="221" w:name="_Toc84739000"/>
      <w:bookmarkStart w:id="222" w:name="_Toc84740235"/>
      <w:bookmarkStart w:id="223" w:name="_Toc90177064"/>
      <w:bookmarkStart w:id="224" w:name="_Toc123101484"/>
      <w:bookmarkStart w:id="225" w:name="_Toc149030494"/>
      <w:bookmarkStart w:id="226" w:name="_Toc149036927"/>
      <w:bookmarkStart w:id="227" w:name="_Toc152144640"/>
      <w:bookmarkStart w:id="228" w:name="_Toc182378681"/>
      <w:bookmarkStart w:id="229" w:name="_Toc184793115"/>
      <w:bookmarkStart w:id="230" w:name="_Toc184800862"/>
      <w:bookmarkStart w:id="231" w:name="_Toc185751234"/>
      <w:bookmarkStart w:id="232" w:name="_Toc188262402"/>
      <w:bookmarkStart w:id="233" w:name="_Toc199838256"/>
      <w:bookmarkStart w:id="234" w:name="_Toc215039833"/>
      <w:bookmarkStart w:id="235" w:name="_Toc218487690"/>
      <w:bookmarkStart w:id="236" w:name="_Toc230679699"/>
      <w:bookmarkStart w:id="237" w:name="_Toc230679756"/>
      <w:bookmarkStart w:id="238" w:name="_Toc230749126"/>
      <w:bookmarkStart w:id="239" w:name="_Toc233801764"/>
      <w:r>
        <w:rPr>
          <w:rStyle w:val="CharDivNo"/>
        </w:rPr>
        <w:t>Division 1</w:t>
      </w:r>
      <w:r>
        <w:rPr>
          <w:snapToGrid w:val="0"/>
        </w:rPr>
        <w:t> — </w:t>
      </w:r>
      <w:r>
        <w:rPr>
          <w:rStyle w:val="CharDivText"/>
        </w:rPr>
        <w:t>Concessional rates of fees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467309274"/>
      <w:bookmarkStart w:id="241" w:name="_Toc57799442"/>
      <w:bookmarkStart w:id="242" w:name="_Toc149030495"/>
      <w:bookmarkStart w:id="243" w:name="_Toc233801765"/>
      <w:r>
        <w:rPr>
          <w:rStyle w:val="CharSectno"/>
        </w:rPr>
        <w:t>20</w:t>
      </w:r>
      <w:r>
        <w:rPr>
          <w:snapToGrid w:val="0"/>
        </w:rPr>
        <w:t>.</w:t>
      </w:r>
      <w:r>
        <w:rPr>
          <w:snapToGrid w:val="0"/>
        </w:rPr>
        <w:tab/>
        <w:t xml:space="preserve">Persons entitled to concessional rate of </w:t>
      </w:r>
      <w:bookmarkEnd w:id="240"/>
      <w:bookmarkEnd w:id="241"/>
      <w:r>
        <w:rPr>
          <w:snapToGrid w:val="0"/>
        </w:rPr>
        <w:t>course fee</w:t>
      </w:r>
      <w:bookmarkEnd w:id="242"/>
      <w:bookmarkEnd w:id="2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44" w:name="_Toc467309275"/>
      <w:bookmarkStart w:id="245" w:name="_Toc57799443"/>
      <w:bookmarkStart w:id="246" w:name="_Toc149030496"/>
      <w:bookmarkStart w:id="247" w:name="_Toc233801766"/>
      <w:r>
        <w:rPr>
          <w:rStyle w:val="CharSectno"/>
        </w:rPr>
        <w:t>21</w:t>
      </w:r>
      <w:r>
        <w:rPr>
          <w:snapToGrid w:val="0"/>
        </w:rPr>
        <w:t>.</w:t>
      </w:r>
      <w:r>
        <w:rPr>
          <w:snapToGrid w:val="0"/>
        </w:rPr>
        <w:tab/>
        <w:t>Concessional rate may be allowed for vocational courses in cases of financial hardship</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48" w:name="_Toc84739003"/>
      <w:bookmarkStart w:id="249" w:name="_Toc84740238"/>
      <w:bookmarkStart w:id="250" w:name="_Toc90177067"/>
      <w:bookmarkStart w:id="251" w:name="_Toc123101487"/>
      <w:bookmarkStart w:id="252" w:name="_Toc149030497"/>
      <w:bookmarkStart w:id="253" w:name="_Toc149036930"/>
      <w:bookmarkStart w:id="254" w:name="_Toc152144643"/>
      <w:bookmarkStart w:id="255" w:name="_Toc182378684"/>
      <w:bookmarkStart w:id="256" w:name="_Toc184793118"/>
      <w:bookmarkStart w:id="257" w:name="_Toc184800865"/>
      <w:bookmarkStart w:id="258" w:name="_Toc185751237"/>
      <w:bookmarkStart w:id="259" w:name="_Toc188262405"/>
      <w:bookmarkStart w:id="260" w:name="_Toc199838259"/>
      <w:bookmarkStart w:id="261" w:name="_Toc215039836"/>
      <w:bookmarkStart w:id="262" w:name="_Toc218487693"/>
      <w:bookmarkStart w:id="263" w:name="_Toc230679702"/>
      <w:bookmarkStart w:id="264" w:name="_Toc230679759"/>
      <w:bookmarkStart w:id="265" w:name="_Toc230749129"/>
      <w:bookmarkStart w:id="266" w:name="_Toc233801767"/>
      <w:r>
        <w:rPr>
          <w:rStyle w:val="CharDivNo"/>
        </w:rPr>
        <w:t>Division 2</w:t>
      </w:r>
      <w:r>
        <w:rPr>
          <w:snapToGrid w:val="0"/>
        </w:rPr>
        <w:t> — </w:t>
      </w:r>
      <w:r>
        <w:rPr>
          <w:rStyle w:val="CharDivText"/>
        </w:rPr>
        <w:t>Other fee relief</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spacing w:before="140"/>
        <w:rPr>
          <w:snapToGrid w:val="0"/>
        </w:rPr>
      </w:pPr>
      <w:bookmarkStart w:id="267" w:name="_Toc467309276"/>
      <w:bookmarkStart w:id="268" w:name="_Toc57799444"/>
      <w:bookmarkStart w:id="269" w:name="_Toc149030498"/>
      <w:bookmarkStart w:id="270" w:name="_Toc233801768"/>
      <w:r>
        <w:rPr>
          <w:rStyle w:val="CharSectno"/>
        </w:rPr>
        <w:t>22</w:t>
      </w:r>
      <w:r>
        <w:rPr>
          <w:snapToGrid w:val="0"/>
        </w:rPr>
        <w:t>.</w:t>
      </w:r>
      <w:r>
        <w:rPr>
          <w:snapToGrid w:val="0"/>
        </w:rPr>
        <w:tab/>
        <w:t>Payment of certain fees by instalments may be allowed in cases of financial hardship</w:t>
      </w:r>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71" w:name="_Toc467309277"/>
      <w:bookmarkStart w:id="272" w:name="_Toc57799445"/>
      <w:bookmarkStart w:id="273" w:name="_Toc149030499"/>
      <w:bookmarkStart w:id="274" w:name="_Toc233801769"/>
      <w:r>
        <w:rPr>
          <w:rStyle w:val="CharSectno"/>
        </w:rPr>
        <w:t>23</w:t>
      </w:r>
      <w:r>
        <w:rPr>
          <w:snapToGrid w:val="0"/>
        </w:rPr>
        <w:t>.</w:t>
      </w:r>
      <w:r>
        <w:rPr>
          <w:snapToGrid w:val="0"/>
        </w:rPr>
        <w:tab/>
        <w:t>Exemption from fees in cases of severe financial hardship</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75" w:name="_Toc467309278"/>
      <w:bookmarkStart w:id="276" w:name="_Toc57799446"/>
      <w:bookmarkStart w:id="277" w:name="_Toc149030500"/>
      <w:bookmarkStart w:id="278" w:name="_Toc233801770"/>
      <w:r>
        <w:rPr>
          <w:rStyle w:val="CharSectno"/>
        </w:rPr>
        <w:t>24</w:t>
      </w:r>
      <w:r>
        <w:rPr>
          <w:snapToGrid w:val="0"/>
        </w:rPr>
        <w:t>.</w:t>
      </w:r>
      <w:r>
        <w:rPr>
          <w:snapToGrid w:val="0"/>
        </w:rPr>
        <w:tab/>
        <w:t>Refund of fees on cancellation etc. of course</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79" w:name="_Toc467309279"/>
      <w:r>
        <w:tab/>
        <w:t>[Regulation 24 amended in Gazette 29 Nov 2002 p. 5668; 23 Dec 2005 p. 6249.]</w:t>
      </w:r>
    </w:p>
    <w:p>
      <w:pPr>
        <w:pStyle w:val="Heading5"/>
        <w:rPr>
          <w:snapToGrid w:val="0"/>
        </w:rPr>
      </w:pPr>
      <w:bookmarkStart w:id="280" w:name="_Toc57799447"/>
      <w:bookmarkStart w:id="281" w:name="_Toc149030501"/>
      <w:bookmarkStart w:id="282" w:name="_Toc233801771"/>
      <w:r>
        <w:rPr>
          <w:rStyle w:val="CharSectno"/>
        </w:rPr>
        <w:t>25</w:t>
      </w:r>
      <w:r>
        <w:rPr>
          <w:snapToGrid w:val="0"/>
        </w:rPr>
        <w:t>.</w:t>
      </w:r>
      <w:r>
        <w:rPr>
          <w:snapToGrid w:val="0"/>
        </w:rPr>
        <w:tab/>
        <w:t>Full refund of course fee on withdrawal within specified period</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83" w:name="_Toc467309280"/>
      <w:r>
        <w:tab/>
        <w:t>[Regulation 25 amended in Gazette 29 Nov 2002 p. 5668; 23 Dec 2005 p. 6249.]</w:t>
      </w:r>
    </w:p>
    <w:p>
      <w:pPr>
        <w:pStyle w:val="Heading5"/>
        <w:rPr>
          <w:snapToGrid w:val="0"/>
        </w:rPr>
      </w:pPr>
      <w:bookmarkStart w:id="284" w:name="_Toc57799448"/>
      <w:bookmarkStart w:id="285" w:name="_Toc149030502"/>
      <w:bookmarkStart w:id="286" w:name="_Toc233801772"/>
      <w:r>
        <w:rPr>
          <w:rStyle w:val="CharSectno"/>
        </w:rPr>
        <w:t>26</w:t>
      </w:r>
      <w:r>
        <w:rPr>
          <w:snapToGrid w:val="0"/>
        </w:rPr>
        <w:t>.</w:t>
      </w:r>
      <w:r>
        <w:rPr>
          <w:snapToGrid w:val="0"/>
        </w:rPr>
        <w:tab/>
        <w:t>Pro rata refund of course fee on withdrawal</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87" w:name="_Toc57799449"/>
      <w:bookmarkStart w:id="288" w:name="_Toc149030503"/>
      <w:bookmarkStart w:id="289" w:name="_Toc233801773"/>
      <w:r>
        <w:rPr>
          <w:rStyle w:val="CharSectno"/>
        </w:rPr>
        <w:t>26A</w:t>
      </w:r>
      <w:r>
        <w:t>.</w:t>
      </w:r>
      <w:r>
        <w:tab/>
        <w:t>Discretionary refund of fees for category D courses</w:t>
      </w:r>
      <w:bookmarkEnd w:id="287"/>
      <w:bookmarkEnd w:id="288"/>
      <w:bookmarkEnd w:id="289"/>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90" w:name="_Toc84739010"/>
      <w:bookmarkStart w:id="291" w:name="_Toc84740245"/>
      <w:bookmarkStart w:id="292" w:name="_Toc90177074"/>
      <w:bookmarkStart w:id="293" w:name="_Toc123101494"/>
      <w:bookmarkStart w:id="294" w:name="_Toc149030504"/>
      <w:bookmarkStart w:id="295" w:name="_Toc149036937"/>
      <w:bookmarkStart w:id="296" w:name="_Toc152144650"/>
      <w:bookmarkStart w:id="297" w:name="_Toc182378691"/>
      <w:bookmarkStart w:id="298" w:name="_Toc184793125"/>
      <w:bookmarkStart w:id="299" w:name="_Toc184800872"/>
      <w:bookmarkStart w:id="300" w:name="_Toc185751244"/>
      <w:bookmarkStart w:id="301" w:name="_Toc188262412"/>
      <w:bookmarkStart w:id="302" w:name="_Toc199838266"/>
      <w:bookmarkStart w:id="303" w:name="_Toc215039843"/>
      <w:bookmarkStart w:id="304" w:name="_Toc218487700"/>
      <w:bookmarkStart w:id="305" w:name="_Toc230679709"/>
      <w:bookmarkStart w:id="306" w:name="_Toc230679766"/>
      <w:bookmarkStart w:id="307" w:name="_Toc230749136"/>
      <w:bookmarkStart w:id="308" w:name="_Toc233801774"/>
      <w:r>
        <w:rPr>
          <w:rStyle w:val="CharPartNo"/>
        </w:rPr>
        <w:t>Part 6</w:t>
      </w:r>
      <w:r>
        <w:rPr>
          <w:rStyle w:val="CharDivNo"/>
        </w:rPr>
        <w:t> </w:t>
      </w:r>
      <w:r>
        <w:t>—</w:t>
      </w:r>
      <w:r>
        <w:rPr>
          <w:rStyle w:val="CharDivText"/>
        </w:rPr>
        <w:t> </w:t>
      </w:r>
      <w:r>
        <w:rPr>
          <w:rStyle w:val="CharPartText"/>
        </w:rPr>
        <w:t>Common seals of colleges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spacing w:before="180"/>
        <w:rPr>
          <w:snapToGrid w:val="0"/>
        </w:rPr>
      </w:pPr>
      <w:bookmarkStart w:id="309" w:name="_Toc467309281"/>
      <w:bookmarkStart w:id="310" w:name="_Toc57799450"/>
      <w:bookmarkStart w:id="311" w:name="_Toc149030505"/>
      <w:bookmarkStart w:id="312" w:name="_Toc233801775"/>
      <w:r>
        <w:rPr>
          <w:rStyle w:val="CharSectno"/>
        </w:rPr>
        <w:t>27</w:t>
      </w:r>
      <w:r>
        <w:rPr>
          <w:snapToGrid w:val="0"/>
        </w:rPr>
        <w:t>.</w:t>
      </w:r>
      <w:r>
        <w:rPr>
          <w:snapToGrid w:val="0"/>
        </w:rPr>
        <w:tab/>
        <w:t>Form</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313" w:name="_Toc467309282"/>
      <w:bookmarkStart w:id="314" w:name="_Toc57799451"/>
      <w:bookmarkStart w:id="315" w:name="_Toc149030506"/>
      <w:bookmarkStart w:id="316" w:name="_Toc233801776"/>
      <w:r>
        <w:rPr>
          <w:rStyle w:val="CharSectno"/>
        </w:rPr>
        <w:t>28</w:t>
      </w:r>
      <w:r>
        <w:rPr>
          <w:snapToGrid w:val="0"/>
        </w:rPr>
        <w:t>.</w:t>
      </w:r>
      <w:r>
        <w:rPr>
          <w:snapToGrid w:val="0"/>
        </w:rPr>
        <w:tab/>
        <w:t>Custody</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17" w:name="_Toc467309283"/>
      <w:bookmarkStart w:id="318" w:name="_Toc57799452"/>
      <w:bookmarkStart w:id="319" w:name="_Toc149030507"/>
      <w:bookmarkStart w:id="320" w:name="_Toc233801777"/>
      <w:r>
        <w:rPr>
          <w:rStyle w:val="CharSectno"/>
        </w:rPr>
        <w:t>29</w:t>
      </w:r>
      <w:r>
        <w:rPr>
          <w:snapToGrid w:val="0"/>
        </w:rPr>
        <w:t>.</w:t>
      </w:r>
      <w:r>
        <w:rPr>
          <w:snapToGrid w:val="0"/>
        </w:rPr>
        <w:tab/>
        <w:t>Use</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21" w:name="_Toc467309284"/>
      <w:bookmarkStart w:id="322" w:name="_Toc57799453"/>
      <w:bookmarkStart w:id="323" w:name="_Toc149030508"/>
      <w:bookmarkStart w:id="324" w:name="_Toc233801778"/>
      <w:r>
        <w:rPr>
          <w:rStyle w:val="CharSectno"/>
        </w:rPr>
        <w:t>30</w:t>
      </w:r>
      <w:r>
        <w:rPr>
          <w:snapToGrid w:val="0"/>
        </w:rPr>
        <w:t>.</w:t>
      </w:r>
      <w:r>
        <w:rPr>
          <w:snapToGrid w:val="0"/>
        </w:rPr>
        <w:tab/>
        <w:t>Attestation</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25" w:name="_Toc467309285"/>
      <w:bookmarkStart w:id="326" w:name="_Toc57799454"/>
      <w:bookmarkStart w:id="327" w:name="_Toc149030509"/>
      <w:bookmarkStart w:id="328" w:name="_Toc233801779"/>
      <w:r>
        <w:rPr>
          <w:rStyle w:val="CharSectno"/>
        </w:rPr>
        <w:t>31</w:t>
      </w:r>
      <w:r>
        <w:rPr>
          <w:snapToGrid w:val="0"/>
        </w:rPr>
        <w:t>.</w:t>
      </w:r>
      <w:r>
        <w:rPr>
          <w:snapToGrid w:val="0"/>
        </w:rPr>
        <w:tab/>
        <w:t>Seal book</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Ednotepart"/>
      </w:pPr>
      <w:r>
        <w:t>[Part 7 deleted in Gazette 22 May 2009 p. 1694.]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9" w:name="_Toc233801780"/>
      <w:r>
        <w:rPr>
          <w:rStyle w:val="CharSchNo"/>
        </w:rPr>
        <w:t>Schedule 1</w:t>
      </w:r>
      <w:r>
        <w:t> — </w:t>
      </w:r>
      <w:r>
        <w:rPr>
          <w:rStyle w:val="CharSchText"/>
        </w:rPr>
        <w:t>Fees</w:t>
      </w:r>
      <w:bookmarkEnd w:id="329"/>
    </w:p>
    <w:p>
      <w:pPr>
        <w:pStyle w:val="yShoulderClause"/>
      </w:pPr>
      <w:r>
        <w:t>[r. 9 and 12]</w:t>
      </w:r>
    </w:p>
    <w:p>
      <w:pPr>
        <w:pStyle w:val="yFootnoteheading"/>
        <w:spacing w:after="60"/>
      </w:pPr>
      <w:r>
        <w:tab/>
        <w:t>[Heading inserted in Gazette 26 Jun 2009 p. 2567.]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jc w:val="center"/>
              <w:rPr>
                <w:b/>
                <w:bCs/>
              </w:rPr>
            </w:pPr>
            <w:r>
              <w:rPr>
                <w:b/>
                <w:bCs/>
              </w:rPr>
              <w:t>Item</w:t>
            </w:r>
          </w:p>
        </w:tc>
        <w:tc>
          <w:tcPr>
            <w:tcW w:w="4394" w:type="dxa"/>
          </w:tcPr>
          <w:p>
            <w:pPr>
              <w:pStyle w:val="yTableNAm"/>
              <w:jc w:val="center"/>
              <w:rPr>
                <w:b/>
                <w:bCs/>
              </w:rPr>
            </w:pPr>
            <w:r>
              <w:rPr>
                <w:b/>
                <w:bCs/>
              </w:rPr>
              <w:t>Fee for</w:t>
            </w:r>
          </w:p>
        </w:tc>
        <w:tc>
          <w:tcPr>
            <w:tcW w:w="992" w:type="dxa"/>
          </w:tcPr>
          <w:p>
            <w:pPr>
              <w:pStyle w:val="yTableNAm"/>
              <w:jc w:val="center"/>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pPr>
            <w:r>
              <w:t>Late application (r. 9(2))</w:t>
            </w:r>
          </w:p>
        </w:tc>
        <w:tc>
          <w:tcPr>
            <w:tcW w:w="992" w:type="dxa"/>
            <w:tcBorders>
              <w:bottom w:val="single" w:sz="4" w:space="0" w:color="auto"/>
            </w:tcBorders>
          </w:tcPr>
          <w:p>
            <w:pPr>
              <w:pStyle w:val="yTableNAm"/>
              <w:tabs>
                <w:tab w:val="clear" w:pos="567"/>
              </w:tabs>
              <w:jc w:val="right"/>
            </w:pPr>
            <w:r>
              <w:t>75.00</w:t>
            </w:r>
          </w:p>
        </w:tc>
      </w:tr>
      <w:tr>
        <w:tc>
          <w:tcPr>
            <w:tcW w:w="851" w:type="dxa"/>
            <w:tcBorders>
              <w:bottom w:val="nil"/>
            </w:tcBorders>
          </w:tcPr>
          <w:p>
            <w:pPr>
              <w:pStyle w:val="yTableNAm"/>
            </w:pPr>
            <w:r>
              <w:t>2.</w:t>
            </w:r>
          </w:p>
        </w:tc>
        <w:tc>
          <w:tcPr>
            <w:tcW w:w="4394" w:type="dxa"/>
            <w:tcBorders>
              <w:bottom w:val="nil"/>
            </w:tcBorders>
          </w:tcPr>
          <w:p>
            <w:pPr>
              <w:pStyle w:val="yTableNAm"/>
            </w:pPr>
            <w:r>
              <w:t>Category A course (r. 12(4))</w:t>
            </w:r>
          </w:p>
        </w:tc>
        <w:tc>
          <w:tcPr>
            <w:tcW w:w="992" w:type="dxa"/>
            <w:tcBorders>
              <w:bottom w:val="nil"/>
            </w:tcBorders>
          </w:tcPr>
          <w:p>
            <w:pPr>
              <w:pStyle w:val="yTableNAm"/>
              <w:tabs>
                <w:tab w:val="clear" w:pos="567"/>
              </w:tabs>
              <w:jc w:val="right"/>
            </w:pP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pPr>
            <w:r>
              <w:t>(a)</w:t>
            </w:r>
            <w:r>
              <w:tab/>
              <w:t>Unit per semester, for a person who is not a concessional student</w:t>
            </w:r>
            <w:r>
              <w:rPr>
                <w:vertAlign w:val="superscript"/>
              </w:rPr>
              <w:t>1</w:t>
            </w:r>
            <w:r>
              <w:t xml:space="preserve"> and is enrolled to undertake the unit —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992" w:type="dxa"/>
            <w:tcBorders>
              <w:top w:val="nil"/>
              <w:bottom w:val="nil"/>
            </w:tcBorders>
          </w:tcPr>
          <w:p>
            <w:pPr>
              <w:pStyle w:val="yTableNAm"/>
              <w:tabs>
                <w:tab w:val="clear" w:pos="567"/>
              </w:tabs>
              <w:jc w:val="right"/>
            </w:pPr>
            <w:r>
              <w:br/>
            </w:r>
            <w:r>
              <w:br/>
            </w:r>
          </w:p>
          <w:p>
            <w:pPr>
              <w:pStyle w:val="yTableNAm"/>
              <w:tabs>
                <w:tab w:val="clear" w:pos="567"/>
              </w:tabs>
              <w:jc w:val="right"/>
            </w:pPr>
            <w:r>
              <w:t>14.00</w:t>
            </w:r>
          </w:p>
          <w:p>
            <w:pPr>
              <w:pStyle w:val="yTableNAm"/>
              <w:tabs>
                <w:tab w:val="clear" w:pos="567"/>
              </w:tabs>
              <w:jc w:val="right"/>
            </w:pPr>
            <w:r>
              <w:t>31.00</w:t>
            </w:r>
          </w:p>
          <w:p>
            <w:pPr>
              <w:pStyle w:val="yTableNAm"/>
              <w:tabs>
                <w:tab w:val="clear" w:pos="567"/>
              </w:tabs>
              <w:jc w:val="right"/>
            </w:pPr>
            <w:r>
              <w:t>60.00</w:t>
            </w:r>
          </w:p>
          <w:p>
            <w:pPr>
              <w:pStyle w:val="yTableNAm"/>
              <w:tabs>
                <w:tab w:val="clear" w:pos="567"/>
              </w:tabs>
              <w:jc w:val="right"/>
            </w:pPr>
            <w:r>
              <w:t>124.00</w:t>
            </w: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pPr>
            <w:r>
              <w:t>(b)</w:t>
            </w:r>
            <w:r>
              <w:tab/>
              <w:t>Unit per semester, for a person who is a concessional student</w:t>
            </w:r>
            <w:r>
              <w:rPr>
                <w:vertAlign w:val="superscript"/>
              </w:rPr>
              <w:t>1</w:t>
            </w:r>
            <w:r>
              <w:t xml:space="preserve"> and is enrolled to undertake the unit —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992" w:type="dxa"/>
            <w:tcBorders>
              <w:top w:val="nil"/>
              <w:bottom w:val="nil"/>
            </w:tcBorders>
          </w:tcPr>
          <w:p>
            <w:pPr>
              <w:pStyle w:val="yTableNAm"/>
              <w:tabs>
                <w:tab w:val="clear" w:pos="567"/>
              </w:tabs>
              <w:jc w:val="right"/>
            </w:pP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pPr>
            <w:r>
              <w:t>(c)</w:t>
            </w:r>
            <w:r>
              <w:tab/>
              <w:t>Unit per semester, for a person who is not a concessional student</w:t>
            </w:r>
            <w:r>
              <w:rPr>
                <w:vertAlign w:val="superscript"/>
              </w:rPr>
              <w:t>1</w:t>
            </w:r>
            <w:r>
              <w:t xml:space="preserve"> and is enrolled for the purpose of assessment of skills and competency</w:t>
            </w:r>
            <w:r>
              <w:rPr>
                <w:vertAlign w:val="superscript"/>
              </w:rPr>
              <w:t>2</w:t>
            </w:r>
            <w:r>
              <w:t xml:space="preserve"> —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992" w:type="dxa"/>
            <w:tcBorders>
              <w:top w:val="nil"/>
              <w:bottom w:val="nil"/>
            </w:tcBorders>
          </w:tcPr>
          <w:p>
            <w:pPr>
              <w:pStyle w:val="yTableNAm"/>
              <w:tabs>
                <w:tab w:val="clear" w:pos="567"/>
              </w:tabs>
              <w:jc w:val="right"/>
            </w:pPr>
            <w:r>
              <w:br/>
            </w: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pPr>
            <w:r>
              <w:t>(d)</w:t>
            </w:r>
            <w:r>
              <w:tab/>
              <w:t>Unit per semester, for a person who is a concessional student</w:t>
            </w:r>
            <w:r>
              <w:rPr>
                <w:vertAlign w:val="superscript"/>
              </w:rPr>
              <w:t>1</w:t>
            </w:r>
            <w:r>
              <w:t xml:space="preserve"> and is enrolled for the purpose of an assessment of skills and competency</w:t>
            </w:r>
            <w:r>
              <w:rPr>
                <w:vertAlign w:val="superscript"/>
              </w:rPr>
              <w:t>2</w:t>
            </w:r>
            <w:r>
              <w:t xml:space="preserve"> —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992" w:type="dxa"/>
            <w:tcBorders>
              <w:top w:val="nil"/>
              <w:bottom w:val="nil"/>
            </w:tcBorders>
          </w:tcPr>
          <w:p>
            <w:pPr>
              <w:pStyle w:val="yTableNAm"/>
              <w:tabs>
                <w:tab w:val="clear" w:pos="567"/>
              </w:tabs>
              <w:jc w:val="right"/>
            </w:pPr>
            <w:r>
              <w:br/>
            </w:r>
            <w:r>
              <w:br/>
            </w:r>
            <w:r>
              <w:br/>
            </w:r>
          </w:p>
          <w:p>
            <w:pPr>
              <w:pStyle w:val="yTableNAm"/>
              <w:tabs>
                <w:tab w:val="clear" w:pos="567"/>
              </w:tabs>
              <w:jc w:val="right"/>
            </w:pPr>
            <w:r>
              <w:t>3.50</w:t>
            </w:r>
          </w:p>
          <w:p>
            <w:pPr>
              <w:pStyle w:val="yTableNAm"/>
              <w:tabs>
                <w:tab w:val="clear" w:pos="567"/>
              </w:tabs>
              <w:jc w:val="right"/>
            </w:pPr>
            <w:r>
              <w:t>7.75</w:t>
            </w:r>
          </w:p>
          <w:p>
            <w:pPr>
              <w:pStyle w:val="yTableNAm"/>
              <w:tabs>
                <w:tab w:val="clear" w:pos="567"/>
              </w:tabs>
              <w:jc w:val="right"/>
            </w:pPr>
            <w:r>
              <w:t>15.00</w:t>
            </w:r>
          </w:p>
          <w:p>
            <w:pPr>
              <w:pStyle w:val="yTableNAm"/>
              <w:tabs>
                <w:tab w:val="clear" w:pos="567"/>
              </w:tabs>
              <w:jc w:val="right"/>
            </w:pPr>
            <w:r>
              <w:t>31.00</w:t>
            </w:r>
          </w:p>
        </w:tc>
      </w:tr>
      <w:tr>
        <w:tc>
          <w:tcPr>
            <w:tcW w:w="851" w:type="dxa"/>
          </w:tcPr>
          <w:p>
            <w:pPr>
              <w:pStyle w:val="yTableNAm"/>
            </w:pPr>
            <w:r>
              <w:t>3.</w:t>
            </w:r>
          </w:p>
        </w:tc>
        <w:tc>
          <w:tcPr>
            <w:tcW w:w="4394" w:type="dxa"/>
          </w:tcPr>
          <w:p>
            <w:pPr>
              <w:pStyle w:val="yTableNAm"/>
              <w:tabs>
                <w:tab w:val="left" w:pos="3732"/>
                <w:tab w:val="left" w:pos="4092"/>
              </w:tabs>
            </w:pPr>
            <w:r>
              <w:t>Category B course, per semester (r. 12(1))</w:t>
            </w:r>
          </w:p>
        </w:tc>
        <w:tc>
          <w:tcPr>
            <w:tcW w:w="992" w:type="dxa"/>
          </w:tcPr>
          <w:p>
            <w:pPr>
              <w:pStyle w:val="yTableNAm"/>
              <w:tabs>
                <w:tab w:val="clear" w:pos="567"/>
              </w:tabs>
              <w:jc w:val="right"/>
            </w:pPr>
            <w:r>
              <w:t>25.00</w:t>
            </w:r>
          </w:p>
        </w:tc>
      </w:tr>
      <w:tr>
        <w:tc>
          <w:tcPr>
            <w:tcW w:w="851" w:type="dxa"/>
          </w:tcPr>
          <w:p>
            <w:pPr>
              <w:pStyle w:val="yTableNAm"/>
            </w:pPr>
            <w:r>
              <w:t>4.</w:t>
            </w:r>
          </w:p>
        </w:tc>
        <w:tc>
          <w:tcPr>
            <w:tcW w:w="4394" w:type="dxa"/>
          </w:tcPr>
          <w:p>
            <w:pPr>
              <w:pStyle w:val="yTableNAm"/>
              <w:tabs>
                <w:tab w:val="left" w:pos="3732"/>
                <w:tab w:val="left" w:pos="4092"/>
              </w:tabs>
            </w:pPr>
            <w:r>
              <w:t>Category C course, per hour or part of an hour, for the course (r. 12(1))</w:t>
            </w:r>
          </w:p>
        </w:tc>
        <w:tc>
          <w:tcPr>
            <w:tcW w:w="992" w:type="dxa"/>
          </w:tcPr>
          <w:p>
            <w:pPr>
              <w:pStyle w:val="yTableNAm"/>
              <w:tabs>
                <w:tab w:val="clear" w:pos="567"/>
              </w:tabs>
              <w:jc w:val="right"/>
            </w:pPr>
            <w:r>
              <w:br/>
              <w:t>4.15</w:t>
            </w:r>
          </w:p>
        </w:tc>
      </w:tr>
    </w:tbl>
    <w:p>
      <w:pPr>
        <w:pStyle w:val="yMiscellaneousBody"/>
        <w:tabs>
          <w:tab w:val="left" w:pos="720"/>
          <w:tab w:val="left" w:pos="1080"/>
        </w:tabs>
        <w:ind w:left="1080" w:hanging="1080"/>
      </w:pPr>
      <w:r>
        <w:rPr>
          <w:vertAlign w:val="superscript"/>
        </w:rPr>
        <w:tab/>
        <w:t>1</w:t>
      </w:r>
      <w:r>
        <w:tab/>
        <w:t>A concessional student is a person who is, under regulation 20(2) or 21, entitled to the concessional rate of course fee.</w:t>
      </w:r>
    </w:p>
    <w:p>
      <w:pPr>
        <w:pStyle w:val="yMiscellaneousBody"/>
        <w:tabs>
          <w:tab w:val="left" w:pos="720"/>
          <w:tab w:val="left" w:pos="1080"/>
        </w:tabs>
        <w:ind w:left="1080" w:hanging="1080"/>
      </w:pPr>
      <w:r>
        <w:rPr>
          <w:vertAlign w:val="superscript"/>
        </w:rPr>
        <w:tab/>
        <w:t>2</w:t>
      </w:r>
      <w:r>
        <w:tab/>
        <w:t>Assessment of skills and competency is an assessment of whether a person who has not undertaken or successfully completed a unit nevertheless has the skills and competency required for the unit.</w:t>
      </w:r>
    </w:p>
    <w:p>
      <w:pPr>
        <w:pStyle w:val="yFootnotesection"/>
      </w:pPr>
      <w:r>
        <w:tab/>
        <w:t>[Schedule 1 inserted in Gazette 26 Jun 2009 p. 2567</w:t>
      </w:r>
      <w:r>
        <w:noBreakHyphen/>
        <w:t>8.]</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0" w:name="_Toc84739025"/>
      <w:bookmarkStart w:id="331" w:name="_Toc84740260"/>
      <w:bookmarkStart w:id="332" w:name="_Toc90177089"/>
      <w:bookmarkStart w:id="333" w:name="_Toc123101509"/>
      <w:bookmarkStart w:id="334" w:name="_Toc149030519"/>
      <w:bookmarkStart w:id="335" w:name="_Toc149036952"/>
      <w:bookmarkStart w:id="336" w:name="_Toc152144665"/>
      <w:bookmarkStart w:id="337" w:name="_Toc182378706"/>
      <w:bookmarkStart w:id="338" w:name="_Toc184793140"/>
      <w:bookmarkStart w:id="339" w:name="_Toc184800887"/>
      <w:bookmarkStart w:id="340" w:name="_Toc185751259"/>
      <w:bookmarkStart w:id="341" w:name="_Toc188262427"/>
      <w:bookmarkStart w:id="342" w:name="_Toc199838281"/>
      <w:bookmarkStart w:id="343" w:name="_Toc215039858"/>
      <w:bookmarkStart w:id="344" w:name="_Toc218487715"/>
      <w:bookmarkStart w:id="345" w:name="_Toc230679724"/>
      <w:bookmarkStart w:id="346" w:name="_Toc230679781"/>
      <w:bookmarkStart w:id="347" w:name="_Toc230749143"/>
      <w:bookmarkStart w:id="348" w:name="_Toc233801781"/>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49" w:name="_Toc233801782"/>
      <w:r>
        <w:t>Compilation table</w:t>
      </w:r>
      <w:bookmarkEnd w:id="3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 xml:space="preserve">Vocational Education and Training Regulations 1996 </w:t>
            </w:r>
            <w:r>
              <w:rPr>
                <w:i/>
                <w:sz w:val="19"/>
                <w:vertAlign w:val="superscript"/>
              </w:rPr>
              <w:t>9</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2009</w:t>
            </w:r>
          </w:p>
        </w:tc>
        <w:tc>
          <w:tcPr>
            <w:tcW w:w="1276" w:type="dxa"/>
            <w:tcBorders>
              <w:bottom w:val="single" w:sz="4" w:space="0" w:color="auto"/>
            </w:tcBorders>
          </w:tcPr>
          <w:p>
            <w:pPr>
              <w:pStyle w:val="nTable"/>
              <w:spacing w:after="40"/>
              <w:rPr>
                <w:sz w:val="19"/>
              </w:rPr>
            </w:pPr>
            <w:r>
              <w:rPr>
                <w:sz w:val="19"/>
              </w:rPr>
              <w:t>26 Jun 2009 p. 2565</w:t>
            </w:r>
            <w:r>
              <w:rPr>
                <w:sz w:val="19"/>
              </w:rPr>
              <w:noBreakHyphen/>
              <w:t>8</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bl>
    <w:p>
      <w:pPr>
        <w:pStyle w:val="nSubsection"/>
      </w:pPr>
      <w:r>
        <w:rPr>
          <w:vertAlign w:val="superscript"/>
        </w:rPr>
        <w:t>2</w:t>
      </w:r>
      <w:r>
        <w:tab/>
        <w:t xml:space="preserve">Deleted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Deleted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Deleted by the </w:t>
      </w:r>
      <w:r>
        <w:rPr>
          <w:i/>
        </w:rPr>
        <w:t>Vocational Education and Training Act 1996</w:t>
      </w:r>
      <w:r>
        <w:t>.</w:t>
      </w:r>
    </w:p>
    <w:p>
      <w:pPr>
        <w:pStyle w:val="nSubsection"/>
      </w:pPr>
      <w:r>
        <w:rPr>
          <w:vertAlign w:val="superscript"/>
        </w:rPr>
        <w:t>6</w:t>
      </w:r>
      <w:r>
        <w:tab/>
        <w:t xml:space="preserve">Deleted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Pr>
        <w:pStyle w:val="nSubsection"/>
        <w:rPr>
          <w:iCs/>
        </w:rPr>
      </w:pPr>
      <w:r>
        <w:rPr>
          <w:vertAlign w:val="superscript"/>
        </w:rPr>
        <w:t>9</w:t>
      </w:r>
      <w:r>
        <w:tab/>
        <w:t xml:space="preserve">Now known as </w:t>
      </w:r>
      <w:r>
        <w:rPr>
          <w:i/>
        </w:rPr>
        <w:t>Vocational Education and Training (Colleges) Regulations 1996</w:t>
      </w:r>
      <w:r>
        <w:rPr>
          <w:iCs/>
        </w:rP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05"/>
    <w:docVar w:name="WAFER_20151209165405" w:val="RemoveTrackChanges"/>
    <w:docVar w:name="WAFER_20151209165405_GUID" w:val="5e57a115-8fdd-4195-b662-ac7e8dd72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5859</Words>
  <Characters>27362</Characters>
  <Application>Microsoft Office Word</Application>
  <DocSecurity>0</DocSecurity>
  <Lines>912</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1996 - 03-f0-02</dc:title>
  <dc:subject/>
  <dc:creator/>
  <cp:keywords/>
  <dc:description/>
  <cp:lastModifiedBy>svcMRProcess</cp:lastModifiedBy>
  <cp:revision>4</cp:revision>
  <cp:lastPrinted>2007-12-27T00:29:00Z</cp:lastPrinted>
  <dcterms:created xsi:type="dcterms:W3CDTF">2018-09-16T21:47:00Z</dcterms:created>
  <dcterms:modified xsi:type="dcterms:W3CDTF">2018-09-16T21:47:00Z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03-f0-02</vt:lpwstr>
  </property>
</Properties>
</file>