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spacing w:before="2600" w:after="0"/>
      </w:pPr>
      <w:r>
        <w:rPr>
          <w:snapToGrid w:val="0"/>
        </w:rPr>
        <w:t>Water Agencies (Powers) Act 1984</w:t>
      </w:r>
    </w:p>
    <w:p>
      <w:pPr>
        <w:pStyle w:val="NameofActRegPage1"/>
        <w:spacing w:before="180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_Toc233611632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by</w:t>
      </w:r>
      <w:r>
        <w:rPr>
          <w:snapToGrid w:val="0"/>
          <w:szCs w:val="24"/>
        </w:rPr>
        <w:noBreakHyphen/>
        <w:t>laws</w:t>
      </w:r>
      <w:r>
        <w:tab/>
      </w:r>
      <w:r>
        <w:fldChar w:fldCharType="begin"/>
      </w:r>
      <w:r>
        <w:instrText xml:space="preserve"> PAGEREF _Toc233611633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_Toc233611635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_Toc233611636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_Toc233611637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_Toc233611638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_Toc233611639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_Toc233611640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_Toc233611641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_Toc233611642 \h </w:instrText>
      </w:r>
      <w:r>
        <w:fldChar w:fldCharType="separate"/>
      </w:r>
      <w:r>
        <w:t>17</w:t>
      </w:r>
      <w:r>
        <w:fldChar w:fldCharType="end"/>
      </w:r>
    </w:p>
    <w:p>
      <w:pPr>
        <w:pStyle w:val="TOC8"/>
        <w:rPr>
          <w:sz w:val="24"/>
          <w:szCs w:val="24"/>
        </w:rPr>
      </w:pPr>
      <w:r>
        <w:rPr>
          <w:szCs w:val="24"/>
        </w:rPr>
        <w:t>8.</w:t>
      </w:r>
      <w:r>
        <w:rPr>
          <w:szCs w:val="24"/>
        </w:rPr>
        <w:tab/>
        <w:t>Special arrangements</w:t>
      </w:r>
      <w:r>
        <w:tab/>
      </w:r>
      <w:r>
        <w:fldChar w:fldCharType="begin"/>
      </w:r>
      <w:r>
        <w:instrText xml:space="preserve"> PAGEREF _Toc233611643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_Toc233611644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_Toc233611645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_Toc233611646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_Toc233611647 \h </w:instrText>
      </w:r>
      <w:r>
        <w:fldChar w:fldCharType="separate"/>
      </w:r>
      <w:r>
        <w:t>20</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_Toc233611648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_Toc233611649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_Toc233611652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_Toc233611653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_Toc233611654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_Toc233611655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_Toc233611656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Discrete residential units</w:t>
      </w:r>
      <w:r>
        <w:tab/>
      </w:r>
      <w:r>
        <w:fldChar w:fldCharType="begin"/>
      </w:r>
      <w:r>
        <w:instrText xml:space="preserve"> PAGEREF _Toc233611657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_Toc233611658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_Toc233611659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_Toc233611660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_Toc233611661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_Toc233611662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_Toc233611663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_Toc233611664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_Toc233611665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_Toc233611666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_Toc233611668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 in this Part</w:t>
      </w:r>
      <w:r>
        <w:tab/>
      </w:r>
      <w:r>
        <w:fldChar w:fldCharType="begin"/>
      </w:r>
      <w:r>
        <w:instrText xml:space="preserve"> PAGEREF _Toc233611670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_Toc233611671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_Toc233611672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_Toc233611673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_Toc233611674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_Toc233611675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_Toc233611676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_Toc233611677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_Toc233611678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 residential or commercial residential</w:t>
      </w:r>
      <w:r>
        <w:rPr>
          <w:szCs w:val="24"/>
        </w:rPr>
        <w:t xml:space="preserve"> property sewerage charges</w:t>
      </w:r>
      <w:r>
        <w:tab/>
      </w:r>
      <w:r>
        <w:fldChar w:fldCharType="begin"/>
      </w:r>
      <w:r>
        <w:instrText xml:space="preserve"> PAGEREF _Toc233611679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_Toc233611680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_Toc233611682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_Toc233611683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_Toc233611684 \h </w:instrText>
      </w:r>
      <w:r>
        <w:fldChar w:fldCharType="separate"/>
      </w:r>
      <w:r>
        <w:t>51</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_Toc233611686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_Toc233611687 \h </w:instrText>
      </w:r>
      <w:r>
        <w:fldChar w:fldCharType="separate"/>
      </w:r>
      <w:r>
        <w:t>52</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_Toc233611688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 xml:space="preserve">Charges for water supply other than under the </w:t>
      </w:r>
      <w:r>
        <w:rPr>
          <w:i/>
          <w:iCs/>
          <w:szCs w:val="28"/>
        </w:rPr>
        <w:t>Rights in Water and Irrigation Act 1914</w:t>
      </w:r>
      <w:r>
        <w:rPr>
          <w:szCs w:val="28"/>
        </w:rPr>
        <w:t xml:space="preserv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w:t>
      </w:r>
      <w:r>
        <w:rPr>
          <w:szCs w:val="22"/>
        </w:rPr>
        <w:noBreakHyphen/>
        <w:t>law 17(3)</w:t>
      </w:r>
      <w:r>
        <w:tab/>
      </w:r>
      <w:r>
        <w:fldChar w:fldCharType="begin"/>
      </w:r>
      <w:r>
        <w:instrText xml:space="preserve"> PAGEREF _Toc233611693 \h </w:instrText>
      </w:r>
      <w:r>
        <w:fldChar w:fldCharType="separate"/>
      </w:r>
      <w:r>
        <w:t>73</w:t>
      </w:r>
      <w:r>
        <w:fldChar w:fldCharType="end"/>
      </w:r>
    </w:p>
    <w:p>
      <w:pPr>
        <w:pStyle w:val="TOC4"/>
        <w:tabs>
          <w:tab w:val="right" w:leader="dot" w:pos="7086"/>
        </w:tabs>
        <w:rPr>
          <w:b w:val="0"/>
          <w:sz w:val="24"/>
          <w:szCs w:val="24"/>
        </w:rPr>
      </w:pPr>
      <w:r>
        <w:rPr>
          <w:szCs w:val="24"/>
        </w:rPr>
        <w:t>Division 4</w:t>
      </w:r>
      <w:r>
        <w:rPr>
          <w:b w:val="0"/>
          <w:szCs w:val="24"/>
        </w:rPr>
        <w:t> — </w:t>
      </w:r>
      <w:r>
        <w:rPr>
          <w:szCs w:val="24"/>
        </w:rPr>
        <w:t>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_Toc233611695 \h </w:instrText>
      </w:r>
      <w:r>
        <w:fldChar w:fldCharType="separate"/>
      </w:r>
      <w:r>
        <w:t>74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Charges for water supply under the </w:t>
      </w:r>
      <w:r>
        <w:rPr>
          <w:i/>
          <w:iCs/>
          <w:szCs w:val="28"/>
        </w:rPr>
        <w:t>Rights in Water and Irrigation Act 1914</w:t>
      </w:r>
      <w:r>
        <w:rPr>
          <w:szCs w:val="28"/>
        </w:rPr>
        <w:t xml:space="preserv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4"/>
        <w:tabs>
          <w:tab w:val="right" w:leader="dot" w:pos="7086"/>
        </w:tabs>
        <w:rPr>
          <w:b w:val="0"/>
          <w:sz w:val="24"/>
          <w:szCs w:val="24"/>
        </w:rPr>
      </w:pPr>
      <w:r>
        <w:rPr>
          <w:szCs w:val="24"/>
        </w:rPr>
        <w:t>Division 2</w:t>
      </w:r>
      <w:r>
        <w:rPr>
          <w:b w:val="0"/>
          <w:szCs w:val="24"/>
        </w:rPr>
        <w:t> — </w:t>
      </w:r>
      <w:r>
        <w:rPr>
          <w:szCs w:val="24"/>
        </w:rPr>
        <w:t>Variable charges and charges by way of a rate</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Charges for sewerage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4"/>
        <w:tabs>
          <w:tab w:val="right" w:leader="dot" w:pos="7086"/>
        </w:tabs>
        <w:rPr>
          <w:b w:val="0"/>
          <w:sz w:val="24"/>
          <w:szCs w:val="24"/>
        </w:rPr>
      </w:pPr>
      <w:r>
        <w:rPr>
          <w:szCs w:val="24"/>
        </w:rPr>
        <w:t>Division 2 — Variable charges and charges by way of a rate</w:t>
      </w:r>
    </w:p>
    <w:p>
      <w:pPr>
        <w:pStyle w:val="TOC4"/>
        <w:tabs>
          <w:tab w:val="right" w:leader="dot" w:pos="7086"/>
        </w:tabs>
        <w:rPr>
          <w:b w:val="0"/>
          <w:sz w:val="24"/>
          <w:szCs w:val="24"/>
        </w:rPr>
      </w:pPr>
      <w:r>
        <w:rPr>
          <w:szCs w:val="24"/>
        </w:rPr>
        <w:t>Division 3</w:t>
      </w:r>
      <w:r>
        <w:rPr>
          <w:b w:val="0"/>
          <w:szCs w:val="24"/>
        </w:rPr>
        <w:t> — </w:t>
      </w:r>
      <w:r>
        <w:rPr>
          <w:szCs w:val="24"/>
        </w:rPr>
        <w:t>Variable charges</w:t>
      </w:r>
    </w:p>
    <w:p>
      <w:pPr>
        <w:pStyle w:val="TOC4"/>
        <w:tabs>
          <w:tab w:val="right" w:leader="dot" w:pos="7086"/>
        </w:tabs>
        <w:rPr>
          <w:b w:val="0"/>
          <w:sz w:val="24"/>
          <w:szCs w:val="24"/>
        </w:rPr>
      </w:pPr>
      <w:r>
        <w:rPr>
          <w:szCs w:val="24"/>
        </w:rPr>
        <w:t>Division 4</w:t>
      </w:r>
      <w:r>
        <w:rPr>
          <w:b w:val="0"/>
          <w:szCs w:val="24"/>
        </w:rPr>
        <w:t> — </w:t>
      </w:r>
      <w:r>
        <w:rPr>
          <w:szCs w:val="24"/>
        </w:rPr>
        <w:t>Metropolitan combined charges</w:t>
      </w:r>
    </w:p>
    <w:p>
      <w:pPr>
        <w:pStyle w:val="TOC8"/>
        <w:rPr>
          <w:sz w:val="24"/>
          <w:szCs w:val="24"/>
        </w:rPr>
      </w:pPr>
      <w:r>
        <w:rPr>
          <w:szCs w:val="22"/>
        </w:rPr>
        <w:t>13.</w:t>
      </w:r>
      <w:r>
        <w:rPr>
          <w:szCs w:val="22"/>
        </w:rPr>
        <w:tab/>
        <w:t>Metropolitan non-residential (other than vacant land)</w:t>
      </w:r>
      <w:r>
        <w:tab/>
      </w:r>
      <w:r>
        <w:fldChar w:fldCharType="begin"/>
      </w:r>
      <w:r>
        <w:instrText xml:space="preserve"> PAGEREF _Toc233611704 \h </w:instrText>
      </w:r>
      <w:r>
        <w:fldChar w:fldCharType="separate"/>
      </w:r>
      <w:r>
        <w:t>90</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_Toc233611705 \h </w:instrText>
      </w:r>
      <w:r>
        <w:fldChar w:fldCharType="separate"/>
      </w:r>
      <w:r>
        <w:t>91</w:t>
      </w:r>
      <w:r>
        <w:fldChar w:fldCharType="end"/>
      </w:r>
    </w:p>
    <w:p>
      <w:pPr>
        <w:pStyle w:val="TOC8"/>
        <w:rPr>
          <w:sz w:val="24"/>
          <w:szCs w:val="24"/>
        </w:rPr>
      </w:pPr>
      <w:r>
        <w:rPr>
          <w:szCs w:val="22"/>
        </w:rPr>
        <w:t>15.</w:t>
      </w:r>
      <w:r>
        <w:rPr>
          <w:szCs w:val="22"/>
        </w:rPr>
        <w:tab/>
        <w:t>Metropolitan non strata-titled caravan park with long</w:t>
      </w:r>
      <w:r>
        <w:rPr>
          <w:szCs w:val="22"/>
        </w:rPr>
        <w:noBreakHyphen/>
        <w:t>term residential caravan bays</w:t>
      </w:r>
      <w:r>
        <w:tab/>
      </w:r>
      <w:r>
        <w:fldChar w:fldCharType="begin"/>
      </w:r>
      <w:r>
        <w:instrText xml:space="preserve"> PAGEREF _Toc233611706 \h </w:instrText>
      </w:r>
      <w:r>
        <w:fldChar w:fldCharType="separate"/>
      </w:r>
      <w:r>
        <w:t>91</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_Toc233611707 \h </w:instrText>
      </w:r>
      <w:r>
        <w:fldChar w:fldCharType="separate"/>
      </w:r>
      <w:r>
        <w:t>93</w:t>
      </w:r>
      <w:r>
        <w:fldChar w:fldCharType="end"/>
      </w:r>
    </w:p>
    <w:p>
      <w:pPr>
        <w:pStyle w:val="TOC8"/>
        <w:rPr>
          <w:sz w:val="24"/>
          <w:szCs w:val="24"/>
        </w:rPr>
      </w:pPr>
      <w:r>
        <w:rPr>
          <w:szCs w:val="22"/>
        </w:rPr>
        <w:t>17.</w:t>
      </w:r>
      <w:r>
        <w:rPr>
          <w:szCs w:val="22"/>
        </w:rPr>
        <w:tab/>
        <w:t>Certain metropolitan strata-titled units</w:t>
      </w:r>
      <w:r>
        <w:tab/>
      </w:r>
      <w:r>
        <w:fldChar w:fldCharType="begin"/>
      </w:r>
      <w:r>
        <w:instrText xml:space="preserve"> PAGEREF _Toc233611708 \h </w:instrText>
      </w:r>
      <w:r>
        <w:fldChar w:fldCharType="separate"/>
      </w:r>
      <w:r>
        <w:t>93</w:t>
      </w:r>
      <w:r>
        <w:fldChar w:fldCharType="end"/>
      </w:r>
    </w:p>
    <w:p>
      <w:pPr>
        <w:pStyle w:val="TOC4"/>
        <w:tabs>
          <w:tab w:val="right" w:leader="dot" w:pos="7086"/>
        </w:tabs>
        <w:rPr>
          <w:b w:val="0"/>
          <w:sz w:val="24"/>
          <w:szCs w:val="24"/>
        </w:rPr>
      </w:pPr>
      <w:r>
        <w:rPr>
          <w:szCs w:val="24"/>
        </w:rPr>
        <w:t>Division 5</w:t>
      </w:r>
      <w:r>
        <w:rPr>
          <w:b w:val="0"/>
          <w:szCs w:val="24"/>
        </w:rPr>
        <w:t> — </w:t>
      </w:r>
      <w:r>
        <w:rPr>
          <w:szCs w:val="24"/>
        </w:rPr>
        <w:t>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_Toc233611710 \h </w:instrText>
      </w:r>
      <w:r>
        <w:fldChar w:fldCharType="separate"/>
      </w:r>
      <w:r>
        <w:t>94</w:t>
      </w:r>
      <w:r>
        <w:fldChar w:fldCharType="end"/>
      </w:r>
    </w:p>
    <w:p>
      <w:pPr>
        <w:pStyle w:val="TOC8"/>
        <w:rPr>
          <w:sz w:val="24"/>
          <w:szCs w:val="24"/>
        </w:rPr>
      </w:pPr>
      <w:r>
        <w:rPr>
          <w:szCs w:val="22"/>
        </w:rPr>
        <w:t>19.</w:t>
      </w:r>
      <w:r>
        <w:rPr>
          <w:szCs w:val="22"/>
        </w:rPr>
        <w:tab/>
        <w:t>Formula for quantity charge</w:t>
      </w:r>
      <w:r>
        <w:tab/>
      </w:r>
      <w:r>
        <w:fldChar w:fldCharType="begin"/>
      </w:r>
      <w:r>
        <w:instrText xml:space="preserve"> PAGEREF _Toc233611711 \h </w:instrText>
      </w:r>
      <w:r>
        <w:fldChar w:fldCharType="separate"/>
      </w:r>
      <w:r>
        <w:t>95</w:t>
      </w:r>
      <w:r>
        <w:fldChar w:fldCharType="end"/>
      </w:r>
    </w:p>
    <w:p>
      <w:pPr>
        <w:pStyle w:val="TOC8"/>
        <w:rPr>
          <w:sz w:val="24"/>
          <w:szCs w:val="24"/>
        </w:rPr>
      </w:pPr>
      <w:r>
        <w:rPr>
          <w:szCs w:val="22"/>
        </w:rPr>
        <w:t>20.</w:t>
      </w:r>
      <w:r>
        <w:rPr>
          <w:szCs w:val="22"/>
        </w:rPr>
        <w:tab/>
        <w:t>Discharge allowance</w:t>
      </w:r>
      <w:r>
        <w:tab/>
      </w:r>
      <w:r>
        <w:fldChar w:fldCharType="begin"/>
      </w:r>
      <w:r>
        <w:instrText xml:space="preserve"> PAGEREF _Toc233611712 \h </w:instrText>
      </w:r>
      <w:r>
        <w:fldChar w:fldCharType="separate"/>
      </w:r>
      <w:r>
        <w:t>95</w:t>
      </w:r>
      <w:r>
        <w:fldChar w:fldCharType="end"/>
      </w:r>
    </w:p>
    <w:p>
      <w:pPr>
        <w:pStyle w:val="TOC4"/>
        <w:tabs>
          <w:tab w:val="right" w:leader="dot" w:pos="7086"/>
        </w:tabs>
        <w:rPr>
          <w:b w:val="0"/>
          <w:sz w:val="24"/>
          <w:szCs w:val="24"/>
        </w:rPr>
      </w:pPr>
      <w:r>
        <w:rPr>
          <w:szCs w:val="24"/>
        </w:rPr>
        <w:t>Division 6</w:t>
      </w:r>
      <w:r>
        <w:rPr>
          <w:b w:val="0"/>
          <w:szCs w:val="24"/>
        </w:rPr>
        <w:t> — </w:t>
      </w:r>
      <w:r>
        <w:rPr>
          <w:szCs w:val="24"/>
        </w:rPr>
        <w:t>Service charges for industrial waste</w:t>
      </w:r>
    </w:p>
    <w:p>
      <w:pPr>
        <w:pStyle w:val="TOC4"/>
        <w:tabs>
          <w:tab w:val="right" w:leader="dot" w:pos="7086"/>
        </w:tabs>
        <w:rPr>
          <w:b w:val="0"/>
          <w:sz w:val="24"/>
          <w:szCs w:val="24"/>
        </w:rPr>
      </w:pPr>
      <w:r>
        <w:rPr>
          <w:szCs w:val="24"/>
        </w:rPr>
        <w:t>Division 7</w:t>
      </w:r>
      <w:r>
        <w:rPr>
          <w:b w:val="0"/>
          <w:szCs w:val="24"/>
        </w:rPr>
        <w:t> — </w:t>
      </w:r>
      <w:r>
        <w:rPr>
          <w:szCs w:val="24"/>
        </w:rPr>
        <w:t>Combined charges for country non</w:t>
      </w:r>
      <w:r>
        <w:rPr>
          <w:szCs w:val="24"/>
        </w:rPr>
        <w:noBreakHyphen/>
        <w:t>residential or commercial residential</w:t>
      </w:r>
    </w:p>
    <w:p>
      <w:pPr>
        <w:pStyle w:val="TOC8"/>
        <w:rPr>
          <w:sz w:val="24"/>
          <w:szCs w:val="24"/>
        </w:rPr>
      </w:pPr>
      <w:r>
        <w:rPr>
          <w:szCs w:val="22"/>
        </w:rPr>
        <w:t>31.</w:t>
      </w:r>
      <w:r>
        <w:rPr>
          <w:szCs w:val="22"/>
        </w:rPr>
        <w:tab/>
        <w:t>Country non-residential or commercial residential</w:t>
      </w:r>
      <w:r>
        <w:tab/>
      </w:r>
      <w:r>
        <w:fldChar w:fldCharType="begin"/>
      </w:r>
      <w:r>
        <w:instrText xml:space="preserve"> PAGEREF _Toc233611715 \h </w:instrText>
      </w:r>
      <w:r>
        <w:fldChar w:fldCharType="separate"/>
      </w:r>
      <w:r>
        <w:t>97</w:t>
      </w:r>
      <w:r>
        <w:fldChar w:fldCharType="end"/>
      </w:r>
    </w:p>
    <w:p>
      <w:pPr>
        <w:pStyle w:val="TOC8"/>
        <w:rPr>
          <w:sz w:val="24"/>
          <w:szCs w:val="24"/>
        </w:rPr>
      </w:pPr>
      <w:r>
        <w:rPr>
          <w:szCs w:val="22"/>
        </w:rPr>
        <w:t>32.</w:t>
      </w:r>
      <w:r>
        <w:rPr>
          <w:szCs w:val="22"/>
        </w:rPr>
        <w:tab/>
        <w:t>Country non strata-titled caravan park with long-term residential caravan bays</w:t>
      </w:r>
      <w:r>
        <w:tab/>
      </w:r>
      <w:r>
        <w:fldChar w:fldCharType="begin"/>
      </w:r>
      <w:r>
        <w:instrText xml:space="preserve"> PAGEREF _Toc233611716 \h </w:instrText>
      </w:r>
      <w:r>
        <w:fldChar w:fldCharType="separate"/>
      </w:r>
      <w:r>
        <w:t>98</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_Toc233611717 \h </w:instrText>
      </w:r>
      <w:r>
        <w:fldChar w:fldCharType="separate"/>
      </w:r>
      <w:r>
        <w:t>99</w:t>
      </w:r>
      <w:r>
        <w:fldChar w:fldCharType="end"/>
      </w:r>
    </w:p>
    <w:p>
      <w:pPr>
        <w:pStyle w:val="TOC8"/>
        <w:rPr>
          <w:sz w:val="24"/>
          <w:szCs w:val="24"/>
        </w:rPr>
      </w:pPr>
      <w:r>
        <w:rPr>
          <w:szCs w:val="22"/>
        </w:rPr>
        <w:t>34.</w:t>
      </w:r>
      <w:r>
        <w:rPr>
          <w:szCs w:val="22"/>
        </w:rPr>
        <w:tab/>
        <w:t>Certain country strata-titled units</w:t>
      </w:r>
      <w:r>
        <w:tab/>
      </w:r>
      <w:r>
        <w:fldChar w:fldCharType="begin"/>
      </w:r>
      <w:r>
        <w:instrText xml:space="preserve"> PAGEREF _Toc233611718 \h </w:instrText>
      </w:r>
      <w:r>
        <w:fldChar w:fldCharType="separate"/>
      </w:r>
      <w:r>
        <w:t>100</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_Toc233611719 \h </w:instrText>
      </w:r>
      <w:r>
        <w:fldChar w:fldCharType="separate"/>
      </w:r>
      <w:r>
        <w:t>100</w:t>
      </w:r>
      <w:r>
        <w:fldChar w:fldCharType="end"/>
      </w:r>
    </w:p>
    <w:p>
      <w:pPr>
        <w:pStyle w:val="TOC4"/>
        <w:tabs>
          <w:tab w:val="right" w:leader="dot" w:pos="7086"/>
        </w:tabs>
        <w:rPr>
          <w:b w:val="0"/>
          <w:sz w:val="24"/>
          <w:szCs w:val="24"/>
        </w:rPr>
      </w:pPr>
      <w:r>
        <w:rPr>
          <w:szCs w:val="24"/>
        </w:rPr>
        <w:t>Division 8</w:t>
      </w:r>
      <w:r>
        <w:rPr>
          <w:b w:val="0"/>
          <w:szCs w:val="24"/>
        </w:rPr>
        <w:t> — </w:t>
      </w:r>
      <w:r>
        <w:rPr>
          <w:szCs w:val="24"/>
        </w:rPr>
        <w:t>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t>Formula for annual charge</w:t>
      </w:r>
      <w:r>
        <w:tab/>
      </w:r>
      <w:r>
        <w:fldChar w:fldCharType="begin"/>
      </w:r>
      <w:r>
        <w:instrText xml:space="preserve"> PAGEREF _Toc233611721 \h </w:instrText>
      </w:r>
      <w:r>
        <w:fldChar w:fldCharType="separate"/>
      </w:r>
      <w:r>
        <w:t>101</w:t>
      </w:r>
      <w:r>
        <w:fldChar w:fldCharType="end"/>
      </w:r>
    </w:p>
    <w:p>
      <w:pPr>
        <w:pStyle w:val="TOC8"/>
        <w:rPr>
          <w:sz w:val="24"/>
          <w:szCs w:val="24"/>
        </w:rPr>
      </w:pPr>
      <w:r>
        <w:rPr>
          <w:szCs w:val="22"/>
        </w:rPr>
        <w:t>37.</w:t>
      </w:r>
      <w:r>
        <w:rPr>
          <w:szCs w:val="22"/>
        </w:rPr>
        <w:tab/>
        <w:t>Formula for quantity charge</w:t>
      </w:r>
      <w:r>
        <w:tab/>
      </w:r>
      <w:r>
        <w:fldChar w:fldCharType="begin"/>
      </w:r>
      <w:r>
        <w:instrText xml:space="preserve"> PAGEREF _Toc233611722 \h </w:instrText>
      </w:r>
      <w:r>
        <w:fldChar w:fldCharType="separate"/>
      </w:r>
      <w:r>
        <w:t>102</w:t>
      </w:r>
      <w:r>
        <w:fldChar w:fldCharType="end"/>
      </w:r>
    </w:p>
    <w:p>
      <w:pPr>
        <w:pStyle w:val="TOC8"/>
        <w:rPr>
          <w:sz w:val="24"/>
          <w:szCs w:val="24"/>
        </w:rPr>
      </w:pPr>
      <w:r>
        <w:rPr>
          <w:szCs w:val="22"/>
        </w:rPr>
        <w:t>38.</w:t>
      </w:r>
      <w:r>
        <w:rPr>
          <w:szCs w:val="22"/>
        </w:rPr>
        <w:tab/>
        <w:t>Discharge allowance</w:t>
      </w:r>
      <w:r>
        <w:tab/>
      </w:r>
      <w:r>
        <w:fldChar w:fldCharType="begin"/>
      </w:r>
      <w:r>
        <w:instrText xml:space="preserve"> PAGEREF _Toc233611723 \h </w:instrText>
      </w:r>
      <w:r>
        <w:fldChar w:fldCharType="separate"/>
      </w:r>
      <w:r>
        <w:t>103</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Charges for drainage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4"/>
        <w:tabs>
          <w:tab w:val="right" w:leader="dot" w:pos="7086"/>
        </w:tabs>
        <w:rPr>
          <w:b w:val="0"/>
          <w:sz w:val="24"/>
          <w:szCs w:val="24"/>
        </w:rPr>
      </w:pPr>
      <w:r>
        <w:rPr>
          <w:szCs w:val="24"/>
        </w:rPr>
        <w:t>Division 2</w:t>
      </w:r>
      <w:r>
        <w:rPr>
          <w:b w:val="0"/>
          <w:szCs w:val="24"/>
        </w:rPr>
        <w:t> — </w:t>
      </w:r>
      <w:r>
        <w:rPr>
          <w:szCs w:val="24"/>
        </w:rPr>
        <w:t>Charges by way of rate</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Charges for irrigation for 2009/2010</w:t>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in this Schedule</w:t>
      </w:r>
      <w:r>
        <w:tab/>
      </w:r>
      <w:r>
        <w:fldChar w:fldCharType="begin"/>
      </w:r>
      <w:r>
        <w:instrText xml:space="preserve"> PAGEREF _Toc233611729 \h </w:instrText>
      </w:r>
      <w:r>
        <w:fldChar w:fldCharType="separate"/>
      </w:r>
      <w:r>
        <w:t>108</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_Toc233611730 \h </w:instrText>
      </w:r>
      <w:r>
        <w:fldChar w:fldCharType="separate"/>
      </w:r>
      <w:r>
        <w:t>108</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Discounts and additional charges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Water supply charges for Government trading organisations and non</w:t>
      </w:r>
      <w:r>
        <w:rPr>
          <w:szCs w:val="28"/>
        </w:rPr>
        <w:noBreakHyphen/>
        <w:t>commercial Government property</w:t>
      </w:r>
    </w:p>
    <w:p>
      <w:pPr>
        <w:pStyle w:val="TOC8"/>
        <w:rPr>
          <w:sz w:val="24"/>
          <w:szCs w:val="24"/>
        </w:rPr>
      </w:pPr>
      <w:r>
        <w:rPr>
          <w:szCs w:val="22"/>
        </w:rPr>
        <w:t>1.</w:t>
      </w:r>
      <w:r>
        <w:rPr>
          <w:szCs w:val="22"/>
        </w:rPr>
        <w:tab/>
        <w:t>Annual charge (based on meter size)</w:t>
      </w:r>
      <w:r>
        <w:tab/>
      </w:r>
      <w:r>
        <w:fldChar w:fldCharType="begin"/>
      </w:r>
      <w:r>
        <w:instrText xml:space="preserve"> PAGEREF _Toc233611733 \h </w:instrText>
      </w:r>
      <w:r>
        <w:fldChar w:fldCharType="separate"/>
      </w:r>
      <w:r>
        <w:t>110</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Classification of towns/areas for the purpose of determining quantity charges in the previous year</w:t>
      </w:r>
    </w:p>
    <w:p>
      <w:pPr>
        <w:pStyle w:val="TOC2"/>
        <w:tabs>
          <w:tab w:val="right" w:leader="dot" w:pos="7086"/>
        </w:tabs>
        <w:rPr>
          <w:b w:val="0"/>
          <w:sz w:val="24"/>
          <w:szCs w:val="24"/>
        </w:rPr>
      </w:pPr>
      <w:r>
        <w:rPr>
          <w:szCs w:val="28"/>
        </w:rPr>
        <w:t>Schedule 10</w:t>
      </w:r>
      <w:r>
        <w:rPr>
          <w:sz w:val="24"/>
          <w:szCs w:val="28"/>
        </w:rPr>
        <w:t> </w:t>
      </w:r>
      <w:r>
        <w:rPr>
          <w:szCs w:val="28"/>
        </w:rPr>
        <w:t>—</w:t>
      </w:r>
      <w:r>
        <w:rPr>
          <w:sz w:val="24"/>
          <w:szCs w:val="28"/>
        </w:rPr>
        <w:t> </w:t>
      </w:r>
      <w:r>
        <w:rPr>
          <w:szCs w:val="28"/>
        </w:rPr>
        <w:t>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_Toc233611737 \h </w:instrText>
      </w:r>
      <w:r>
        <w:fldChar w:fldCharType="separate"/>
      </w:r>
      <w:r>
        <w:t>133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80204742"/>
      <w:bookmarkStart w:id="5" w:name="_Toc233611632"/>
      <w:r>
        <w:rPr>
          <w:rStyle w:val="CharSectno"/>
        </w:rPr>
        <w:t>1</w:t>
      </w:r>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180204743"/>
      <w:bookmarkStart w:id="9" w:name="_Toc233611633"/>
      <w:r>
        <w:rPr>
          <w:rStyle w:val="CharSectno"/>
        </w:rPr>
        <w:t>2</w:t>
      </w:r>
      <w:r>
        <w:rPr>
          <w:snapToGrid w:val="0"/>
        </w:rPr>
        <w:t>.</w:t>
      </w:r>
      <w:r>
        <w:rPr>
          <w:snapToGrid w:val="0"/>
        </w:rPr>
        <w:tab/>
      </w:r>
      <w:bookmarkEnd w:id="6"/>
      <w:bookmarkEnd w:id="7"/>
      <w:r>
        <w:rPr>
          <w:snapToGrid w:val="0"/>
        </w:rPr>
        <w:t>Terms used in these by</w:t>
      </w:r>
      <w:r>
        <w:rPr>
          <w:snapToGrid w:val="0"/>
        </w:rPr>
        <w:noBreakHyphen/>
        <w:t>laws</w:t>
      </w:r>
      <w:bookmarkEnd w:id="8"/>
      <w:bookmarkEnd w:id="9"/>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r>
      <w:r>
        <w:rPr>
          <w:rStyle w:val="CharDefText"/>
        </w:rPr>
        <w:t>GRV</w:t>
      </w:r>
      <w:r>
        <w:t>, in relation to land, means the gross rental value of the land;</w:t>
      </w:r>
    </w:p>
    <w:p>
      <w:pPr>
        <w:pStyle w:val="Defstar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r>
      <w:r>
        <w:rPr>
          <w:rStyle w:val="CharDefText"/>
        </w:rPr>
        <w:t>non</w:t>
      </w:r>
      <w:r>
        <w:rPr>
          <w:rStyle w:val="CharDefText"/>
        </w:rPr>
        <w:noBreakHyphen/>
        <w:t>commercial Government property</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t>and includes associated buildings and facilities.</w:t>
      </w:r>
    </w:p>
    <w:p>
      <w:pPr>
        <w:pStyle w:val="Defstart"/>
        <w:spacing w:before="70"/>
      </w:pPr>
      <w:r>
        <w:rPr>
          <w:b/>
        </w:rPr>
        <w:tab/>
      </w:r>
      <w:r>
        <w:rPr>
          <w:rStyle w:val="CharDefText"/>
        </w:rPr>
        <w:t>previous year</w:t>
      </w:r>
      <w:r>
        <w:t xml:space="preserve"> means the financial year immediately preceding the current year;</w:t>
      </w:r>
    </w:p>
    <w:p>
      <w:pPr>
        <w:pStyle w:val="Defstart"/>
        <w:keepNext/>
        <w:spacing w:before="70"/>
      </w:pPr>
      <w:r>
        <w:rPr>
          <w:b/>
        </w:rPr>
        <w:tab/>
      </w:r>
      <w:r>
        <w:rPr>
          <w:rStyle w:val="CharDefText"/>
        </w:rPr>
        <w:t>quantity charge</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spacing w:before="70"/>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10" w:name="_Toc91580397"/>
      <w:bookmarkStart w:id="11" w:name="_Toc103667082"/>
      <w:bookmarkStart w:id="12" w:name="_Toc103741601"/>
      <w:bookmarkStart w:id="13" w:name="_Toc107981844"/>
      <w:bookmarkStart w:id="14" w:name="_Toc118800011"/>
      <w:bookmarkStart w:id="15" w:name="_Toc118860019"/>
      <w:bookmarkStart w:id="16" w:name="_Toc121545519"/>
      <w:bookmarkStart w:id="17" w:name="_Toc121801042"/>
      <w:bookmarkStart w:id="18" w:name="_Toc121818155"/>
      <w:bookmarkStart w:id="19" w:name="_Toc121880765"/>
      <w:bookmarkStart w:id="20" w:name="_Toc129481836"/>
      <w:bookmarkStart w:id="21" w:name="_Toc130095205"/>
      <w:bookmarkStart w:id="22"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3" w:name="_Toc139770942"/>
      <w:bookmarkStart w:id="24" w:name="_Toc139771320"/>
      <w:bookmarkStart w:id="25" w:name="_Toc151191535"/>
      <w:bookmarkStart w:id="26" w:name="_Toc151260428"/>
      <w:bookmarkStart w:id="27" w:name="_Toc164158533"/>
      <w:bookmarkStart w:id="28" w:name="_Toc164220905"/>
      <w:bookmarkStart w:id="29" w:name="_Toc170878864"/>
      <w:bookmarkStart w:id="30" w:name="_Toc170894617"/>
      <w:bookmarkStart w:id="31" w:name="_Toc175712583"/>
      <w:bookmarkStart w:id="32" w:name="_Toc175970524"/>
      <w:bookmarkStart w:id="33" w:name="_Toc176335243"/>
      <w:bookmarkStart w:id="34" w:name="_Toc176338818"/>
      <w:bookmarkStart w:id="35" w:name="_Toc178742843"/>
      <w:bookmarkStart w:id="36" w:name="_Toc179363266"/>
      <w:bookmarkStart w:id="37" w:name="_Toc179604335"/>
      <w:bookmarkStart w:id="38" w:name="_Toc180204528"/>
      <w:bookmarkStart w:id="39" w:name="_Toc180204744"/>
      <w:bookmarkStart w:id="40" w:name="_Toc185844489"/>
      <w:bookmarkStart w:id="41" w:name="_Toc185845109"/>
      <w:bookmarkStart w:id="42" w:name="_Toc185927074"/>
      <w:bookmarkStart w:id="43" w:name="_Toc202505821"/>
      <w:bookmarkStart w:id="44" w:name="_Toc202672607"/>
      <w:bookmarkStart w:id="45" w:name="_Toc202691698"/>
      <w:bookmarkStart w:id="46" w:name="_Toc233448320"/>
      <w:bookmarkStart w:id="47" w:name="_Toc233611634"/>
      <w:r>
        <w:rPr>
          <w:rStyle w:val="CharPartNo"/>
        </w:rPr>
        <w:t>Part 1</w:t>
      </w:r>
      <w:r>
        <w:rPr>
          <w:rStyle w:val="CharDivNo"/>
        </w:rPr>
        <w:t> </w:t>
      </w:r>
      <w:r>
        <w:t>—</w:t>
      </w:r>
      <w:r>
        <w:rPr>
          <w:rStyle w:val="CharDivText"/>
        </w:rPr>
        <w:t> </w:t>
      </w:r>
      <w:r>
        <w:rPr>
          <w:rStyle w:val="CharPartText"/>
        </w:rPr>
        <w:t>General</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87428939"/>
      <w:bookmarkStart w:id="49" w:name="_Toc17278647"/>
      <w:bookmarkStart w:id="50" w:name="_Toc180204745"/>
      <w:bookmarkStart w:id="51" w:name="_Toc233611635"/>
      <w:r>
        <w:rPr>
          <w:rStyle w:val="CharSectno"/>
        </w:rPr>
        <w:t>3</w:t>
      </w:r>
      <w:r>
        <w:rPr>
          <w:snapToGrid w:val="0"/>
        </w:rPr>
        <w:t>.</w:t>
      </w:r>
      <w:r>
        <w:rPr>
          <w:snapToGrid w:val="0"/>
        </w:rPr>
        <w:tab/>
        <w:t>Proportionate charges for part of year</w:t>
      </w:r>
      <w:bookmarkEnd w:id="48"/>
      <w:bookmarkEnd w:id="49"/>
      <w:bookmarkEnd w:id="50"/>
      <w:bookmarkEnd w:id="51"/>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2" w:name="_Toc487428940"/>
      <w:bookmarkStart w:id="53" w:name="_Toc17278648"/>
      <w:bookmarkStart w:id="54" w:name="_Toc180204746"/>
      <w:bookmarkStart w:id="55" w:name="_Toc233611636"/>
      <w:r>
        <w:rPr>
          <w:rStyle w:val="CharSectno"/>
        </w:rPr>
        <w:t>3A</w:t>
      </w:r>
      <w:r>
        <w:rPr>
          <w:snapToGrid w:val="0"/>
        </w:rPr>
        <w:t>.</w:t>
      </w:r>
      <w:r>
        <w:rPr>
          <w:snapToGrid w:val="0"/>
        </w:rPr>
        <w:tab/>
        <w:t>Minimum charge prior to revaluation</w:t>
      </w:r>
      <w:bookmarkEnd w:id="52"/>
      <w:bookmarkEnd w:id="53"/>
      <w:bookmarkEnd w:id="54"/>
      <w:bookmarkEnd w:id="5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56" w:name="_Toc487428941"/>
      <w:bookmarkStart w:id="57" w:name="_Toc17278649"/>
      <w:bookmarkStart w:id="58" w:name="_Toc180204747"/>
      <w:bookmarkStart w:id="59" w:name="_Toc233611637"/>
      <w:r>
        <w:rPr>
          <w:rStyle w:val="CharSectno"/>
        </w:rPr>
        <w:t>4</w:t>
      </w:r>
      <w:r>
        <w:rPr>
          <w:snapToGrid w:val="0"/>
        </w:rPr>
        <w:t>.</w:t>
      </w:r>
      <w:r>
        <w:rPr>
          <w:snapToGrid w:val="0"/>
        </w:rPr>
        <w:tab/>
        <w:t>Exempt land</w:t>
      </w:r>
      <w:bookmarkEnd w:id="56"/>
      <w:bookmarkEnd w:id="57"/>
      <w:bookmarkEnd w:id="58"/>
      <w:bookmarkEnd w:id="59"/>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outlineLvl w:val="0"/>
        <w:rPr>
          <w:b/>
          <w:snapToGrid w:val="0"/>
        </w:rPr>
      </w:pPr>
      <w:r>
        <w:rPr>
          <w:b/>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60" w:name="_Toc487428942"/>
      <w:bookmarkStart w:id="61" w:name="_Toc17278650"/>
      <w:bookmarkStart w:id="62" w:name="_Toc180204748"/>
      <w:bookmarkStart w:id="63" w:name="_Toc233611638"/>
      <w:r>
        <w:rPr>
          <w:rStyle w:val="CharSectno"/>
        </w:rPr>
        <w:t>5</w:t>
      </w:r>
      <w:r>
        <w:rPr>
          <w:snapToGrid w:val="0"/>
        </w:rPr>
        <w:t>.</w:t>
      </w:r>
      <w:r>
        <w:rPr>
          <w:snapToGrid w:val="0"/>
        </w:rPr>
        <w:tab/>
        <w:t>Separately assessable residential land</w:t>
      </w:r>
      <w:bookmarkEnd w:id="60"/>
      <w:bookmarkEnd w:id="61"/>
      <w:bookmarkEnd w:id="62"/>
      <w:bookmarkEnd w:id="63"/>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64" w:name="_Toc487428943"/>
      <w:bookmarkStart w:id="65" w:name="_Toc17278651"/>
      <w:bookmarkStart w:id="66" w:name="_Toc180204749"/>
      <w:bookmarkStart w:id="67" w:name="_Toc233611639"/>
      <w:r>
        <w:rPr>
          <w:rStyle w:val="CharSectno"/>
        </w:rPr>
        <w:t>6</w:t>
      </w:r>
      <w:r>
        <w:rPr>
          <w:snapToGrid w:val="0"/>
        </w:rPr>
        <w:t>.</w:t>
      </w:r>
      <w:r>
        <w:rPr>
          <w:snapToGrid w:val="0"/>
        </w:rPr>
        <w:tab/>
        <w:t>Estimation upon meter malfunction or of non</w:t>
      </w:r>
      <w:r>
        <w:rPr>
          <w:snapToGrid w:val="0"/>
        </w:rPr>
        <w:noBreakHyphen/>
        <w:t>metered quantity</w:t>
      </w:r>
      <w:bookmarkEnd w:id="64"/>
      <w:bookmarkEnd w:id="65"/>
      <w:bookmarkEnd w:id="66"/>
      <w:bookmarkEnd w:id="67"/>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68" w:name="_Toc487428944"/>
      <w:bookmarkStart w:id="69" w:name="_Toc17278652"/>
      <w:bookmarkStart w:id="70" w:name="_Toc180204750"/>
      <w:bookmarkStart w:id="71" w:name="_Toc233611640"/>
      <w:r>
        <w:rPr>
          <w:rStyle w:val="CharSectno"/>
        </w:rPr>
        <w:t>7</w:t>
      </w:r>
      <w:r>
        <w:rPr>
          <w:snapToGrid w:val="0"/>
        </w:rPr>
        <w:t>.</w:t>
      </w:r>
      <w:r>
        <w:rPr>
          <w:snapToGrid w:val="0"/>
        </w:rPr>
        <w:tab/>
        <w:t>Manner of payment of charges other than quantity and single capital infrastructure charges</w:t>
      </w:r>
      <w:bookmarkEnd w:id="68"/>
      <w:bookmarkEnd w:id="69"/>
      <w:bookmarkEnd w:id="70"/>
      <w:bookmarkEnd w:id="7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72" w:name="_Toc487428945"/>
      <w:bookmarkStart w:id="73" w:name="_Toc17278653"/>
      <w:bookmarkStart w:id="74" w:name="_Toc180204751"/>
      <w:bookmarkStart w:id="75" w:name="_Toc233611641"/>
      <w:r>
        <w:rPr>
          <w:rStyle w:val="CharSectno"/>
        </w:rPr>
        <w:t>7A</w:t>
      </w:r>
      <w:r>
        <w:rPr>
          <w:snapToGrid w:val="0"/>
        </w:rPr>
        <w:t>.</w:t>
      </w:r>
      <w:r>
        <w:rPr>
          <w:snapToGrid w:val="0"/>
        </w:rPr>
        <w:tab/>
        <w:t>Manner of payment of quantity charges</w:t>
      </w:r>
      <w:bookmarkEnd w:id="72"/>
      <w:bookmarkEnd w:id="73"/>
      <w:bookmarkEnd w:id="74"/>
      <w:bookmarkEnd w:id="75"/>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76" w:name="_Toc487428946"/>
      <w:bookmarkStart w:id="77" w:name="_Toc17278654"/>
      <w:bookmarkStart w:id="78" w:name="_Toc180204752"/>
      <w:bookmarkStart w:id="79" w:name="_Toc233611642"/>
      <w:r>
        <w:rPr>
          <w:rStyle w:val="CharSectno"/>
        </w:rPr>
        <w:t>7B</w:t>
      </w:r>
      <w:r>
        <w:rPr>
          <w:snapToGrid w:val="0"/>
        </w:rPr>
        <w:t>.</w:t>
      </w:r>
      <w:r>
        <w:rPr>
          <w:snapToGrid w:val="0"/>
        </w:rPr>
        <w:tab/>
        <w:t>Manner of payment of single capital infrastructure charges</w:t>
      </w:r>
      <w:bookmarkEnd w:id="76"/>
      <w:bookmarkEnd w:id="77"/>
      <w:bookmarkEnd w:id="78"/>
      <w:bookmarkEnd w:id="79"/>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80" w:name="_Toc233611643"/>
      <w:bookmarkStart w:id="81" w:name="_Toc487428948"/>
      <w:bookmarkStart w:id="82" w:name="_Toc17278656"/>
      <w:bookmarkStart w:id="83" w:name="_Toc180204754"/>
      <w:r>
        <w:rPr>
          <w:rStyle w:val="CharSectno"/>
        </w:rPr>
        <w:t>8</w:t>
      </w:r>
      <w:r>
        <w:t>.</w:t>
      </w:r>
      <w:r>
        <w:tab/>
        <w:t>Special arrangements</w:t>
      </w:r>
      <w:bookmarkEnd w:id="80"/>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84" w:name="_Toc233611644"/>
      <w:r>
        <w:rPr>
          <w:rStyle w:val="CharSectno"/>
        </w:rPr>
        <w:t>8A</w:t>
      </w:r>
      <w:r>
        <w:rPr>
          <w:snapToGrid w:val="0"/>
        </w:rPr>
        <w:t>.</w:t>
      </w:r>
      <w:r>
        <w:rPr>
          <w:snapToGrid w:val="0"/>
        </w:rPr>
        <w:tab/>
        <w:t>Concessional charges for retirement village residents</w:t>
      </w:r>
      <w:bookmarkEnd w:id="81"/>
      <w:bookmarkEnd w:id="82"/>
      <w:bookmarkEnd w:id="83"/>
      <w:bookmarkEnd w:id="8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85" w:name="_Toc17278657"/>
      <w:bookmarkStart w:id="86" w:name="_Toc180204755"/>
      <w:bookmarkStart w:id="87" w:name="_Toc233611645"/>
      <w:bookmarkStart w:id="88" w:name="_Toc487428950"/>
      <w:r>
        <w:rPr>
          <w:rStyle w:val="CharSectno"/>
        </w:rPr>
        <w:t>8B</w:t>
      </w:r>
      <w:r>
        <w:t>.</w:t>
      </w:r>
      <w:r>
        <w:tab/>
        <w:t>Government trading organisation and non</w:t>
      </w:r>
      <w:r>
        <w:noBreakHyphen/>
        <w:t>commercial Government property</w:t>
      </w:r>
      <w:bookmarkEnd w:id="85"/>
      <w:bookmarkEnd w:id="86"/>
      <w:bookmarkEnd w:id="87"/>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89" w:name="_Toc17278658"/>
      <w:bookmarkStart w:id="90" w:name="_Toc180204756"/>
      <w:bookmarkStart w:id="91" w:name="_Toc233611646"/>
      <w:r>
        <w:rPr>
          <w:rStyle w:val="CharSectno"/>
        </w:rPr>
        <w:t>8BA</w:t>
      </w:r>
      <w:r>
        <w:rPr>
          <w:snapToGrid w:val="0"/>
        </w:rPr>
        <w:t>.</w:t>
      </w:r>
      <w:r>
        <w:rPr>
          <w:snapToGrid w:val="0"/>
        </w:rPr>
        <w:tab/>
        <w:t>Annual charges to Government trading organisations that supply water to lessees or ships</w:t>
      </w:r>
      <w:bookmarkEnd w:id="88"/>
      <w:bookmarkEnd w:id="89"/>
      <w:bookmarkEnd w:id="90"/>
      <w:bookmarkEnd w:id="91"/>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92" w:name="_Toc487428951"/>
      <w:bookmarkStart w:id="93" w:name="_Toc17278659"/>
      <w:bookmarkStart w:id="94" w:name="_Toc180204757"/>
      <w:bookmarkStart w:id="95" w:name="_Toc233611647"/>
      <w:r>
        <w:rPr>
          <w:rStyle w:val="CharSectno"/>
        </w:rPr>
        <w:t>9</w:t>
      </w:r>
      <w:r>
        <w:rPr>
          <w:snapToGrid w:val="0"/>
        </w:rPr>
        <w:t>.</w:t>
      </w:r>
      <w:r>
        <w:rPr>
          <w:snapToGrid w:val="0"/>
        </w:rPr>
        <w:tab/>
        <w:t>Interest on overdue amounts</w:t>
      </w:r>
      <w:bookmarkEnd w:id="92"/>
      <w:bookmarkEnd w:id="93"/>
      <w:bookmarkEnd w:id="94"/>
      <w:bookmarkEnd w:id="95"/>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96" w:name="_Toc487428952"/>
      <w:bookmarkStart w:id="97" w:name="_Toc17278660"/>
      <w:bookmarkStart w:id="98" w:name="_Toc180204758"/>
      <w:bookmarkStart w:id="99" w:name="_Toc233611648"/>
      <w:r>
        <w:rPr>
          <w:rStyle w:val="CharSectno"/>
        </w:rPr>
        <w:t>9A</w:t>
      </w:r>
      <w:r>
        <w:rPr>
          <w:snapToGrid w:val="0"/>
        </w:rPr>
        <w:t>.</w:t>
      </w:r>
      <w:r>
        <w:rPr>
          <w:snapToGrid w:val="0"/>
        </w:rPr>
        <w:tab/>
        <w:t>Amounts rounded</w:t>
      </w:r>
      <w:bookmarkEnd w:id="96"/>
      <w:bookmarkEnd w:id="97"/>
      <w:bookmarkEnd w:id="98"/>
      <w:bookmarkEnd w:id="99"/>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00" w:name="_Toc180204759"/>
      <w:bookmarkStart w:id="101" w:name="_Toc233611649"/>
      <w:bookmarkStart w:id="102" w:name="_Toc91580413"/>
      <w:bookmarkStart w:id="103" w:name="_Toc103667098"/>
      <w:bookmarkStart w:id="104" w:name="_Toc103741617"/>
      <w:bookmarkStart w:id="105" w:name="_Toc107981860"/>
      <w:bookmarkStart w:id="106" w:name="_Toc118800027"/>
      <w:bookmarkStart w:id="107" w:name="_Toc118860035"/>
      <w:bookmarkStart w:id="108" w:name="_Toc121545535"/>
      <w:bookmarkStart w:id="109" w:name="_Toc121801058"/>
      <w:bookmarkStart w:id="110" w:name="_Toc121818171"/>
      <w:bookmarkStart w:id="111" w:name="_Toc121880781"/>
      <w:bookmarkStart w:id="112" w:name="_Toc129481852"/>
      <w:bookmarkStart w:id="113" w:name="_Toc130095221"/>
      <w:bookmarkStart w:id="114" w:name="_Toc130273285"/>
      <w:r>
        <w:rPr>
          <w:rStyle w:val="CharSectno"/>
        </w:rPr>
        <w:t>9B</w:t>
      </w:r>
      <w:r>
        <w:t>.</w:t>
      </w:r>
      <w:r>
        <w:tab/>
        <w:t>Calculations, including maxima, for various GRV based charges</w:t>
      </w:r>
      <w:bookmarkEnd w:id="100"/>
      <w:bookmarkEnd w:id="101"/>
    </w:p>
    <w:p>
      <w:pPr>
        <w:pStyle w:val="Subsection"/>
      </w:pPr>
      <w:r>
        <w:tab/>
        <w:t>(1)</w:t>
      </w:r>
      <w:r>
        <w:tab/>
        <w:t>Where a charge that is determined by reference to the GRV of the relevant land under Schedule 3 items 8 or 10, or Schedule 4 items 3, 4 or 5, for the current year, is more than 14.2% greater than the charge calculated for the same service (and under the same circumstances) in the previous year, the charge is only payable up to that 14.2%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 27 Jun 2008 p. 2985; 19 Jun 2009 p. 2322.]</w:t>
      </w:r>
    </w:p>
    <w:p>
      <w:pPr>
        <w:pStyle w:val="Heading2"/>
      </w:pPr>
      <w:bookmarkStart w:id="115" w:name="_Toc139770958"/>
      <w:bookmarkStart w:id="116" w:name="_Toc139771336"/>
      <w:bookmarkStart w:id="117" w:name="_Toc151191551"/>
      <w:bookmarkStart w:id="118" w:name="_Toc151260444"/>
      <w:bookmarkStart w:id="119" w:name="_Toc164158549"/>
      <w:bookmarkStart w:id="120" w:name="_Toc164220921"/>
      <w:bookmarkStart w:id="121" w:name="_Toc170878880"/>
      <w:bookmarkStart w:id="122" w:name="_Toc170894633"/>
      <w:bookmarkStart w:id="123" w:name="_Toc175712599"/>
      <w:bookmarkStart w:id="124" w:name="_Toc175970540"/>
      <w:bookmarkStart w:id="125" w:name="_Toc176335259"/>
      <w:bookmarkStart w:id="126" w:name="_Toc176338834"/>
      <w:bookmarkStart w:id="127" w:name="_Toc178742859"/>
      <w:bookmarkStart w:id="128" w:name="_Toc179363282"/>
      <w:bookmarkStart w:id="129" w:name="_Toc179604351"/>
      <w:bookmarkStart w:id="130" w:name="_Toc180204544"/>
      <w:bookmarkStart w:id="131" w:name="_Toc180204760"/>
      <w:bookmarkStart w:id="132" w:name="_Toc185844505"/>
      <w:bookmarkStart w:id="133" w:name="_Toc185845125"/>
      <w:bookmarkStart w:id="134" w:name="_Toc185927090"/>
      <w:bookmarkStart w:id="135" w:name="_Toc202505838"/>
      <w:bookmarkStart w:id="136" w:name="_Toc202672623"/>
      <w:bookmarkStart w:id="137" w:name="_Toc202691714"/>
      <w:bookmarkStart w:id="138" w:name="_Toc233448336"/>
      <w:bookmarkStart w:id="139" w:name="_Toc233611650"/>
      <w:r>
        <w:rPr>
          <w:rStyle w:val="CharPartNo"/>
        </w:rPr>
        <w:t>Part 2</w:t>
      </w:r>
      <w:r>
        <w:t> — </w:t>
      </w:r>
      <w:r>
        <w:rPr>
          <w:rStyle w:val="CharPartText"/>
        </w:rPr>
        <w:t>Water supply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rPr>
          <w:snapToGrid w:val="0"/>
          <w:spacing w:val="-4"/>
        </w:rPr>
      </w:pPr>
      <w:bookmarkStart w:id="140" w:name="_Toc91580414"/>
      <w:bookmarkStart w:id="141" w:name="_Toc103667099"/>
      <w:bookmarkStart w:id="142" w:name="_Toc103741618"/>
      <w:bookmarkStart w:id="143" w:name="_Toc107981861"/>
      <w:bookmarkStart w:id="144" w:name="_Toc118800028"/>
      <w:bookmarkStart w:id="145" w:name="_Toc118860036"/>
      <w:bookmarkStart w:id="146" w:name="_Toc121545536"/>
      <w:bookmarkStart w:id="147" w:name="_Toc121801059"/>
      <w:bookmarkStart w:id="148" w:name="_Toc121818172"/>
      <w:bookmarkStart w:id="149" w:name="_Toc121880782"/>
      <w:bookmarkStart w:id="150" w:name="_Toc129481853"/>
      <w:bookmarkStart w:id="151" w:name="_Toc130095222"/>
      <w:bookmarkStart w:id="152" w:name="_Toc130273286"/>
      <w:bookmarkStart w:id="153" w:name="_Toc139770959"/>
      <w:bookmarkStart w:id="154" w:name="_Toc139771337"/>
      <w:bookmarkStart w:id="155" w:name="_Toc151191552"/>
      <w:bookmarkStart w:id="156" w:name="_Toc151260445"/>
      <w:bookmarkStart w:id="157" w:name="_Toc164158550"/>
      <w:bookmarkStart w:id="158" w:name="_Toc164220922"/>
      <w:bookmarkStart w:id="159" w:name="_Toc170878881"/>
      <w:bookmarkStart w:id="160" w:name="_Toc170894634"/>
      <w:bookmarkStart w:id="161" w:name="_Toc175712600"/>
      <w:bookmarkStart w:id="162" w:name="_Toc175970541"/>
      <w:bookmarkStart w:id="163" w:name="_Toc176335260"/>
      <w:bookmarkStart w:id="164" w:name="_Toc176338835"/>
      <w:bookmarkStart w:id="165" w:name="_Toc178742860"/>
      <w:bookmarkStart w:id="166" w:name="_Toc179363283"/>
      <w:bookmarkStart w:id="167" w:name="_Toc179604352"/>
      <w:bookmarkStart w:id="168" w:name="_Toc180204545"/>
      <w:bookmarkStart w:id="169" w:name="_Toc180204761"/>
      <w:bookmarkStart w:id="170" w:name="_Toc185844506"/>
      <w:bookmarkStart w:id="171" w:name="_Toc185845126"/>
      <w:bookmarkStart w:id="172" w:name="_Toc185927091"/>
      <w:bookmarkStart w:id="173" w:name="_Toc202505839"/>
      <w:bookmarkStart w:id="174" w:name="_Toc202672624"/>
      <w:bookmarkStart w:id="175" w:name="_Toc202691715"/>
      <w:bookmarkStart w:id="176" w:name="_Toc233448337"/>
      <w:bookmarkStart w:id="177" w:name="_Toc233611651"/>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87428954"/>
      <w:bookmarkStart w:id="179" w:name="_Toc17278662"/>
      <w:bookmarkStart w:id="180" w:name="_Toc180204762"/>
      <w:bookmarkStart w:id="181" w:name="_Toc233611652"/>
      <w:r>
        <w:rPr>
          <w:rStyle w:val="CharSectno"/>
        </w:rPr>
        <w:t>10</w:t>
      </w:r>
      <w:r>
        <w:rPr>
          <w:snapToGrid w:val="0"/>
        </w:rPr>
        <w:t>.</w:t>
      </w:r>
      <w:r>
        <w:rPr>
          <w:snapToGrid w:val="0"/>
        </w:rPr>
        <w:tab/>
        <w:t>Certain matters to be disregarded</w:t>
      </w:r>
      <w:bookmarkEnd w:id="178"/>
      <w:bookmarkEnd w:id="179"/>
      <w:bookmarkEnd w:id="180"/>
      <w:bookmarkEnd w:id="181"/>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82" w:name="_Toc487428955"/>
      <w:bookmarkStart w:id="183" w:name="_Toc17278663"/>
      <w:bookmarkStart w:id="184" w:name="_Toc180204763"/>
      <w:bookmarkStart w:id="185" w:name="_Toc233611653"/>
      <w:r>
        <w:rPr>
          <w:rStyle w:val="CharSectno"/>
        </w:rPr>
        <w:t>11</w:t>
      </w:r>
      <w:r>
        <w:rPr>
          <w:snapToGrid w:val="0"/>
        </w:rPr>
        <w:t>.</w:t>
      </w:r>
      <w:r>
        <w:rPr>
          <w:snapToGrid w:val="0"/>
        </w:rPr>
        <w:tab/>
        <w:t>Land subject to water supply charges under this Division</w:t>
      </w:r>
      <w:bookmarkEnd w:id="182"/>
      <w:bookmarkEnd w:id="183"/>
      <w:bookmarkEnd w:id="184"/>
      <w:bookmarkEnd w:id="185"/>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86" w:name="_Toc487428956"/>
      <w:bookmarkStart w:id="187" w:name="_Toc17278664"/>
      <w:bookmarkStart w:id="188" w:name="_Toc180204764"/>
      <w:bookmarkStart w:id="189" w:name="_Toc233611654"/>
      <w:r>
        <w:rPr>
          <w:rStyle w:val="CharSectno"/>
        </w:rPr>
        <w:t>12</w:t>
      </w:r>
      <w:r>
        <w:rPr>
          <w:snapToGrid w:val="0"/>
        </w:rPr>
        <w:t>.</w:t>
      </w:r>
      <w:r>
        <w:rPr>
          <w:snapToGrid w:val="0"/>
        </w:rPr>
        <w:tab/>
        <w:t>Exempt land</w:t>
      </w:r>
      <w:bookmarkEnd w:id="186"/>
      <w:bookmarkEnd w:id="187"/>
      <w:bookmarkEnd w:id="188"/>
      <w:bookmarkEnd w:id="189"/>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90" w:name="_Toc180204765"/>
      <w:bookmarkStart w:id="191" w:name="_Toc233611655"/>
      <w:r>
        <w:rPr>
          <w:rStyle w:val="CharSectno"/>
        </w:rPr>
        <w:t>13</w:t>
      </w:r>
      <w:r>
        <w:t>.</w:t>
      </w:r>
      <w:r>
        <w:tab/>
        <w:t>Classification of land</w:t>
      </w:r>
      <w:bookmarkEnd w:id="190"/>
      <w:bookmarkEnd w:id="191"/>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amended in Gazette 19 Jun 2009 p. 2322.] </w:t>
      </w:r>
    </w:p>
    <w:p>
      <w:pPr>
        <w:pStyle w:val="Ednotesection"/>
      </w:pPr>
      <w:r>
        <w:t>[</w:t>
      </w:r>
      <w:r>
        <w:rPr>
          <w:b/>
        </w:rPr>
        <w:t>13A.</w:t>
      </w:r>
      <w:r>
        <w:tab/>
        <w:t>Deleted in Gazette 29 Jun 1988 p. 2113.]</w:t>
      </w:r>
    </w:p>
    <w:p>
      <w:pPr>
        <w:pStyle w:val="Heading5"/>
        <w:rPr>
          <w:snapToGrid w:val="0"/>
        </w:rPr>
      </w:pPr>
      <w:bookmarkStart w:id="192" w:name="_Toc487428958"/>
      <w:bookmarkStart w:id="193" w:name="_Toc17278666"/>
      <w:bookmarkStart w:id="194" w:name="_Toc180204766"/>
      <w:bookmarkStart w:id="195" w:name="_Toc233611656"/>
      <w:r>
        <w:rPr>
          <w:rStyle w:val="CharSectno"/>
        </w:rPr>
        <w:t>14</w:t>
      </w:r>
      <w:r>
        <w:rPr>
          <w:snapToGrid w:val="0"/>
        </w:rPr>
        <w:t>.</w:t>
      </w:r>
      <w:r>
        <w:rPr>
          <w:snapToGrid w:val="0"/>
        </w:rPr>
        <w:tab/>
        <w:t>Indexation of certain valuations</w:t>
      </w:r>
      <w:bookmarkEnd w:id="192"/>
      <w:bookmarkEnd w:id="193"/>
      <w:bookmarkEnd w:id="194"/>
      <w:bookmarkEnd w:id="195"/>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196" w:name="_Toc487428960"/>
      <w:bookmarkStart w:id="197" w:name="_Toc17278667"/>
      <w:bookmarkStart w:id="198" w:name="_Toc180204767"/>
      <w:bookmarkStart w:id="199" w:name="_Toc233611657"/>
      <w:r>
        <w:rPr>
          <w:rStyle w:val="CharSectno"/>
        </w:rPr>
        <w:t>16</w:t>
      </w:r>
      <w:r>
        <w:rPr>
          <w:snapToGrid w:val="0"/>
        </w:rPr>
        <w:t>.</w:t>
      </w:r>
      <w:r>
        <w:rPr>
          <w:snapToGrid w:val="0"/>
        </w:rPr>
        <w:tab/>
        <w:t>Discrete residential units</w:t>
      </w:r>
      <w:bookmarkEnd w:id="196"/>
      <w:bookmarkEnd w:id="197"/>
      <w:bookmarkEnd w:id="198"/>
      <w:bookmarkEnd w:id="199"/>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00" w:name="_Toc487428961"/>
      <w:bookmarkStart w:id="201" w:name="_Toc17278668"/>
      <w:bookmarkStart w:id="202" w:name="_Toc180204768"/>
      <w:bookmarkStart w:id="203" w:name="_Toc233611658"/>
      <w:r>
        <w:rPr>
          <w:rStyle w:val="CharSectno"/>
        </w:rPr>
        <w:t>17</w:t>
      </w:r>
      <w:r>
        <w:rPr>
          <w:snapToGrid w:val="0"/>
        </w:rPr>
        <w:t>.</w:t>
      </w:r>
      <w:r>
        <w:rPr>
          <w:snapToGrid w:val="0"/>
        </w:rPr>
        <w:tab/>
        <w:t>Quantity charges for the supply of water</w:t>
      </w:r>
      <w:bookmarkEnd w:id="200"/>
      <w:bookmarkEnd w:id="201"/>
      <w:bookmarkEnd w:id="202"/>
      <w:bookmarkEnd w:id="203"/>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04" w:name="_Toc487428962"/>
      <w:bookmarkStart w:id="205" w:name="_Toc17278669"/>
      <w:bookmarkStart w:id="206" w:name="_Toc180204769"/>
      <w:bookmarkStart w:id="207" w:name="_Toc233611659"/>
      <w:r>
        <w:rPr>
          <w:rStyle w:val="CharSectno"/>
        </w:rPr>
        <w:t>17A</w:t>
      </w:r>
      <w:r>
        <w:rPr>
          <w:snapToGrid w:val="0"/>
        </w:rPr>
        <w:t>.</w:t>
      </w:r>
      <w:r>
        <w:rPr>
          <w:snapToGrid w:val="0"/>
        </w:rPr>
        <w:tab/>
        <w:t>Caravan parks</w:t>
      </w:r>
      <w:bookmarkEnd w:id="204"/>
      <w:bookmarkEnd w:id="205"/>
      <w:bookmarkEnd w:id="206"/>
      <w:bookmarkEnd w:id="207"/>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w:t>
      </w:r>
    </w:p>
    <w:p>
      <w:pPr>
        <w:pStyle w:val="Heading5"/>
        <w:rPr>
          <w:snapToGrid w:val="0"/>
        </w:rPr>
      </w:pPr>
      <w:bookmarkStart w:id="208" w:name="_Toc17278670"/>
      <w:bookmarkStart w:id="209" w:name="_Toc180204770"/>
      <w:bookmarkStart w:id="210" w:name="_Toc233611660"/>
      <w:bookmarkStart w:id="211"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08"/>
      <w:bookmarkEnd w:id="209"/>
      <w:bookmarkEnd w:id="210"/>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12" w:name="_Toc17278671"/>
      <w:bookmarkStart w:id="213" w:name="_Toc180204771"/>
      <w:bookmarkStart w:id="214" w:name="_Toc233611661"/>
      <w:r>
        <w:rPr>
          <w:rStyle w:val="CharSectno"/>
        </w:rPr>
        <w:t>17C</w:t>
      </w:r>
      <w:r>
        <w:t>.</w:t>
      </w:r>
      <w:r>
        <w:tab/>
        <w:t>Non</w:t>
      </w:r>
      <w:r>
        <w:noBreakHyphen/>
        <w:t>metropolitan, non</w:t>
      </w:r>
      <w:r>
        <w:noBreakHyphen/>
        <w:t>strata titled, Commercial or Industrial property water supply charges</w:t>
      </w:r>
      <w:bookmarkEnd w:id="211"/>
      <w:bookmarkEnd w:id="212"/>
      <w:bookmarkEnd w:id="213"/>
      <w:bookmarkEnd w:id="214"/>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14.2% greater than the charge calculated for the same service (and under the same circumstances) in the previous year, the charge is only payable up to that 14.2%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w:t>
      </w:r>
    </w:p>
    <w:p>
      <w:pPr>
        <w:pStyle w:val="Heading5"/>
        <w:rPr>
          <w:snapToGrid w:val="0"/>
        </w:rPr>
      </w:pPr>
      <w:bookmarkStart w:id="215" w:name="_Toc487428965"/>
      <w:bookmarkStart w:id="216" w:name="_Toc17278672"/>
      <w:bookmarkStart w:id="217" w:name="_Toc180204772"/>
      <w:bookmarkStart w:id="218" w:name="_Toc233611662"/>
      <w:r>
        <w:rPr>
          <w:rStyle w:val="CharSectno"/>
        </w:rPr>
        <w:t>17D</w:t>
      </w:r>
      <w:r>
        <w:rPr>
          <w:snapToGrid w:val="0"/>
        </w:rPr>
        <w:t>.</w:t>
      </w:r>
      <w:r>
        <w:rPr>
          <w:snapToGrid w:val="0"/>
        </w:rPr>
        <w:tab/>
        <w:t>Various non</w:t>
      </w:r>
      <w:r>
        <w:rPr>
          <w:snapToGrid w:val="0"/>
        </w:rPr>
        <w:noBreakHyphen/>
        <w:t>metropolitan water supply charges and classifications</w:t>
      </w:r>
      <w:bookmarkEnd w:id="215"/>
      <w:bookmarkEnd w:id="216"/>
      <w:bookmarkEnd w:id="217"/>
      <w:bookmarkEnd w:id="218"/>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19" w:name="_Toc487428966"/>
      <w:bookmarkStart w:id="220" w:name="_Toc17278673"/>
      <w:bookmarkStart w:id="221" w:name="_Toc180204773"/>
      <w:bookmarkStart w:id="222" w:name="_Toc233611663"/>
      <w:r>
        <w:rPr>
          <w:rStyle w:val="CharSectno"/>
        </w:rPr>
        <w:t>18</w:t>
      </w:r>
      <w:r>
        <w:rPr>
          <w:snapToGrid w:val="0"/>
        </w:rPr>
        <w:t>.</w:t>
      </w:r>
      <w:r>
        <w:rPr>
          <w:snapToGrid w:val="0"/>
        </w:rPr>
        <w:tab/>
        <w:t>Concessional non</w:t>
      </w:r>
      <w:r>
        <w:rPr>
          <w:snapToGrid w:val="0"/>
        </w:rPr>
        <w:noBreakHyphen/>
        <w:t>metropolitan quantity charge</w:t>
      </w:r>
      <w:bookmarkEnd w:id="219"/>
      <w:bookmarkEnd w:id="220"/>
      <w:bookmarkEnd w:id="221"/>
      <w:bookmarkEnd w:id="222"/>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23" w:name="_Toc487428967"/>
      <w:bookmarkStart w:id="224" w:name="_Toc17278674"/>
      <w:bookmarkStart w:id="225" w:name="_Toc180204774"/>
      <w:bookmarkStart w:id="226" w:name="_Toc233611664"/>
      <w:r>
        <w:rPr>
          <w:rStyle w:val="CharSectno"/>
        </w:rPr>
        <w:t>18A</w:t>
      </w:r>
      <w:r>
        <w:rPr>
          <w:snapToGrid w:val="0"/>
        </w:rPr>
        <w:t>.</w:t>
      </w:r>
      <w:r>
        <w:rPr>
          <w:snapToGrid w:val="0"/>
        </w:rPr>
        <w:tab/>
        <w:t>Concessional metropolitan quantity charge</w:t>
      </w:r>
      <w:bookmarkEnd w:id="223"/>
      <w:bookmarkEnd w:id="224"/>
      <w:bookmarkEnd w:id="225"/>
      <w:bookmarkEnd w:id="226"/>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227" w:name="_Toc487428968"/>
      <w:bookmarkStart w:id="228" w:name="_Toc17278675"/>
      <w:bookmarkStart w:id="229" w:name="_Toc180204775"/>
      <w:bookmarkStart w:id="230" w:name="_Toc233611665"/>
      <w:r>
        <w:rPr>
          <w:rStyle w:val="CharSectno"/>
        </w:rPr>
        <w:t>18B</w:t>
      </w:r>
      <w:r>
        <w:rPr>
          <w:snapToGrid w:val="0"/>
        </w:rPr>
        <w:t>.</w:t>
      </w:r>
      <w:r>
        <w:rPr>
          <w:snapToGrid w:val="0"/>
        </w:rPr>
        <w:tab/>
        <w:t>Residential multi</w:t>
      </w:r>
      <w:r>
        <w:rPr>
          <w:snapToGrid w:val="0"/>
        </w:rPr>
        <w:noBreakHyphen/>
        <w:t>unit properties — rebates for eligible pensioners</w:t>
      </w:r>
      <w:bookmarkEnd w:id="227"/>
      <w:bookmarkEnd w:id="228"/>
      <w:bookmarkEnd w:id="229"/>
      <w:bookmarkEnd w:id="230"/>
    </w:p>
    <w:p>
      <w:pPr>
        <w:pStyle w:val="Subsection"/>
        <w:spacing w:before="100"/>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Deleted in Gazette 26 Jun 1998 p. 3400.]</w:t>
      </w:r>
    </w:p>
    <w:p>
      <w:pPr>
        <w:pStyle w:val="Heading5"/>
        <w:rPr>
          <w:snapToGrid w:val="0"/>
        </w:rPr>
      </w:pPr>
      <w:bookmarkStart w:id="231" w:name="_Toc487428969"/>
      <w:bookmarkStart w:id="232" w:name="_Toc17278676"/>
      <w:bookmarkStart w:id="233" w:name="_Toc180204776"/>
      <w:bookmarkStart w:id="234" w:name="_Toc233611666"/>
      <w:r>
        <w:rPr>
          <w:rStyle w:val="CharSectno"/>
        </w:rPr>
        <w:t>19A</w:t>
      </w:r>
      <w:r>
        <w:rPr>
          <w:snapToGrid w:val="0"/>
        </w:rPr>
        <w:t>.</w:t>
      </w:r>
      <w:r>
        <w:rPr>
          <w:snapToGrid w:val="0"/>
        </w:rPr>
        <w:tab/>
        <w:t>Capital infrastructure charges</w:t>
      </w:r>
      <w:bookmarkEnd w:id="231"/>
      <w:bookmarkEnd w:id="232"/>
      <w:bookmarkEnd w:id="233"/>
      <w:bookmarkEnd w:id="23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35" w:name="_Toc91580430"/>
      <w:bookmarkStart w:id="236" w:name="_Toc103667115"/>
      <w:bookmarkStart w:id="237" w:name="_Toc103741634"/>
      <w:bookmarkStart w:id="238" w:name="_Toc107981877"/>
      <w:bookmarkStart w:id="239" w:name="_Toc118800044"/>
      <w:bookmarkStart w:id="240" w:name="_Toc118860052"/>
      <w:bookmarkStart w:id="241" w:name="_Toc121545552"/>
      <w:bookmarkStart w:id="242" w:name="_Toc121801075"/>
      <w:bookmarkStart w:id="243" w:name="_Toc121818188"/>
      <w:bookmarkStart w:id="244" w:name="_Toc121880798"/>
      <w:bookmarkStart w:id="245" w:name="_Toc129481869"/>
      <w:bookmarkStart w:id="246" w:name="_Toc130095238"/>
      <w:bookmarkStart w:id="247" w:name="_Toc130273302"/>
      <w:bookmarkStart w:id="248" w:name="_Toc139770975"/>
      <w:bookmarkStart w:id="249" w:name="_Toc139771353"/>
      <w:bookmarkStart w:id="250" w:name="_Toc151191568"/>
      <w:bookmarkStart w:id="251" w:name="_Toc151260461"/>
      <w:bookmarkStart w:id="252" w:name="_Toc164158566"/>
      <w:bookmarkStart w:id="253" w:name="_Toc164220938"/>
      <w:bookmarkStart w:id="254" w:name="_Toc170878898"/>
      <w:bookmarkStart w:id="255" w:name="_Toc170894650"/>
      <w:bookmarkStart w:id="256" w:name="_Toc175712616"/>
      <w:bookmarkStart w:id="257" w:name="_Toc175970557"/>
      <w:bookmarkStart w:id="258" w:name="_Toc176335276"/>
      <w:bookmarkStart w:id="259" w:name="_Toc176338851"/>
      <w:bookmarkStart w:id="260" w:name="_Toc178742876"/>
      <w:bookmarkStart w:id="261" w:name="_Toc179363299"/>
      <w:bookmarkStart w:id="262" w:name="_Toc179604368"/>
      <w:bookmarkStart w:id="263" w:name="_Toc180204561"/>
      <w:bookmarkStart w:id="264" w:name="_Toc180204777"/>
      <w:bookmarkStart w:id="265" w:name="_Toc185844522"/>
      <w:bookmarkStart w:id="266" w:name="_Toc185845142"/>
      <w:bookmarkStart w:id="267" w:name="_Toc185927107"/>
      <w:bookmarkStart w:id="268" w:name="_Toc202505855"/>
      <w:bookmarkStart w:id="269" w:name="_Toc202672640"/>
      <w:bookmarkStart w:id="270" w:name="_Toc202691731"/>
      <w:bookmarkStart w:id="271" w:name="_Toc233448353"/>
      <w:bookmarkStart w:id="272" w:name="_Toc233611667"/>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87428970"/>
      <w:bookmarkStart w:id="274" w:name="_Toc17278677"/>
      <w:bookmarkStart w:id="275" w:name="_Toc180204778"/>
      <w:bookmarkStart w:id="276" w:name="_Toc233611668"/>
      <w:r>
        <w:rPr>
          <w:rStyle w:val="CharSectno"/>
        </w:rPr>
        <w:t>20</w:t>
      </w:r>
      <w:r>
        <w:rPr>
          <w:snapToGrid w:val="0"/>
        </w:rPr>
        <w:t>.</w:t>
      </w:r>
      <w:r>
        <w:rPr>
          <w:snapToGrid w:val="0"/>
        </w:rPr>
        <w:tab/>
        <w:t>Land subject to water supply charges under this Division</w:t>
      </w:r>
      <w:bookmarkEnd w:id="273"/>
      <w:bookmarkEnd w:id="274"/>
      <w:bookmarkEnd w:id="275"/>
      <w:bookmarkEnd w:id="276"/>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277" w:name="_Toc91580432"/>
      <w:bookmarkStart w:id="278" w:name="_Toc103667117"/>
      <w:bookmarkStart w:id="279" w:name="_Toc103741636"/>
      <w:bookmarkStart w:id="280" w:name="_Toc107981879"/>
      <w:bookmarkStart w:id="281" w:name="_Toc118800046"/>
      <w:bookmarkStart w:id="282" w:name="_Toc118860054"/>
      <w:bookmarkStart w:id="283" w:name="_Toc121545554"/>
      <w:bookmarkStart w:id="284" w:name="_Toc121801077"/>
      <w:bookmarkStart w:id="285" w:name="_Toc121818190"/>
      <w:bookmarkStart w:id="286" w:name="_Toc121880800"/>
      <w:bookmarkStart w:id="287" w:name="_Toc129481871"/>
      <w:bookmarkStart w:id="288" w:name="_Toc130095240"/>
      <w:bookmarkStart w:id="289" w:name="_Toc130273304"/>
      <w:bookmarkStart w:id="290" w:name="_Toc139770977"/>
      <w:bookmarkStart w:id="291" w:name="_Toc139771355"/>
      <w:bookmarkStart w:id="292" w:name="_Toc151191570"/>
      <w:bookmarkStart w:id="293" w:name="_Toc151260463"/>
      <w:bookmarkStart w:id="294" w:name="_Toc164158568"/>
      <w:bookmarkStart w:id="295" w:name="_Toc164220940"/>
      <w:bookmarkStart w:id="296" w:name="_Toc170878900"/>
      <w:bookmarkStart w:id="297" w:name="_Toc170894652"/>
      <w:bookmarkStart w:id="298" w:name="_Toc175712618"/>
      <w:bookmarkStart w:id="299" w:name="_Toc175970559"/>
      <w:bookmarkStart w:id="300" w:name="_Toc176335278"/>
      <w:bookmarkStart w:id="301" w:name="_Toc176338853"/>
      <w:bookmarkStart w:id="302" w:name="_Toc178742878"/>
      <w:bookmarkStart w:id="303" w:name="_Toc179363301"/>
      <w:bookmarkStart w:id="304" w:name="_Toc179604370"/>
      <w:bookmarkStart w:id="305" w:name="_Toc180204563"/>
      <w:bookmarkStart w:id="306" w:name="_Toc180204779"/>
      <w:bookmarkStart w:id="307" w:name="_Toc185844524"/>
      <w:bookmarkStart w:id="308" w:name="_Toc185845144"/>
      <w:bookmarkStart w:id="309" w:name="_Toc185927109"/>
      <w:bookmarkStart w:id="310" w:name="_Toc202505857"/>
      <w:bookmarkStart w:id="311" w:name="_Toc202672642"/>
      <w:bookmarkStart w:id="312" w:name="_Toc202691733"/>
      <w:bookmarkStart w:id="313" w:name="_Toc233448355"/>
      <w:bookmarkStart w:id="314" w:name="_Toc233611669"/>
      <w:r>
        <w:rPr>
          <w:rStyle w:val="CharPartNo"/>
        </w:rPr>
        <w:t>Part 3</w:t>
      </w:r>
      <w:r>
        <w:rPr>
          <w:rStyle w:val="CharDivNo"/>
        </w:rPr>
        <w:t> </w:t>
      </w:r>
      <w:r>
        <w:t>—</w:t>
      </w:r>
      <w:r>
        <w:rPr>
          <w:rStyle w:val="CharDivText"/>
        </w:rPr>
        <w:t> </w:t>
      </w:r>
      <w:r>
        <w:rPr>
          <w:rStyle w:val="CharPartText"/>
        </w:rPr>
        <w:t>Sewerage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80204780"/>
      <w:bookmarkStart w:id="316" w:name="_Toc233611670"/>
      <w:bookmarkStart w:id="317" w:name="_Toc487428972"/>
      <w:bookmarkStart w:id="318" w:name="_Toc17278679"/>
      <w:r>
        <w:rPr>
          <w:rStyle w:val="CharSectno"/>
        </w:rPr>
        <w:t>21A</w:t>
      </w:r>
      <w:r>
        <w:t>.</w:t>
      </w:r>
      <w:r>
        <w:tab/>
        <w:t>Terms used in this Part</w:t>
      </w:r>
      <w:bookmarkEnd w:id="315"/>
      <w:bookmarkEnd w:id="316"/>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19" w:name="_Toc180204781"/>
      <w:bookmarkStart w:id="320" w:name="_Toc233611671"/>
      <w:r>
        <w:rPr>
          <w:rStyle w:val="CharSectno"/>
        </w:rPr>
        <w:t>21</w:t>
      </w:r>
      <w:r>
        <w:rPr>
          <w:snapToGrid w:val="0"/>
        </w:rPr>
        <w:t>.</w:t>
      </w:r>
      <w:r>
        <w:rPr>
          <w:snapToGrid w:val="0"/>
        </w:rPr>
        <w:tab/>
        <w:t>Land subject to sewerage charges</w:t>
      </w:r>
      <w:bookmarkEnd w:id="317"/>
      <w:bookmarkEnd w:id="318"/>
      <w:bookmarkEnd w:id="319"/>
      <w:bookmarkEnd w:id="320"/>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321" w:name="_Toc487428973"/>
      <w:bookmarkStart w:id="322" w:name="_Toc17278680"/>
      <w:bookmarkStart w:id="323" w:name="_Toc180204782"/>
      <w:bookmarkStart w:id="324" w:name="_Toc233611672"/>
      <w:r>
        <w:rPr>
          <w:rStyle w:val="CharSectno"/>
        </w:rPr>
        <w:t>22</w:t>
      </w:r>
      <w:r>
        <w:rPr>
          <w:snapToGrid w:val="0"/>
        </w:rPr>
        <w:t>.</w:t>
      </w:r>
      <w:r>
        <w:rPr>
          <w:snapToGrid w:val="0"/>
        </w:rPr>
        <w:tab/>
        <w:t>Exempt land</w:t>
      </w:r>
      <w:bookmarkEnd w:id="321"/>
      <w:bookmarkEnd w:id="322"/>
      <w:bookmarkEnd w:id="323"/>
      <w:bookmarkEnd w:id="324"/>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325" w:name="_Toc180204783"/>
      <w:bookmarkStart w:id="326" w:name="_Toc233611673"/>
      <w:bookmarkStart w:id="327" w:name="_Toc487428975"/>
      <w:bookmarkStart w:id="328" w:name="_Toc17278682"/>
      <w:r>
        <w:rPr>
          <w:rStyle w:val="CharSectno"/>
        </w:rPr>
        <w:t>23.</w:t>
      </w:r>
      <w:r>
        <w:rPr>
          <w:rStyle w:val="CharSectno"/>
        </w:rPr>
        <w:tab/>
        <w:t>Classification of land</w:t>
      </w:r>
      <w:bookmarkEnd w:id="325"/>
      <w:bookmarkEnd w:id="326"/>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amended in Gazette 19 Jun 2009 p. 2322.] </w:t>
      </w:r>
    </w:p>
    <w:p>
      <w:pPr>
        <w:pStyle w:val="Heading5"/>
        <w:rPr>
          <w:snapToGrid w:val="0"/>
        </w:rPr>
      </w:pPr>
      <w:bookmarkStart w:id="329" w:name="_Toc180204784"/>
      <w:bookmarkStart w:id="330" w:name="_Toc233611674"/>
      <w:r>
        <w:rPr>
          <w:rStyle w:val="CharSectno"/>
        </w:rPr>
        <w:t>24</w:t>
      </w:r>
      <w:r>
        <w:rPr>
          <w:snapToGrid w:val="0"/>
        </w:rPr>
        <w:t>.</w:t>
      </w:r>
      <w:r>
        <w:rPr>
          <w:snapToGrid w:val="0"/>
        </w:rPr>
        <w:tab/>
        <w:t>Indexation of certain valuations</w:t>
      </w:r>
      <w:bookmarkEnd w:id="327"/>
      <w:bookmarkEnd w:id="328"/>
      <w:bookmarkEnd w:id="329"/>
      <w:bookmarkEnd w:id="330"/>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331" w:name="_Toc487428977"/>
      <w:bookmarkStart w:id="332" w:name="_Toc17278683"/>
      <w:bookmarkStart w:id="333" w:name="_Toc180204785"/>
      <w:bookmarkStart w:id="334" w:name="_Toc233611675"/>
      <w:r>
        <w:rPr>
          <w:rStyle w:val="CharSectno"/>
        </w:rPr>
        <w:t>25A</w:t>
      </w:r>
      <w:r>
        <w:rPr>
          <w:snapToGrid w:val="0"/>
        </w:rPr>
        <w:t>.</w:t>
      </w:r>
      <w:r>
        <w:rPr>
          <w:snapToGrid w:val="0"/>
        </w:rPr>
        <w:tab/>
        <w:t>Metered metropolitan non</w:t>
      </w:r>
      <w:r>
        <w:rPr>
          <w:snapToGrid w:val="0"/>
        </w:rPr>
        <w:noBreakHyphen/>
        <w:t>residential property sewerage charges</w:t>
      </w:r>
      <w:bookmarkEnd w:id="331"/>
      <w:bookmarkEnd w:id="332"/>
      <w:bookmarkEnd w:id="333"/>
      <w:bookmarkEnd w:id="334"/>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14.2% </w:t>
      </w:r>
      <w:r>
        <w:rPr>
          <w:snapToGrid w:val="0"/>
        </w:rPr>
        <w:t xml:space="preserve">greater than the charge calculated for the same service (and under the same circumstances) in the previous year, the charge is only payable up to that </w:t>
      </w:r>
      <w:r>
        <w:t xml:space="preserve">14.2%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w:t>
      </w:r>
    </w:p>
    <w:p>
      <w:pPr>
        <w:pStyle w:val="Heading5"/>
        <w:keepLines w:val="0"/>
        <w:spacing w:before="180"/>
        <w:rPr>
          <w:snapToGrid w:val="0"/>
        </w:rPr>
      </w:pPr>
      <w:bookmarkStart w:id="335" w:name="_Toc487428978"/>
      <w:bookmarkStart w:id="336" w:name="_Toc17278684"/>
      <w:bookmarkStart w:id="337" w:name="_Toc180204786"/>
      <w:bookmarkStart w:id="338" w:name="_Toc233611676"/>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35"/>
      <w:bookmarkEnd w:id="336"/>
      <w:bookmarkEnd w:id="337"/>
      <w:bookmarkEnd w:id="338"/>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39" w:name="_Toc487428979"/>
      <w:bookmarkStart w:id="340" w:name="_Toc17278685"/>
      <w:bookmarkStart w:id="341" w:name="_Toc180204787"/>
      <w:bookmarkStart w:id="342" w:name="_Toc233611677"/>
      <w:r>
        <w:rPr>
          <w:rStyle w:val="CharSectno"/>
        </w:rPr>
        <w:t>25C</w:t>
      </w:r>
      <w:r>
        <w:rPr>
          <w:snapToGrid w:val="0"/>
        </w:rPr>
        <w:t>.</w:t>
      </w:r>
      <w:r>
        <w:rPr>
          <w:snapToGrid w:val="0"/>
        </w:rPr>
        <w:tab/>
        <w:t>Charging for shared sewerage fixtures on metropolitan non</w:t>
      </w:r>
      <w:r>
        <w:rPr>
          <w:snapToGrid w:val="0"/>
        </w:rPr>
        <w:noBreakHyphen/>
        <w:t>residential property</w:t>
      </w:r>
      <w:bookmarkEnd w:id="339"/>
      <w:bookmarkEnd w:id="340"/>
      <w:bookmarkEnd w:id="341"/>
      <w:bookmarkEnd w:id="342"/>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343" w:name="_Toc180204788"/>
      <w:bookmarkStart w:id="344" w:name="_Toc233611678"/>
      <w:r>
        <w:rPr>
          <w:rStyle w:val="CharSectno"/>
        </w:rPr>
        <w:t>26</w:t>
      </w:r>
      <w:r>
        <w:t>.</w:t>
      </w:r>
      <w:r>
        <w:tab/>
      </w:r>
      <w:bookmarkStart w:id="345" w:name="_Toc43099247"/>
      <w:r>
        <w:rPr>
          <w:snapToGrid w:val="0"/>
        </w:rPr>
        <w:t xml:space="preserve">Metered country </w:t>
      </w:r>
      <w:r>
        <w:t>non</w:t>
      </w:r>
      <w:r>
        <w:noBreakHyphen/>
        <w:t>residential or commercial residential</w:t>
      </w:r>
      <w:r>
        <w:rPr>
          <w:snapToGrid w:val="0"/>
        </w:rPr>
        <w:t xml:space="preserve"> property sewerage charges</w:t>
      </w:r>
      <w:bookmarkEnd w:id="343"/>
      <w:bookmarkEnd w:id="345"/>
      <w:bookmarkEnd w:id="34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346" w:name="_Toc43099248"/>
      <w:r>
        <w:tab/>
        <w:t>[By</w:t>
      </w:r>
      <w:r>
        <w:noBreakHyphen/>
        <w:t>law 26 inserted in Gazette 27 Jun 2003 p. 2288-90; amended in Gazette 29 Jun 2007 p. 3253.]</w:t>
      </w:r>
    </w:p>
    <w:p>
      <w:pPr>
        <w:pStyle w:val="Heading5"/>
      </w:pPr>
      <w:bookmarkStart w:id="347" w:name="_Toc180204789"/>
      <w:bookmarkStart w:id="348" w:name="_Toc233611679"/>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346"/>
      <w:bookmarkEnd w:id="347"/>
      <w:bookmarkEnd w:id="348"/>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349" w:name="_Toc43099249"/>
      <w:r>
        <w:tab/>
        <w:t>[By</w:t>
      </w:r>
      <w:r>
        <w:noBreakHyphen/>
        <w:t>law 26A inserted in Gazette 27 Jun 2003 p. 2290-1; amended in Gazette 29 Jun 2007 p. 3253.]</w:t>
      </w:r>
    </w:p>
    <w:p>
      <w:pPr>
        <w:pStyle w:val="Heading5"/>
      </w:pPr>
      <w:bookmarkStart w:id="350" w:name="_Toc180204790"/>
      <w:bookmarkStart w:id="351" w:name="_Toc233611680"/>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349"/>
      <w:bookmarkEnd w:id="350"/>
      <w:bookmarkEnd w:id="351"/>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352" w:name="_Toc91580444"/>
      <w:bookmarkStart w:id="353" w:name="_Toc103667129"/>
      <w:bookmarkStart w:id="354" w:name="_Toc103741648"/>
      <w:bookmarkStart w:id="355" w:name="_Toc107981891"/>
      <w:bookmarkStart w:id="356" w:name="_Toc118800058"/>
      <w:bookmarkStart w:id="357" w:name="_Toc118860066"/>
      <w:bookmarkStart w:id="358" w:name="_Toc121545566"/>
      <w:bookmarkStart w:id="359" w:name="_Toc121801089"/>
      <w:bookmarkStart w:id="360" w:name="_Toc121818202"/>
      <w:bookmarkStart w:id="361" w:name="_Toc121880812"/>
      <w:bookmarkStart w:id="362" w:name="_Toc129481883"/>
      <w:bookmarkStart w:id="363" w:name="_Toc130095252"/>
      <w:bookmarkStart w:id="364" w:name="_Toc130273316"/>
      <w:bookmarkStart w:id="365" w:name="_Toc139770989"/>
      <w:bookmarkStart w:id="366" w:name="_Toc139771367"/>
      <w:bookmarkStart w:id="367" w:name="_Toc151191582"/>
      <w:bookmarkStart w:id="368" w:name="_Toc151260475"/>
      <w:bookmarkStart w:id="369" w:name="_Toc164158580"/>
      <w:bookmarkStart w:id="370" w:name="_Toc164220952"/>
      <w:bookmarkStart w:id="371" w:name="_Toc170878913"/>
      <w:bookmarkStart w:id="372" w:name="_Toc170894664"/>
      <w:bookmarkStart w:id="373" w:name="_Toc175712630"/>
      <w:bookmarkStart w:id="374" w:name="_Toc175970571"/>
      <w:bookmarkStart w:id="375" w:name="_Toc176335290"/>
      <w:bookmarkStart w:id="376" w:name="_Toc176338865"/>
      <w:bookmarkStart w:id="377" w:name="_Toc178742890"/>
      <w:bookmarkStart w:id="378" w:name="_Toc179363313"/>
      <w:bookmarkStart w:id="379" w:name="_Toc179604382"/>
      <w:bookmarkStart w:id="380" w:name="_Toc180204575"/>
      <w:bookmarkStart w:id="381" w:name="_Toc180204791"/>
      <w:bookmarkStart w:id="382" w:name="_Toc185844536"/>
      <w:bookmarkStart w:id="383" w:name="_Toc185845156"/>
      <w:bookmarkStart w:id="384" w:name="_Toc185927121"/>
      <w:bookmarkStart w:id="385" w:name="_Toc202505869"/>
      <w:bookmarkStart w:id="386" w:name="_Toc202672654"/>
      <w:bookmarkStart w:id="387" w:name="_Toc202691745"/>
      <w:bookmarkStart w:id="388" w:name="_Toc233448367"/>
      <w:bookmarkStart w:id="389" w:name="_Toc233611681"/>
      <w:r>
        <w:rPr>
          <w:rStyle w:val="CharPartNo"/>
        </w:rPr>
        <w:t>Part 4</w:t>
      </w:r>
      <w:r>
        <w:rPr>
          <w:rStyle w:val="CharDivNo"/>
        </w:rPr>
        <w:t> </w:t>
      </w:r>
      <w:r>
        <w:t>—</w:t>
      </w:r>
      <w:r>
        <w:rPr>
          <w:rStyle w:val="CharDivText"/>
        </w:rPr>
        <w:t> </w:t>
      </w:r>
      <w:r>
        <w:rPr>
          <w:rStyle w:val="CharPartText"/>
        </w:rPr>
        <w:t>Drainage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487428980"/>
      <w:bookmarkStart w:id="391" w:name="_Toc17278686"/>
      <w:bookmarkStart w:id="392" w:name="_Toc180204792"/>
      <w:bookmarkStart w:id="393" w:name="_Toc233611682"/>
      <w:r>
        <w:rPr>
          <w:rStyle w:val="CharSectno"/>
        </w:rPr>
        <w:t>27</w:t>
      </w:r>
      <w:r>
        <w:rPr>
          <w:snapToGrid w:val="0"/>
        </w:rPr>
        <w:t>.</w:t>
      </w:r>
      <w:r>
        <w:rPr>
          <w:snapToGrid w:val="0"/>
        </w:rPr>
        <w:tab/>
        <w:t>Land subject to drainage charges</w:t>
      </w:r>
      <w:bookmarkEnd w:id="390"/>
      <w:bookmarkEnd w:id="391"/>
      <w:bookmarkEnd w:id="392"/>
      <w:bookmarkEnd w:id="393"/>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394" w:name="_Toc487428981"/>
      <w:bookmarkStart w:id="395" w:name="_Toc17278687"/>
      <w:bookmarkStart w:id="396" w:name="_Toc180204793"/>
      <w:bookmarkStart w:id="397" w:name="_Toc233611683"/>
      <w:r>
        <w:rPr>
          <w:rStyle w:val="CharSectno"/>
        </w:rPr>
        <w:t>28</w:t>
      </w:r>
      <w:r>
        <w:rPr>
          <w:snapToGrid w:val="0"/>
        </w:rPr>
        <w:t>.</w:t>
      </w:r>
      <w:r>
        <w:rPr>
          <w:snapToGrid w:val="0"/>
        </w:rPr>
        <w:tab/>
        <w:t>Exempt land</w:t>
      </w:r>
      <w:bookmarkEnd w:id="394"/>
      <w:bookmarkEnd w:id="395"/>
      <w:bookmarkEnd w:id="396"/>
      <w:bookmarkEnd w:id="397"/>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398" w:name="_Toc180204794"/>
      <w:bookmarkStart w:id="399" w:name="_Toc233611684"/>
      <w:r>
        <w:rPr>
          <w:rStyle w:val="CharSectno"/>
        </w:rPr>
        <w:t>29</w:t>
      </w:r>
      <w:r>
        <w:t>.</w:t>
      </w:r>
      <w:r>
        <w:tab/>
        <w:t>Classification of land</w:t>
      </w:r>
      <w:bookmarkEnd w:id="398"/>
      <w:bookmarkEnd w:id="39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amended in Gazette 19 Jun 2009 p. 2323.] </w:t>
      </w:r>
    </w:p>
    <w:p>
      <w:pPr>
        <w:pStyle w:val="Ednotesection"/>
      </w:pPr>
      <w:r>
        <w:t>[</w:t>
      </w:r>
      <w:r>
        <w:rPr>
          <w:b/>
        </w:rPr>
        <w:t>30.</w:t>
      </w:r>
      <w:r>
        <w:tab/>
        <w:t>Deleted in Gazette 1 Jul 2002 p. 3157.]</w:t>
      </w:r>
    </w:p>
    <w:p>
      <w:pPr>
        <w:pStyle w:val="Heading2"/>
      </w:pPr>
      <w:bookmarkStart w:id="400" w:name="_Toc91580448"/>
      <w:bookmarkStart w:id="401" w:name="_Toc103667133"/>
      <w:bookmarkStart w:id="402" w:name="_Toc103741652"/>
      <w:bookmarkStart w:id="403" w:name="_Toc107981895"/>
      <w:bookmarkStart w:id="404" w:name="_Toc118800062"/>
      <w:bookmarkStart w:id="405" w:name="_Toc118860070"/>
      <w:bookmarkStart w:id="406" w:name="_Toc121545570"/>
      <w:bookmarkStart w:id="407" w:name="_Toc121801093"/>
      <w:bookmarkStart w:id="408" w:name="_Toc121818206"/>
      <w:bookmarkStart w:id="409" w:name="_Toc121880816"/>
      <w:bookmarkStart w:id="410" w:name="_Toc129481887"/>
      <w:bookmarkStart w:id="411" w:name="_Toc130095256"/>
      <w:bookmarkStart w:id="412" w:name="_Toc130273320"/>
      <w:bookmarkStart w:id="413" w:name="_Toc139770993"/>
      <w:bookmarkStart w:id="414" w:name="_Toc139771371"/>
      <w:bookmarkStart w:id="415" w:name="_Toc151191586"/>
      <w:bookmarkStart w:id="416" w:name="_Toc151260479"/>
      <w:bookmarkStart w:id="417" w:name="_Toc164158584"/>
      <w:bookmarkStart w:id="418" w:name="_Toc164220956"/>
      <w:bookmarkStart w:id="419" w:name="_Toc170878918"/>
      <w:bookmarkStart w:id="420" w:name="_Toc170894668"/>
      <w:bookmarkStart w:id="421" w:name="_Toc175712634"/>
      <w:bookmarkStart w:id="422" w:name="_Toc175970575"/>
      <w:bookmarkStart w:id="423" w:name="_Toc176335294"/>
      <w:bookmarkStart w:id="424" w:name="_Toc176338869"/>
      <w:bookmarkStart w:id="425" w:name="_Toc178742894"/>
      <w:bookmarkStart w:id="426" w:name="_Toc179363317"/>
      <w:bookmarkStart w:id="427" w:name="_Toc179604386"/>
      <w:bookmarkStart w:id="428" w:name="_Toc180204579"/>
      <w:bookmarkStart w:id="429" w:name="_Toc180204795"/>
      <w:bookmarkStart w:id="430" w:name="_Toc185844540"/>
      <w:bookmarkStart w:id="431" w:name="_Toc185845160"/>
      <w:bookmarkStart w:id="432" w:name="_Toc185927125"/>
      <w:bookmarkStart w:id="433" w:name="_Toc202505873"/>
      <w:bookmarkStart w:id="434" w:name="_Toc202672658"/>
      <w:bookmarkStart w:id="435" w:name="_Toc202691749"/>
      <w:bookmarkStart w:id="436" w:name="_Toc233448371"/>
      <w:bookmarkStart w:id="437" w:name="_Toc233611685"/>
      <w:r>
        <w:rPr>
          <w:rStyle w:val="CharPartNo"/>
        </w:rPr>
        <w:t>Part 5</w:t>
      </w:r>
      <w:r>
        <w:rPr>
          <w:rStyle w:val="CharDivNo"/>
        </w:rPr>
        <w:t> </w:t>
      </w:r>
      <w:r>
        <w:t>—</w:t>
      </w:r>
      <w:r>
        <w:rPr>
          <w:rStyle w:val="CharDivText"/>
        </w:rPr>
        <w:t> </w:t>
      </w:r>
      <w:r>
        <w:rPr>
          <w:rStyle w:val="CharPartText"/>
        </w:rPr>
        <w:t>Irrigation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487428984"/>
      <w:bookmarkStart w:id="439" w:name="_Toc17278689"/>
      <w:bookmarkStart w:id="440" w:name="_Toc180204796"/>
      <w:bookmarkStart w:id="441" w:name="_Toc233611686"/>
      <w:r>
        <w:rPr>
          <w:rStyle w:val="CharSectno"/>
        </w:rPr>
        <w:t>31</w:t>
      </w:r>
      <w:r>
        <w:rPr>
          <w:snapToGrid w:val="0"/>
        </w:rPr>
        <w:t>.</w:t>
      </w:r>
      <w:r>
        <w:rPr>
          <w:snapToGrid w:val="0"/>
        </w:rPr>
        <w:tab/>
        <w:t>Land subject to irrigation charges</w:t>
      </w:r>
      <w:bookmarkEnd w:id="438"/>
      <w:bookmarkEnd w:id="439"/>
      <w:bookmarkEnd w:id="440"/>
      <w:bookmarkEnd w:id="441"/>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442" w:name="_Toc487428985"/>
      <w:bookmarkStart w:id="443" w:name="_Toc17278690"/>
      <w:bookmarkStart w:id="444" w:name="_Toc180204797"/>
      <w:bookmarkStart w:id="445" w:name="_Toc233611687"/>
      <w:r>
        <w:rPr>
          <w:rStyle w:val="CharSectno"/>
        </w:rPr>
        <w:t>32</w:t>
      </w:r>
      <w:r>
        <w:rPr>
          <w:snapToGrid w:val="0"/>
        </w:rPr>
        <w:t>.</w:t>
      </w:r>
      <w:r>
        <w:rPr>
          <w:snapToGrid w:val="0"/>
        </w:rPr>
        <w:tab/>
        <w:t>Exempt land</w:t>
      </w:r>
      <w:bookmarkEnd w:id="442"/>
      <w:bookmarkEnd w:id="443"/>
      <w:bookmarkEnd w:id="444"/>
      <w:bookmarkEnd w:id="445"/>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446" w:name="_Toc17278691"/>
      <w:bookmarkStart w:id="447" w:name="_Toc180204798"/>
      <w:bookmarkStart w:id="448" w:name="_Toc233611688"/>
      <w:r>
        <w:rPr>
          <w:rStyle w:val="CharSectno"/>
        </w:rPr>
        <w:t>33</w:t>
      </w:r>
      <w:r>
        <w:t>.</w:t>
      </w:r>
      <w:r>
        <w:tab/>
        <w:t>Charge options for land in Carnarvon Irrigation District</w:t>
      </w:r>
      <w:bookmarkEnd w:id="446"/>
      <w:bookmarkEnd w:id="447"/>
      <w:bookmarkEnd w:id="448"/>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9" w:name="_Toc233448382"/>
      <w:bookmarkStart w:id="450" w:name="_Toc233611689"/>
      <w:bookmarkStart w:id="451" w:name="_Toc139771087"/>
      <w:bookmarkStart w:id="452" w:name="_Toc139771465"/>
      <w:bookmarkStart w:id="453" w:name="_Toc151191680"/>
      <w:bookmarkStart w:id="454" w:name="_Toc151260573"/>
      <w:bookmarkStart w:id="455" w:name="_Toc164158680"/>
      <w:bookmarkStart w:id="456" w:name="_Toc164221052"/>
      <w:bookmarkStart w:id="457" w:name="_Toc170879060"/>
      <w:bookmarkStart w:id="458" w:name="_Toc170894718"/>
      <w:bookmarkStart w:id="459" w:name="_Toc175712684"/>
      <w:bookmarkStart w:id="460" w:name="_Toc175970625"/>
      <w:bookmarkStart w:id="461" w:name="_Toc176335344"/>
      <w:bookmarkStart w:id="462" w:name="_Toc176338919"/>
      <w:bookmarkStart w:id="463" w:name="_Toc178742944"/>
      <w:bookmarkStart w:id="464" w:name="_Toc179363367"/>
      <w:bookmarkStart w:id="465" w:name="_Toc179604436"/>
      <w:bookmarkStart w:id="466" w:name="_Toc180204629"/>
      <w:bookmarkStart w:id="467" w:name="_Toc180204845"/>
      <w:bookmarkStart w:id="468" w:name="_Toc185844590"/>
      <w:bookmarkStart w:id="469" w:name="_Toc185845210"/>
      <w:bookmarkStart w:id="470" w:name="_Toc185927175"/>
      <w:bookmarkStart w:id="471" w:name="_Toc202505964"/>
      <w:bookmarkStart w:id="472" w:name="_Toc202672696"/>
      <w:bookmarkStart w:id="473" w:name="_Toc202691760"/>
      <w:bookmarkStart w:id="474" w:name="_Toc121801198"/>
      <w:bookmarkStart w:id="475" w:name="_Toc121818311"/>
      <w:bookmarkStart w:id="476" w:name="_Toc121880921"/>
      <w:bookmarkStart w:id="477" w:name="_Toc129481992"/>
      <w:bookmarkStart w:id="478" w:name="_Toc130095361"/>
      <w:bookmarkStart w:id="479" w:name="_Toc130273425"/>
      <w:r>
        <w:rPr>
          <w:rStyle w:val="CharSchNo"/>
        </w:rPr>
        <w:t>Schedule 1</w:t>
      </w:r>
      <w:r>
        <w:rPr>
          <w:rStyle w:val="CharSDivNo"/>
        </w:rPr>
        <w:t> </w:t>
      </w:r>
      <w:r>
        <w:t>—</w:t>
      </w:r>
      <w:r>
        <w:rPr>
          <w:rStyle w:val="CharSDivText"/>
        </w:rPr>
        <w:t> </w:t>
      </w:r>
      <w:r>
        <w:rPr>
          <w:rStyle w:val="CharSchText"/>
        </w:rPr>
        <w:t xml:space="preserve">Charges for water supply other than under the </w:t>
      </w:r>
      <w:r>
        <w:rPr>
          <w:rStyle w:val="CharSchText"/>
          <w:i/>
          <w:iCs/>
        </w:rPr>
        <w:t>Rights in Water and Irrigation Act 1914</w:t>
      </w:r>
      <w:r>
        <w:rPr>
          <w:rStyle w:val="CharSchText"/>
        </w:rPr>
        <w:t xml:space="preserve"> for 2009/2010</w:t>
      </w:r>
      <w:bookmarkEnd w:id="449"/>
      <w:bookmarkEnd w:id="450"/>
    </w:p>
    <w:p>
      <w:pPr>
        <w:pStyle w:val="yShoulderClause"/>
      </w:pPr>
      <w:r>
        <w:t xml:space="preserve">[bl. </w:t>
      </w:r>
      <w:r>
        <w:rPr>
          <w:snapToGrid w:val="0"/>
        </w:rPr>
        <w:t>11, 17B, 17C and 19A</w:t>
      </w:r>
      <w:r>
        <w:t>]</w:t>
      </w:r>
    </w:p>
    <w:p>
      <w:pPr>
        <w:pStyle w:val="yFootnoteheading"/>
      </w:pPr>
      <w:r>
        <w:tab/>
        <w:t>[Heading inserted in Gazette 19 Jun 2009 p. 2323.]</w:t>
      </w:r>
    </w:p>
    <w:p>
      <w:pPr>
        <w:pStyle w:val="yHeading3"/>
      </w:pPr>
      <w:bookmarkStart w:id="480" w:name="_Toc233448383"/>
      <w:bookmarkStart w:id="481" w:name="_Toc233611690"/>
      <w:r>
        <w:rPr>
          <w:rStyle w:val="CharSDivNo"/>
        </w:rPr>
        <w:t>Division 1</w:t>
      </w:r>
      <w:r>
        <w:rPr>
          <w:b w:val="0"/>
        </w:rPr>
        <w:t> — </w:t>
      </w:r>
      <w:r>
        <w:rPr>
          <w:rStyle w:val="CharSDivText"/>
        </w:rPr>
        <w:t>Fixed charges</w:t>
      </w:r>
      <w:bookmarkEnd w:id="480"/>
      <w:bookmarkEnd w:id="481"/>
    </w:p>
    <w:p>
      <w:pPr>
        <w:pStyle w:val="yFootnoteheading"/>
        <w:spacing w:after="120"/>
      </w:pPr>
      <w:r>
        <w:tab/>
        <w:t>[Heading inserted in Gazette 19 Jun 2009 p. 2323.]</w:t>
      </w:r>
    </w:p>
    <w:tbl>
      <w:tblPr>
        <w:tblW w:w="0" w:type="auto"/>
        <w:tblInd w:w="534" w:type="dxa"/>
        <w:tblLook w:val="0000" w:firstRow="0" w:lastRow="0" w:firstColumn="0" w:lastColumn="0" w:noHBand="0" w:noVBand="0"/>
      </w:tblPr>
      <w:tblGrid>
        <w:gridCol w:w="850"/>
        <w:gridCol w:w="4235"/>
        <w:gridCol w:w="1152"/>
      </w:tblGrid>
      <w:tr>
        <w:tc>
          <w:tcPr>
            <w:tcW w:w="850" w:type="dxa"/>
          </w:tcPr>
          <w:p>
            <w:pPr>
              <w:pStyle w:val="yTableNAm"/>
              <w:rPr>
                <w:b/>
                <w:bCs/>
              </w:rPr>
            </w:pPr>
            <w:r>
              <w:rPr>
                <w:b/>
                <w:bCs/>
              </w:rPr>
              <w:t>1.</w:t>
            </w:r>
          </w:p>
        </w:tc>
        <w:tc>
          <w:tcPr>
            <w:tcW w:w="4235" w:type="dxa"/>
          </w:tcPr>
          <w:p>
            <w:pPr>
              <w:pStyle w:val="yTableNAm"/>
              <w:rPr>
                <w:b/>
                <w:bCs/>
              </w:rPr>
            </w:pPr>
            <w:r>
              <w:rPr>
                <w:b/>
                <w:bCs/>
              </w:rPr>
              <w:t>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each residential property, not being land mentioned in item 3, 4, 7, 8 or 9</w:t>
            </w:r>
          </w:p>
        </w:tc>
        <w:tc>
          <w:tcPr>
            <w:tcW w:w="1152" w:type="dxa"/>
          </w:tcPr>
          <w:p>
            <w:pPr>
              <w:pStyle w:val="yTableNAm"/>
            </w:pPr>
            <w:r>
              <w:br/>
              <w:t>$200.40</w:t>
            </w:r>
          </w:p>
        </w:tc>
      </w:tr>
      <w:tr>
        <w:tc>
          <w:tcPr>
            <w:tcW w:w="850" w:type="dxa"/>
          </w:tcPr>
          <w:p>
            <w:pPr>
              <w:pStyle w:val="yTableNAm"/>
              <w:rPr>
                <w:b/>
                <w:bCs/>
              </w:rPr>
            </w:pPr>
            <w:r>
              <w:rPr>
                <w:b/>
                <w:bCs/>
              </w:rPr>
              <w:t>2.</w:t>
            </w:r>
          </w:p>
        </w:tc>
        <w:tc>
          <w:tcPr>
            <w:tcW w:w="4235" w:type="dxa"/>
          </w:tcPr>
          <w:p>
            <w:pPr>
              <w:pStyle w:val="yTableNAm"/>
              <w:rPr>
                <w:b/>
                <w:bCs/>
              </w:rPr>
            </w:pPr>
            <w:r>
              <w:rPr>
                <w:b/>
                <w:bCs/>
              </w:rPr>
              <w:t>Metropolitan residential garden supply</w:t>
            </w:r>
          </w:p>
        </w:tc>
        <w:tc>
          <w:tcPr>
            <w:tcW w:w="1152" w:type="dxa"/>
          </w:tcPr>
          <w:p>
            <w:pPr>
              <w:pStyle w:val="yTableNAm"/>
              <w:rPr>
                <w:b/>
                <w:bCs/>
              </w:rPr>
            </w:pPr>
          </w:p>
        </w:tc>
      </w:tr>
      <w:t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if the area of land is less than 400 m</w:t>
            </w:r>
            <w:r>
              <w:rPr>
                <w:vertAlign w:val="superscript"/>
              </w:rPr>
              <w:t>2</w:t>
            </w:r>
            <w:r>
              <w:t>, in addition to any other charge applicable to the land under this Schedule, a charge of ..</w:t>
            </w:r>
          </w:p>
        </w:tc>
        <w:tc>
          <w:tcPr>
            <w:tcW w:w="1152" w:type="dxa"/>
          </w:tcPr>
          <w:p>
            <w:pPr>
              <w:pStyle w:val="yTableNAm"/>
            </w:pPr>
            <w:r>
              <w:br/>
            </w:r>
            <w:r>
              <w:br/>
            </w:r>
            <w:r>
              <w:br/>
              <w:t>$67.90</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if the area of land is equal to or greater than 400 m</w:t>
            </w:r>
            <w:r>
              <w:rPr>
                <w:vertAlign w:val="superscript"/>
              </w:rPr>
              <w:t>2</w:t>
            </w:r>
            <w:r>
              <w:t>, in addition to any other charge applicable to the land under this Schedule, a charge of ......................................</w:t>
            </w:r>
          </w:p>
        </w:tc>
        <w:tc>
          <w:tcPr>
            <w:tcW w:w="1152" w:type="dxa"/>
          </w:tcPr>
          <w:p>
            <w:pPr>
              <w:pStyle w:val="yTableNAm"/>
            </w:pPr>
            <w:r>
              <w:br/>
            </w:r>
            <w:r>
              <w:br/>
            </w:r>
            <w:r>
              <w:br/>
            </w:r>
            <w:r>
              <w:br/>
              <w:t>$135.80</w:t>
            </w:r>
          </w:p>
        </w:tc>
      </w:tr>
      <w:tr>
        <w:tc>
          <w:tcPr>
            <w:tcW w:w="850" w:type="dxa"/>
          </w:tcPr>
          <w:p>
            <w:pPr>
              <w:pStyle w:val="yTableNAm"/>
              <w:rPr>
                <w:b/>
                <w:bCs/>
              </w:rPr>
            </w:pPr>
            <w:r>
              <w:rPr>
                <w:b/>
                <w:bCs/>
              </w:rPr>
              <w:t>3.</w:t>
            </w:r>
          </w:p>
        </w:tc>
        <w:tc>
          <w:tcPr>
            <w:tcW w:w="4235" w:type="dxa"/>
          </w:tcPr>
          <w:p>
            <w:pPr>
              <w:pStyle w:val="yTableNAm"/>
              <w:rPr>
                <w:b/>
                <w:bCs/>
              </w:rPr>
            </w:pPr>
            <w:r>
              <w:rPr>
                <w:b/>
                <w:bCs/>
              </w:rPr>
              <w:t>Connected metropolitan exempt</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described in by</w:t>
            </w:r>
            <w:r>
              <w:noBreakHyphen/>
              <w:t>law 4 that is in the metropolitan area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in the case of land described in by</w:t>
            </w:r>
            <w:r>
              <w:noBreakHyphen/>
              <w:t>law 4(1)(e) ..............................</w:t>
            </w:r>
          </w:p>
        </w:tc>
        <w:tc>
          <w:tcPr>
            <w:tcW w:w="1152" w:type="dxa"/>
          </w:tcPr>
          <w:p>
            <w:pPr>
              <w:pStyle w:val="yTableNAm"/>
            </w:pPr>
            <w:r>
              <w:br/>
              <w:t>No charge</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in any other case ..........................</w:t>
            </w:r>
          </w:p>
        </w:tc>
        <w:tc>
          <w:tcPr>
            <w:tcW w:w="1152" w:type="dxa"/>
          </w:tcPr>
          <w:p>
            <w:pPr>
              <w:pStyle w:val="yTableNAm"/>
            </w:pPr>
            <w:r>
              <w:t>No charge</w:t>
            </w:r>
          </w:p>
        </w:tc>
      </w:tr>
      <w:tr>
        <w:tc>
          <w:tcPr>
            <w:tcW w:w="850" w:type="dxa"/>
          </w:tcPr>
          <w:p>
            <w:pPr>
              <w:pStyle w:val="yTableNAm"/>
              <w:rPr>
                <w:b/>
                <w:bCs/>
              </w:rPr>
            </w:pPr>
            <w:r>
              <w:rPr>
                <w:b/>
                <w:bCs/>
              </w:rPr>
              <w:t>4.</w:t>
            </w:r>
          </w:p>
        </w:tc>
        <w:tc>
          <w:tcPr>
            <w:tcW w:w="4235" w:type="dxa"/>
          </w:tcPr>
          <w:p>
            <w:pPr>
              <w:pStyle w:val="yTableNAm"/>
              <w:rPr>
                <w:b/>
                <w:bCs/>
              </w:rPr>
            </w:pPr>
            <w:r>
              <w:rPr>
                <w:b/>
                <w:bCs/>
              </w:rPr>
              <w:t>Strata</w:t>
            </w:r>
            <w:r>
              <w:rPr>
                <w:b/>
                <w:bCs/>
              </w:rPr>
              <w:noBreakHyphen/>
              <w:t>titled (or long-term residential) caravan bays</w:t>
            </w:r>
          </w:p>
        </w:tc>
        <w:tc>
          <w:tcPr>
            <w:tcW w:w="1152" w:type="dxa"/>
          </w:tcPr>
          <w:p>
            <w:pPr>
              <w:pStyle w:val="yTableNAm"/>
              <w:rPr>
                <w:b/>
                <w:bCs/>
              </w:rPr>
            </w:pPr>
          </w:p>
        </w:tc>
      </w:tr>
      <w:tr>
        <w:tc>
          <w:tcPr>
            <w:tcW w:w="850" w:type="dxa"/>
          </w:tcPr>
          <w:p>
            <w:pPr>
              <w:pStyle w:val="yTableNAm"/>
            </w:pPr>
          </w:p>
        </w:tc>
        <w:tc>
          <w:tcPr>
            <w:tcW w:w="4235" w:type="dxa"/>
          </w:tcPr>
          <w:p>
            <w:pPr>
              <w:pStyle w:val="yTableNAm"/>
            </w:pPr>
            <w:r>
              <w:t xml:space="preserve">In respect of each caravan bay that is a residential property and a lot within the meaning of the </w:t>
            </w:r>
            <w:r>
              <w:rPr>
                <w:i/>
                <w:iCs/>
              </w:rPr>
              <w:t>Strata Titles Act 1985</w:t>
            </w:r>
            <w:r>
              <w:t>, or a caravan bay designated as a long-term residential caravan bay .................................</w:t>
            </w:r>
          </w:p>
        </w:tc>
        <w:tc>
          <w:tcPr>
            <w:tcW w:w="1152" w:type="dxa"/>
          </w:tcPr>
          <w:p>
            <w:pPr>
              <w:pStyle w:val="yTableNAm"/>
            </w:pPr>
            <w:r>
              <w:br/>
            </w:r>
            <w:r>
              <w:br/>
            </w:r>
            <w:r>
              <w:br/>
            </w:r>
            <w:r>
              <w:br/>
              <w:t>$140.80</w:t>
            </w:r>
          </w:p>
        </w:tc>
      </w:tr>
      <w:tr>
        <w:tc>
          <w:tcPr>
            <w:tcW w:w="850" w:type="dxa"/>
          </w:tcPr>
          <w:p>
            <w:pPr>
              <w:pStyle w:val="yTableNAm"/>
              <w:rPr>
                <w:b/>
                <w:bCs/>
              </w:rPr>
            </w:pPr>
            <w:r>
              <w:rPr>
                <w:b/>
                <w:bCs/>
              </w:rPr>
              <w:t>5.</w:t>
            </w:r>
          </w:p>
        </w:tc>
        <w:tc>
          <w:tcPr>
            <w:tcW w:w="4235" w:type="dxa"/>
          </w:tcPr>
          <w:p>
            <w:pPr>
              <w:pStyle w:val="yTableNAm"/>
              <w:rPr>
                <w:b/>
                <w:bCs/>
              </w:rPr>
            </w:pPr>
            <w:r>
              <w:rPr>
                <w:b/>
                <w:bCs/>
              </w:rPr>
              <w:t>Strata</w:t>
            </w:r>
            <w:r>
              <w:rPr>
                <w:b/>
                <w:bCs/>
              </w:rPr>
              <w:noBreakHyphen/>
              <w:t>titled storage unit and strata</w:t>
            </w:r>
            <w:r>
              <w:rPr>
                <w:b/>
                <w:bCs/>
              </w:rPr>
              <w:noBreakHyphen/>
              <w:t>titled parking bay</w:t>
            </w:r>
          </w:p>
        </w:tc>
        <w:tc>
          <w:tcPr>
            <w:tcW w:w="1152" w:type="dxa"/>
          </w:tcPr>
          <w:p>
            <w:pPr>
              <w:pStyle w:val="yTableNAm"/>
              <w:rPr>
                <w:b/>
                <w:bCs/>
              </w:rPr>
            </w:pPr>
          </w:p>
        </w:tc>
      </w:tr>
      <w:tr>
        <w:tc>
          <w:tcPr>
            <w:tcW w:w="850" w:type="dxa"/>
          </w:tcPr>
          <w:p>
            <w:pPr>
              <w:pStyle w:val="yTableNAm"/>
            </w:pPr>
          </w:p>
        </w:tc>
        <w:tc>
          <w:tcPr>
            <w:tcW w:w="4235" w:type="dxa"/>
          </w:tcPr>
          <w:p>
            <w:pPr>
              <w:pStyle w:val="yTableNAm"/>
            </w:pPr>
            <w:r>
              <w:t xml:space="preserve">In respect of land comprised in a unit used for storage purposes or as a parking bay that is a lot within the meaning of the </w:t>
            </w:r>
            <w:r>
              <w:rPr>
                <w:i/>
                <w:iCs/>
              </w:rPr>
              <w:t>Strata Titles Act 1985</w:t>
            </w:r>
            <w:r>
              <w:t xml:space="preserve"> .............................................</w:t>
            </w:r>
          </w:p>
        </w:tc>
        <w:tc>
          <w:tcPr>
            <w:tcW w:w="1152" w:type="dxa"/>
          </w:tcPr>
          <w:p>
            <w:pPr>
              <w:pStyle w:val="yTableNAm"/>
            </w:pPr>
            <w:r>
              <w:br/>
            </w:r>
            <w:r>
              <w:br/>
            </w:r>
            <w:r>
              <w:br/>
              <w:t>$70.60</w:t>
            </w:r>
          </w:p>
        </w:tc>
      </w:tr>
      <w:tr>
        <w:tc>
          <w:tcPr>
            <w:tcW w:w="850" w:type="dxa"/>
          </w:tcPr>
          <w:p>
            <w:pPr>
              <w:pStyle w:val="yTableNAm"/>
              <w:rPr>
                <w:b/>
                <w:bCs/>
              </w:rPr>
            </w:pPr>
            <w:r>
              <w:rPr>
                <w:b/>
                <w:bCs/>
              </w:rPr>
              <w:t>6.</w:t>
            </w:r>
          </w:p>
        </w:tc>
        <w:tc>
          <w:tcPr>
            <w:tcW w:w="4235" w:type="dxa"/>
          </w:tcPr>
          <w:p>
            <w:pPr>
              <w:pStyle w:val="yTableNAm"/>
              <w:rPr>
                <w:b/>
                <w:bCs/>
              </w:rPr>
            </w:pPr>
            <w:r>
              <w:rPr>
                <w:b/>
                <w:bCs/>
              </w:rPr>
              <w:t>Non</w:t>
            </w:r>
            <w:r>
              <w:rPr>
                <w:b/>
                <w:bCs/>
              </w:rPr>
              <w:noBreakHyphen/>
              <w:t>residential strata</w:t>
            </w:r>
            <w:r>
              <w:rPr>
                <w:b/>
                <w:bCs/>
              </w:rPr>
              <w:noBreakHyphen/>
              <w:t>titled units that share a service</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that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is not referred to in item 4 or 5; and</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 xml:space="preserve">comprises a unit that is a lot within the meaning of the </w:t>
            </w:r>
            <w:r>
              <w:rPr>
                <w:i/>
                <w:iCs/>
              </w:rPr>
              <w:t>Strata Titles Act 1985</w:t>
            </w:r>
            <w:r>
              <w:t>; and</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(c)</w:t>
            </w:r>
            <w:r>
              <w:tab/>
              <w:t>shares a service with another unit described in paragraph (b) ...........</w:t>
            </w:r>
          </w:p>
        </w:tc>
        <w:tc>
          <w:tcPr>
            <w:tcW w:w="1152" w:type="dxa"/>
          </w:tcPr>
          <w:p>
            <w:pPr>
              <w:pStyle w:val="yTableNAm"/>
            </w:pPr>
            <w:r>
              <w:br/>
              <w:t>$200.40</w:t>
            </w:r>
          </w:p>
        </w:tc>
      </w:tr>
      <w:tr>
        <w:tc>
          <w:tcPr>
            <w:tcW w:w="850" w:type="dxa"/>
          </w:tcPr>
          <w:p>
            <w:pPr>
              <w:pStyle w:val="yTableNAm"/>
              <w:rPr>
                <w:b/>
                <w:bCs/>
              </w:rPr>
            </w:pPr>
            <w:r>
              <w:rPr>
                <w:b/>
                <w:bCs/>
              </w:rPr>
              <w:t>7.</w:t>
            </w:r>
          </w:p>
        </w:tc>
        <w:tc>
          <w:tcPr>
            <w:tcW w:w="4235" w:type="dxa"/>
          </w:tcPr>
          <w:p>
            <w:pPr>
              <w:pStyle w:val="yTableNAm"/>
              <w:rPr>
                <w:b/>
                <w:bCs/>
              </w:rPr>
            </w:pPr>
            <w:r>
              <w:rPr>
                <w:b/>
                <w:bCs/>
              </w:rPr>
              <w:t>Community 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each discrete residential unit as determined under by</w:t>
            </w:r>
            <w:r>
              <w:noBreakHyphen/>
              <w:t>law 16 ........................</w:t>
            </w:r>
          </w:p>
        </w:tc>
        <w:tc>
          <w:tcPr>
            <w:tcW w:w="1152" w:type="dxa"/>
          </w:tcPr>
          <w:p>
            <w:pPr>
              <w:pStyle w:val="yTableNAm"/>
            </w:pPr>
            <w:r>
              <w:br/>
              <w:t>$100.20</w:t>
            </w:r>
          </w:p>
        </w:tc>
      </w:tr>
      <w:tr>
        <w:tc>
          <w:tcPr>
            <w:tcW w:w="850" w:type="dxa"/>
          </w:tcPr>
          <w:p>
            <w:pPr>
              <w:pStyle w:val="yTableNAm"/>
              <w:rPr>
                <w:b/>
                <w:bCs/>
              </w:rPr>
            </w:pPr>
            <w:r>
              <w:rPr>
                <w:b/>
                <w:bCs/>
              </w:rPr>
              <w:t>8.</w:t>
            </w:r>
          </w:p>
        </w:tc>
        <w:tc>
          <w:tcPr>
            <w:tcW w:w="4235" w:type="dxa"/>
          </w:tcPr>
          <w:p>
            <w:pPr>
              <w:pStyle w:val="yTableNAm"/>
              <w:rPr>
                <w:b/>
                <w:bCs/>
              </w:rPr>
            </w:pPr>
            <w:r>
              <w:rPr>
                <w:b/>
                <w:bCs/>
              </w:rPr>
              <w:t>Semi</w:t>
            </w:r>
            <w:r>
              <w:rPr>
                <w:b/>
                <w:bCs/>
              </w:rPr>
              <w:noBreakHyphen/>
              <w:t>rural 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each semi</w:t>
            </w:r>
            <w:r>
              <w:noBreakHyphen/>
              <w:t>rural residential property not being land mentioned in item 3</w:t>
            </w:r>
          </w:p>
        </w:tc>
        <w:tc>
          <w:tcPr>
            <w:tcW w:w="1152" w:type="dxa"/>
          </w:tcPr>
          <w:p>
            <w:pPr>
              <w:pStyle w:val="yTableNAm"/>
            </w:pPr>
            <w:r>
              <w:br/>
              <w:t>$200.40</w:t>
            </w:r>
          </w:p>
        </w:tc>
      </w:tr>
      <w:tr>
        <w:tc>
          <w:tcPr>
            <w:tcW w:w="850" w:type="dxa"/>
          </w:tcPr>
          <w:p>
            <w:pPr>
              <w:pStyle w:val="yTableNAm"/>
              <w:rPr>
                <w:b/>
                <w:bCs/>
              </w:rPr>
            </w:pPr>
            <w:r>
              <w:rPr>
                <w:b/>
                <w:bCs/>
              </w:rPr>
              <w:t>9.</w:t>
            </w:r>
          </w:p>
        </w:tc>
        <w:tc>
          <w:tcPr>
            <w:tcW w:w="4235" w:type="dxa"/>
          </w:tcPr>
          <w:p>
            <w:pPr>
              <w:pStyle w:val="yTableNAm"/>
              <w:rPr>
                <w:b/>
                <w:bCs/>
              </w:rPr>
            </w:pPr>
            <w:r>
              <w:rPr>
                <w:b/>
                <w:bCs/>
              </w:rPr>
              <w:t>Connected non</w:t>
            </w:r>
            <w:r>
              <w:rPr>
                <w:b/>
                <w:bCs/>
              </w:rPr>
              <w:noBreakHyphen/>
              <w:t>metropolitan exempt</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described in by</w:t>
            </w:r>
            <w:r>
              <w:noBreakHyphen/>
              <w:t>law 4 that is comprised in a residential property and is not in the metropolitan area .........................</w:t>
            </w:r>
          </w:p>
        </w:tc>
        <w:tc>
          <w:tcPr>
            <w:tcW w:w="1152" w:type="dxa"/>
          </w:tcPr>
          <w:p>
            <w:pPr>
              <w:pStyle w:val="yTableNAm"/>
            </w:pPr>
            <w:r>
              <w:br/>
            </w:r>
            <w:r>
              <w:br/>
              <w:t>No charge</w:t>
            </w:r>
          </w:p>
        </w:tc>
      </w:tr>
      <w:tr>
        <w:tc>
          <w:tcPr>
            <w:tcW w:w="850" w:type="dxa"/>
          </w:tcPr>
          <w:p>
            <w:pPr>
              <w:pStyle w:val="yTableNAm"/>
              <w:rPr>
                <w:b/>
                <w:bCs/>
              </w:rPr>
            </w:pPr>
            <w:r>
              <w:rPr>
                <w:b/>
                <w:bCs/>
              </w:rPr>
              <w:t>10.</w:t>
            </w:r>
          </w:p>
        </w:tc>
        <w:tc>
          <w:tcPr>
            <w:tcW w:w="4235" w:type="dxa"/>
          </w:tcPr>
          <w:p>
            <w:pPr>
              <w:pStyle w:val="yTableNAm"/>
              <w:rPr>
                <w:b/>
                <w:bCs/>
              </w:rPr>
            </w:pPr>
            <w:r>
              <w:rPr>
                <w:b/>
                <w:bCs/>
              </w:rPr>
              <w:t>Non</w:t>
            </w:r>
            <w:r>
              <w:rPr>
                <w:b/>
                <w:bCs/>
              </w:rPr>
              <w:noBreakHyphen/>
              <w:t>metropolitan non</w:t>
            </w:r>
            <w:r>
              <w:rPr>
                <w:b/>
                <w:bCs/>
              </w:rPr>
              <w:noBreakHyphen/>
              <w:t>residential or commercial residential</w:t>
            </w:r>
          </w:p>
        </w:tc>
        <w:tc>
          <w:tcPr>
            <w:tcW w:w="1152" w:type="dxa"/>
          </w:tcPr>
          <w:p>
            <w:pPr>
              <w:pStyle w:val="yTableNAm"/>
              <w:rPr>
                <w:b/>
                <w:bCs/>
              </w:rPr>
            </w:pPr>
          </w:p>
        </w:tc>
      </w:tr>
      <w:tr>
        <w:tc>
          <w:tcPr>
            <w:tcW w:w="850" w:type="dxa"/>
          </w:tcPr>
          <w:p>
            <w:pPr>
              <w:pStyle w:val="yTableNAm"/>
            </w:pPr>
          </w:p>
        </w:tc>
        <w:tc>
          <w:tcPr>
            <w:tcW w:w="4235" w:type="dxa"/>
          </w:tcPr>
          <w:p>
            <w:pPr>
              <w:pStyle w:val="yTableNAm"/>
            </w:pPr>
            <w:r>
              <w:t>In respect of land that is neither in the metropolitan area nor comprised in a residential property, where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the land is classified as government or charitable purposes</w:t>
            </w:r>
          </w:p>
        </w:tc>
        <w:tc>
          <w:tcPr>
            <w:tcW w:w="1152" w:type="dxa"/>
          </w:tcPr>
          <w:p>
            <w:pPr>
              <w:pStyle w:val="yTableNAm"/>
            </w:pPr>
            <w:r>
              <w:br/>
              <w:t>No charge</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the land is classified as institutional public .......................</w:t>
            </w:r>
          </w:p>
        </w:tc>
        <w:tc>
          <w:tcPr>
            <w:tcW w:w="1152" w:type="dxa"/>
          </w:tcPr>
          <w:p>
            <w:pPr>
              <w:pStyle w:val="yTableNAm"/>
            </w:pPr>
            <w:r>
              <w:br/>
              <w:t>No charge</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(c)</w:t>
            </w:r>
            <w:r>
              <w:tab/>
              <w:t>the land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1016"/>
                <w:tab w:val="left" w:pos="1616"/>
              </w:tabs>
              <w:ind w:left="1616" w:hanging="1616"/>
            </w:pPr>
            <w:r>
              <w:tab/>
              <w:t>(i)</w:t>
            </w:r>
            <w:r>
              <w:tab/>
              <w:t>is classified as non</w:t>
            </w:r>
            <w:r>
              <w:noBreakHyphen/>
              <w:t>residential or commercial residential; and</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1016"/>
                <w:tab w:val="left" w:pos="1616"/>
              </w:tabs>
              <w:ind w:left="1616" w:hanging="1616"/>
            </w:pPr>
            <w:r>
              <w:tab/>
              <w:t>(ii)</w:t>
            </w:r>
            <w:r>
              <w:tab/>
              <w:t>is not mentioned in item 5 or 6,</w:t>
            </w:r>
          </w:p>
        </w:tc>
        <w:tc>
          <w:tcPr>
            <w:tcW w:w="1152" w:type="dxa"/>
          </w:tcPr>
          <w:p>
            <w:pPr>
              <w:pStyle w:val="yTableNAm"/>
            </w:pPr>
          </w:p>
        </w:tc>
      </w:tr>
      <w:tr>
        <w:tc>
          <w:tcPr>
            <w:tcW w:w="850" w:type="dxa"/>
          </w:tcPr>
          <w:p>
            <w:pPr>
              <w:pStyle w:val="yTableNAm"/>
            </w:pPr>
          </w:p>
        </w:tc>
        <w:tc>
          <w:tcPr>
            <w:tcW w:w="4235" w:type="dxa"/>
          </w:tcPr>
          <w:p>
            <w:pPr>
              <w:pStyle w:val="yTableNAm"/>
            </w:pPr>
            <w:r>
              <w:t>a charge payable for the relevant meter size as set out in the following Table —</w:t>
            </w:r>
          </w:p>
        </w:tc>
        <w:tc>
          <w:tcPr>
            <w:tcW w:w="1152" w:type="dxa"/>
          </w:tcPr>
          <w:p>
            <w:pPr>
              <w:pStyle w:val="yTableNAm"/>
            </w:pPr>
          </w:p>
        </w:tc>
      </w:tr>
    </w:tbl>
    <w:p>
      <w:pPr>
        <w:pStyle w:val="yTHeadingNAm"/>
      </w:pPr>
      <w:r>
        <w:t>Table of meter</w:t>
      </w:r>
      <w:r>
        <w:noBreakHyphen/>
        <w:t>based fixed charges</w:t>
      </w:r>
    </w:p>
    <w:tbl>
      <w:tblPr>
        <w:tblW w:w="0" w:type="auto"/>
        <w:jc w:val="center"/>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tblHeader/>
          <w:jc w:val="center"/>
        </w:trPr>
        <w:tc>
          <w:tcPr>
            <w:tcW w:w="3187"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jc w:val="center"/>
        </w:trPr>
        <w:tc>
          <w:tcPr>
            <w:tcW w:w="3187" w:type="dxa"/>
            <w:tcBorders>
              <w:top w:val="nil"/>
              <w:left w:val="nil"/>
              <w:bottom w:val="nil"/>
              <w:right w:val="nil"/>
            </w:tcBorders>
          </w:tcPr>
          <w:p>
            <w:pPr>
              <w:pStyle w:val="yTableNAm"/>
              <w:jc w:val="center"/>
            </w:pPr>
            <w:r>
              <w:t>15</w:t>
            </w:r>
          </w:p>
        </w:tc>
        <w:tc>
          <w:tcPr>
            <w:tcW w:w="3084" w:type="dxa"/>
            <w:tcBorders>
              <w:top w:val="nil"/>
              <w:left w:val="nil"/>
              <w:bottom w:val="nil"/>
              <w:right w:val="nil"/>
            </w:tcBorders>
          </w:tcPr>
          <w:p>
            <w:pPr>
              <w:pStyle w:val="yTableNAm"/>
              <w:jc w:val="center"/>
            </w:pPr>
            <w:r>
              <w:t>463.80</w:t>
            </w:r>
          </w:p>
        </w:tc>
      </w:tr>
      <w:tr>
        <w:trPr>
          <w:jc w:val="center"/>
        </w:trPr>
        <w:tc>
          <w:tcPr>
            <w:tcW w:w="3187" w:type="dxa"/>
            <w:tcBorders>
              <w:top w:val="nil"/>
              <w:left w:val="nil"/>
              <w:bottom w:val="nil"/>
              <w:right w:val="nil"/>
            </w:tcBorders>
          </w:tcPr>
          <w:p>
            <w:pPr>
              <w:pStyle w:val="yTableNAm"/>
              <w:jc w:val="center"/>
            </w:pPr>
            <w:r>
              <w:t>20</w:t>
            </w:r>
          </w:p>
        </w:tc>
        <w:tc>
          <w:tcPr>
            <w:tcW w:w="3084" w:type="dxa"/>
            <w:tcBorders>
              <w:top w:val="nil"/>
              <w:left w:val="nil"/>
              <w:bottom w:val="nil"/>
              <w:right w:val="nil"/>
            </w:tcBorders>
          </w:tcPr>
          <w:p>
            <w:pPr>
              <w:pStyle w:val="yTableNAm"/>
              <w:jc w:val="center"/>
            </w:pPr>
            <w:r>
              <w:t>463.80</w:t>
            </w:r>
          </w:p>
        </w:tc>
      </w:tr>
      <w:tr>
        <w:trP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724.80</w:t>
            </w:r>
          </w:p>
        </w:tc>
      </w:tr>
      <w:tr>
        <w:trP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1 044.00</w:t>
            </w:r>
          </w:p>
        </w:tc>
      </w:tr>
      <w:tr>
        <w:trPr>
          <w:jc w:val="center"/>
        </w:trPr>
        <w:tc>
          <w:tcPr>
            <w:tcW w:w="3187" w:type="dxa"/>
            <w:tcBorders>
              <w:top w:val="nil"/>
              <w:left w:val="nil"/>
              <w:bottom w:val="nil"/>
              <w:right w:val="nil"/>
            </w:tcBorders>
          </w:tcPr>
          <w:p>
            <w:pPr>
              <w:pStyle w:val="yTableNAm"/>
              <w:jc w:val="center"/>
            </w:pPr>
            <w:r>
              <w:t>35</w:t>
            </w:r>
          </w:p>
        </w:tc>
        <w:tc>
          <w:tcPr>
            <w:tcW w:w="3084" w:type="dxa"/>
            <w:tcBorders>
              <w:top w:val="nil"/>
              <w:left w:val="nil"/>
              <w:bottom w:val="nil"/>
              <w:right w:val="nil"/>
            </w:tcBorders>
          </w:tcPr>
          <w:p>
            <w:pPr>
              <w:pStyle w:val="yTableNAm"/>
              <w:jc w:val="center"/>
            </w:pPr>
            <w:r>
              <w:t>1 855.00</w:t>
            </w:r>
          </w:p>
        </w:tc>
      </w:tr>
      <w:tr>
        <w:trPr>
          <w:jc w:val="center"/>
        </w:trPr>
        <w:tc>
          <w:tcPr>
            <w:tcW w:w="3187" w:type="dxa"/>
            <w:tcBorders>
              <w:top w:val="nil"/>
              <w:left w:val="nil"/>
              <w:bottom w:val="nil"/>
              <w:right w:val="nil"/>
            </w:tcBorders>
          </w:tcPr>
          <w:p>
            <w:pPr>
              <w:pStyle w:val="yTableNAm"/>
              <w:jc w:val="center"/>
            </w:pPr>
            <w:r>
              <w:t>38</w:t>
            </w:r>
          </w:p>
        </w:tc>
        <w:tc>
          <w:tcPr>
            <w:tcW w:w="3084" w:type="dxa"/>
            <w:tcBorders>
              <w:top w:val="nil"/>
              <w:left w:val="nil"/>
              <w:bottom w:val="nil"/>
              <w:right w:val="nil"/>
            </w:tcBorders>
          </w:tcPr>
          <w:p>
            <w:pPr>
              <w:pStyle w:val="yTableNAm"/>
              <w:jc w:val="center"/>
            </w:pPr>
            <w:r>
              <w:t>1 855.00</w:t>
            </w:r>
          </w:p>
        </w:tc>
      </w:tr>
      <w:tr>
        <w:trPr>
          <w:jc w:val="center"/>
        </w:trPr>
        <w:tc>
          <w:tcPr>
            <w:tcW w:w="3187" w:type="dxa"/>
            <w:tcBorders>
              <w:top w:val="nil"/>
              <w:left w:val="nil"/>
              <w:bottom w:val="nil"/>
              <w:right w:val="nil"/>
            </w:tcBorders>
          </w:tcPr>
          <w:p>
            <w:pPr>
              <w:pStyle w:val="yTableNAm"/>
              <w:jc w:val="center"/>
            </w:pPr>
            <w:r>
              <w:t>40</w:t>
            </w:r>
          </w:p>
        </w:tc>
        <w:tc>
          <w:tcPr>
            <w:tcW w:w="3084" w:type="dxa"/>
            <w:tcBorders>
              <w:top w:val="nil"/>
              <w:left w:val="nil"/>
              <w:bottom w:val="nil"/>
              <w:right w:val="nil"/>
            </w:tcBorders>
          </w:tcPr>
          <w:p>
            <w:pPr>
              <w:pStyle w:val="yTableNAm"/>
              <w:jc w:val="center"/>
            </w:pPr>
            <w:r>
              <w:t>1 855.00</w:t>
            </w:r>
          </w:p>
        </w:tc>
      </w:tr>
      <w:tr>
        <w:trP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2 899.00</w:t>
            </w:r>
          </w:p>
        </w:tc>
      </w:tr>
      <w:tr>
        <w:trPr>
          <w:jc w:val="center"/>
        </w:trPr>
        <w:tc>
          <w:tcPr>
            <w:tcW w:w="3187" w:type="dxa"/>
            <w:tcBorders>
              <w:top w:val="nil"/>
              <w:left w:val="nil"/>
              <w:bottom w:val="nil"/>
              <w:right w:val="nil"/>
            </w:tcBorders>
          </w:tcPr>
          <w:p>
            <w:pPr>
              <w:pStyle w:val="yTableNAm"/>
              <w:jc w:val="center"/>
            </w:pPr>
            <w:r>
              <w:t>70</w:t>
            </w:r>
          </w:p>
        </w:tc>
        <w:tc>
          <w:tcPr>
            <w:tcW w:w="3084" w:type="dxa"/>
            <w:tcBorders>
              <w:top w:val="nil"/>
              <w:left w:val="nil"/>
              <w:bottom w:val="nil"/>
              <w:right w:val="nil"/>
            </w:tcBorders>
          </w:tcPr>
          <w:p>
            <w:pPr>
              <w:pStyle w:val="yTableNAm"/>
              <w:jc w:val="center"/>
            </w:pPr>
            <w:r>
              <w:t>7 422.00</w:t>
            </w:r>
          </w:p>
        </w:tc>
      </w:tr>
      <w:tr>
        <w:trPr>
          <w:jc w:val="center"/>
        </w:trPr>
        <w:tc>
          <w:tcPr>
            <w:tcW w:w="3187" w:type="dxa"/>
            <w:tcBorders>
              <w:top w:val="nil"/>
              <w:left w:val="nil"/>
              <w:bottom w:val="nil"/>
              <w:right w:val="nil"/>
            </w:tcBorders>
          </w:tcPr>
          <w:p>
            <w:pPr>
              <w:pStyle w:val="yTableNAm"/>
              <w:jc w:val="center"/>
            </w:pPr>
            <w:r>
              <w:t>75</w:t>
            </w:r>
          </w:p>
        </w:tc>
        <w:tc>
          <w:tcPr>
            <w:tcW w:w="3084" w:type="dxa"/>
            <w:tcBorders>
              <w:top w:val="nil"/>
              <w:left w:val="nil"/>
              <w:bottom w:val="nil"/>
              <w:right w:val="nil"/>
            </w:tcBorders>
          </w:tcPr>
          <w:p>
            <w:pPr>
              <w:pStyle w:val="yTableNAm"/>
              <w:jc w:val="center"/>
            </w:pPr>
            <w:r>
              <w:t>7 422.00</w:t>
            </w:r>
          </w:p>
        </w:tc>
      </w:tr>
      <w:tr>
        <w:trPr>
          <w:jc w:val="center"/>
        </w:trPr>
        <w:tc>
          <w:tcPr>
            <w:tcW w:w="3187" w:type="dxa"/>
            <w:tcBorders>
              <w:top w:val="nil"/>
              <w:left w:val="nil"/>
              <w:bottom w:val="nil"/>
              <w:right w:val="nil"/>
            </w:tcBorders>
          </w:tcPr>
          <w:p>
            <w:pPr>
              <w:pStyle w:val="yTableNAm"/>
              <w:jc w:val="center"/>
            </w:pPr>
            <w:r>
              <w:t>80</w:t>
            </w:r>
          </w:p>
        </w:tc>
        <w:tc>
          <w:tcPr>
            <w:tcW w:w="3084" w:type="dxa"/>
            <w:tcBorders>
              <w:top w:val="nil"/>
              <w:left w:val="nil"/>
              <w:bottom w:val="nil"/>
              <w:right w:val="nil"/>
            </w:tcBorders>
          </w:tcPr>
          <w:p>
            <w:pPr>
              <w:pStyle w:val="yTableNAm"/>
              <w:jc w:val="center"/>
            </w:pPr>
            <w:r>
              <w:t>7 422.00</w:t>
            </w:r>
          </w:p>
        </w:tc>
      </w:tr>
      <w:tr>
        <w:trP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11 596.00</w:t>
            </w:r>
          </w:p>
        </w:tc>
      </w:tr>
      <w:tr>
        <w:trPr>
          <w:jc w:val="center"/>
        </w:trPr>
        <w:tc>
          <w:tcPr>
            <w:tcW w:w="3187" w:type="dxa"/>
            <w:tcBorders>
              <w:top w:val="nil"/>
              <w:left w:val="nil"/>
              <w:bottom w:val="nil"/>
              <w:right w:val="nil"/>
            </w:tcBorders>
          </w:tcPr>
          <w:p>
            <w:pPr>
              <w:pStyle w:val="yTableNAm"/>
              <w:jc w:val="center"/>
            </w:pPr>
            <w:r>
              <w:t>140</w:t>
            </w:r>
          </w:p>
        </w:tc>
        <w:tc>
          <w:tcPr>
            <w:tcW w:w="3084" w:type="dxa"/>
            <w:tcBorders>
              <w:top w:val="nil"/>
              <w:left w:val="nil"/>
              <w:bottom w:val="nil"/>
              <w:right w:val="nil"/>
            </w:tcBorders>
          </w:tcPr>
          <w:p>
            <w:pPr>
              <w:pStyle w:val="yTableNAm"/>
              <w:jc w:val="center"/>
            </w:pPr>
            <w:r>
              <w:t>26 091.00</w:t>
            </w:r>
          </w:p>
        </w:tc>
      </w:tr>
      <w:tr>
        <w:trPr>
          <w:jc w:val="center"/>
        </w:trPr>
        <w:tc>
          <w:tcPr>
            <w:tcW w:w="3187" w:type="dxa"/>
            <w:tcBorders>
              <w:top w:val="nil"/>
              <w:left w:val="nil"/>
              <w:bottom w:val="single" w:sz="4" w:space="0" w:color="auto"/>
              <w:right w:val="nil"/>
            </w:tcBorders>
          </w:tcPr>
          <w:p>
            <w:pPr>
              <w:pStyle w:val="yTableNAm"/>
              <w:jc w:val="center"/>
            </w:pPr>
            <w:r>
              <w:t>150</w:t>
            </w:r>
          </w:p>
        </w:tc>
        <w:tc>
          <w:tcPr>
            <w:tcW w:w="3084" w:type="dxa"/>
            <w:tcBorders>
              <w:top w:val="nil"/>
              <w:left w:val="nil"/>
              <w:bottom w:val="single" w:sz="4" w:space="0" w:color="auto"/>
              <w:right w:val="nil"/>
            </w:tcBorders>
          </w:tcPr>
          <w:p>
            <w:pPr>
              <w:pStyle w:val="yTableNAm"/>
              <w:jc w:val="center"/>
            </w:pPr>
            <w:r>
              <w:t>26 091.00</w:t>
            </w:r>
          </w:p>
        </w:tc>
      </w:tr>
    </w:tbl>
    <w:p>
      <w:pPr>
        <w:pStyle w:val="ySubsection"/>
      </w:pPr>
    </w:p>
    <w:tbl>
      <w:tblPr>
        <w:tblW w:w="0" w:type="auto"/>
        <w:tblInd w:w="534" w:type="dxa"/>
        <w:tblLook w:val="0000" w:firstRow="0" w:lastRow="0" w:firstColumn="0" w:lastColumn="0" w:noHBand="0" w:noVBand="0"/>
      </w:tblPr>
      <w:tblGrid>
        <w:gridCol w:w="850"/>
        <w:gridCol w:w="4235"/>
        <w:gridCol w:w="1152"/>
      </w:tblGrid>
      <w:tr>
        <w:tc>
          <w:tcPr>
            <w:tcW w:w="850" w:type="dxa"/>
          </w:tcPr>
          <w:p>
            <w:pPr>
              <w:pStyle w:val="yTableNAm"/>
              <w:rPr>
                <w:b/>
                <w:bCs/>
              </w:rPr>
            </w:pPr>
            <w:r>
              <w:rPr>
                <w:b/>
                <w:bCs/>
              </w:rPr>
              <w:t>11.</w:t>
            </w:r>
          </w:p>
        </w:tc>
        <w:tc>
          <w:tcPr>
            <w:tcW w:w="4235" w:type="dxa"/>
          </w:tcPr>
          <w:p>
            <w:pPr>
              <w:pStyle w:val="yTableNAm"/>
              <w:rPr>
                <w:b/>
                <w:bCs/>
              </w:rPr>
            </w:pPr>
            <w:r>
              <w:rPr>
                <w:b/>
                <w:bCs/>
              </w:rPr>
              <w:t>Stock</w:t>
            </w:r>
          </w:p>
        </w:tc>
        <w:tc>
          <w:tcPr>
            <w:tcW w:w="1152" w:type="dxa"/>
          </w:tcPr>
          <w:p>
            <w:pPr>
              <w:pStyle w:val="yTableNAm"/>
              <w:rPr>
                <w:b/>
                <w:bCs/>
              </w:rPr>
            </w:pPr>
          </w:p>
        </w:tc>
      </w:tr>
      <w:tr>
        <w:tc>
          <w:tcPr>
            <w:tcW w:w="850" w:type="dxa"/>
          </w:tcPr>
          <w:p>
            <w:pPr>
              <w:pStyle w:val="yTableNAm"/>
            </w:pPr>
          </w:p>
        </w:tc>
        <w:tc>
          <w:tcPr>
            <w:tcW w:w="4235" w:type="dxa"/>
          </w:tcPr>
          <w:p>
            <w:pPr>
              <w:pStyle w:val="yTableNAm"/>
            </w:pPr>
            <w:r>
              <w:t>For the supply of water for the purpose of watering stock on land that is not the subject of a charge under item 10 .............................</w:t>
            </w:r>
          </w:p>
        </w:tc>
        <w:tc>
          <w:tcPr>
            <w:tcW w:w="1152" w:type="dxa"/>
          </w:tcPr>
          <w:p>
            <w:pPr>
              <w:pStyle w:val="yTableNAm"/>
            </w:pPr>
            <w:r>
              <w:br/>
            </w:r>
            <w:r>
              <w:br/>
              <w:t>$200.40</w:t>
            </w:r>
          </w:p>
        </w:tc>
      </w:tr>
      <w:tr>
        <w:tc>
          <w:tcPr>
            <w:tcW w:w="850" w:type="dxa"/>
          </w:tcPr>
          <w:p>
            <w:pPr>
              <w:pStyle w:val="yTableNAm"/>
              <w:rPr>
                <w:b/>
                <w:bCs/>
              </w:rPr>
            </w:pPr>
            <w:r>
              <w:rPr>
                <w:b/>
                <w:bCs/>
              </w:rPr>
              <w:t>12.</w:t>
            </w:r>
          </w:p>
        </w:tc>
        <w:tc>
          <w:tcPr>
            <w:tcW w:w="4235" w:type="dxa"/>
          </w:tcPr>
          <w:p>
            <w:pPr>
              <w:pStyle w:val="yTableNAm"/>
              <w:rPr>
                <w:b/>
                <w:bCs/>
              </w:rPr>
            </w:pPr>
            <w:r>
              <w:rPr>
                <w:b/>
                <w:bCs/>
              </w:rPr>
              <w:t>Additional connections</w:t>
            </w:r>
          </w:p>
        </w:tc>
        <w:tc>
          <w:tcPr>
            <w:tcW w:w="1152" w:type="dxa"/>
          </w:tcPr>
          <w:p>
            <w:pPr>
              <w:pStyle w:val="yTableNAm"/>
              <w:rPr>
                <w:b/>
                <w:bCs/>
              </w:rPr>
            </w:pPr>
          </w:p>
        </w:tc>
      </w:tr>
      <w:tr>
        <w:tc>
          <w:tcPr>
            <w:tcW w:w="850" w:type="dxa"/>
          </w:tcPr>
          <w:p>
            <w:pPr>
              <w:pStyle w:val="yTableNAm"/>
            </w:pPr>
          </w:p>
        </w:tc>
        <w:tc>
          <w:tcPr>
            <w:tcW w:w="4235" w:type="dxa"/>
          </w:tcPr>
          <w:p>
            <w:pPr>
              <w:pStyle w:val="yTableNAm"/>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for —</w:t>
            </w:r>
          </w:p>
        </w:tc>
        <w:tc>
          <w:tcPr>
            <w:tcW w:w="1152" w:type="dxa"/>
          </w:tcPr>
          <w:p>
            <w:pPr>
              <w:pStyle w:val="yTableNAm"/>
            </w:pPr>
          </w:p>
        </w:tc>
      </w:tr>
      <w:tr>
        <w:tc>
          <w:tcPr>
            <w:tcW w:w="850" w:type="dxa"/>
          </w:tcPr>
          <w:p>
            <w:pPr>
              <w:pStyle w:val="yTableNAm"/>
            </w:pPr>
          </w:p>
        </w:tc>
        <w:tc>
          <w:tcPr>
            <w:tcW w:w="4235" w:type="dxa"/>
          </w:tcPr>
          <w:p>
            <w:pPr>
              <w:pStyle w:val="yTableNAm"/>
              <w:tabs>
                <w:tab w:val="clear" w:pos="567"/>
                <w:tab w:val="left" w:pos="1016"/>
                <w:tab w:val="left" w:pos="1616"/>
              </w:tabs>
              <w:ind w:left="1616" w:hanging="1616"/>
            </w:pPr>
            <w:r>
              <w:tab/>
              <w:t>(i)</w:t>
            </w:r>
            <w:r>
              <w:tab/>
              <w:t>for land that is in the metropolitan area, other than land to which subparagraph (ii) applies, a charge of ..........................</w:t>
            </w:r>
          </w:p>
        </w:tc>
        <w:tc>
          <w:tcPr>
            <w:tcW w:w="1152" w:type="dxa"/>
          </w:tcPr>
          <w:p>
            <w:pPr>
              <w:pStyle w:val="yTableNAm"/>
            </w:pPr>
            <w:r>
              <w:br/>
            </w:r>
            <w:r>
              <w:br/>
            </w:r>
            <w:r>
              <w:br/>
            </w:r>
            <w:r>
              <w:br/>
              <w:t>$200.40</w:t>
            </w:r>
          </w:p>
        </w:tc>
      </w:tr>
      <w:tr>
        <w:tc>
          <w:tcPr>
            <w:tcW w:w="850" w:type="dxa"/>
          </w:tcPr>
          <w:p>
            <w:pPr>
              <w:pStyle w:val="yTableNAm"/>
            </w:pPr>
          </w:p>
        </w:tc>
        <w:tc>
          <w:tcPr>
            <w:tcW w:w="4235" w:type="dxa"/>
          </w:tcPr>
          <w:p>
            <w:pPr>
              <w:pStyle w:val="yTableNAm"/>
              <w:tabs>
                <w:tab w:val="clear" w:pos="567"/>
                <w:tab w:val="left" w:pos="1016"/>
                <w:tab w:val="left" w:pos="1616"/>
              </w:tabs>
              <w:ind w:left="1616" w:hanging="1616"/>
            </w:pPr>
            <w:r>
              <w:tab/>
              <w:t>(ii)</w:t>
            </w:r>
            <w:r>
              <w:tab/>
              <w:t>land that is in the metropolitan area and is classified as non</w:t>
            </w:r>
            <w:r>
              <w:noBreakHyphen/>
              <w:t>residential or commercial residential, a charge based on meter size of the additional service as set out in the following Table —</w:t>
            </w:r>
          </w:p>
        </w:tc>
        <w:tc>
          <w:tcPr>
            <w:tcW w:w="1152" w:type="dxa"/>
          </w:tcPr>
          <w:p>
            <w:pPr>
              <w:pStyle w:val="yTableNAm"/>
            </w:pPr>
          </w:p>
        </w:tc>
      </w:tr>
    </w:tbl>
    <w:p>
      <w:pPr>
        <w:pStyle w:val="yTHeadingNAm"/>
      </w:pPr>
      <w:r>
        <w:t>Table of meter</w:t>
      </w:r>
      <w:r>
        <w:noBreakHyphen/>
        <w:t>based fixed charges</w:t>
      </w:r>
    </w:p>
    <w:tbl>
      <w:tblPr>
        <w:tblW w:w="0" w:type="auto"/>
        <w:jc w:val="center"/>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jc w:val="center"/>
        </w:trPr>
        <w:tc>
          <w:tcPr>
            <w:tcW w:w="3215"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jc w:val="center"/>
        </w:trPr>
        <w:tc>
          <w:tcPr>
            <w:tcW w:w="3215" w:type="dxa"/>
            <w:tcBorders>
              <w:top w:val="nil"/>
              <w:left w:val="nil"/>
              <w:bottom w:val="nil"/>
              <w:right w:val="nil"/>
            </w:tcBorders>
          </w:tcPr>
          <w:p>
            <w:pPr>
              <w:pStyle w:val="yTableNAm"/>
              <w:jc w:val="center"/>
            </w:pPr>
            <w:r>
              <w:t>20</w:t>
            </w:r>
          </w:p>
        </w:tc>
        <w:tc>
          <w:tcPr>
            <w:tcW w:w="3084" w:type="dxa"/>
            <w:tcBorders>
              <w:top w:val="nil"/>
              <w:left w:val="nil"/>
              <w:bottom w:val="nil"/>
              <w:right w:val="nil"/>
            </w:tcBorders>
          </w:tcPr>
          <w:p>
            <w:pPr>
              <w:pStyle w:val="yTableNAm"/>
              <w:jc w:val="center"/>
            </w:pPr>
            <w:r>
              <w:t>463.80</w:t>
            </w:r>
          </w:p>
        </w:tc>
      </w:tr>
      <w:tr>
        <w:trP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724.80</w:t>
            </w:r>
          </w:p>
        </w:tc>
      </w:tr>
      <w:tr>
        <w:trP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1 044.00</w:t>
            </w:r>
          </w:p>
        </w:tc>
      </w:tr>
      <w:tr>
        <w:trPr>
          <w:jc w:val="center"/>
        </w:trPr>
        <w:tc>
          <w:tcPr>
            <w:tcW w:w="3215" w:type="dxa"/>
            <w:tcBorders>
              <w:top w:val="nil"/>
              <w:left w:val="nil"/>
              <w:bottom w:val="nil"/>
              <w:right w:val="nil"/>
            </w:tcBorders>
          </w:tcPr>
          <w:p>
            <w:pPr>
              <w:pStyle w:val="yTableNAm"/>
              <w:jc w:val="center"/>
            </w:pPr>
            <w:r>
              <w:t>40</w:t>
            </w:r>
          </w:p>
        </w:tc>
        <w:tc>
          <w:tcPr>
            <w:tcW w:w="3084" w:type="dxa"/>
            <w:tcBorders>
              <w:top w:val="nil"/>
              <w:left w:val="nil"/>
              <w:bottom w:val="nil"/>
              <w:right w:val="nil"/>
            </w:tcBorders>
          </w:tcPr>
          <w:p>
            <w:pPr>
              <w:pStyle w:val="yTableNAm"/>
              <w:jc w:val="center"/>
            </w:pPr>
            <w:r>
              <w:t>1 855.00</w:t>
            </w:r>
          </w:p>
        </w:tc>
      </w:tr>
      <w:tr>
        <w:trP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2 899.00</w:t>
            </w:r>
          </w:p>
        </w:tc>
      </w:tr>
      <w:tr>
        <w:trPr>
          <w:jc w:val="center"/>
        </w:trPr>
        <w:tc>
          <w:tcPr>
            <w:tcW w:w="3215" w:type="dxa"/>
            <w:tcBorders>
              <w:top w:val="nil"/>
              <w:left w:val="nil"/>
              <w:bottom w:val="nil"/>
              <w:right w:val="nil"/>
            </w:tcBorders>
          </w:tcPr>
          <w:p>
            <w:pPr>
              <w:pStyle w:val="yTableNAm"/>
              <w:jc w:val="center"/>
            </w:pPr>
            <w:r>
              <w:t>80</w:t>
            </w:r>
          </w:p>
        </w:tc>
        <w:tc>
          <w:tcPr>
            <w:tcW w:w="3084" w:type="dxa"/>
            <w:tcBorders>
              <w:top w:val="nil"/>
              <w:left w:val="nil"/>
              <w:bottom w:val="nil"/>
              <w:right w:val="nil"/>
            </w:tcBorders>
          </w:tcPr>
          <w:p>
            <w:pPr>
              <w:pStyle w:val="yTableNAm"/>
              <w:jc w:val="center"/>
            </w:pPr>
            <w:r>
              <w:t>7 422.00</w:t>
            </w:r>
          </w:p>
        </w:tc>
      </w:tr>
      <w:tr>
        <w:trP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11 596.00</w:t>
            </w:r>
          </w:p>
        </w:tc>
      </w:tr>
      <w:tr>
        <w:trPr>
          <w:jc w:val="center"/>
        </w:trPr>
        <w:tc>
          <w:tcPr>
            <w:tcW w:w="3215" w:type="dxa"/>
            <w:tcBorders>
              <w:top w:val="nil"/>
              <w:left w:val="nil"/>
              <w:bottom w:val="nil"/>
              <w:right w:val="nil"/>
            </w:tcBorders>
          </w:tcPr>
          <w:p>
            <w:pPr>
              <w:pStyle w:val="yTableNAm"/>
              <w:jc w:val="center"/>
            </w:pPr>
            <w:r>
              <w:t>150</w:t>
            </w:r>
          </w:p>
        </w:tc>
        <w:tc>
          <w:tcPr>
            <w:tcW w:w="3084" w:type="dxa"/>
            <w:tcBorders>
              <w:top w:val="nil"/>
              <w:left w:val="nil"/>
              <w:bottom w:val="nil"/>
              <w:right w:val="nil"/>
            </w:tcBorders>
          </w:tcPr>
          <w:p>
            <w:pPr>
              <w:pStyle w:val="yTableNAm"/>
              <w:jc w:val="center"/>
            </w:pPr>
            <w:r>
              <w:t>26 091.00</w:t>
            </w:r>
          </w:p>
        </w:tc>
      </w:tr>
      <w:tr>
        <w:trPr>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tcPr>
          <w:p>
            <w:pPr>
              <w:pStyle w:val="yTableNAm"/>
              <w:jc w:val="center"/>
            </w:pPr>
            <w:r>
              <w:t>46 385.00</w:t>
            </w:r>
          </w:p>
        </w:tc>
      </w:tr>
      <w:tr>
        <w:trPr>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tcPr>
          <w:p>
            <w:pPr>
              <w:pStyle w:val="yTableNAm"/>
              <w:jc w:val="center"/>
            </w:pPr>
            <w:r>
              <w:t>72 476.00</w:t>
            </w:r>
          </w:p>
        </w:tc>
      </w:tr>
      <w:tr>
        <w:trPr>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tcPr>
          <w:p>
            <w:pPr>
              <w:pStyle w:val="yTableNAm"/>
              <w:jc w:val="center"/>
            </w:pPr>
            <w:r>
              <w:t>104 366.00</w:t>
            </w:r>
          </w:p>
        </w:tc>
      </w:tr>
      <w:tr>
        <w:trPr>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tcPr>
          <w:p>
            <w:pPr>
              <w:pStyle w:val="yTableNAm"/>
              <w:jc w:val="center"/>
            </w:pPr>
            <w:r>
              <w:t>142 053.00</w:t>
            </w:r>
          </w:p>
        </w:tc>
      </w:tr>
    </w:tbl>
    <w:p>
      <w:pPr>
        <w:pStyle w:val="ySubsection"/>
      </w:pPr>
    </w:p>
    <w:tbl>
      <w:tblPr>
        <w:tblW w:w="0" w:type="auto"/>
        <w:tblInd w:w="534" w:type="dxa"/>
        <w:tblLook w:val="0000" w:firstRow="0" w:lastRow="0" w:firstColumn="0" w:lastColumn="0" w:noHBand="0" w:noVBand="0"/>
      </w:tblPr>
      <w:tblGrid>
        <w:gridCol w:w="850"/>
        <w:gridCol w:w="4234"/>
        <w:gridCol w:w="1153"/>
      </w:tblGrid>
      <w:tr>
        <w:tc>
          <w:tcPr>
            <w:tcW w:w="850" w:type="dxa"/>
          </w:tcPr>
          <w:p>
            <w:pPr>
              <w:pStyle w:val="yTableNAm"/>
            </w:pPr>
          </w:p>
        </w:tc>
        <w:tc>
          <w:tcPr>
            <w:tcW w:w="4234" w:type="dxa"/>
          </w:tcPr>
          <w:p>
            <w:pPr>
              <w:pStyle w:val="yTableNAm"/>
              <w:tabs>
                <w:tab w:val="clear" w:pos="567"/>
                <w:tab w:val="left" w:pos="416"/>
                <w:tab w:val="left" w:pos="1016"/>
              </w:tabs>
              <w:ind w:left="1016" w:hanging="1016"/>
            </w:pPr>
            <w:r>
              <w:tab/>
              <w:t>(b)</w:t>
            </w:r>
            <w:r>
              <w:tab/>
              <w:t>for land that is not in the metropolitan area, other than land to which paragraph (c) applies, a charge of ......................................</w:t>
            </w:r>
          </w:p>
        </w:tc>
        <w:tc>
          <w:tcPr>
            <w:tcW w:w="1153" w:type="dxa"/>
          </w:tcPr>
          <w:p>
            <w:pPr>
              <w:pStyle w:val="yTableNAm"/>
            </w:pPr>
            <w:r>
              <w:br/>
            </w:r>
            <w:r>
              <w:br/>
            </w:r>
            <w:r>
              <w:br/>
              <w:t>$200.40</w:t>
            </w: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(c)</w:t>
            </w:r>
            <w:r>
              <w:tab/>
              <w:t>for land that is not in the metropolitan area and is classified as non</w:t>
            </w:r>
            <w:r>
              <w:noBreakHyphen/>
              <w:t>residential or commercial residential, a charge based on meter size of the additional service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Ind w:w="990" w:type="dxa"/>
        <w:tblLayout w:type="fixed"/>
        <w:tblLook w:val="0000" w:firstRow="0" w:lastRow="0" w:firstColumn="0" w:lastColumn="0" w:noHBand="0" w:noVBand="0"/>
      </w:tblPr>
      <w:tblGrid>
        <w:gridCol w:w="3229"/>
        <w:gridCol w:w="3041"/>
      </w:tblGrid>
      <w:tr>
        <w:trPr>
          <w:tblHeader/>
          <w:jc w:val="center"/>
        </w:trPr>
        <w:tc>
          <w:tcPr>
            <w:tcW w:w="3229"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41" w:type="dxa"/>
            <w:tcBorders>
              <w:top w:val="single" w:sz="4" w:space="0" w:color="auto"/>
              <w:bottom w:val="single" w:sz="4" w:space="0" w:color="auto"/>
            </w:tcBorders>
          </w:tcPr>
          <w:p>
            <w:pPr>
              <w:pStyle w:val="yTableNAm"/>
              <w:jc w:val="center"/>
              <w:rPr>
                <w:b/>
                <w:bCs/>
              </w:rPr>
            </w:pPr>
            <w:r>
              <w:rPr>
                <w:b/>
                <w:bCs/>
              </w:rPr>
              <w:t>Charge</w:t>
            </w:r>
            <w:r>
              <w:rPr>
                <w:b/>
                <w:bCs/>
              </w:rPr>
              <w:br/>
              <w:t>$</w:t>
            </w:r>
          </w:p>
        </w:tc>
      </w:tr>
      <w:tr>
        <w:trPr>
          <w:jc w:val="center"/>
        </w:trPr>
        <w:tc>
          <w:tcPr>
            <w:tcW w:w="3229" w:type="dxa"/>
          </w:tcPr>
          <w:p>
            <w:pPr>
              <w:pStyle w:val="yTableNAm"/>
              <w:jc w:val="center"/>
            </w:pPr>
            <w:r>
              <w:t>15</w:t>
            </w:r>
          </w:p>
        </w:tc>
        <w:tc>
          <w:tcPr>
            <w:tcW w:w="3041" w:type="dxa"/>
          </w:tcPr>
          <w:p>
            <w:pPr>
              <w:pStyle w:val="yTableNAm"/>
              <w:jc w:val="center"/>
            </w:pPr>
            <w:r>
              <w:t>463.80</w:t>
            </w:r>
          </w:p>
        </w:tc>
      </w:tr>
      <w:tr>
        <w:trPr>
          <w:jc w:val="center"/>
        </w:trPr>
        <w:tc>
          <w:tcPr>
            <w:tcW w:w="3229" w:type="dxa"/>
          </w:tcPr>
          <w:p>
            <w:pPr>
              <w:pStyle w:val="yTableNAm"/>
              <w:jc w:val="center"/>
            </w:pPr>
            <w:r>
              <w:t>20</w:t>
            </w:r>
          </w:p>
        </w:tc>
        <w:tc>
          <w:tcPr>
            <w:tcW w:w="3041" w:type="dxa"/>
          </w:tcPr>
          <w:p>
            <w:pPr>
              <w:pStyle w:val="yTableNAm"/>
              <w:jc w:val="center"/>
            </w:pPr>
            <w:r>
              <w:t>463.80</w:t>
            </w:r>
          </w:p>
        </w:tc>
      </w:tr>
      <w:tr>
        <w:trPr>
          <w:jc w:val="center"/>
        </w:trPr>
        <w:tc>
          <w:tcPr>
            <w:tcW w:w="3229" w:type="dxa"/>
          </w:tcPr>
          <w:p>
            <w:pPr>
              <w:pStyle w:val="yTableNAm"/>
              <w:jc w:val="center"/>
            </w:pPr>
            <w:r>
              <w:t>25</w:t>
            </w:r>
          </w:p>
        </w:tc>
        <w:tc>
          <w:tcPr>
            <w:tcW w:w="3041" w:type="dxa"/>
          </w:tcPr>
          <w:p>
            <w:pPr>
              <w:pStyle w:val="yTableNAm"/>
              <w:jc w:val="center"/>
            </w:pPr>
            <w:r>
              <w:t>724.80</w:t>
            </w:r>
          </w:p>
        </w:tc>
      </w:tr>
      <w:tr>
        <w:trPr>
          <w:jc w:val="center"/>
        </w:trPr>
        <w:tc>
          <w:tcPr>
            <w:tcW w:w="3229" w:type="dxa"/>
          </w:tcPr>
          <w:p>
            <w:pPr>
              <w:pStyle w:val="yTableNAm"/>
              <w:jc w:val="center"/>
            </w:pPr>
            <w:r>
              <w:t>30</w:t>
            </w:r>
          </w:p>
        </w:tc>
        <w:tc>
          <w:tcPr>
            <w:tcW w:w="3041" w:type="dxa"/>
          </w:tcPr>
          <w:p>
            <w:pPr>
              <w:pStyle w:val="yTableNAm"/>
              <w:jc w:val="center"/>
            </w:pPr>
            <w:r>
              <w:t>1 044.00</w:t>
            </w:r>
          </w:p>
        </w:tc>
      </w:tr>
      <w:tr>
        <w:trPr>
          <w:jc w:val="center"/>
        </w:trPr>
        <w:tc>
          <w:tcPr>
            <w:tcW w:w="3229" w:type="dxa"/>
          </w:tcPr>
          <w:p>
            <w:pPr>
              <w:pStyle w:val="yTableNAm"/>
              <w:jc w:val="center"/>
            </w:pPr>
            <w:r>
              <w:t>35</w:t>
            </w:r>
          </w:p>
        </w:tc>
        <w:tc>
          <w:tcPr>
            <w:tcW w:w="3041" w:type="dxa"/>
          </w:tcPr>
          <w:p>
            <w:pPr>
              <w:pStyle w:val="yTableNAm"/>
              <w:jc w:val="center"/>
            </w:pPr>
            <w:r>
              <w:t>1 855.00</w:t>
            </w:r>
          </w:p>
        </w:tc>
      </w:tr>
      <w:tr>
        <w:trPr>
          <w:jc w:val="center"/>
        </w:trPr>
        <w:tc>
          <w:tcPr>
            <w:tcW w:w="3229" w:type="dxa"/>
          </w:tcPr>
          <w:p>
            <w:pPr>
              <w:pStyle w:val="yTableNAm"/>
              <w:jc w:val="center"/>
            </w:pPr>
            <w:r>
              <w:t>38</w:t>
            </w:r>
          </w:p>
        </w:tc>
        <w:tc>
          <w:tcPr>
            <w:tcW w:w="3041" w:type="dxa"/>
          </w:tcPr>
          <w:p>
            <w:pPr>
              <w:pStyle w:val="yTableNAm"/>
              <w:jc w:val="center"/>
            </w:pPr>
            <w:r>
              <w:t>1 855.00</w:t>
            </w:r>
          </w:p>
        </w:tc>
      </w:tr>
      <w:tr>
        <w:trPr>
          <w:jc w:val="center"/>
        </w:trPr>
        <w:tc>
          <w:tcPr>
            <w:tcW w:w="3229" w:type="dxa"/>
          </w:tcPr>
          <w:p>
            <w:pPr>
              <w:pStyle w:val="yTableNAm"/>
              <w:jc w:val="center"/>
            </w:pPr>
            <w:r>
              <w:t>40</w:t>
            </w:r>
          </w:p>
        </w:tc>
        <w:tc>
          <w:tcPr>
            <w:tcW w:w="3041" w:type="dxa"/>
          </w:tcPr>
          <w:p>
            <w:pPr>
              <w:pStyle w:val="yTableNAm"/>
              <w:jc w:val="center"/>
            </w:pPr>
            <w:r>
              <w:t>1 855.00</w:t>
            </w:r>
          </w:p>
        </w:tc>
      </w:tr>
      <w:tr>
        <w:trPr>
          <w:jc w:val="center"/>
        </w:trPr>
        <w:tc>
          <w:tcPr>
            <w:tcW w:w="3229" w:type="dxa"/>
          </w:tcPr>
          <w:p>
            <w:pPr>
              <w:pStyle w:val="yTableNAm"/>
              <w:jc w:val="center"/>
            </w:pPr>
            <w:r>
              <w:t>50</w:t>
            </w:r>
          </w:p>
        </w:tc>
        <w:tc>
          <w:tcPr>
            <w:tcW w:w="3041" w:type="dxa"/>
          </w:tcPr>
          <w:p>
            <w:pPr>
              <w:pStyle w:val="yTableNAm"/>
              <w:jc w:val="center"/>
            </w:pPr>
            <w:r>
              <w:t>2 899.00</w:t>
            </w:r>
          </w:p>
        </w:tc>
      </w:tr>
      <w:tr>
        <w:trPr>
          <w:jc w:val="center"/>
        </w:trPr>
        <w:tc>
          <w:tcPr>
            <w:tcW w:w="3229" w:type="dxa"/>
          </w:tcPr>
          <w:p>
            <w:pPr>
              <w:pStyle w:val="yTableNAm"/>
              <w:jc w:val="center"/>
            </w:pPr>
            <w:r>
              <w:t>70</w:t>
            </w:r>
          </w:p>
        </w:tc>
        <w:tc>
          <w:tcPr>
            <w:tcW w:w="3041" w:type="dxa"/>
          </w:tcPr>
          <w:p>
            <w:pPr>
              <w:pStyle w:val="yTableNAm"/>
              <w:jc w:val="center"/>
            </w:pPr>
            <w:r>
              <w:t>6 846.00</w:t>
            </w:r>
          </w:p>
        </w:tc>
      </w:tr>
      <w:tr>
        <w:trPr>
          <w:jc w:val="center"/>
        </w:trPr>
        <w:tc>
          <w:tcPr>
            <w:tcW w:w="3229" w:type="dxa"/>
          </w:tcPr>
          <w:p>
            <w:pPr>
              <w:pStyle w:val="yTableNAm"/>
              <w:jc w:val="center"/>
            </w:pPr>
            <w:r>
              <w:t>75</w:t>
            </w:r>
          </w:p>
        </w:tc>
        <w:tc>
          <w:tcPr>
            <w:tcW w:w="3041" w:type="dxa"/>
          </w:tcPr>
          <w:p>
            <w:pPr>
              <w:pStyle w:val="yTableNAm"/>
              <w:jc w:val="center"/>
            </w:pPr>
            <w:r>
              <w:t>6 846.00</w:t>
            </w:r>
          </w:p>
        </w:tc>
      </w:tr>
      <w:tr>
        <w:trPr>
          <w:jc w:val="center"/>
        </w:trPr>
        <w:tc>
          <w:tcPr>
            <w:tcW w:w="3229" w:type="dxa"/>
          </w:tcPr>
          <w:p>
            <w:pPr>
              <w:pStyle w:val="yTableNAm"/>
              <w:jc w:val="center"/>
            </w:pPr>
            <w:r>
              <w:t>80</w:t>
            </w:r>
          </w:p>
        </w:tc>
        <w:tc>
          <w:tcPr>
            <w:tcW w:w="3041" w:type="dxa"/>
          </w:tcPr>
          <w:p>
            <w:pPr>
              <w:pStyle w:val="yTableNAm"/>
              <w:jc w:val="center"/>
            </w:pPr>
            <w:r>
              <w:t>6 846.00</w:t>
            </w:r>
          </w:p>
        </w:tc>
      </w:tr>
      <w:tr>
        <w:trPr>
          <w:jc w:val="center"/>
        </w:trPr>
        <w:tc>
          <w:tcPr>
            <w:tcW w:w="3229" w:type="dxa"/>
          </w:tcPr>
          <w:p>
            <w:pPr>
              <w:pStyle w:val="yTableNAm"/>
              <w:jc w:val="center"/>
            </w:pPr>
            <w:r>
              <w:t>100</w:t>
            </w:r>
          </w:p>
        </w:tc>
        <w:tc>
          <w:tcPr>
            <w:tcW w:w="3041" w:type="dxa"/>
          </w:tcPr>
          <w:p>
            <w:pPr>
              <w:pStyle w:val="yTableNAm"/>
              <w:jc w:val="center"/>
            </w:pPr>
            <w:r>
              <w:t>10 937.00</w:t>
            </w:r>
          </w:p>
        </w:tc>
      </w:tr>
      <w:tr>
        <w:trPr>
          <w:jc w:val="center"/>
        </w:trPr>
        <w:tc>
          <w:tcPr>
            <w:tcW w:w="3229" w:type="dxa"/>
          </w:tcPr>
          <w:p>
            <w:pPr>
              <w:pStyle w:val="yTableNAm"/>
              <w:jc w:val="center"/>
            </w:pPr>
            <w:r>
              <w:t>140</w:t>
            </w:r>
          </w:p>
        </w:tc>
        <w:tc>
          <w:tcPr>
            <w:tcW w:w="3041" w:type="dxa"/>
          </w:tcPr>
          <w:p>
            <w:pPr>
              <w:pStyle w:val="yTableNAm"/>
              <w:jc w:val="center"/>
            </w:pPr>
            <w:r>
              <w:t>25 859.00</w:t>
            </w:r>
          </w:p>
        </w:tc>
      </w:tr>
      <w:tr>
        <w:trPr>
          <w:jc w:val="center"/>
        </w:trPr>
        <w:tc>
          <w:tcPr>
            <w:tcW w:w="3229" w:type="dxa"/>
            <w:tcBorders>
              <w:bottom w:val="single" w:sz="4" w:space="0" w:color="auto"/>
            </w:tcBorders>
          </w:tcPr>
          <w:p>
            <w:pPr>
              <w:pStyle w:val="yTableNAm"/>
              <w:jc w:val="center"/>
            </w:pPr>
            <w:r>
              <w:t>150</w:t>
            </w:r>
          </w:p>
        </w:tc>
        <w:tc>
          <w:tcPr>
            <w:tcW w:w="3041" w:type="dxa"/>
            <w:tcBorders>
              <w:bottom w:val="single" w:sz="4" w:space="0" w:color="auto"/>
            </w:tcBorders>
          </w:tcPr>
          <w:p>
            <w:pPr>
              <w:pStyle w:val="yTableNAm"/>
              <w:jc w:val="center"/>
            </w:pPr>
            <w:r>
              <w:t>25 859.00</w:t>
            </w:r>
          </w:p>
        </w:tc>
      </w:tr>
    </w:tbl>
    <w:p>
      <w:pPr>
        <w:pStyle w:val="ySubsection"/>
      </w:pPr>
    </w:p>
    <w:tbl>
      <w:tblPr>
        <w:tblW w:w="0" w:type="auto"/>
        <w:tblInd w:w="534" w:type="dxa"/>
        <w:tblLook w:val="0000" w:firstRow="0" w:lastRow="0" w:firstColumn="0" w:lastColumn="0" w:noHBand="0" w:noVBand="0"/>
      </w:tblPr>
      <w:tblGrid>
        <w:gridCol w:w="850"/>
        <w:gridCol w:w="4234"/>
        <w:gridCol w:w="1153"/>
      </w:tblGrid>
      <w:tr>
        <w:tc>
          <w:tcPr>
            <w:tcW w:w="850" w:type="dxa"/>
          </w:tcPr>
          <w:p>
            <w:pPr>
              <w:pStyle w:val="yTableNAm"/>
              <w:rPr>
                <w:b/>
                <w:bCs/>
              </w:rPr>
            </w:pPr>
            <w:r>
              <w:rPr>
                <w:b/>
                <w:bCs/>
              </w:rPr>
              <w:t>13.</w:t>
            </w:r>
          </w:p>
        </w:tc>
        <w:tc>
          <w:tcPr>
            <w:tcW w:w="4234" w:type="dxa"/>
          </w:tcPr>
          <w:p>
            <w:pPr>
              <w:pStyle w:val="yTableNAm"/>
              <w:rPr>
                <w:b/>
                <w:bCs/>
              </w:rPr>
            </w:pPr>
            <w:r>
              <w:rPr>
                <w:b/>
                <w:bCs/>
              </w:rPr>
              <w:t>Shipping (non</w:t>
            </w:r>
            <w:r>
              <w:rPr>
                <w:b/>
                <w:bCs/>
              </w:rPr>
              <w:noBreakHyphen/>
              <w:t>metropolitan)</w:t>
            </w:r>
          </w:p>
        </w:tc>
        <w:tc>
          <w:tcPr>
            <w:tcW w:w="1153" w:type="dxa"/>
          </w:tcPr>
          <w:p>
            <w:pPr>
              <w:pStyle w:val="yTableNAm"/>
              <w:rPr>
                <w:b/>
                <w:bCs/>
              </w:rPr>
            </w:pPr>
          </w:p>
        </w:tc>
      </w:tr>
      <w:tr>
        <w:tc>
          <w:tcPr>
            <w:tcW w:w="850" w:type="dxa"/>
          </w:tcPr>
          <w:p>
            <w:pPr>
              <w:pStyle w:val="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tcPr>
          <w:p>
            <w:pPr>
              <w:pStyle w:val="yTableNAm"/>
            </w:pPr>
          </w:p>
        </w:tc>
      </w:tr>
      <w:tr>
        <w:tc>
          <w:tcPr>
            <w:tcW w:w="850" w:type="dxa"/>
          </w:tcPr>
          <w:p>
            <w:pPr>
              <w:pStyle w:val="yTableNAm"/>
              <w:rPr>
                <w:b/>
                <w:bCs/>
              </w:rPr>
            </w:pPr>
            <w:r>
              <w:rPr>
                <w:b/>
                <w:bCs/>
              </w:rPr>
              <w:t>14.</w:t>
            </w:r>
          </w:p>
        </w:tc>
        <w:tc>
          <w:tcPr>
            <w:tcW w:w="4234" w:type="dxa"/>
          </w:tcPr>
          <w:p>
            <w:pPr>
              <w:pStyle w:val="yTableNAm"/>
              <w:rPr>
                <w:b/>
                <w:bCs/>
              </w:rPr>
            </w:pPr>
            <w:r>
              <w:rPr>
                <w:b/>
                <w:bCs/>
              </w:rPr>
              <w:t>Local government standpipes</w:t>
            </w:r>
          </w:p>
        </w:tc>
        <w:tc>
          <w:tcPr>
            <w:tcW w:w="1153" w:type="dxa"/>
          </w:tcPr>
          <w:p>
            <w:pPr>
              <w:pStyle w:val="yTableNAm"/>
              <w:rPr>
                <w:b/>
                <w:bCs/>
              </w:rPr>
            </w:pPr>
          </w:p>
        </w:tc>
      </w:tr>
      <w:tr>
        <w:tc>
          <w:tcPr>
            <w:tcW w:w="850" w:type="dxa"/>
          </w:tcPr>
          <w:p>
            <w:pPr>
              <w:pStyle w:val="yTableNAm"/>
            </w:pPr>
          </w:p>
        </w:tc>
        <w:tc>
          <w:tcPr>
            <w:tcW w:w="4234" w:type="dxa"/>
          </w:tcPr>
          <w:p>
            <w:pPr>
              <w:pStyle w:val="yTableNAm"/>
            </w:pPr>
            <w:r>
              <w:t>For each local government standpipe ...........</w:t>
            </w:r>
          </w:p>
        </w:tc>
        <w:tc>
          <w:tcPr>
            <w:tcW w:w="1153" w:type="dxa"/>
          </w:tcPr>
          <w:p>
            <w:pPr>
              <w:pStyle w:val="yTableNAm"/>
            </w:pPr>
            <w:r>
              <w:t>$200.40</w:t>
            </w:r>
          </w:p>
        </w:tc>
      </w:tr>
      <w:tr>
        <w:tc>
          <w:tcPr>
            <w:tcW w:w="850" w:type="dxa"/>
          </w:tcPr>
          <w:p>
            <w:pPr>
              <w:pStyle w:val="yTableNAm"/>
              <w:rPr>
                <w:b/>
                <w:bCs/>
              </w:rPr>
            </w:pPr>
            <w:r>
              <w:rPr>
                <w:b/>
                <w:bCs/>
              </w:rPr>
              <w:t>15.</w:t>
            </w:r>
          </w:p>
        </w:tc>
        <w:tc>
          <w:tcPr>
            <w:tcW w:w="4234" w:type="dxa"/>
          </w:tcPr>
          <w:p>
            <w:pPr>
              <w:pStyle w:val="yTableNAm"/>
              <w:rPr>
                <w:b/>
                <w:bCs/>
              </w:rPr>
            </w:pPr>
            <w:r>
              <w:rPr>
                <w:b/>
                <w:bCs/>
              </w:rPr>
              <w:t>Firefighting connections</w:t>
            </w:r>
          </w:p>
        </w:tc>
        <w:tc>
          <w:tcPr>
            <w:tcW w:w="1153" w:type="dxa"/>
          </w:tcPr>
          <w:p>
            <w:pPr>
              <w:pStyle w:val="yTableNAm"/>
              <w:rPr>
                <w:b/>
                <w:bCs/>
              </w:rPr>
            </w:pPr>
          </w:p>
        </w:tc>
      </w:tr>
      <w:tr>
        <w:tc>
          <w:tcPr>
            <w:tcW w:w="850" w:type="dxa"/>
          </w:tcPr>
          <w:p>
            <w:pPr>
              <w:pStyle w:val="yTableNAm"/>
            </w:pPr>
          </w:p>
        </w:tc>
        <w:tc>
          <w:tcPr>
            <w:tcW w:w="4234" w:type="dxa"/>
          </w:tcPr>
          <w:p>
            <w:pPr>
              <w:pStyle w:val="yTableNAm"/>
            </w:pPr>
            <w:r>
              <w:t>For each water supply connection provided for the purpose of firefighting ....................</w:t>
            </w:r>
          </w:p>
        </w:tc>
        <w:tc>
          <w:tcPr>
            <w:tcW w:w="1153" w:type="dxa"/>
          </w:tcPr>
          <w:p>
            <w:pPr>
              <w:pStyle w:val="yTableNAm"/>
            </w:pPr>
            <w:r>
              <w:br/>
              <w:t>$200.40</w:t>
            </w:r>
          </w:p>
        </w:tc>
      </w:tr>
      <w:tr>
        <w:tc>
          <w:tcPr>
            <w:tcW w:w="850" w:type="dxa"/>
          </w:tcPr>
          <w:p>
            <w:pPr>
              <w:pStyle w:val="yTableNAm"/>
              <w:rPr>
                <w:b/>
                <w:bCs/>
              </w:rPr>
            </w:pPr>
            <w:r>
              <w:rPr>
                <w:b/>
                <w:bCs/>
              </w:rPr>
              <w:t>16.</w:t>
            </w:r>
          </w:p>
        </w:tc>
        <w:tc>
          <w:tcPr>
            <w:tcW w:w="4234" w:type="dxa"/>
          </w:tcPr>
          <w:p>
            <w:pPr>
              <w:pStyle w:val="yTableNAm"/>
              <w:rPr>
                <w:b/>
                <w:bCs/>
              </w:rPr>
            </w:pPr>
            <w:r>
              <w:rPr>
                <w:b/>
                <w:bCs/>
              </w:rPr>
              <w:t>Farmland and metropolitan farmland</w:t>
            </w:r>
          </w:p>
        </w:tc>
        <w:tc>
          <w:tcPr>
            <w:tcW w:w="1153" w:type="dxa"/>
          </w:tcPr>
          <w:p>
            <w:pPr>
              <w:pStyle w:val="yTableNAm"/>
              <w:rPr>
                <w:b/>
                <w:bCs/>
              </w:rPr>
            </w:pPr>
          </w:p>
        </w:tc>
      </w:tr>
      <w:tr>
        <w:tc>
          <w:tcPr>
            <w:tcW w:w="850" w:type="dxa"/>
          </w:tcPr>
          <w:p>
            <w:pPr>
              <w:pStyle w:val="yTableNAm"/>
            </w:pPr>
          </w:p>
        </w:tc>
        <w:tc>
          <w:tcPr>
            <w:tcW w:w="4234" w:type="dxa"/>
          </w:tcPr>
          <w:p>
            <w:pPr>
              <w:pStyle w:val="yTableNAm"/>
            </w:pPr>
            <w:r>
              <w:t>In respect of land that is —</w:t>
            </w:r>
          </w:p>
        </w:tc>
        <w:tc>
          <w:tcPr>
            <w:tcW w:w="1153" w:type="dxa"/>
          </w:tcPr>
          <w:p>
            <w:pPr>
              <w:pStyle w:val="yTableNAm"/>
            </w:pP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(a)</w:t>
            </w:r>
            <w:r>
              <w:tab/>
              <w:t>classified as farmland ..................</w:t>
            </w:r>
          </w:p>
        </w:tc>
        <w:tc>
          <w:tcPr>
            <w:tcW w:w="1153" w:type="dxa"/>
          </w:tcPr>
          <w:p>
            <w:pPr>
              <w:pStyle w:val="yTableNAm"/>
            </w:pPr>
            <w:r>
              <w:t>$200.40</w:t>
            </w: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(b)</w:t>
            </w:r>
            <w:r>
              <w:tab/>
              <w:t xml:space="preserve">classified as metropolitan farmland </w:t>
            </w:r>
          </w:p>
        </w:tc>
        <w:tc>
          <w:tcPr>
            <w:tcW w:w="1153" w:type="dxa"/>
          </w:tcPr>
          <w:p>
            <w:pPr>
              <w:pStyle w:val="yTableNAm"/>
            </w:pPr>
            <w:r>
              <w:t>$200.40</w:t>
            </w:r>
          </w:p>
        </w:tc>
      </w:tr>
      <w:tr>
        <w:tc>
          <w:tcPr>
            <w:tcW w:w="850" w:type="dxa"/>
          </w:tcPr>
          <w:p>
            <w:pPr>
              <w:pStyle w:val="yTableNAm"/>
              <w:rPr>
                <w:b/>
                <w:bCs/>
              </w:rPr>
            </w:pPr>
            <w:r>
              <w:rPr>
                <w:b/>
                <w:bCs/>
              </w:rPr>
              <w:t>17.</w:t>
            </w:r>
          </w:p>
        </w:tc>
        <w:tc>
          <w:tcPr>
            <w:tcW w:w="4234" w:type="dxa"/>
          </w:tcPr>
          <w:p>
            <w:pPr>
              <w:pStyle w:val="yTableNAm"/>
              <w:rPr>
                <w:b/>
                <w:bCs/>
              </w:rPr>
            </w:pPr>
            <w:r>
              <w:rPr>
                <w:b/>
                <w:bCs/>
              </w:rPr>
              <w:t>Metropolitan non</w:t>
            </w:r>
            <w:r>
              <w:rPr>
                <w:b/>
                <w:bCs/>
              </w:rPr>
              <w:noBreakHyphen/>
              <w:t>residential (except strata</w:t>
            </w:r>
            <w:r>
              <w:rPr>
                <w:b/>
                <w:bCs/>
              </w:rPr>
              <w:noBreakHyphen/>
              <w:t>titled units that share a service)</w:t>
            </w:r>
          </w:p>
        </w:tc>
        <w:tc>
          <w:tcPr>
            <w:tcW w:w="1153" w:type="dxa"/>
          </w:tcPr>
          <w:p>
            <w:pPr>
              <w:pStyle w:val="yTableNAm"/>
              <w:rPr>
                <w:b/>
                <w:bCs/>
              </w:rPr>
            </w:pPr>
          </w:p>
        </w:tc>
      </w:tr>
      <w:tr>
        <w:tc>
          <w:tcPr>
            <w:tcW w:w="850" w:type="dxa"/>
          </w:tcPr>
          <w:p>
            <w:pPr>
              <w:pStyle w:val="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Ind w:w="976" w:type="dxa"/>
        <w:tblLayout w:type="fixed"/>
        <w:tblLook w:val="0000" w:firstRow="0" w:lastRow="0" w:firstColumn="0" w:lastColumn="0" w:noHBand="0" w:noVBand="0"/>
      </w:tblPr>
      <w:tblGrid>
        <w:gridCol w:w="3206"/>
        <w:gridCol w:w="3093"/>
      </w:tblGrid>
      <w:tr>
        <w:trPr>
          <w:tblHeader/>
          <w:jc w:val="center"/>
        </w:trPr>
        <w:tc>
          <w:tcPr>
            <w:tcW w:w="3206"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rPr>
                <w:b/>
                <w:bCs/>
              </w:rPr>
            </w:pPr>
            <w:r>
              <w:rPr>
                <w:b/>
                <w:bCs/>
              </w:rPr>
              <w:t>Charge</w:t>
            </w:r>
            <w:r>
              <w:rPr>
                <w:b/>
                <w:bCs/>
              </w:rPr>
              <w:br/>
              <w:t>$</w:t>
            </w:r>
          </w:p>
        </w:tc>
      </w:tr>
      <w:tr>
        <w:trPr>
          <w:jc w:val="center"/>
        </w:trPr>
        <w:tc>
          <w:tcPr>
            <w:tcW w:w="3206" w:type="dxa"/>
          </w:tcPr>
          <w:p>
            <w:pPr>
              <w:pStyle w:val="yTableNAm"/>
              <w:jc w:val="center"/>
            </w:pPr>
            <w:r>
              <w:t>20</w:t>
            </w:r>
          </w:p>
        </w:tc>
        <w:tc>
          <w:tcPr>
            <w:tcW w:w="3093" w:type="dxa"/>
          </w:tcPr>
          <w:p>
            <w:pPr>
              <w:pStyle w:val="yTableNAm"/>
              <w:jc w:val="center"/>
            </w:pPr>
            <w:r>
              <w:t>463.80</w:t>
            </w:r>
          </w:p>
        </w:tc>
      </w:tr>
      <w:tr>
        <w:trPr>
          <w:jc w:val="center"/>
        </w:trPr>
        <w:tc>
          <w:tcPr>
            <w:tcW w:w="3206" w:type="dxa"/>
          </w:tcPr>
          <w:p>
            <w:pPr>
              <w:pStyle w:val="yTableNAm"/>
              <w:jc w:val="center"/>
            </w:pPr>
            <w:r>
              <w:t>25</w:t>
            </w:r>
          </w:p>
        </w:tc>
        <w:tc>
          <w:tcPr>
            <w:tcW w:w="3093" w:type="dxa"/>
          </w:tcPr>
          <w:p>
            <w:pPr>
              <w:pStyle w:val="yTableNAm"/>
              <w:jc w:val="center"/>
            </w:pPr>
            <w:r>
              <w:t>724.80</w:t>
            </w:r>
          </w:p>
        </w:tc>
      </w:tr>
      <w:tr>
        <w:trPr>
          <w:jc w:val="center"/>
        </w:trPr>
        <w:tc>
          <w:tcPr>
            <w:tcW w:w="3206" w:type="dxa"/>
          </w:tcPr>
          <w:p>
            <w:pPr>
              <w:pStyle w:val="yTableNAm"/>
              <w:jc w:val="center"/>
            </w:pPr>
            <w:r>
              <w:t>30</w:t>
            </w:r>
          </w:p>
        </w:tc>
        <w:tc>
          <w:tcPr>
            <w:tcW w:w="3093" w:type="dxa"/>
          </w:tcPr>
          <w:p>
            <w:pPr>
              <w:pStyle w:val="yTableNAm"/>
              <w:jc w:val="center"/>
            </w:pPr>
            <w:r>
              <w:t>1 044.00</w:t>
            </w:r>
          </w:p>
        </w:tc>
      </w:tr>
      <w:tr>
        <w:trPr>
          <w:jc w:val="center"/>
        </w:trPr>
        <w:tc>
          <w:tcPr>
            <w:tcW w:w="3206" w:type="dxa"/>
          </w:tcPr>
          <w:p>
            <w:pPr>
              <w:pStyle w:val="yTableNAm"/>
              <w:jc w:val="center"/>
            </w:pPr>
            <w:r>
              <w:t>40</w:t>
            </w:r>
          </w:p>
        </w:tc>
        <w:tc>
          <w:tcPr>
            <w:tcW w:w="3093" w:type="dxa"/>
          </w:tcPr>
          <w:p>
            <w:pPr>
              <w:pStyle w:val="yTableNAm"/>
              <w:jc w:val="center"/>
            </w:pPr>
            <w:r>
              <w:t>1 855.00</w:t>
            </w:r>
          </w:p>
        </w:tc>
      </w:tr>
      <w:tr>
        <w:trPr>
          <w:jc w:val="center"/>
        </w:trPr>
        <w:tc>
          <w:tcPr>
            <w:tcW w:w="3206" w:type="dxa"/>
          </w:tcPr>
          <w:p>
            <w:pPr>
              <w:pStyle w:val="yTableNAm"/>
              <w:jc w:val="center"/>
            </w:pPr>
            <w:r>
              <w:t>50</w:t>
            </w:r>
          </w:p>
        </w:tc>
        <w:tc>
          <w:tcPr>
            <w:tcW w:w="3093" w:type="dxa"/>
          </w:tcPr>
          <w:p>
            <w:pPr>
              <w:pStyle w:val="yTableNAm"/>
              <w:jc w:val="center"/>
            </w:pPr>
            <w:r>
              <w:t>2 899.00</w:t>
            </w:r>
          </w:p>
        </w:tc>
      </w:tr>
      <w:tr>
        <w:trPr>
          <w:jc w:val="center"/>
        </w:trPr>
        <w:tc>
          <w:tcPr>
            <w:tcW w:w="3206" w:type="dxa"/>
          </w:tcPr>
          <w:p>
            <w:pPr>
              <w:pStyle w:val="yTableNAm"/>
              <w:jc w:val="center"/>
            </w:pPr>
            <w:r>
              <w:t>80</w:t>
            </w:r>
          </w:p>
        </w:tc>
        <w:tc>
          <w:tcPr>
            <w:tcW w:w="3093" w:type="dxa"/>
          </w:tcPr>
          <w:p>
            <w:pPr>
              <w:pStyle w:val="yTableNAm"/>
              <w:jc w:val="center"/>
            </w:pPr>
            <w:r>
              <w:t>7 422.00</w:t>
            </w:r>
          </w:p>
        </w:tc>
      </w:tr>
      <w:tr>
        <w:trPr>
          <w:jc w:val="center"/>
        </w:trPr>
        <w:tc>
          <w:tcPr>
            <w:tcW w:w="3206" w:type="dxa"/>
          </w:tcPr>
          <w:p>
            <w:pPr>
              <w:pStyle w:val="yTableNAm"/>
              <w:jc w:val="center"/>
            </w:pPr>
            <w:r>
              <w:t>100</w:t>
            </w:r>
          </w:p>
        </w:tc>
        <w:tc>
          <w:tcPr>
            <w:tcW w:w="3093" w:type="dxa"/>
          </w:tcPr>
          <w:p>
            <w:pPr>
              <w:pStyle w:val="yTableNAm"/>
              <w:jc w:val="center"/>
            </w:pPr>
            <w:r>
              <w:t>11 596.00</w:t>
            </w:r>
          </w:p>
        </w:tc>
      </w:tr>
      <w:tr>
        <w:trPr>
          <w:jc w:val="center"/>
        </w:trPr>
        <w:tc>
          <w:tcPr>
            <w:tcW w:w="3206" w:type="dxa"/>
          </w:tcPr>
          <w:p>
            <w:pPr>
              <w:pStyle w:val="yTableNAm"/>
              <w:jc w:val="center"/>
            </w:pPr>
            <w:r>
              <w:t>150</w:t>
            </w:r>
          </w:p>
        </w:tc>
        <w:tc>
          <w:tcPr>
            <w:tcW w:w="3093" w:type="dxa"/>
          </w:tcPr>
          <w:p>
            <w:pPr>
              <w:pStyle w:val="yTableNAm"/>
              <w:jc w:val="center"/>
            </w:pPr>
            <w:r>
              <w:t>26 091.00</w:t>
            </w:r>
          </w:p>
        </w:tc>
      </w:tr>
      <w:tr>
        <w:trPr>
          <w:jc w:val="center"/>
        </w:trPr>
        <w:tc>
          <w:tcPr>
            <w:tcW w:w="3206" w:type="dxa"/>
          </w:tcPr>
          <w:p>
            <w:pPr>
              <w:pStyle w:val="yTableNAm"/>
              <w:jc w:val="center"/>
            </w:pPr>
            <w:r>
              <w:t>200</w:t>
            </w:r>
          </w:p>
        </w:tc>
        <w:tc>
          <w:tcPr>
            <w:tcW w:w="3093" w:type="dxa"/>
          </w:tcPr>
          <w:p>
            <w:pPr>
              <w:pStyle w:val="yTableNAm"/>
              <w:jc w:val="center"/>
            </w:pPr>
            <w:r>
              <w:t>46 385.00</w:t>
            </w:r>
          </w:p>
        </w:tc>
      </w:tr>
      <w:tr>
        <w:trPr>
          <w:jc w:val="center"/>
        </w:trPr>
        <w:tc>
          <w:tcPr>
            <w:tcW w:w="3206" w:type="dxa"/>
          </w:tcPr>
          <w:p>
            <w:pPr>
              <w:pStyle w:val="yTableNAm"/>
              <w:jc w:val="center"/>
            </w:pPr>
            <w:r>
              <w:t>250</w:t>
            </w:r>
          </w:p>
        </w:tc>
        <w:tc>
          <w:tcPr>
            <w:tcW w:w="3093" w:type="dxa"/>
          </w:tcPr>
          <w:p>
            <w:pPr>
              <w:pStyle w:val="yTableNAm"/>
              <w:jc w:val="center"/>
            </w:pPr>
            <w:r>
              <w:t>72 476.00</w:t>
            </w:r>
          </w:p>
        </w:tc>
      </w:tr>
      <w:tr>
        <w:trPr>
          <w:jc w:val="center"/>
        </w:trPr>
        <w:tc>
          <w:tcPr>
            <w:tcW w:w="3206" w:type="dxa"/>
          </w:tcPr>
          <w:p>
            <w:pPr>
              <w:pStyle w:val="yTableNAm"/>
              <w:jc w:val="center"/>
            </w:pPr>
            <w:r>
              <w:t>300</w:t>
            </w:r>
          </w:p>
        </w:tc>
        <w:tc>
          <w:tcPr>
            <w:tcW w:w="3093" w:type="dxa"/>
          </w:tcPr>
          <w:p>
            <w:pPr>
              <w:pStyle w:val="yTableNAm"/>
              <w:jc w:val="center"/>
            </w:pPr>
            <w:r>
              <w:t>104 366.00</w:t>
            </w:r>
          </w:p>
        </w:tc>
      </w:tr>
      <w:tr>
        <w:trPr>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tcPr>
          <w:p>
            <w:pPr>
              <w:pStyle w:val="yTableNAm"/>
              <w:jc w:val="center"/>
            </w:pPr>
            <w:r>
              <w:t>142 053.00</w:t>
            </w:r>
          </w:p>
        </w:tc>
      </w:tr>
    </w:tbl>
    <w:p>
      <w:pPr>
        <w:pStyle w:val="ySubsection"/>
      </w:pPr>
    </w:p>
    <w:tbl>
      <w:tblPr>
        <w:tblW w:w="0" w:type="auto"/>
        <w:tblInd w:w="534" w:type="dxa"/>
        <w:tblLook w:val="0000" w:firstRow="0" w:lastRow="0" w:firstColumn="0" w:lastColumn="0" w:noHBand="0" w:noVBand="0"/>
      </w:tblPr>
      <w:tblGrid>
        <w:gridCol w:w="850"/>
        <w:gridCol w:w="4234"/>
        <w:gridCol w:w="1153"/>
      </w:tblGrid>
      <w:tr>
        <w:tc>
          <w:tcPr>
            <w:tcW w:w="850" w:type="dxa"/>
          </w:tcPr>
          <w:p>
            <w:pPr>
              <w:pStyle w:val="yTableNAm"/>
              <w:rPr>
                <w:b/>
                <w:bCs/>
              </w:rPr>
            </w:pPr>
            <w:r>
              <w:rPr>
                <w:b/>
                <w:bCs/>
              </w:rPr>
              <w:t>18.</w:t>
            </w:r>
          </w:p>
        </w:tc>
        <w:tc>
          <w:tcPr>
            <w:tcW w:w="4234" w:type="dxa"/>
          </w:tcPr>
          <w:p>
            <w:pPr>
              <w:pStyle w:val="yTableNAm"/>
              <w:rPr>
                <w:b/>
                <w:bCs/>
              </w:rPr>
            </w:pPr>
            <w:r>
              <w:rPr>
                <w:b/>
                <w:bCs/>
              </w:rPr>
              <w:t>Vacant land</w:t>
            </w:r>
          </w:p>
        </w:tc>
        <w:tc>
          <w:tcPr>
            <w:tcW w:w="1153" w:type="dxa"/>
          </w:tcPr>
          <w:p>
            <w:pPr>
              <w:pStyle w:val="yTableNAm"/>
              <w:rPr>
                <w:b/>
                <w:bCs/>
              </w:rPr>
            </w:pPr>
          </w:p>
        </w:tc>
      </w:tr>
      <w:tr>
        <w:tc>
          <w:tcPr>
            <w:tcW w:w="850" w:type="dxa"/>
          </w:tcPr>
          <w:p>
            <w:pPr>
              <w:pStyle w:val="yTableNAm"/>
            </w:pPr>
          </w:p>
        </w:tc>
        <w:tc>
          <w:tcPr>
            <w:tcW w:w="4234" w:type="dxa"/>
          </w:tcPr>
          <w:p>
            <w:pPr>
              <w:pStyle w:val="yTableNAm"/>
            </w:pPr>
            <w:r>
              <w:t>In respect of land classified as vacant land ..</w:t>
            </w:r>
          </w:p>
        </w:tc>
        <w:tc>
          <w:tcPr>
            <w:tcW w:w="1153" w:type="dxa"/>
          </w:tcPr>
          <w:p>
            <w:pPr>
              <w:pStyle w:val="yTableNAm"/>
            </w:pPr>
            <w:r>
              <w:t>$200.40</w:t>
            </w:r>
          </w:p>
        </w:tc>
      </w:tr>
      <w:tr>
        <w:tc>
          <w:tcPr>
            <w:tcW w:w="850" w:type="dxa"/>
          </w:tcPr>
          <w:p>
            <w:pPr>
              <w:pStyle w:val="yTableNAm"/>
              <w:rPr>
                <w:b/>
                <w:bCs/>
              </w:rPr>
            </w:pPr>
            <w:r>
              <w:rPr>
                <w:b/>
                <w:bCs/>
              </w:rPr>
              <w:t>19.</w:t>
            </w:r>
          </w:p>
        </w:tc>
        <w:tc>
          <w:tcPr>
            <w:tcW w:w="4234" w:type="dxa"/>
          </w:tcPr>
          <w:p>
            <w:pPr>
              <w:pStyle w:val="yTableNAm"/>
              <w:rPr>
                <w:b/>
                <w:bCs/>
              </w:rPr>
            </w:pPr>
            <w:r>
              <w:rPr>
                <w:b/>
                <w:bCs/>
              </w:rPr>
              <w:t>Garden supply for metropolitan vacant land</w:t>
            </w:r>
          </w:p>
        </w:tc>
        <w:tc>
          <w:tcPr>
            <w:tcW w:w="1153" w:type="dxa"/>
          </w:tcPr>
          <w:p>
            <w:pPr>
              <w:pStyle w:val="yTableNAm"/>
              <w:rPr>
                <w:b/>
                <w:bCs/>
              </w:rPr>
            </w:pPr>
          </w:p>
        </w:tc>
      </w:tr>
      <w:tr>
        <w:tc>
          <w:tcPr>
            <w:tcW w:w="850" w:type="dxa"/>
          </w:tcPr>
          <w:p>
            <w:pPr>
              <w:pStyle w:val="yTableNAm"/>
            </w:pPr>
          </w:p>
        </w:tc>
        <w:tc>
          <w:tcPr>
            <w:tcW w:w="4234" w:type="dxa"/>
          </w:tcPr>
          <w:p>
            <w:pPr>
              <w:pStyle w:val="yTableNAm"/>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tcPr>
          <w:p>
            <w:pPr>
              <w:pStyle w:val="yTableNAm"/>
            </w:pP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(a)</w:t>
            </w:r>
            <w:r>
              <w:tab/>
              <w:t>if the area of land is less than 400 m</w:t>
            </w:r>
            <w:r>
              <w:rPr>
                <w:rFonts w:ascii="Times" w:hAnsi="Times"/>
                <w:vertAlign w:val="superscript"/>
              </w:rPr>
              <w:t>2</w:t>
            </w:r>
            <w:r>
              <w:t>, in addition to any other charge applicable to the land under this Schedule, a charge of ..</w:t>
            </w:r>
          </w:p>
        </w:tc>
        <w:tc>
          <w:tcPr>
            <w:tcW w:w="1153" w:type="dxa"/>
          </w:tcPr>
          <w:p>
            <w:pPr>
              <w:pStyle w:val="yTableNAm"/>
            </w:pPr>
            <w:r>
              <w:br/>
            </w:r>
            <w:r>
              <w:br/>
            </w:r>
            <w:r>
              <w:br/>
              <w:t>$67.90</w:t>
            </w:r>
          </w:p>
        </w:tc>
      </w:tr>
      <w:tr>
        <w:tc>
          <w:tcPr>
            <w:tcW w:w="850" w:type="dxa"/>
          </w:tcPr>
          <w:p>
            <w:pPr>
              <w:pStyle w:val="yTableNAm"/>
            </w:pPr>
          </w:p>
        </w:tc>
        <w:tc>
          <w:tcPr>
            <w:tcW w:w="4234" w:type="dxa"/>
          </w:tcPr>
          <w:p>
            <w:pPr>
              <w:pStyle w:val="yTableNAm"/>
              <w:tabs>
                <w:tab w:val="clear" w:pos="567"/>
                <w:tab w:val="left" w:pos="416"/>
                <w:tab w:val="left" w:pos="1016"/>
              </w:tabs>
              <w:ind w:left="1016" w:hanging="1016"/>
            </w:pPr>
            <w:r>
              <w:tab/>
              <w:t>(b)</w:t>
            </w:r>
            <w:r>
              <w:tab/>
              <w:t>if the area of land is equal to or greater than 400 m</w:t>
            </w:r>
            <w:r>
              <w:rPr>
                <w:vertAlign w:val="superscript"/>
              </w:rPr>
              <w:t>2</w:t>
            </w:r>
            <w:r>
              <w:t>, in addition to any other charge applicable to the land under this Schedule, a charge of ......................................</w:t>
            </w:r>
          </w:p>
        </w:tc>
        <w:tc>
          <w:tcPr>
            <w:tcW w:w="1153" w:type="dxa"/>
          </w:tcPr>
          <w:p>
            <w:pPr>
              <w:pStyle w:val="yTableNAm"/>
            </w:pPr>
            <w:r>
              <w:br/>
            </w:r>
            <w:r>
              <w:br/>
            </w:r>
            <w:r>
              <w:br/>
            </w:r>
            <w:r>
              <w:br/>
              <w:t>$135.80</w:t>
            </w:r>
          </w:p>
        </w:tc>
      </w:tr>
    </w:tbl>
    <w:p>
      <w:pPr>
        <w:pStyle w:val="yFootnotesection"/>
      </w:pPr>
      <w:r>
        <w:tab/>
        <w:t>[Division 1 inserted in Gazette 19 Jun 2009 p. 2323-30.]</w:t>
      </w:r>
    </w:p>
    <w:p>
      <w:pPr>
        <w:pStyle w:val="yHeading3"/>
      </w:pPr>
      <w:bookmarkStart w:id="482" w:name="_Toc233448384"/>
      <w:bookmarkStart w:id="483" w:name="_Toc233611691"/>
      <w:r>
        <w:rPr>
          <w:rStyle w:val="CharSDivNo"/>
        </w:rPr>
        <w:t>Division 2</w:t>
      </w:r>
      <w:r>
        <w:rPr>
          <w:b w:val="0"/>
        </w:rPr>
        <w:t> — </w:t>
      </w:r>
      <w:r>
        <w:rPr>
          <w:rStyle w:val="CharSDivText"/>
        </w:rPr>
        <w:t>Quantity charges</w:t>
      </w:r>
      <w:bookmarkEnd w:id="482"/>
      <w:bookmarkEnd w:id="483"/>
    </w:p>
    <w:p>
      <w:pPr>
        <w:pStyle w:val="yFootnoteheading"/>
        <w:spacing w:after="120"/>
      </w:pPr>
      <w:r>
        <w:tab/>
        <w:t>[Heading inserted in Gazette 19 Jun 2009 p. 2330.]</w:t>
      </w:r>
    </w:p>
    <w:tbl>
      <w:tblPr>
        <w:tblW w:w="0" w:type="auto"/>
        <w:tblInd w:w="534" w:type="dxa"/>
        <w:tblLook w:val="0000" w:firstRow="0" w:lastRow="0" w:firstColumn="0" w:lastColumn="0" w:noHBand="0" w:noVBand="0"/>
      </w:tblPr>
      <w:tblGrid>
        <w:gridCol w:w="850"/>
        <w:gridCol w:w="4237"/>
        <w:gridCol w:w="1291"/>
      </w:tblGrid>
      <w:tr>
        <w:tc>
          <w:tcPr>
            <w:tcW w:w="850" w:type="dxa"/>
          </w:tcPr>
          <w:p>
            <w:pPr>
              <w:pStyle w:val="yTableNAm"/>
              <w:rPr>
                <w:b/>
                <w:bCs/>
              </w:rPr>
            </w:pPr>
            <w:r>
              <w:rPr>
                <w:b/>
                <w:bCs/>
              </w:rPr>
              <w:t>20.</w:t>
            </w:r>
          </w:p>
        </w:tc>
        <w:tc>
          <w:tcPr>
            <w:tcW w:w="4237" w:type="dxa"/>
          </w:tcPr>
          <w:p>
            <w:pPr>
              <w:pStyle w:val="yTableNAm"/>
              <w:rPr>
                <w:b/>
                <w:bCs/>
              </w:rPr>
            </w:pPr>
            <w:r>
              <w:rPr>
                <w:b/>
                <w:bCs/>
              </w:rPr>
              <w:t>Metropolitan residential</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tcPr>
          <w:p>
            <w:pPr>
              <w:pStyle w:val="yTableNAm"/>
            </w:pPr>
          </w:p>
        </w:tc>
      </w:tr>
      <w:tr>
        <w:tc>
          <w:tcPr>
            <w:tcW w:w="850" w:type="dxa"/>
          </w:tcPr>
          <w:p>
            <w:pPr>
              <w:pStyle w:val="yTableNAm"/>
            </w:pPr>
          </w:p>
        </w:tc>
        <w:tc>
          <w:tcPr>
            <w:tcW w:w="4237" w:type="dxa"/>
          </w:tcPr>
          <w:p>
            <w:pPr>
              <w:pStyle w:val="yTableNAm"/>
            </w:pPr>
            <w:r>
              <w:t>up to 150 kL ................…....…....….............</w:t>
            </w:r>
          </w:p>
        </w:tc>
        <w:tc>
          <w:tcPr>
            <w:tcW w:w="1291" w:type="dxa"/>
          </w:tcPr>
          <w:p>
            <w:pPr>
              <w:pStyle w:val="yTableNAm"/>
            </w:pPr>
            <w:r>
              <w:t>72.6 cents</w:t>
            </w:r>
          </w:p>
        </w:tc>
      </w:tr>
      <w:tr>
        <w:tc>
          <w:tcPr>
            <w:tcW w:w="850" w:type="dxa"/>
          </w:tcPr>
          <w:p>
            <w:pPr>
              <w:pStyle w:val="yTableNAm"/>
            </w:pPr>
          </w:p>
        </w:tc>
        <w:tc>
          <w:tcPr>
            <w:tcW w:w="4237" w:type="dxa"/>
          </w:tcPr>
          <w:p>
            <w:pPr>
              <w:pStyle w:val="yTableNAm"/>
            </w:pPr>
            <w:r>
              <w:t>over 150 but not over 350 kL .......................</w:t>
            </w:r>
          </w:p>
        </w:tc>
        <w:tc>
          <w:tcPr>
            <w:tcW w:w="1291" w:type="dxa"/>
          </w:tcPr>
          <w:p>
            <w:pPr>
              <w:pStyle w:val="yTableNAm"/>
            </w:pPr>
            <w:r>
              <w:t>88.0 cents</w:t>
            </w:r>
          </w:p>
        </w:tc>
      </w:tr>
      <w:tr>
        <w:tc>
          <w:tcPr>
            <w:tcW w:w="850" w:type="dxa"/>
          </w:tcPr>
          <w:p>
            <w:pPr>
              <w:pStyle w:val="yTableNAm"/>
            </w:pPr>
          </w:p>
        </w:tc>
        <w:tc>
          <w:tcPr>
            <w:tcW w:w="4237" w:type="dxa"/>
          </w:tcPr>
          <w:p>
            <w:pPr>
              <w:pStyle w:val="yTableNAm"/>
            </w:pPr>
            <w:r>
              <w:t>over 350 but not over 550 kL .......................</w:t>
            </w:r>
          </w:p>
        </w:tc>
        <w:tc>
          <w:tcPr>
            <w:tcW w:w="1291" w:type="dxa"/>
          </w:tcPr>
          <w:p>
            <w:pPr>
              <w:pStyle w:val="yTableNAm"/>
            </w:pPr>
            <w:r>
              <w:t>102.0 cents</w:t>
            </w:r>
          </w:p>
        </w:tc>
      </w:tr>
      <w:tr>
        <w:tc>
          <w:tcPr>
            <w:tcW w:w="850" w:type="dxa"/>
          </w:tcPr>
          <w:p>
            <w:pPr>
              <w:pStyle w:val="yTableNAm"/>
            </w:pPr>
          </w:p>
        </w:tc>
        <w:tc>
          <w:tcPr>
            <w:tcW w:w="4237" w:type="dxa"/>
          </w:tcPr>
          <w:p>
            <w:pPr>
              <w:pStyle w:val="yTableNAm"/>
            </w:pPr>
            <w:r>
              <w:t>over 550 but not over 950 kL .......................</w:t>
            </w:r>
          </w:p>
        </w:tc>
        <w:tc>
          <w:tcPr>
            <w:tcW w:w="1291" w:type="dxa"/>
          </w:tcPr>
          <w:p>
            <w:pPr>
              <w:pStyle w:val="yTableNAm"/>
            </w:pPr>
            <w:r>
              <w:t>153.7 cents</w:t>
            </w:r>
          </w:p>
        </w:tc>
      </w:tr>
      <w:tr>
        <w:tc>
          <w:tcPr>
            <w:tcW w:w="850" w:type="dxa"/>
          </w:tcPr>
          <w:p>
            <w:pPr>
              <w:pStyle w:val="yTableNAm"/>
            </w:pPr>
          </w:p>
        </w:tc>
        <w:tc>
          <w:tcPr>
            <w:tcW w:w="4237" w:type="dxa"/>
          </w:tcPr>
          <w:p>
            <w:pPr>
              <w:pStyle w:val="yTableNAm"/>
            </w:pPr>
            <w:r>
              <w:t>over 950 kL ................…....…...…....….......</w:t>
            </w:r>
          </w:p>
        </w:tc>
        <w:tc>
          <w:tcPr>
            <w:tcW w:w="1291" w:type="dxa"/>
          </w:tcPr>
          <w:p>
            <w:pPr>
              <w:pStyle w:val="yTableNAm"/>
            </w:pPr>
            <w:r>
              <w:t>177.9 cents</w:t>
            </w:r>
          </w:p>
        </w:tc>
      </w:tr>
      <w:tr>
        <w:tc>
          <w:tcPr>
            <w:tcW w:w="850" w:type="dxa"/>
          </w:tcPr>
          <w:p>
            <w:pPr>
              <w:pStyle w:val="yTableNAm"/>
              <w:rPr>
                <w:b/>
                <w:bCs/>
              </w:rPr>
            </w:pPr>
            <w:r>
              <w:rPr>
                <w:b/>
                <w:bCs/>
              </w:rPr>
              <w:t>21.</w:t>
            </w:r>
          </w:p>
        </w:tc>
        <w:tc>
          <w:tcPr>
            <w:tcW w:w="4237" w:type="dxa"/>
          </w:tcPr>
          <w:p>
            <w:pPr>
              <w:pStyle w:val="yTableNAm"/>
              <w:rPr>
                <w:b/>
                <w:bCs/>
              </w:rPr>
            </w:pPr>
            <w:r>
              <w:rPr>
                <w:b/>
                <w:bCs/>
              </w:rPr>
              <w:t>Metropolitan semi</w:t>
            </w:r>
            <w:r>
              <w:rPr>
                <w:b/>
                <w:bCs/>
              </w:rPr>
              <w:noBreakHyphen/>
              <w:t>rural residential</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1" w:type="dxa"/>
          </w:tcPr>
          <w:p>
            <w:pPr>
              <w:pStyle w:val="yTableNAm"/>
            </w:pPr>
          </w:p>
        </w:tc>
      </w:tr>
      <w:tr>
        <w:tc>
          <w:tcPr>
            <w:tcW w:w="850" w:type="dxa"/>
          </w:tcPr>
          <w:p>
            <w:pPr>
              <w:pStyle w:val="yTableNAm"/>
            </w:pPr>
          </w:p>
        </w:tc>
        <w:tc>
          <w:tcPr>
            <w:tcW w:w="4237" w:type="dxa"/>
          </w:tcPr>
          <w:p>
            <w:pPr>
              <w:pStyle w:val="yTableNAm"/>
            </w:pPr>
            <w:r>
              <w:t>up to 150 kL ..........................................…...</w:t>
            </w:r>
          </w:p>
        </w:tc>
        <w:tc>
          <w:tcPr>
            <w:tcW w:w="1291" w:type="dxa"/>
          </w:tcPr>
          <w:p>
            <w:pPr>
              <w:pStyle w:val="yTableNAm"/>
            </w:pPr>
            <w:r>
              <w:t>72.6 cents</w:t>
            </w:r>
          </w:p>
        </w:tc>
      </w:tr>
      <w:tr>
        <w:tc>
          <w:tcPr>
            <w:tcW w:w="850" w:type="dxa"/>
          </w:tcPr>
          <w:p>
            <w:pPr>
              <w:pStyle w:val="yTableNAm"/>
            </w:pPr>
          </w:p>
        </w:tc>
        <w:tc>
          <w:tcPr>
            <w:tcW w:w="4237" w:type="dxa"/>
          </w:tcPr>
          <w:p>
            <w:pPr>
              <w:pStyle w:val="yTableNAm"/>
            </w:pPr>
            <w:r>
              <w:t>over 150 but not over 350 kL ...........…........</w:t>
            </w:r>
          </w:p>
        </w:tc>
        <w:tc>
          <w:tcPr>
            <w:tcW w:w="1291" w:type="dxa"/>
          </w:tcPr>
          <w:p>
            <w:pPr>
              <w:pStyle w:val="yTableNAm"/>
            </w:pPr>
            <w:r>
              <w:t>88.0 cents</w:t>
            </w:r>
          </w:p>
        </w:tc>
      </w:tr>
      <w:tr>
        <w:tc>
          <w:tcPr>
            <w:tcW w:w="850" w:type="dxa"/>
          </w:tcPr>
          <w:p>
            <w:pPr>
              <w:pStyle w:val="yTableNAm"/>
            </w:pPr>
          </w:p>
        </w:tc>
        <w:tc>
          <w:tcPr>
            <w:tcW w:w="4237" w:type="dxa"/>
          </w:tcPr>
          <w:p>
            <w:pPr>
              <w:pStyle w:val="yTableNAm"/>
            </w:pPr>
            <w:r>
              <w:t>over 350 but not over 550 kL ...........…........</w:t>
            </w:r>
          </w:p>
        </w:tc>
        <w:tc>
          <w:tcPr>
            <w:tcW w:w="1291" w:type="dxa"/>
          </w:tcPr>
          <w:p>
            <w:pPr>
              <w:pStyle w:val="yTableNAm"/>
            </w:pPr>
            <w:r>
              <w:t>102.0 cents</w:t>
            </w:r>
          </w:p>
        </w:tc>
      </w:tr>
      <w:tr>
        <w:tc>
          <w:tcPr>
            <w:tcW w:w="850" w:type="dxa"/>
          </w:tcPr>
          <w:p>
            <w:pPr>
              <w:pStyle w:val="yTableNAm"/>
            </w:pPr>
          </w:p>
        </w:tc>
        <w:tc>
          <w:tcPr>
            <w:tcW w:w="4237" w:type="dxa"/>
          </w:tcPr>
          <w:p>
            <w:pPr>
              <w:pStyle w:val="yTableNAm"/>
            </w:pPr>
            <w:r>
              <w:t>over 550 but not over 950 kL ..........….........</w:t>
            </w:r>
          </w:p>
        </w:tc>
        <w:tc>
          <w:tcPr>
            <w:tcW w:w="1291" w:type="dxa"/>
          </w:tcPr>
          <w:p>
            <w:pPr>
              <w:pStyle w:val="yTableNAm"/>
            </w:pPr>
            <w:r>
              <w:t>153.7 cents</w:t>
            </w:r>
          </w:p>
        </w:tc>
      </w:tr>
      <w:tr>
        <w:tc>
          <w:tcPr>
            <w:tcW w:w="850" w:type="dxa"/>
          </w:tcPr>
          <w:p>
            <w:pPr>
              <w:pStyle w:val="yTableNAm"/>
            </w:pPr>
          </w:p>
        </w:tc>
        <w:tc>
          <w:tcPr>
            <w:tcW w:w="4237" w:type="dxa"/>
          </w:tcPr>
          <w:p>
            <w:pPr>
              <w:pStyle w:val="yTableNAm"/>
            </w:pPr>
            <w:r>
              <w:t>over 950 kL .......................................….......</w:t>
            </w:r>
          </w:p>
        </w:tc>
        <w:tc>
          <w:tcPr>
            <w:tcW w:w="1291" w:type="dxa"/>
          </w:tcPr>
          <w:p>
            <w:pPr>
              <w:pStyle w:val="yTableNAm"/>
            </w:pPr>
            <w:r>
              <w:t>177.9 cents</w:t>
            </w:r>
          </w:p>
        </w:tc>
      </w:tr>
      <w:tr>
        <w:tc>
          <w:tcPr>
            <w:tcW w:w="850" w:type="dxa"/>
          </w:tcPr>
          <w:p>
            <w:pPr>
              <w:pStyle w:val="yTableNAm"/>
              <w:rPr>
                <w:b/>
                <w:bCs/>
              </w:rPr>
            </w:pPr>
            <w:r>
              <w:rPr>
                <w:b/>
                <w:bCs/>
              </w:rPr>
              <w:t>22.</w:t>
            </w:r>
          </w:p>
        </w:tc>
        <w:tc>
          <w:tcPr>
            <w:tcW w:w="4237" w:type="dxa"/>
          </w:tcPr>
          <w:p>
            <w:pPr>
              <w:pStyle w:val="yTableNAm"/>
              <w:rPr>
                <w:b/>
                <w:bCs/>
              </w:rPr>
            </w:pPr>
            <w:r>
              <w:rPr>
                <w:b/>
                <w:bCs/>
              </w:rPr>
              <w:t>Non</w:t>
            </w:r>
            <w:r>
              <w:rPr>
                <w:b/>
                <w:bCs/>
              </w:rPr>
              <w:noBreakHyphen/>
              <w:t>metropolitan residential</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r>
              <w:t>72.6</w:t>
            </w:r>
          </w:p>
        </w:tc>
        <w:tc>
          <w:tcPr>
            <w:tcW w:w="992" w:type="dxa"/>
          </w:tcPr>
          <w:p>
            <w:pPr>
              <w:pStyle w:val="yTableNAm"/>
              <w:jc w:val="center"/>
            </w:pPr>
            <w:r>
              <w:t>72.6</w:t>
            </w:r>
          </w:p>
        </w:tc>
        <w:tc>
          <w:tcPr>
            <w:tcW w:w="992" w:type="dxa"/>
          </w:tcPr>
          <w:p>
            <w:pPr>
              <w:pStyle w:val="yTableNAm"/>
              <w:jc w:val="center"/>
            </w:pPr>
            <w:r>
              <w:t>72.6</w:t>
            </w:r>
          </w:p>
        </w:tc>
        <w:tc>
          <w:tcPr>
            <w:tcW w:w="992" w:type="dxa"/>
          </w:tcPr>
          <w:p>
            <w:pPr>
              <w:pStyle w:val="yTableNAm"/>
              <w:jc w:val="center"/>
            </w:pPr>
            <w:r>
              <w:t>72.6</w:t>
            </w:r>
          </w:p>
        </w:tc>
        <w:tc>
          <w:tcPr>
            <w:tcW w:w="993" w:type="dxa"/>
          </w:tcPr>
          <w:p>
            <w:pPr>
              <w:pStyle w:val="yTableNAm"/>
              <w:jc w:val="center"/>
            </w:pPr>
            <w:r>
              <w:t>72.6</w:t>
            </w:r>
          </w:p>
        </w:tc>
      </w:tr>
      <w:tr>
        <w:tc>
          <w:tcPr>
            <w:tcW w:w="1417" w:type="dxa"/>
          </w:tcPr>
          <w:p>
            <w:pPr>
              <w:pStyle w:val="yTableNAm"/>
            </w:pPr>
            <w:r>
              <w:t>Over 150 but not over 300</w:t>
            </w:r>
          </w:p>
        </w:tc>
        <w:tc>
          <w:tcPr>
            <w:tcW w:w="992" w:type="dxa"/>
          </w:tcPr>
          <w:p>
            <w:pPr>
              <w:pStyle w:val="yTableNAm"/>
              <w:jc w:val="center"/>
            </w:pPr>
            <w:r>
              <w:br/>
              <w:t>88.0</w:t>
            </w:r>
          </w:p>
        </w:tc>
        <w:tc>
          <w:tcPr>
            <w:tcW w:w="992" w:type="dxa"/>
          </w:tcPr>
          <w:p>
            <w:pPr>
              <w:pStyle w:val="yTableNAm"/>
              <w:jc w:val="center"/>
            </w:pPr>
            <w:r>
              <w:br/>
              <w:t>88.0</w:t>
            </w:r>
          </w:p>
        </w:tc>
        <w:tc>
          <w:tcPr>
            <w:tcW w:w="992" w:type="dxa"/>
          </w:tcPr>
          <w:p>
            <w:pPr>
              <w:pStyle w:val="yTableNAm"/>
              <w:jc w:val="center"/>
            </w:pPr>
            <w:r>
              <w:br/>
              <w:t>88.0</w:t>
            </w:r>
          </w:p>
        </w:tc>
        <w:tc>
          <w:tcPr>
            <w:tcW w:w="992" w:type="dxa"/>
          </w:tcPr>
          <w:p>
            <w:pPr>
              <w:pStyle w:val="yTableNAm"/>
              <w:jc w:val="center"/>
            </w:pPr>
            <w:r>
              <w:br/>
              <w:t>88.0</w:t>
            </w:r>
          </w:p>
        </w:tc>
        <w:tc>
          <w:tcPr>
            <w:tcW w:w="993" w:type="dxa"/>
          </w:tcPr>
          <w:p>
            <w:pPr>
              <w:pStyle w:val="yTableNAm"/>
              <w:jc w:val="center"/>
            </w:pPr>
            <w:r>
              <w:br/>
              <w:t>88.0</w:t>
            </w:r>
          </w:p>
        </w:tc>
      </w:tr>
      <w:tr>
        <w:tc>
          <w:tcPr>
            <w:tcW w:w="1417" w:type="dxa"/>
          </w:tcPr>
          <w:p>
            <w:pPr>
              <w:pStyle w:val="yTableNAm"/>
            </w:pPr>
            <w:r>
              <w:t>Over 300 but not over 350</w:t>
            </w:r>
          </w:p>
        </w:tc>
        <w:tc>
          <w:tcPr>
            <w:tcW w:w="992" w:type="dxa"/>
          </w:tcPr>
          <w:p>
            <w:pPr>
              <w:pStyle w:val="yTableNAm"/>
              <w:jc w:val="center"/>
            </w:pPr>
            <w:r>
              <w:br/>
              <w:t>88.0</w:t>
            </w:r>
          </w:p>
        </w:tc>
        <w:tc>
          <w:tcPr>
            <w:tcW w:w="992" w:type="dxa"/>
          </w:tcPr>
          <w:p>
            <w:pPr>
              <w:pStyle w:val="yTableNAm"/>
              <w:jc w:val="center"/>
            </w:pPr>
            <w:r>
              <w:br/>
              <w:t>104.2</w:t>
            </w:r>
          </w:p>
        </w:tc>
        <w:tc>
          <w:tcPr>
            <w:tcW w:w="992" w:type="dxa"/>
          </w:tcPr>
          <w:p>
            <w:pPr>
              <w:pStyle w:val="yTableNAm"/>
              <w:jc w:val="center"/>
            </w:pPr>
            <w:r>
              <w:br/>
              <w:t>111.0</w:t>
            </w:r>
          </w:p>
        </w:tc>
        <w:tc>
          <w:tcPr>
            <w:tcW w:w="992" w:type="dxa"/>
          </w:tcPr>
          <w:p>
            <w:pPr>
              <w:pStyle w:val="yTableNAm"/>
              <w:jc w:val="center"/>
            </w:pPr>
            <w:r>
              <w:br/>
              <w:t>124.7</w:t>
            </w:r>
          </w:p>
        </w:tc>
        <w:tc>
          <w:tcPr>
            <w:tcW w:w="993" w:type="dxa"/>
          </w:tcPr>
          <w:p>
            <w:pPr>
              <w:pStyle w:val="yTableNAm"/>
              <w:jc w:val="center"/>
            </w:pPr>
            <w:r>
              <w:br/>
              <w:t>132.8</w:t>
            </w:r>
          </w:p>
        </w:tc>
      </w:tr>
      <w:tr>
        <w:tc>
          <w:tcPr>
            <w:tcW w:w="1417" w:type="dxa"/>
          </w:tcPr>
          <w:p>
            <w:pPr>
              <w:pStyle w:val="yTableNAm"/>
            </w:pPr>
            <w:r>
              <w:t>Over 350 but not over 450</w:t>
            </w:r>
          </w:p>
        </w:tc>
        <w:tc>
          <w:tcPr>
            <w:tcW w:w="992" w:type="dxa"/>
          </w:tcPr>
          <w:p>
            <w:pPr>
              <w:pStyle w:val="yTableNAm"/>
              <w:jc w:val="center"/>
            </w:pPr>
            <w:r>
              <w:br/>
              <w:t>97.7</w:t>
            </w:r>
          </w:p>
        </w:tc>
        <w:tc>
          <w:tcPr>
            <w:tcW w:w="992" w:type="dxa"/>
          </w:tcPr>
          <w:p>
            <w:pPr>
              <w:pStyle w:val="yTableNAm"/>
              <w:jc w:val="center"/>
            </w:pPr>
            <w:r>
              <w:br/>
              <w:t>115.5</w:t>
            </w:r>
          </w:p>
        </w:tc>
        <w:tc>
          <w:tcPr>
            <w:tcW w:w="992" w:type="dxa"/>
          </w:tcPr>
          <w:p>
            <w:pPr>
              <w:pStyle w:val="yTableNAm"/>
              <w:jc w:val="center"/>
            </w:pPr>
            <w:r>
              <w:br/>
              <w:t>122.3</w:t>
            </w:r>
          </w:p>
        </w:tc>
        <w:tc>
          <w:tcPr>
            <w:tcW w:w="992" w:type="dxa"/>
          </w:tcPr>
          <w:p>
            <w:pPr>
              <w:pStyle w:val="yTableNAm"/>
              <w:jc w:val="center"/>
            </w:pPr>
            <w:r>
              <w:br/>
              <w:t>136.0</w:t>
            </w:r>
          </w:p>
        </w:tc>
        <w:tc>
          <w:tcPr>
            <w:tcW w:w="993" w:type="dxa"/>
          </w:tcPr>
          <w:p>
            <w:pPr>
              <w:pStyle w:val="yTableNAm"/>
              <w:jc w:val="center"/>
            </w:pPr>
            <w:r>
              <w:br/>
              <w:t>144.2</w:t>
            </w:r>
          </w:p>
        </w:tc>
      </w:tr>
      <w:tr>
        <w:tc>
          <w:tcPr>
            <w:tcW w:w="1417" w:type="dxa"/>
          </w:tcPr>
          <w:p>
            <w:pPr>
              <w:pStyle w:val="yTableNAm"/>
            </w:pPr>
            <w:r>
              <w:t>Over 450 but not over 550</w:t>
            </w:r>
          </w:p>
        </w:tc>
        <w:tc>
          <w:tcPr>
            <w:tcW w:w="992" w:type="dxa"/>
          </w:tcPr>
          <w:p>
            <w:pPr>
              <w:pStyle w:val="yTableNAm"/>
              <w:jc w:val="center"/>
            </w:pPr>
            <w:r>
              <w:br/>
              <w:t>97.7</w:t>
            </w:r>
          </w:p>
        </w:tc>
        <w:tc>
          <w:tcPr>
            <w:tcW w:w="992" w:type="dxa"/>
          </w:tcPr>
          <w:p>
            <w:pPr>
              <w:pStyle w:val="yTableNAm"/>
              <w:jc w:val="center"/>
            </w:pPr>
            <w:r>
              <w:br/>
              <w:t>132.5</w:t>
            </w:r>
          </w:p>
        </w:tc>
        <w:tc>
          <w:tcPr>
            <w:tcW w:w="992" w:type="dxa"/>
          </w:tcPr>
          <w:p>
            <w:pPr>
              <w:pStyle w:val="yTableNAm"/>
              <w:jc w:val="center"/>
            </w:pPr>
            <w:r>
              <w:br/>
              <w:t>146.8</w:t>
            </w:r>
          </w:p>
        </w:tc>
        <w:tc>
          <w:tcPr>
            <w:tcW w:w="992" w:type="dxa"/>
          </w:tcPr>
          <w:p>
            <w:pPr>
              <w:pStyle w:val="yTableNAm"/>
              <w:jc w:val="center"/>
            </w:pPr>
            <w:r>
              <w:br/>
              <w:t>168.2</w:t>
            </w:r>
          </w:p>
        </w:tc>
        <w:tc>
          <w:tcPr>
            <w:tcW w:w="993" w:type="dxa"/>
          </w:tcPr>
          <w:p>
            <w:pPr>
              <w:pStyle w:val="yTableNAm"/>
              <w:jc w:val="center"/>
            </w:pPr>
            <w:r>
              <w:br/>
              <w:t>178.8</w:t>
            </w:r>
          </w:p>
        </w:tc>
      </w:tr>
      <w:tr>
        <w:tc>
          <w:tcPr>
            <w:tcW w:w="1417" w:type="dxa"/>
          </w:tcPr>
          <w:p>
            <w:pPr>
              <w:pStyle w:val="yTableNAm"/>
            </w:pPr>
            <w:r>
              <w:t>Over 550 but not over 750</w:t>
            </w:r>
          </w:p>
        </w:tc>
        <w:tc>
          <w:tcPr>
            <w:tcW w:w="992" w:type="dxa"/>
          </w:tcPr>
          <w:p>
            <w:pPr>
              <w:pStyle w:val="yTableNAm"/>
              <w:jc w:val="center"/>
            </w:pPr>
            <w:r>
              <w:br/>
              <w:t>153.9</w:t>
            </w:r>
          </w:p>
        </w:tc>
        <w:tc>
          <w:tcPr>
            <w:tcW w:w="992" w:type="dxa"/>
          </w:tcPr>
          <w:p>
            <w:pPr>
              <w:pStyle w:val="yTableNAm"/>
              <w:jc w:val="center"/>
            </w:pPr>
            <w:r>
              <w:br/>
              <w:t>185.0</w:t>
            </w:r>
          </w:p>
        </w:tc>
        <w:tc>
          <w:tcPr>
            <w:tcW w:w="992" w:type="dxa"/>
          </w:tcPr>
          <w:p>
            <w:pPr>
              <w:pStyle w:val="yTableNAm"/>
              <w:jc w:val="center"/>
            </w:pPr>
            <w:r>
              <w:br/>
              <w:t>212.9</w:t>
            </w:r>
          </w:p>
        </w:tc>
        <w:tc>
          <w:tcPr>
            <w:tcW w:w="992" w:type="dxa"/>
          </w:tcPr>
          <w:p>
            <w:pPr>
              <w:pStyle w:val="yTableNAm"/>
              <w:jc w:val="center"/>
            </w:pPr>
            <w:r>
              <w:br/>
              <w:t>255.6</w:t>
            </w:r>
          </w:p>
        </w:tc>
        <w:tc>
          <w:tcPr>
            <w:tcW w:w="993" w:type="dxa"/>
          </w:tcPr>
          <w:p>
            <w:pPr>
              <w:pStyle w:val="yTableNAm"/>
              <w:jc w:val="center"/>
            </w:pPr>
            <w:r>
              <w:br/>
              <w:t>280.4</w:t>
            </w:r>
          </w:p>
        </w:tc>
      </w:tr>
      <w:tr>
        <w:tc>
          <w:tcPr>
            <w:tcW w:w="1417" w:type="dxa"/>
          </w:tcPr>
          <w:p>
            <w:pPr>
              <w:pStyle w:val="yTableNAm"/>
            </w:pPr>
            <w:r>
              <w:t>Over 750 but not over 950</w:t>
            </w:r>
          </w:p>
        </w:tc>
        <w:tc>
          <w:tcPr>
            <w:tcW w:w="992" w:type="dxa"/>
          </w:tcPr>
          <w:p>
            <w:pPr>
              <w:pStyle w:val="yTableNAm"/>
              <w:jc w:val="center"/>
            </w:pPr>
            <w:r>
              <w:br/>
              <w:t>176.2</w:t>
            </w:r>
          </w:p>
        </w:tc>
        <w:tc>
          <w:tcPr>
            <w:tcW w:w="992" w:type="dxa"/>
          </w:tcPr>
          <w:p>
            <w:pPr>
              <w:pStyle w:val="yTableNAm"/>
              <w:jc w:val="center"/>
            </w:pPr>
            <w:r>
              <w:br/>
              <w:t>240.6</w:t>
            </w:r>
          </w:p>
        </w:tc>
        <w:tc>
          <w:tcPr>
            <w:tcW w:w="992" w:type="dxa"/>
          </w:tcPr>
          <w:p>
            <w:pPr>
              <w:pStyle w:val="yTableNAm"/>
              <w:jc w:val="center"/>
            </w:pPr>
            <w:r>
              <w:br/>
              <w:t>271.8</w:t>
            </w:r>
          </w:p>
        </w:tc>
        <w:tc>
          <w:tcPr>
            <w:tcW w:w="992" w:type="dxa"/>
          </w:tcPr>
          <w:p>
            <w:pPr>
              <w:pStyle w:val="yTableNAm"/>
              <w:jc w:val="center"/>
            </w:pPr>
            <w:r>
              <w:br/>
              <w:t>325.8</w:t>
            </w:r>
          </w:p>
        </w:tc>
        <w:tc>
          <w:tcPr>
            <w:tcW w:w="993" w:type="dxa"/>
          </w:tcPr>
          <w:p>
            <w:pPr>
              <w:pStyle w:val="yTableNAm"/>
              <w:jc w:val="center"/>
            </w:pPr>
            <w:r>
              <w:br/>
              <w:t>362.0</w:t>
            </w:r>
          </w:p>
        </w:tc>
      </w:tr>
      <w:tr>
        <w:tc>
          <w:tcPr>
            <w:tcW w:w="1417" w:type="dxa"/>
          </w:tcPr>
          <w:p>
            <w:pPr>
              <w:pStyle w:val="yTableNAm"/>
            </w:pPr>
            <w:r>
              <w:t>Over 950 but not over 1 150</w:t>
            </w:r>
          </w:p>
        </w:tc>
        <w:tc>
          <w:tcPr>
            <w:tcW w:w="992" w:type="dxa"/>
          </w:tcPr>
          <w:p>
            <w:pPr>
              <w:pStyle w:val="yTableNAm"/>
              <w:jc w:val="center"/>
            </w:pPr>
            <w:r>
              <w:br/>
              <w:t>179.7</w:t>
            </w:r>
          </w:p>
        </w:tc>
        <w:tc>
          <w:tcPr>
            <w:tcW w:w="992" w:type="dxa"/>
          </w:tcPr>
          <w:p>
            <w:pPr>
              <w:pStyle w:val="yTableNAm"/>
              <w:jc w:val="center"/>
            </w:pPr>
            <w:r>
              <w:br/>
              <w:t>258.2</w:t>
            </w:r>
          </w:p>
        </w:tc>
        <w:tc>
          <w:tcPr>
            <w:tcW w:w="992" w:type="dxa"/>
          </w:tcPr>
          <w:p>
            <w:pPr>
              <w:pStyle w:val="yTableNAm"/>
              <w:jc w:val="center"/>
            </w:pPr>
            <w:r>
              <w:br/>
              <w:t>310.9</w:t>
            </w:r>
          </w:p>
        </w:tc>
        <w:tc>
          <w:tcPr>
            <w:tcW w:w="992" w:type="dxa"/>
          </w:tcPr>
          <w:p>
            <w:pPr>
              <w:pStyle w:val="yTableNAm"/>
              <w:jc w:val="center"/>
            </w:pPr>
            <w:r>
              <w:br/>
              <w:t>378.1</w:t>
            </w:r>
          </w:p>
        </w:tc>
        <w:tc>
          <w:tcPr>
            <w:tcW w:w="993" w:type="dxa"/>
          </w:tcPr>
          <w:p>
            <w:pPr>
              <w:pStyle w:val="yTableNAm"/>
              <w:jc w:val="center"/>
            </w:pPr>
            <w:r>
              <w:br/>
              <w:t>449.7</w:t>
            </w:r>
          </w:p>
        </w:tc>
      </w:tr>
      <w:tr>
        <w:tc>
          <w:tcPr>
            <w:tcW w:w="1417" w:type="dxa"/>
          </w:tcPr>
          <w:p>
            <w:pPr>
              <w:pStyle w:val="yTableNAm"/>
            </w:pPr>
            <w:r>
              <w:t>Over 1 150 but not over 1 550</w:t>
            </w:r>
          </w:p>
        </w:tc>
        <w:tc>
          <w:tcPr>
            <w:tcW w:w="992" w:type="dxa"/>
          </w:tcPr>
          <w:p>
            <w:pPr>
              <w:pStyle w:val="yTableNAm"/>
              <w:jc w:val="center"/>
            </w:pPr>
            <w:r>
              <w:br/>
              <w:t>225.1</w:t>
            </w:r>
          </w:p>
        </w:tc>
        <w:tc>
          <w:tcPr>
            <w:tcW w:w="992" w:type="dxa"/>
          </w:tcPr>
          <w:p>
            <w:pPr>
              <w:pStyle w:val="yTableNAm"/>
              <w:jc w:val="center"/>
            </w:pPr>
            <w:r>
              <w:br/>
              <w:t>323.2</w:t>
            </w:r>
          </w:p>
        </w:tc>
        <w:tc>
          <w:tcPr>
            <w:tcW w:w="992" w:type="dxa"/>
          </w:tcPr>
          <w:p>
            <w:pPr>
              <w:pStyle w:val="yTableNAm"/>
              <w:jc w:val="center"/>
            </w:pPr>
            <w:r>
              <w:br/>
              <w:t>392.1</w:t>
            </w:r>
          </w:p>
        </w:tc>
        <w:tc>
          <w:tcPr>
            <w:tcW w:w="992" w:type="dxa"/>
          </w:tcPr>
          <w:p>
            <w:pPr>
              <w:pStyle w:val="yTableNAm"/>
              <w:jc w:val="center"/>
            </w:pPr>
            <w:r>
              <w:br/>
              <w:t>524.5</w:t>
            </w:r>
          </w:p>
        </w:tc>
        <w:tc>
          <w:tcPr>
            <w:tcW w:w="993" w:type="dxa"/>
          </w:tcPr>
          <w:p>
            <w:pPr>
              <w:pStyle w:val="yTableNAm"/>
              <w:jc w:val="center"/>
            </w:pPr>
            <w:r>
              <w:br/>
              <w:t>650.1</w:t>
            </w:r>
          </w:p>
        </w:tc>
      </w:tr>
      <w:tr>
        <w:tc>
          <w:tcPr>
            <w:tcW w:w="1417" w:type="dxa"/>
          </w:tcPr>
          <w:p>
            <w:pPr>
              <w:pStyle w:val="yTableNAm"/>
            </w:pPr>
            <w:r>
              <w:t>Over 1 550 but not over 1 950</w:t>
            </w:r>
          </w:p>
        </w:tc>
        <w:tc>
          <w:tcPr>
            <w:tcW w:w="992" w:type="dxa"/>
          </w:tcPr>
          <w:p>
            <w:pPr>
              <w:pStyle w:val="yTableNAm"/>
              <w:jc w:val="center"/>
            </w:pPr>
            <w:r>
              <w:br/>
              <w:t>247.9</w:t>
            </w:r>
          </w:p>
        </w:tc>
        <w:tc>
          <w:tcPr>
            <w:tcW w:w="992" w:type="dxa"/>
          </w:tcPr>
          <w:p>
            <w:pPr>
              <w:pStyle w:val="yTableNAm"/>
              <w:jc w:val="center"/>
            </w:pPr>
            <w:r>
              <w:br/>
              <w:t>371.9</w:t>
            </w:r>
          </w:p>
        </w:tc>
        <w:tc>
          <w:tcPr>
            <w:tcW w:w="992" w:type="dxa"/>
          </w:tcPr>
          <w:p>
            <w:pPr>
              <w:pStyle w:val="yTableNAm"/>
              <w:jc w:val="center"/>
            </w:pPr>
            <w:r>
              <w:br/>
              <w:t>468.1</w:t>
            </w:r>
          </w:p>
        </w:tc>
        <w:tc>
          <w:tcPr>
            <w:tcW w:w="992" w:type="dxa"/>
          </w:tcPr>
          <w:p>
            <w:pPr>
              <w:pStyle w:val="yTableNAm"/>
              <w:jc w:val="center"/>
            </w:pPr>
            <w:r>
              <w:br/>
              <w:t>589.5</w:t>
            </w:r>
          </w:p>
        </w:tc>
        <w:tc>
          <w:tcPr>
            <w:tcW w:w="993" w:type="dxa"/>
          </w:tcPr>
          <w:p>
            <w:pPr>
              <w:pStyle w:val="yTableNAm"/>
              <w:jc w:val="center"/>
            </w:pPr>
            <w:r>
              <w:br/>
              <w:t>715.3</w:t>
            </w:r>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r>
              <w:t>275.9</w:t>
            </w:r>
          </w:p>
        </w:tc>
        <w:tc>
          <w:tcPr>
            <w:tcW w:w="992" w:type="dxa"/>
            <w:tcBorders>
              <w:bottom w:val="single" w:sz="4" w:space="0" w:color="auto"/>
            </w:tcBorders>
          </w:tcPr>
          <w:p>
            <w:pPr>
              <w:pStyle w:val="yTableNAm"/>
              <w:jc w:val="center"/>
            </w:pPr>
            <w:r>
              <w:t>442.5</w:t>
            </w:r>
          </w:p>
        </w:tc>
        <w:tc>
          <w:tcPr>
            <w:tcW w:w="992" w:type="dxa"/>
            <w:tcBorders>
              <w:bottom w:val="single" w:sz="4" w:space="0" w:color="auto"/>
            </w:tcBorders>
          </w:tcPr>
          <w:p>
            <w:pPr>
              <w:pStyle w:val="yTableNAm"/>
              <w:jc w:val="center"/>
            </w:pPr>
            <w:r>
              <w:t>533.1</w:t>
            </w:r>
          </w:p>
        </w:tc>
        <w:tc>
          <w:tcPr>
            <w:tcW w:w="992" w:type="dxa"/>
            <w:tcBorders>
              <w:bottom w:val="single" w:sz="4" w:space="0" w:color="auto"/>
            </w:tcBorders>
          </w:tcPr>
          <w:p>
            <w:pPr>
              <w:pStyle w:val="yTableNAm"/>
              <w:jc w:val="center"/>
            </w:pPr>
            <w:r>
              <w:t>654.4</w:t>
            </w:r>
          </w:p>
        </w:tc>
        <w:tc>
          <w:tcPr>
            <w:tcW w:w="993" w:type="dxa"/>
            <w:tcBorders>
              <w:bottom w:val="single" w:sz="4" w:space="0" w:color="auto"/>
            </w:tcBorders>
          </w:tcPr>
          <w:p>
            <w:pPr>
              <w:pStyle w:val="yTableNAm"/>
              <w:jc w:val="center"/>
            </w:pPr>
            <w:r>
              <w:t>769.4</w:t>
            </w:r>
          </w:p>
        </w:tc>
      </w:tr>
    </w:tbl>
    <w:p>
      <w:pPr>
        <w:pStyle w:val="ySubsection"/>
      </w:pPr>
    </w:p>
    <w:tbl>
      <w:tblPr>
        <w:tblW w:w="0" w:type="auto"/>
        <w:tblInd w:w="534" w:type="dxa"/>
        <w:tblLook w:val="0000" w:firstRow="0" w:lastRow="0" w:firstColumn="0" w:lastColumn="0" w:noHBand="0" w:noVBand="0"/>
      </w:tblPr>
      <w:tblGrid>
        <w:gridCol w:w="850"/>
        <w:gridCol w:w="4237"/>
        <w:gridCol w:w="1291"/>
      </w:tblGrid>
      <w:tr>
        <w:tc>
          <w:tcPr>
            <w:tcW w:w="850" w:type="dxa"/>
          </w:tcPr>
          <w:p>
            <w:pPr>
              <w:pStyle w:val="yTableNAm"/>
              <w:rPr>
                <w:rStyle w:val="CharSClsNo"/>
              </w:rPr>
            </w:pPr>
          </w:p>
        </w:tc>
        <w:tc>
          <w:tcPr>
            <w:tcW w:w="4237" w:type="dxa"/>
          </w:tcPr>
          <w:p>
            <w:pPr>
              <w:pStyle w:val="yTableNAm"/>
              <w:rPr>
                <w:spacing w:val="-1"/>
              </w:rPr>
            </w:pPr>
            <w:r>
              <w:t>except that if the property is —</w:t>
            </w:r>
          </w:p>
        </w:tc>
        <w:tc>
          <w:tcPr>
            <w:tcW w:w="1291" w:type="dxa"/>
          </w:tcPr>
          <w:p>
            <w:pPr>
              <w:pStyle w:val="yTableNAm"/>
            </w:pPr>
          </w:p>
        </w:tc>
      </w:tr>
      <w:tr>
        <w:tc>
          <w:tcPr>
            <w:tcW w:w="850" w:type="dxa"/>
          </w:tcPr>
          <w:p>
            <w:pPr>
              <w:pStyle w:val="yTableNAm"/>
              <w:rPr>
                <w:rStyle w:val="CharSClsNo"/>
                <w:b/>
                <w:bCs/>
              </w:rPr>
            </w:pPr>
          </w:p>
        </w:tc>
        <w:tc>
          <w:tcPr>
            <w:tcW w:w="4237" w:type="dxa"/>
          </w:tcPr>
          <w:p>
            <w:pPr>
              <w:pStyle w:val="yTableNAm"/>
              <w:tabs>
                <w:tab w:val="clear" w:pos="567"/>
                <w:tab w:val="left" w:pos="416"/>
                <w:tab w:val="left" w:pos="1016"/>
              </w:tabs>
              <w:ind w:left="1016" w:hanging="1016"/>
              <w:rPr>
                <w:b/>
                <w:bCs/>
                <w:spacing w:val="-1"/>
              </w:rPr>
            </w:pPr>
            <w:r>
              <w:rPr>
                <w:snapToGrid w:val="0"/>
              </w:rPr>
              <w:tab/>
              <w:t>(a)</w:t>
            </w:r>
            <w:r>
              <w:tab/>
            </w:r>
            <w:r>
              <w:rPr>
                <w:snapToGrid w:val="0"/>
              </w:rPr>
              <w:t>in the town of Cue, Laverton, Leonora, Meekatharra, Menzies, Mt Magnet, Mullewa, Sandstone, Wiluna or Yalgoo; or</w:t>
            </w:r>
          </w:p>
        </w:tc>
        <w:tc>
          <w:tcPr>
            <w:tcW w:w="1291" w:type="dxa"/>
          </w:tcPr>
          <w:p>
            <w:pPr>
              <w:pStyle w:val="yTableNAm"/>
              <w:rPr>
                <w:b/>
                <w:bCs/>
              </w:rPr>
            </w:pP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rPr>
                <w:spacing w:val="-1"/>
              </w:rPr>
            </w:pPr>
            <w:r>
              <w:rPr>
                <w:snapToGrid w:val="0"/>
              </w:rPr>
              <w:tab/>
              <w:t>(b)</w:t>
            </w:r>
            <w:r>
              <w:rPr>
                <w:snapToGrid w:val="0"/>
              </w:rPr>
              <w:tab/>
              <w:t>north of 26ºS Latitude,</w:t>
            </w:r>
          </w:p>
        </w:tc>
        <w:tc>
          <w:tcPr>
            <w:tcW w:w="1291" w:type="dxa"/>
          </w:tcPr>
          <w:p>
            <w:pPr>
              <w:pStyle w:val="yTableNAm"/>
            </w:pPr>
          </w:p>
        </w:tc>
      </w:tr>
      <w:tr>
        <w:tc>
          <w:tcPr>
            <w:tcW w:w="850" w:type="dxa"/>
          </w:tcPr>
          <w:p>
            <w:pPr>
              <w:pStyle w:val="yTableNAm"/>
              <w:rPr>
                <w:rStyle w:val="CharSClsNo"/>
              </w:rPr>
            </w:pPr>
          </w:p>
        </w:tc>
        <w:tc>
          <w:tcPr>
            <w:tcW w:w="4237" w:type="dxa"/>
          </w:tcPr>
          <w:p>
            <w:pPr>
              <w:pStyle w:val="yTableNAm"/>
              <w:rPr>
                <w:snapToGrid w:val="0"/>
              </w:rPr>
            </w:pPr>
            <w:r>
              <w:t>the charge for each kilolitre of water is —</w:t>
            </w:r>
          </w:p>
        </w:tc>
        <w:tc>
          <w:tcPr>
            <w:tcW w:w="1291"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r>
              <w:t>72.6</w:t>
            </w:r>
          </w:p>
        </w:tc>
        <w:tc>
          <w:tcPr>
            <w:tcW w:w="992" w:type="dxa"/>
          </w:tcPr>
          <w:p>
            <w:pPr>
              <w:pStyle w:val="yTableNAm"/>
              <w:jc w:val="center"/>
            </w:pPr>
            <w:r>
              <w:t>72.6</w:t>
            </w:r>
          </w:p>
        </w:tc>
        <w:tc>
          <w:tcPr>
            <w:tcW w:w="992" w:type="dxa"/>
          </w:tcPr>
          <w:p>
            <w:pPr>
              <w:pStyle w:val="yTableNAm"/>
              <w:jc w:val="center"/>
            </w:pPr>
            <w:r>
              <w:t>72.6</w:t>
            </w:r>
          </w:p>
        </w:tc>
        <w:tc>
          <w:tcPr>
            <w:tcW w:w="992" w:type="dxa"/>
          </w:tcPr>
          <w:p>
            <w:pPr>
              <w:pStyle w:val="yTableNAm"/>
              <w:jc w:val="center"/>
            </w:pPr>
            <w:r>
              <w:t>72.6</w:t>
            </w:r>
          </w:p>
        </w:tc>
        <w:tc>
          <w:tcPr>
            <w:tcW w:w="993" w:type="dxa"/>
          </w:tcPr>
          <w:p>
            <w:pPr>
              <w:pStyle w:val="yTableNAm"/>
              <w:jc w:val="center"/>
            </w:pPr>
            <w:r>
              <w:t>72.6</w:t>
            </w:r>
          </w:p>
        </w:tc>
      </w:tr>
      <w:tr>
        <w:tc>
          <w:tcPr>
            <w:tcW w:w="1417" w:type="dxa"/>
          </w:tcPr>
          <w:p>
            <w:pPr>
              <w:pStyle w:val="yTableNAm"/>
            </w:pPr>
            <w:r>
              <w:t>Over 150 but not over 300</w:t>
            </w:r>
          </w:p>
        </w:tc>
        <w:tc>
          <w:tcPr>
            <w:tcW w:w="992" w:type="dxa"/>
          </w:tcPr>
          <w:p>
            <w:pPr>
              <w:pStyle w:val="yTableNAm"/>
              <w:jc w:val="center"/>
            </w:pPr>
            <w:r>
              <w:br/>
              <w:t>88.0</w:t>
            </w:r>
          </w:p>
        </w:tc>
        <w:tc>
          <w:tcPr>
            <w:tcW w:w="992" w:type="dxa"/>
          </w:tcPr>
          <w:p>
            <w:pPr>
              <w:pStyle w:val="yTableNAm"/>
              <w:jc w:val="center"/>
            </w:pPr>
            <w:r>
              <w:br/>
              <w:t>88.0</w:t>
            </w:r>
          </w:p>
        </w:tc>
        <w:tc>
          <w:tcPr>
            <w:tcW w:w="992" w:type="dxa"/>
          </w:tcPr>
          <w:p>
            <w:pPr>
              <w:pStyle w:val="yTableNAm"/>
              <w:jc w:val="center"/>
            </w:pPr>
            <w:r>
              <w:br/>
              <w:t>88.0</w:t>
            </w:r>
          </w:p>
        </w:tc>
        <w:tc>
          <w:tcPr>
            <w:tcW w:w="992" w:type="dxa"/>
          </w:tcPr>
          <w:p>
            <w:pPr>
              <w:pStyle w:val="yTableNAm"/>
              <w:jc w:val="center"/>
            </w:pPr>
            <w:r>
              <w:br/>
              <w:t>88.0</w:t>
            </w:r>
          </w:p>
        </w:tc>
        <w:tc>
          <w:tcPr>
            <w:tcW w:w="993" w:type="dxa"/>
          </w:tcPr>
          <w:p>
            <w:pPr>
              <w:pStyle w:val="yTableNAm"/>
              <w:jc w:val="center"/>
            </w:pPr>
            <w:r>
              <w:br/>
              <w:t>88.0</w:t>
            </w:r>
          </w:p>
        </w:tc>
      </w:tr>
      <w:tr>
        <w:tc>
          <w:tcPr>
            <w:tcW w:w="1417" w:type="dxa"/>
          </w:tcPr>
          <w:p>
            <w:pPr>
              <w:pStyle w:val="yTableNAm"/>
            </w:pPr>
            <w:r>
              <w:t>Over 300 but not over 500</w:t>
            </w:r>
          </w:p>
        </w:tc>
        <w:tc>
          <w:tcPr>
            <w:tcW w:w="992" w:type="dxa"/>
          </w:tcPr>
          <w:p>
            <w:pPr>
              <w:pStyle w:val="yTableNAm"/>
              <w:jc w:val="center"/>
            </w:pPr>
            <w:r>
              <w:br/>
              <w:t>88.0</w:t>
            </w:r>
          </w:p>
        </w:tc>
        <w:tc>
          <w:tcPr>
            <w:tcW w:w="992" w:type="dxa"/>
          </w:tcPr>
          <w:p>
            <w:pPr>
              <w:pStyle w:val="yTableNAm"/>
              <w:jc w:val="center"/>
            </w:pPr>
            <w:r>
              <w:br/>
              <w:t>88.0</w:t>
            </w:r>
          </w:p>
        </w:tc>
        <w:tc>
          <w:tcPr>
            <w:tcW w:w="992" w:type="dxa"/>
          </w:tcPr>
          <w:p>
            <w:pPr>
              <w:pStyle w:val="yTableNAm"/>
              <w:jc w:val="center"/>
            </w:pPr>
            <w:r>
              <w:br/>
              <w:t>88.0</w:t>
            </w:r>
          </w:p>
        </w:tc>
        <w:tc>
          <w:tcPr>
            <w:tcW w:w="992" w:type="dxa"/>
          </w:tcPr>
          <w:p>
            <w:pPr>
              <w:pStyle w:val="yTableNAm"/>
              <w:jc w:val="center"/>
            </w:pPr>
            <w:r>
              <w:br/>
              <w:t>88.0</w:t>
            </w:r>
          </w:p>
        </w:tc>
        <w:tc>
          <w:tcPr>
            <w:tcW w:w="993" w:type="dxa"/>
          </w:tcPr>
          <w:p>
            <w:pPr>
              <w:pStyle w:val="yTableNAm"/>
              <w:jc w:val="center"/>
            </w:pPr>
            <w:r>
              <w:br/>
              <w:t>88.0</w:t>
            </w:r>
          </w:p>
        </w:tc>
      </w:tr>
      <w:tr>
        <w:tc>
          <w:tcPr>
            <w:tcW w:w="1417" w:type="dxa"/>
          </w:tcPr>
          <w:p>
            <w:pPr>
              <w:pStyle w:val="yTableNAm"/>
            </w:pPr>
            <w:r>
              <w:t>Over 500 but not over 550</w:t>
            </w:r>
          </w:p>
        </w:tc>
        <w:tc>
          <w:tcPr>
            <w:tcW w:w="992" w:type="dxa"/>
          </w:tcPr>
          <w:p>
            <w:pPr>
              <w:pStyle w:val="yTableNAm"/>
              <w:jc w:val="center"/>
            </w:pPr>
            <w:r>
              <w:br/>
              <w:t>88.0</w:t>
            </w:r>
          </w:p>
        </w:tc>
        <w:tc>
          <w:tcPr>
            <w:tcW w:w="992" w:type="dxa"/>
          </w:tcPr>
          <w:p>
            <w:pPr>
              <w:pStyle w:val="yTableNAm"/>
              <w:jc w:val="center"/>
            </w:pPr>
            <w:r>
              <w:br/>
              <w:t>104.2</w:t>
            </w:r>
          </w:p>
        </w:tc>
        <w:tc>
          <w:tcPr>
            <w:tcW w:w="992" w:type="dxa"/>
          </w:tcPr>
          <w:p>
            <w:pPr>
              <w:pStyle w:val="yTableNAm"/>
              <w:jc w:val="center"/>
            </w:pPr>
            <w:r>
              <w:br/>
              <w:t>111.0</w:t>
            </w:r>
          </w:p>
        </w:tc>
        <w:tc>
          <w:tcPr>
            <w:tcW w:w="992" w:type="dxa"/>
          </w:tcPr>
          <w:p>
            <w:pPr>
              <w:pStyle w:val="yTableNAm"/>
              <w:jc w:val="center"/>
            </w:pPr>
            <w:r>
              <w:br/>
              <w:t>124.7</w:t>
            </w:r>
          </w:p>
        </w:tc>
        <w:tc>
          <w:tcPr>
            <w:tcW w:w="993" w:type="dxa"/>
          </w:tcPr>
          <w:p>
            <w:pPr>
              <w:pStyle w:val="yTableNAm"/>
              <w:jc w:val="center"/>
            </w:pPr>
            <w:r>
              <w:br/>
              <w:t>132.8</w:t>
            </w:r>
          </w:p>
        </w:tc>
      </w:tr>
      <w:tr>
        <w:tc>
          <w:tcPr>
            <w:tcW w:w="1417" w:type="dxa"/>
          </w:tcPr>
          <w:p>
            <w:pPr>
              <w:pStyle w:val="yTableNAm"/>
            </w:pPr>
            <w:r>
              <w:t>Over 550 but not over 650</w:t>
            </w:r>
          </w:p>
        </w:tc>
        <w:tc>
          <w:tcPr>
            <w:tcW w:w="992" w:type="dxa"/>
          </w:tcPr>
          <w:p>
            <w:pPr>
              <w:pStyle w:val="yTableNAm"/>
              <w:jc w:val="center"/>
            </w:pPr>
            <w:r>
              <w:br/>
              <w:t>96.4</w:t>
            </w:r>
          </w:p>
        </w:tc>
        <w:tc>
          <w:tcPr>
            <w:tcW w:w="992" w:type="dxa"/>
          </w:tcPr>
          <w:p>
            <w:pPr>
              <w:pStyle w:val="yTableNAm"/>
              <w:jc w:val="center"/>
            </w:pPr>
            <w:r>
              <w:br/>
              <w:t>112.6</w:t>
            </w:r>
          </w:p>
        </w:tc>
        <w:tc>
          <w:tcPr>
            <w:tcW w:w="992" w:type="dxa"/>
          </w:tcPr>
          <w:p>
            <w:pPr>
              <w:pStyle w:val="yTableNAm"/>
              <w:jc w:val="center"/>
            </w:pPr>
            <w:r>
              <w:br/>
              <w:t>119.4</w:t>
            </w:r>
          </w:p>
        </w:tc>
        <w:tc>
          <w:tcPr>
            <w:tcW w:w="992" w:type="dxa"/>
          </w:tcPr>
          <w:p>
            <w:pPr>
              <w:pStyle w:val="yTableNAm"/>
              <w:jc w:val="center"/>
            </w:pPr>
            <w:r>
              <w:br/>
              <w:t>133.1</w:t>
            </w:r>
          </w:p>
        </w:tc>
        <w:tc>
          <w:tcPr>
            <w:tcW w:w="993" w:type="dxa"/>
          </w:tcPr>
          <w:p>
            <w:pPr>
              <w:pStyle w:val="yTableNAm"/>
              <w:jc w:val="center"/>
            </w:pPr>
            <w:r>
              <w:br/>
              <w:t>141.2</w:t>
            </w:r>
          </w:p>
        </w:tc>
      </w:tr>
      <w:tr>
        <w:tc>
          <w:tcPr>
            <w:tcW w:w="1417" w:type="dxa"/>
          </w:tcPr>
          <w:p>
            <w:pPr>
              <w:pStyle w:val="yTableNAm"/>
            </w:pPr>
            <w:r>
              <w:t>Over 650 but not over 750</w:t>
            </w:r>
          </w:p>
        </w:tc>
        <w:tc>
          <w:tcPr>
            <w:tcW w:w="992" w:type="dxa"/>
          </w:tcPr>
          <w:p>
            <w:pPr>
              <w:pStyle w:val="yTableNAm"/>
              <w:jc w:val="center"/>
            </w:pPr>
            <w:r>
              <w:br/>
              <w:t>122.6</w:t>
            </w:r>
          </w:p>
        </w:tc>
        <w:tc>
          <w:tcPr>
            <w:tcW w:w="992" w:type="dxa"/>
          </w:tcPr>
          <w:p>
            <w:pPr>
              <w:pStyle w:val="yTableNAm"/>
              <w:jc w:val="center"/>
            </w:pPr>
            <w:r>
              <w:br/>
              <w:t>142.4</w:t>
            </w:r>
          </w:p>
        </w:tc>
        <w:tc>
          <w:tcPr>
            <w:tcW w:w="992" w:type="dxa"/>
          </w:tcPr>
          <w:p>
            <w:pPr>
              <w:pStyle w:val="yTableNAm"/>
              <w:jc w:val="center"/>
            </w:pPr>
            <w:r>
              <w:br/>
              <w:t>162.2</w:t>
            </w:r>
          </w:p>
        </w:tc>
        <w:tc>
          <w:tcPr>
            <w:tcW w:w="992" w:type="dxa"/>
          </w:tcPr>
          <w:p>
            <w:pPr>
              <w:pStyle w:val="yTableNAm"/>
              <w:jc w:val="center"/>
            </w:pPr>
            <w:r>
              <w:br/>
              <w:t>186.4</w:t>
            </w:r>
          </w:p>
        </w:tc>
        <w:tc>
          <w:tcPr>
            <w:tcW w:w="993" w:type="dxa"/>
          </w:tcPr>
          <w:p>
            <w:pPr>
              <w:pStyle w:val="yTableNAm"/>
              <w:jc w:val="center"/>
            </w:pPr>
            <w:r>
              <w:br/>
              <w:t>204.7</w:t>
            </w:r>
          </w:p>
        </w:tc>
      </w:tr>
      <w:tr>
        <w:tc>
          <w:tcPr>
            <w:tcW w:w="1417" w:type="dxa"/>
          </w:tcPr>
          <w:p>
            <w:pPr>
              <w:pStyle w:val="yTableNAm"/>
            </w:pPr>
            <w:r>
              <w:t>Over 750 but not over 950</w:t>
            </w:r>
          </w:p>
        </w:tc>
        <w:tc>
          <w:tcPr>
            <w:tcW w:w="992" w:type="dxa"/>
          </w:tcPr>
          <w:p>
            <w:pPr>
              <w:pStyle w:val="yTableNAm"/>
              <w:jc w:val="center"/>
            </w:pPr>
            <w:r>
              <w:br/>
              <w:t>176.2</w:t>
            </w:r>
          </w:p>
        </w:tc>
        <w:tc>
          <w:tcPr>
            <w:tcW w:w="992" w:type="dxa"/>
          </w:tcPr>
          <w:p>
            <w:pPr>
              <w:pStyle w:val="yTableNAm"/>
              <w:jc w:val="center"/>
            </w:pPr>
            <w:r>
              <w:br/>
              <w:t>240.6</w:t>
            </w:r>
          </w:p>
        </w:tc>
        <w:tc>
          <w:tcPr>
            <w:tcW w:w="992" w:type="dxa"/>
          </w:tcPr>
          <w:p>
            <w:pPr>
              <w:pStyle w:val="yTableNAm"/>
              <w:jc w:val="center"/>
            </w:pPr>
            <w:r>
              <w:br/>
              <w:t>271.8</w:t>
            </w:r>
          </w:p>
        </w:tc>
        <w:tc>
          <w:tcPr>
            <w:tcW w:w="992" w:type="dxa"/>
          </w:tcPr>
          <w:p>
            <w:pPr>
              <w:pStyle w:val="yTableNAm"/>
              <w:jc w:val="center"/>
            </w:pPr>
            <w:r>
              <w:br/>
              <w:t>325.8</w:t>
            </w:r>
          </w:p>
        </w:tc>
        <w:tc>
          <w:tcPr>
            <w:tcW w:w="993" w:type="dxa"/>
          </w:tcPr>
          <w:p>
            <w:pPr>
              <w:pStyle w:val="yTableNAm"/>
              <w:jc w:val="center"/>
            </w:pPr>
            <w:r>
              <w:br/>
              <w:t>362.0</w:t>
            </w:r>
          </w:p>
        </w:tc>
      </w:tr>
      <w:tr>
        <w:tc>
          <w:tcPr>
            <w:tcW w:w="1417" w:type="dxa"/>
          </w:tcPr>
          <w:p>
            <w:pPr>
              <w:pStyle w:val="yTableNAm"/>
            </w:pPr>
            <w:r>
              <w:t>Over 950 but not over 1 150</w:t>
            </w:r>
          </w:p>
        </w:tc>
        <w:tc>
          <w:tcPr>
            <w:tcW w:w="992" w:type="dxa"/>
          </w:tcPr>
          <w:p>
            <w:pPr>
              <w:pStyle w:val="yTableNAm"/>
              <w:jc w:val="center"/>
            </w:pPr>
            <w:r>
              <w:br/>
              <w:t>176.2</w:t>
            </w:r>
          </w:p>
        </w:tc>
        <w:tc>
          <w:tcPr>
            <w:tcW w:w="992" w:type="dxa"/>
          </w:tcPr>
          <w:p>
            <w:pPr>
              <w:pStyle w:val="yTableNAm"/>
              <w:jc w:val="center"/>
            </w:pPr>
            <w:r>
              <w:br/>
              <w:t>240.6</w:t>
            </w:r>
          </w:p>
        </w:tc>
        <w:tc>
          <w:tcPr>
            <w:tcW w:w="992" w:type="dxa"/>
          </w:tcPr>
          <w:p>
            <w:pPr>
              <w:pStyle w:val="yTableNAm"/>
              <w:jc w:val="center"/>
            </w:pPr>
            <w:r>
              <w:br/>
              <w:t>271.8</w:t>
            </w:r>
          </w:p>
        </w:tc>
        <w:tc>
          <w:tcPr>
            <w:tcW w:w="992" w:type="dxa"/>
          </w:tcPr>
          <w:p>
            <w:pPr>
              <w:pStyle w:val="yTableNAm"/>
              <w:jc w:val="center"/>
            </w:pPr>
            <w:r>
              <w:br/>
              <w:t>325.8</w:t>
            </w:r>
          </w:p>
        </w:tc>
        <w:tc>
          <w:tcPr>
            <w:tcW w:w="993" w:type="dxa"/>
          </w:tcPr>
          <w:p>
            <w:pPr>
              <w:pStyle w:val="yTableNAm"/>
              <w:jc w:val="center"/>
            </w:pPr>
            <w:r>
              <w:br/>
              <w:t>362.0</w:t>
            </w:r>
          </w:p>
        </w:tc>
      </w:tr>
      <w:tr>
        <w:tc>
          <w:tcPr>
            <w:tcW w:w="1417" w:type="dxa"/>
          </w:tcPr>
          <w:p>
            <w:pPr>
              <w:pStyle w:val="yTableNAm"/>
            </w:pPr>
            <w:r>
              <w:t>Over 1 150 but not over 1 550</w:t>
            </w:r>
          </w:p>
        </w:tc>
        <w:tc>
          <w:tcPr>
            <w:tcW w:w="992" w:type="dxa"/>
          </w:tcPr>
          <w:p>
            <w:pPr>
              <w:pStyle w:val="yTableNAm"/>
              <w:jc w:val="center"/>
            </w:pPr>
            <w:r>
              <w:br/>
              <w:t>225.1</w:t>
            </w:r>
          </w:p>
        </w:tc>
        <w:tc>
          <w:tcPr>
            <w:tcW w:w="992" w:type="dxa"/>
          </w:tcPr>
          <w:p>
            <w:pPr>
              <w:pStyle w:val="yTableNAm"/>
              <w:jc w:val="center"/>
            </w:pPr>
            <w:r>
              <w:br/>
              <w:t>323.2</w:t>
            </w:r>
          </w:p>
        </w:tc>
        <w:tc>
          <w:tcPr>
            <w:tcW w:w="992" w:type="dxa"/>
          </w:tcPr>
          <w:p>
            <w:pPr>
              <w:pStyle w:val="yTableNAm"/>
              <w:jc w:val="center"/>
            </w:pPr>
            <w:r>
              <w:br/>
              <w:t>392.1</w:t>
            </w:r>
          </w:p>
        </w:tc>
        <w:tc>
          <w:tcPr>
            <w:tcW w:w="992" w:type="dxa"/>
          </w:tcPr>
          <w:p>
            <w:pPr>
              <w:pStyle w:val="yTableNAm"/>
              <w:jc w:val="center"/>
            </w:pPr>
            <w:r>
              <w:br/>
              <w:t>524.5</w:t>
            </w:r>
          </w:p>
        </w:tc>
        <w:tc>
          <w:tcPr>
            <w:tcW w:w="993" w:type="dxa"/>
          </w:tcPr>
          <w:p>
            <w:pPr>
              <w:pStyle w:val="yTableNAm"/>
              <w:jc w:val="center"/>
            </w:pPr>
            <w:r>
              <w:br/>
              <w:t>650.1</w:t>
            </w:r>
          </w:p>
        </w:tc>
      </w:tr>
      <w:tr>
        <w:tc>
          <w:tcPr>
            <w:tcW w:w="1417" w:type="dxa"/>
          </w:tcPr>
          <w:p>
            <w:pPr>
              <w:pStyle w:val="yTableNAm"/>
            </w:pPr>
            <w:r>
              <w:t>Over 1 550 but not over 1 950</w:t>
            </w:r>
          </w:p>
        </w:tc>
        <w:tc>
          <w:tcPr>
            <w:tcW w:w="992" w:type="dxa"/>
          </w:tcPr>
          <w:p>
            <w:pPr>
              <w:pStyle w:val="yTableNAm"/>
              <w:jc w:val="center"/>
            </w:pPr>
            <w:r>
              <w:br/>
              <w:t>247.9</w:t>
            </w:r>
          </w:p>
        </w:tc>
        <w:tc>
          <w:tcPr>
            <w:tcW w:w="992" w:type="dxa"/>
          </w:tcPr>
          <w:p>
            <w:pPr>
              <w:pStyle w:val="yTableNAm"/>
              <w:jc w:val="center"/>
            </w:pPr>
            <w:r>
              <w:br/>
              <w:t>371.9</w:t>
            </w:r>
          </w:p>
        </w:tc>
        <w:tc>
          <w:tcPr>
            <w:tcW w:w="992" w:type="dxa"/>
          </w:tcPr>
          <w:p>
            <w:pPr>
              <w:pStyle w:val="yTableNAm"/>
              <w:jc w:val="center"/>
            </w:pPr>
            <w:r>
              <w:br/>
              <w:t>468.1</w:t>
            </w:r>
          </w:p>
        </w:tc>
        <w:tc>
          <w:tcPr>
            <w:tcW w:w="992" w:type="dxa"/>
          </w:tcPr>
          <w:p>
            <w:pPr>
              <w:pStyle w:val="yTableNAm"/>
              <w:jc w:val="center"/>
            </w:pPr>
            <w:r>
              <w:br/>
              <w:t>589.5</w:t>
            </w:r>
          </w:p>
        </w:tc>
        <w:tc>
          <w:tcPr>
            <w:tcW w:w="993" w:type="dxa"/>
          </w:tcPr>
          <w:p>
            <w:pPr>
              <w:pStyle w:val="yTableNAm"/>
              <w:jc w:val="center"/>
            </w:pPr>
            <w:r>
              <w:br/>
              <w:t>715.3</w:t>
            </w:r>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r>
              <w:t>275.9</w:t>
            </w:r>
          </w:p>
        </w:tc>
        <w:tc>
          <w:tcPr>
            <w:tcW w:w="992" w:type="dxa"/>
            <w:tcBorders>
              <w:bottom w:val="single" w:sz="4" w:space="0" w:color="auto"/>
            </w:tcBorders>
          </w:tcPr>
          <w:p>
            <w:pPr>
              <w:pStyle w:val="yTableNAm"/>
              <w:jc w:val="center"/>
            </w:pPr>
            <w:r>
              <w:t>442.5</w:t>
            </w:r>
          </w:p>
        </w:tc>
        <w:tc>
          <w:tcPr>
            <w:tcW w:w="992" w:type="dxa"/>
            <w:tcBorders>
              <w:bottom w:val="single" w:sz="4" w:space="0" w:color="auto"/>
            </w:tcBorders>
          </w:tcPr>
          <w:p>
            <w:pPr>
              <w:pStyle w:val="yTableNAm"/>
              <w:jc w:val="center"/>
            </w:pPr>
            <w:r>
              <w:t>533.1</w:t>
            </w:r>
          </w:p>
        </w:tc>
        <w:tc>
          <w:tcPr>
            <w:tcW w:w="992" w:type="dxa"/>
            <w:tcBorders>
              <w:bottom w:val="single" w:sz="4" w:space="0" w:color="auto"/>
            </w:tcBorders>
          </w:tcPr>
          <w:p>
            <w:pPr>
              <w:pStyle w:val="yTableNAm"/>
              <w:jc w:val="center"/>
            </w:pPr>
            <w:r>
              <w:t>654.4</w:t>
            </w:r>
          </w:p>
        </w:tc>
        <w:tc>
          <w:tcPr>
            <w:tcW w:w="993" w:type="dxa"/>
            <w:tcBorders>
              <w:bottom w:val="single" w:sz="4" w:space="0" w:color="auto"/>
            </w:tcBorders>
          </w:tcPr>
          <w:p>
            <w:pPr>
              <w:pStyle w:val="yTableNAm"/>
              <w:jc w:val="center"/>
            </w:pPr>
            <w:r>
              <w:t>769.4</w:t>
            </w:r>
          </w:p>
        </w:tc>
      </w:tr>
    </w:tbl>
    <w:p>
      <w:pPr>
        <w:pStyle w:val="ySubsection"/>
      </w:pPr>
    </w:p>
    <w:tbl>
      <w:tblPr>
        <w:tblW w:w="0" w:type="auto"/>
        <w:tblInd w:w="534" w:type="dxa"/>
        <w:tblLook w:val="0000" w:firstRow="0" w:lastRow="0" w:firstColumn="0" w:lastColumn="0" w:noHBand="0" w:noVBand="0"/>
      </w:tblPr>
      <w:tblGrid>
        <w:gridCol w:w="850"/>
        <w:gridCol w:w="4236"/>
        <w:gridCol w:w="1292"/>
      </w:tblGrid>
      <w:tr>
        <w:tc>
          <w:tcPr>
            <w:tcW w:w="850" w:type="dxa"/>
          </w:tcPr>
          <w:p>
            <w:pPr>
              <w:pStyle w:val="yTableNAm"/>
              <w:rPr>
                <w:b/>
                <w:bCs/>
              </w:rPr>
            </w:pPr>
            <w:r>
              <w:rPr>
                <w:b/>
                <w:bCs/>
              </w:rPr>
              <w:t>23.</w:t>
            </w:r>
          </w:p>
        </w:tc>
        <w:tc>
          <w:tcPr>
            <w:tcW w:w="4236" w:type="dxa"/>
          </w:tcPr>
          <w:p>
            <w:pPr>
              <w:pStyle w:val="yTableNAm"/>
              <w:rPr>
                <w:b/>
                <w:bCs/>
              </w:rPr>
            </w:pPr>
            <w:r>
              <w:rPr>
                <w:b/>
                <w:bCs/>
              </w:rPr>
              <w:t>Community residential</w:t>
            </w:r>
          </w:p>
        </w:tc>
        <w:tc>
          <w:tcPr>
            <w:tcW w:w="1292" w:type="dxa"/>
          </w:tcPr>
          <w:p>
            <w:pPr>
              <w:pStyle w:val="yTableNAm"/>
              <w:rPr>
                <w:b/>
                <w:bCs/>
              </w:rPr>
            </w:pPr>
          </w:p>
        </w:tc>
      </w:tr>
      <w:tr>
        <w:tc>
          <w:tcPr>
            <w:tcW w:w="850" w:type="dxa"/>
          </w:tcPr>
          <w:p>
            <w:pPr>
              <w:pStyle w:val="yTableNAm"/>
            </w:pPr>
          </w:p>
        </w:tc>
        <w:tc>
          <w:tcPr>
            <w:tcW w:w="4236" w:type="dxa"/>
          </w:tcPr>
          <w:p>
            <w:pPr>
              <w:pStyle w:val="yTableNAm"/>
              <w:tabs>
                <w:tab w:val="clear" w:pos="567"/>
                <w:tab w:val="left" w:pos="176"/>
                <w:tab w:val="left" w:pos="656"/>
              </w:tabs>
              <w:ind w:left="656" w:hanging="656"/>
            </w:pPr>
            <w:r>
              <w:tab/>
              <w:t>(1)</w:t>
            </w:r>
            <w:r>
              <w:tab/>
              <w:t>For each kilolitre of water supplied to a discrete residential unit as determined under by</w:t>
            </w:r>
            <w:r>
              <w:noBreakHyphen/>
              <w:t>law 16 that is in the metropolitan area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up to 150 kL ...................................</w:t>
            </w:r>
          </w:p>
        </w:tc>
        <w:tc>
          <w:tcPr>
            <w:tcW w:w="1292" w:type="dxa"/>
          </w:tcPr>
          <w:p>
            <w:pPr>
              <w:pStyle w:val="yTableNAm"/>
            </w:pPr>
            <w:r>
              <w:t>36.3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over 150 but not over 350 kL .........</w:t>
            </w:r>
          </w:p>
        </w:tc>
        <w:tc>
          <w:tcPr>
            <w:tcW w:w="1292" w:type="dxa"/>
          </w:tcPr>
          <w:p>
            <w:pPr>
              <w:pStyle w:val="yTableNAm"/>
            </w:pPr>
            <w:r>
              <w:t>88.0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over 350 but not over 550 kL .........</w:t>
            </w:r>
          </w:p>
        </w:tc>
        <w:tc>
          <w:tcPr>
            <w:tcW w:w="1292" w:type="dxa"/>
          </w:tcPr>
          <w:p>
            <w:pPr>
              <w:pStyle w:val="yTableNAm"/>
            </w:pPr>
            <w:r>
              <w:t>102.0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over 550 but not over 950 kL .........</w:t>
            </w:r>
          </w:p>
        </w:tc>
        <w:tc>
          <w:tcPr>
            <w:tcW w:w="1292" w:type="dxa"/>
          </w:tcPr>
          <w:p>
            <w:pPr>
              <w:pStyle w:val="yTableNAm"/>
            </w:pPr>
            <w:r>
              <w:t>153.7 cents</w:t>
            </w:r>
          </w:p>
        </w:tc>
      </w:tr>
      <w:tr>
        <w:tc>
          <w:tcPr>
            <w:tcW w:w="850" w:type="dxa"/>
          </w:tcPr>
          <w:p>
            <w:pPr>
              <w:pStyle w:val="yTableNAm"/>
            </w:pPr>
          </w:p>
        </w:tc>
        <w:tc>
          <w:tcPr>
            <w:tcW w:w="4236" w:type="dxa"/>
          </w:tcPr>
          <w:p>
            <w:pPr>
              <w:pStyle w:val="yTableNAm"/>
              <w:tabs>
                <w:tab w:val="clear" w:pos="567"/>
                <w:tab w:val="left" w:pos="896"/>
              </w:tabs>
              <w:rPr>
                <w:spacing w:val="-1"/>
              </w:rPr>
            </w:pPr>
            <w:r>
              <w:rPr>
                <w:spacing w:val="-1"/>
              </w:rPr>
              <w:tab/>
              <w:t>over 950 kL ....................................</w:t>
            </w:r>
          </w:p>
        </w:tc>
        <w:tc>
          <w:tcPr>
            <w:tcW w:w="1292" w:type="dxa"/>
          </w:tcPr>
          <w:p>
            <w:pPr>
              <w:pStyle w:val="yTableNAm"/>
            </w:pPr>
            <w:r>
              <w:t>177.9 cents</w:t>
            </w:r>
          </w:p>
        </w:tc>
      </w:tr>
      <w:tr>
        <w:tc>
          <w:tcPr>
            <w:tcW w:w="850" w:type="dxa"/>
          </w:tcPr>
          <w:p>
            <w:pPr>
              <w:pStyle w:val="yTableNAm"/>
            </w:pPr>
          </w:p>
        </w:tc>
        <w:tc>
          <w:tcPr>
            <w:tcW w:w="4236" w:type="dxa"/>
          </w:tcPr>
          <w:p>
            <w:pPr>
              <w:pStyle w:val="yTableNAm"/>
              <w:tabs>
                <w:tab w:val="clear" w:pos="567"/>
                <w:tab w:val="left" w:pos="176"/>
                <w:tab w:val="left" w:pos="656"/>
              </w:tabs>
              <w:ind w:left="656" w:hanging="656"/>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r>
              <w:t>36.3</w:t>
            </w:r>
          </w:p>
        </w:tc>
        <w:tc>
          <w:tcPr>
            <w:tcW w:w="992" w:type="dxa"/>
          </w:tcPr>
          <w:p>
            <w:pPr>
              <w:pStyle w:val="yTableNAm"/>
              <w:jc w:val="center"/>
            </w:pPr>
            <w:r>
              <w:t>36.3</w:t>
            </w:r>
          </w:p>
        </w:tc>
        <w:tc>
          <w:tcPr>
            <w:tcW w:w="992" w:type="dxa"/>
          </w:tcPr>
          <w:p>
            <w:pPr>
              <w:pStyle w:val="yTableNAm"/>
              <w:jc w:val="center"/>
            </w:pPr>
            <w:r>
              <w:t>36.3</w:t>
            </w:r>
          </w:p>
        </w:tc>
        <w:tc>
          <w:tcPr>
            <w:tcW w:w="992" w:type="dxa"/>
          </w:tcPr>
          <w:p>
            <w:pPr>
              <w:pStyle w:val="yTableNAm"/>
              <w:jc w:val="center"/>
            </w:pPr>
            <w:r>
              <w:t>36.3</w:t>
            </w:r>
          </w:p>
        </w:tc>
        <w:tc>
          <w:tcPr>
            <w:tcW w:w="993" w:type="dxa"/>
          </w:tcPr>
          <w:p>
            <w:pPr>
              <w:pStyle w:val="yTableNAm"/>
              <w:jc w:val="center"/>
            </w:pPr>
            <w:r>
              <w:t>36.3</w:t>
            </w:r>
          </w:p>
        </w:tc>
      </w:tr>
      <w:tr>
        <w:tc>
          <w:tcPr>
            <w:tcW w:w="1417" w:type="dxa"/>
          </w:tcPr>
          <w:p>
            <w:pPr>
              <w:pStyle w:val="yTableNAm"/>
            </w:pPr>
            <w:r>
              <w:t>Over 150 but not over 300</w:t>
            </w:r>
          </w:p>
        </w:tc>
        <w:tc>
          <w:tcPr>
            <w:tcW w:w="992" w:type="dxa"/>
          </w:tcPr>
          <w:p>
            <w:pPr>
              <w:pStyle w:val="yTableNAm"/>
              <w:jc w:val="center"/>
            </w:pPr>
            <w:r>
              <w:br/>
              <w:t>44.0</w:t>
            </w:r>
          </w:p>
        </w:tc>
        <w:tc>
          <w:tcPr>
            <w:tcW w:w="992" w:type="dxa"/>
          </w:tcPr>
          <w:p>
            <w:pPr>
              <w:pStyle w:val="yTableNAm"/>
              <w:jc w:val="center"/>
            </w:pPr>
            <w:r>
              <w:br/>
              <w:t>44.0</w:t>
            </w:r>
          </w:p>
        </w:tc>
        <w:tc>
          <w:tcPr>
            <w:tcW w:w="992" w:type="dxa"/>
          </w:tcPr>
          <w:p>
            <w:pPr>
              <w:pStyle w:val="yTableNAm"/>
              <w:jc w:val="center"/>
            </w:pPr>
            <w:r>
              <w:br/>
              <w:t>44.0</w:t>
            </w:r>
          </w:p>
        </w:tc>
        <w:tc>
          <w:tcPr>
            <w:tcW w:w="992" w:type="dxa"/>
          </w:tcPr>
          <w:p>
            <w:pPr>
              <w:pStyle w:val="yTableNAm"/>
              <w:jc w:val="center"/>
            </w:pPr>
            <w:r>
              <w:br/>
              <w:t>44.0</w:t>
            </w:r>
          </w:p>
        </w:tc>
        <w:tc>
          <w:tcPr>
            <w:tcW w:w="993" w:type="dxa"/>
          </w:tcPr>
          <w:p>
            <w:pPr>
              <w:pStyle w:val="yTableNAm"/>
              <w:jc w:val="center"/>
            </w:pPr>
            <w:r>
              <w:br/>
              <w:t>44.0</w:t>
            </w:r>
          </w:p>
        </w:tc>
      </w:tr>
      <w:tr>
        <w:tc>
          <w:tcPr>
            <w:tcW w:w="1417" w:type="dxa"/>
          </w:tcPr>
          <w:p>
            <w:pPr>
              <w:pStyle w:val="yTableNAm"/>
            </w:pPr>
            <w:r>
              <w:t>Over 300 but not over 350</w:t>
            </w:r>
          </w:p>
        </w:tc>
        <w:tc>
          <w:tcPr>
            <w:tcW w:w="992" w:type="dxa"/>
          </w:tcPr>
          <w:p>
            <w:pPr>
              <w:pStyle w:val="yTableNAm"/>
              <w:jc w:val="center"/>
            </w:pPr>
            <w:r>
              <w:br/>
              <w:t>44.0</w:t>
            </w:r>
          </w:p>
        </w:tc>
        <w:tc>
          <w:tcPr>
            <w:tcW w:w="992" w:type="dxa"/>
          </w:tcPr>
          <w:p>
            <w:pPr>
              <w:pStyle w:val="yTableNAm"/>
              <w:jc w:val="center"/>
            </w:pPr>
            <w:r>
              <w:br/>
              <w:t>52.1</w:t>
            </w:r>
          </w:p>
        </w:tc>
        <w:tc>
          <w:tcPr>
            <w:tcW w:w="992" w:type="dxa"/>
          </w:tcPr>
          <w:p>
            <w:pPr>
              <w:pStyle w:val="yTableNAm"/>
              <w:jc w:val="center"/>
            </w:pPr>
            <w:r>
              <w:br/>
              <w:t>55.5</w:t>
            </w:r>
          </w:p>
        </w:tc>
        <w:tc>
          <w:tcPr>
            <w:tcW w:w="992" w:type="dxa"/>
          </w:tcPr>
          <w:p>
            <w:pPr>
              <w:pStyle w:val="yTableNAm"/>
              <w:jc w:val="center"/>
            </w:pPr>
            <w:r>
              <w:br/>
              <w:t>62.4</w:t>
            </w:r>
          </w:p>
        </w:tc>
        <w:tc>
          <w:tcPr>
            <w:tcW w:w="993" w:type="dxa"/>
          </w:tcPr>
          <w:p>
            <w:pPr>
              <w:pStyle w:val="yTableNAm"/>
              <w:jc w:val="center"/>
            </w:pPr>
            <w:r>
              <w:br/>
              <w:t>66.4</w:t>
            </w:r>
          </w:p>
        </w:tc>
      </w:tr>
      <w:tr>
        <w:tc>
          <w:tcPr>
            <w:tcW w:w="1417" w:type="dxa"/>
          </w:tcPr>
          <w:p>
            <w:pPr>
              <w:pStyle w:val="yTableNAm"/>
            </w:pPr>
            <w:r>
              <w:t>Over 350 but not over 400</w:t>
            </w:r>
          </w:p>
        </w:tc>
        <w:tc>
          <w:tcPr>
            <w:tcW w:w="992" w:type="dxa"/>
          </w:tcPr>
          <w:p>
            <w:pPr>
              <w:pStyle w:val="yTableNAm"/>
              <w:jc w:val="center"/>
            </w:pPr>
            <w:r>
              <w:br/>
              <w:t>48.9</w:t>
            </w:r>
          </w:p>
        </w:tc>
        <w:tc>
          <w:tcPr>
            <w:tcW w:w="992" w:type="dxa"/>
          </w:tcPr>
          <w:p>
            <w:pPr>
              <w:pStyle w:val="yTableNAm"/>
              <w:jc w:val="center"/>
            </w:pPr>
            <w:r>
              <w:br/>
              <w:t>57.8</w:t>
            </w:r>
          </w:p>
        </w:tc>
        <w:tc>
          <w:tcPr>
            <w:tcW w:w="992" w:type="dxa"/>
          </w:tcPr>
          <w:p>
            <w:pPr>
              <w:pStyle w:val="yTableNAm"/>
              <w:jc w:val="center"/>
            </w:pPr>
            <w:r>
              <w:br/>
              <w:t>61.2</w:t>
            </w:r>
          </w:p>
        </w:tc>
        <w:tc>
          <w:tcPr>
            <w:tcW w:w="992" w:type="dxa"/>
          </w:tcPr>
          <w:p>
            <w:pPr>
              <w:pStyle w:val="yTableNAm"/>
              <w:jc w:val="center"/>
            </w:pPr>
            <w:r>
              <w:br/>
              <w:t>68.0</w:t>
            </w:r>
          </w:p>
        </w:tc>
        <w:tc>
          <w:tcPr>
            <w:tcW w:w="993" w:type="dxa"/>
          </w:tcPr>
          <w:p>
            <w:pPr>
              <w:pStyle w:val="yTableNAm"/>
              <w:jc w:val="center"/>
            </w:pPr>
            <w:r>
              <w:br/>
              <w:t>72.1</w:t>
            </w:r>
          </w:p>
        </w:tc>
      </w:tr>
      <w:tr>
        <w:tc>
          <w:tcPr>
            <w:tcW w:w="1417" w:type="dxa"/>
          </w:tcPr>
          <w:p>
            <w:pPr>
              <w:pStyle w:val="yTableNAm"/>
            </w:pPr>
            <w:r>
              <w:t>Over 400 but not over 450</w:t>
            </w:r>
          </w:p>
        </w:tc>
        <w:tc>
          <w:tcPr>
            <w:tcW w:w="992" w:type="dxa"/>
          </w:tcPr>
          <w:p>
            <w:pPr>
              <w:pStyle w:val="yTableNAm"/>
              <w:jc w:val="center"/>
            </w:pPr>
            <w:r>
              <w:br/>
              <w:t>97.7</w:t>
            </w:r>
          </w:p>
        </w:tc>
        <w:tc>
          <w:tcPr>
            <w:tcW w:w="992" w:type="dxa"/>
          </w:tcPr>
          <w:p>
            <w:pPr>
              <w:pStyle w:val="yTableNAm"/>
              <w:jc w:val="center"/>
            </w:pPr>
            <w:r>
              <w:br/>
              <w:t>115.5</w:t>
            </w:r>
          </w:p>
        </w:tc>
        <w:tc>
          <w:tcPr>
            <w:tcW w:w="992" w:type="dxa"/>
          </w:tcPr>
          <w:p>
            <w:pPr>
              <w:pStyle w:val="yTableNAm"/>
              <w:jc w:val="center"/>
            </w:pPr>
            <w:r>
              <w:br/>
              <w:t>122.3</w:t>
            </w:r>
          </w:p>
        </w:tc>
        <w:tc>
          <w:tcPr>
            <w:tcW w:w="992" w:type="dxa"/>
          </w:tcPr>
          <w:p>
            <w:pPr>
              <w:pStyle w:val="yTableNAm"/>
              <w:jc w:val="center"/>
            </w:pPr>
            <w:r>
              <w:br/>
              <w:t>136.0</w:t>
            </w:r>
          </w:p>
        </w:tc>
        <w:tc>
          <w:tcPr>
            <w:tcW w:w="993" w:type="dxa"/>
          </w:tcPr>
          <w:p>
            <w:pPr>
              <w:pStyle w:val="yTableNAm"/>
              <w:jc w:val="center"/>
            </w:pPr>
            <w:r>
              <w:br/>
              <w:t>144.2</w:t>
            </w:r>
          </w:p>
        </w:tc>
      </w:tr>
      <w:tr>
        <w:tc>
          <w:tcPr>
            <w:tcW w:w="1417" w:type="dxa"/>
          </w:tcPr>
          <w:p>
            <w:pPr>
              <w:pStyle w:val="yTableNAm"/>
            </w:pPr>
            <w:r>
              <w:t>Over 450 but not over 550</w:t>
            </w:r>
          </w:p>
        </w:tc>
        <w:tc>
          <w:tcPr>
            <w:tcW w:w="992" w:type="dxa"/>
          </w:tcPr>
          <w:p>
            <w:pPr>
              <w:pStyle w:val="yTableNAm"/>
              <w:jc w:val="center"/>
            </w:pPr>
            <w:r>
              <w:br/>
              <w:t>97.7</w:t>
            </w:r>
          </w:p>
        </w:tc>
        <w:tc>
          <w:tcPr>
            <w:tcW w:w="992" w:type="dxa"/>
          </w:tcPr>
          <w:p>
            <w:pPr>
              <w:pStyle w:val="yTableNAm"/>
              <w:jc w:val="center"/>
            </w:pPr>
            <w:r>
              <w:br/>
              <w:t>132.5</w:t>
            </w:r>
          </w:p>
        </w:tc>
        <w:tc>
          <w:tcPr>
            <w:tcW w:w="992" w:type="dxa"/>
          </w:tcPr>
          <w:p>
            <w:pPr>
              <w:pStyle w:val="yTableNAm"/>
              <w:jc w:val="center"/>
            </w:pPr>
            <w:r>
              <w:br/>
              <w:t>146.8</w:t>
            </w:r>
          </w:p>
        </w:tc>
        <w:tc>
          <w:tcPr>
            <w:tcW w:w="992" w:type="dxa"/>
          </w:tcPr>
          <w:p>
            <w:pPr>
              <w:pStyle w:val="yTableNAm"/>
              <w:jc w:val="center"/>
            </w:pPr>
            <w:r>
              <w:br/>
              <w:t>168.2</w:t>
            </w:r>
          </w:p>
        </w:tc>
        <w:tc>
          <w:tcPr>
            <w:tcW w:w="993" w:type="dxa"/>
          </w:tcPr>
          <w:p>
            <w:pPr>
              <w:pStyle w:val="yTableNAm"/>
              <w:jc w:val="center"/>
            </w:pPr>
            <w:r>
              <w:br/>
              <w:t>178.8</w:t>
            </w:r>
          </w:p>
        </w:tc>
      </w:tr>
      <w:tr>
        <w:tc>
          <w:tcPr>
            <w:tcW w:w="1417" w:type="dxa"/>
          </w:tcPr>
          <w:p>
            <w:pPr>
              <w:pStyle w:val="yTableNAm"/>
            </w:pPr>
            <w:r>
              <w:t>Over 550 but not over 750</w:t>
            </w:r>
          </w:p>
        </w:tc>
        <w:tc>
          <w:tcPr>
            <w:tcW w:w="992" w:type="dxa"/>
          </w:tcPr>
          <w:p>
            <w:pPr>
              <w:pStyle w:val="yTableNAm"/>
              <w:jc w:val="center"/>
            </w:pPr>
            <w:r>
              <w:br/>
              <w:t>153.9</w:t>
            </w:r>
          </w:p>
        </w:tc>
        <w:tc>
          <w:tcPr>
            <w:tcW w:w="992" w:type="dxa"/>
          </w:tcPr>
          <w:p>
            <w:pPr>
              <w:pStyle w:val="yTableNAm"/>
              <w:jc w:val="center"/>
            </w:pPr>
            <w:r>
              <w:br/>
              <w:t>185.0</w:t>
            </w:r>
          </w:p>
        </w:tc>
        <w:tc>
          <w:tcPr>
            <w:tcW w:w="992" w:type="dxa"/>
          </w:tcPr>
          <w:p>
            <w:pPr>
              <w:pStyle w:val="yTableNAm"/>
              <w:jc w:val="center"/>
            </w:pPr>
            <w:r>
              <w:br/>
              <w:t>212.9</w:t>
            </w:r>
          </w:p>
        </w:tc>
        <w:tc>
          <w:tcPr>
            <w:tcW w:w="992" w:type="dxa"/>
          </w:tcPr>
          <w:p>
            <w:pPr>
              <w:pStyle w:val="yTableNAm"/>
              <w:jc w:val="center"/>
            </w:pPr>
            <w:r>
              <w:br/>
              <w:t>255.6</w:t>
            </w:r>
          </w:p>
        </w:tc>
        <w:tc>
          <w:tcPr>
            <w:tcW w:w="993" w:type="dxa"/>
          </w:tcPr>
          <w:p>
            <w:pPr>
              <w:pStyle w:val="yTableNAm"/>
              <w:jc w:val="center"/>
            </w:pPr>
            <w:r>
              <w:br/>
              <w:t>280.4</w:t>
            </w:r>
          </w:p>
        </w:tc>
      </w:tr>
      <w:tr>
        <w:tc>
          <w:tcPr>
            <w:tcW w:w="1417" w:type="dxa"/>
          </w:tcPr>
          <w:p>
            <w:pPr>
              <w:pStyle w:val="yTableNAm"/>
            </w:pPr>
            <w:r>
              <w:t>Over 750 but not over 950</w:t>
            </w:r>
          </w:p>
        </w:tc>
        <w:tc>
          <w:tcPr>
            <w:tcW w:w="992" w:type="dxa"/>
          </w:tcPr>
          <w:p>
            <w:pPr>
              <w:pStyle w:val="yTableNAm"/>
              <w:jc w:val="center"/>
            </w:pPr>
            <w:r>
              <w:br/>
              <w:t>176.2</w:t>
            </w:r>
          </w:p>
        </w:tc>
        <w:tc>
          <w:tcPr>
            <w:tcW w:w="992" w:type="dxa"/>
          </w:tcPr>
          <w:p>
            <w:pPr>
              <w:pStyle w:val="yTableNAm"/>
              <w:jc w:val="center"/>
            </w:pPr>
            <w:r>
              <w:br/>
              <w:t>240.6</w:t>
            </w:r>
          </w:p>
        </w:tc>
        <w:tc>
          <w:tcPr>
            <w:tcW w:w="992" w:type="dxa"/>
          </w:tcPr>
          <w:p>
            <w:pPr>
              <w:pStyle w:val="yTableNAm"/>
              <w:jc w:val="center"/>
            </w:pPr>
            <w:r>
              <w:br/>
              <w:t>271.8</w:t>
            </w:r>
          </w:p>
        </w:tc>
        <w:tc>
          <w:tcPr>
            <w:tcW w:w="992" w:type="dxa"/>
          </w:tcPr>
          <w:p>
            <w:pPr>
              <w:pStyle w:val="yTableNAm"/>
              <w:jc w:val="center"/>
            </w:pPr>
            <w:r>
              <w:br/>
              <w:t>325.8</w:t>
            </w:r>
          </w:p>
        </w:tc>
        <w:tc>
          <w:tcPr>
            <w:tcW w:w="993" w:type="dxa"/>
          </w:tcPr>
          <w:p>
            <w:pPr>
              <w:pStyle w:val="yTableNAm"/>
              <w:jc w:val="center"/>
            </w:pPr>
            <w:r>
              <w:br/>
              <w:t>362.0</w:t>
            </w:r>
          </w:p>
        </w:tc>
      </w:tr>
      <w:tr>
        <w:tc>
          <w:tcPr>
            <w:tcW w:w="1417" w:type="dxa"/>
          </w:tcPr>
          <w:p>
            <w:pPr>
              <w:pStyle w:val="yTableNAm"/>
            </w:pPr>
            <w:r>
              <w:t>Over 950 but not over 1 150</w:t>
            </w:r>
          </w:p>
        </w:tc>
        <w:tc>
          <w:tcPr>
            <w:tcW w:w="992" w:type="dxa"/>
          </w:tcPr>
          <w:p>
            <w:pPr>
              <w:pStyle w:val="yTableNAm"/>
              <w:jc w:val="center"/>
            </w:pPr>
            <w:r>
              <w:br/>
              <w:t>179.7</w:t>
            </w:r>
          </w:p>
        </w:tc>
        <w:tc>
          <w:tcPr>
            <w:tcW w:w="992" w:type="dxa"/>
          </w:tcPr>
          <w:p>
            <w:pPr>
              <w:pStyle w:val="yTableNAm"/>
              <w:jc w:val="center"/>
            </w:pPr>
            <w:r>
              <w:br/>
              <w:t>258.2</w:t>
            </w:r>
          </w:p>
        </w:tc>
        <w:tc>
          <w:tcPr>
            <w:tcW w:w="992" w:type="dxa"/>
          </w:tcPr>
          <w:p>
            <w:pPr>
              <w:pStyle w:val="yTableNAm"/>
              <w:jc w:val="center"/>
            </w:pPr>
            <w:r>
              <w:br/>
              <w:t>310.9</w:t>
            </w:r>
          </w:p>
        </w:tc>
        <w:tc>
          <w:tcPr>
            <w:tcW w:w="992" w:type="dxa"/>
          </w:tcPr>
          <w:p>
            <w:pPr>
              <w:pStyle w:val="yTableNAm"/>
              <w:jc w:val="center"/>
            </w:pPr>
            <w:r>
              <w:br/>
              <w:t>378.1</w:t>
            </w:r>
          </w:p>
        </w:tc>
        <w:tc>
          <w:tcPr>
            <w:tcW w:w="993" w:type="dxa"/>
          </w:tcPr>
          <w:p>
            <w:pPr>
              <w:pStyle w:val="yTableNAm"/>
              <w:jc w:val="center"/>
            </w:pPr>
            <w:r>
              <w:br/>
              <w:t>449.7</w:t>
            </w:r>
          </w:p>
        </w:tc>
      </w:tr>
      <w:tr>
        <w:tc>
          <w:tcPr>
            <w:tcW w:w="1417" w:type="dxa"/>
          </w:tcPr>
          <w:p>
            <w:pPr>
              <w:pStyle w:val="yTableNAm"/>
            </w:pPr>
            <w:r>
              <w:t>Over 1 150 but not over 1 550</w:t>
            </w:r>
          </w:p>
        </w:tc>
        <w:tc>
          <w:tcPr>
            <w:tcW w:w="992" w:type="dxa"/>
          </w:tcPr>
          <w:p>
            <w:pPr>
              <w:pStyle w:val="yTableNAm"/>
              <w:jc w:val="center"/>
            </w:pPr>
            <w:r>
              <w:br/>
              <w:t>225.1</w:t>
            </w:r>
          </w:p>
        </w:tc>
        <w:tc>
          <w:tcPr>
            <w:tcW w:w="992" w:type="dxa"/>
          </w:tcPr>
          <w:p>
            <w:pPr>
              <w:pStyle w:val="yTableNAm"/>
              <w:jc w:val="center"/>
            </w:pPr>
            <w:r>
              <w:br/>
              <w:t>323.2</w:t>
            </w:r>
          </w:p>
        </w:tc>
        <w:tc>
          <w:tcPr>
            <w:tcW w:w="992" w:type="dxa"/>
          </w:tcPr>
          <w:p>
            <w:pPr>
              <w:pStyle w:val="yTableNAm"/>
              <w:jc w:val="center"/>
            </w:pPr>
            <w:r>
              <w:br/>
              <w:t>392.1</w:t>
            </w:r>
          </w:p>
        </w:tc>
        <w:tc>
          <w:tcPr>
            <w:tcW w:w="992" w:type="dxa"/>
          </w:tcPr>
          <w:p>
            <w:pPr>
              <w:pStyle w:val="yTableNAm"/>
              <w:jc w:val="center"/>
            </w:pPr>
            <w:r>
              <w:br/>
              <w:t>524.5</w:t>
            </w:r>
          </w:p>
        </w:tc>
        <w:tc>
          <w:tcPr>
            <w:tcW w:w="993" w:type="dxa"/>
          </w:tcPr>
          <w:p>
            <w:pPr>
              <w:pStyle w:val="yTableNAm"/>
              <w:jc w:val="center"/>
            </w:pPr>
            <w:r>
              <w:br/>
              <w:t>650.1</w:t>
            </w:r>
          </w:p>
        </w:tc>
      </w:tr>
      <w:tr>
        <w:tc>
          <w:tcPr>
            <w:tcW w:w="1417" w:type="dxa"/>
          </w:tcPr>
          <w:p>
            <w:pPr>
              <w:pStyle w:val="yTableNAm"/>
            </w:pPr>
            <w:r>
              <w:t>Over 1 550 but not over 1 950</w:t>
            </w:r>
          </w:p>
        </w:tc>
        <w:tc>
          <w:tcPr>
            <w:tcW w:w="992" w:type="dxa"/>
          </w:tcPr>
          <w:p>
            <w:pPr>
              <w:pStyle w:val="yTableNAm"/>
              <w:jc w:val="center"/>
            </w:pPr>
            <w:r>
              <w:br/>
              <w:t>247.9</w:t>
            </w:r>
          </w:p>
        </w:tc>
        <w:tc>
          <w:tcPr>
            <w:tcW w:w="992" w:type="dxa"/>
          </w:tcPr>
          <w:p>
            <w:pPr>
              <w:pStyle w:val="yTableNAm"/>
              <w:jc w:val="center"/>
            </w:pPr>
            <w:r>
              <w:br/>
              <w:t>371.9</w:t>
            </w:r>
          </w:p>
        </w:tc>
        <w:tc>
          <w:tcPr>
            <w:tcW w:w="992" w:type="dxa"/>
          </w:tcPr>
          <w:p>
            <w:pPr>
              <w:pStyle w:val="yTableNAm"/>
              <w:jc w:val="center"/>
            </w:pPr>
            <w:r>
              <w:br/>
              <w:t>468.1</w:t>
            </w:r>
          </w:p>
        </w:tc>
        <w:tc>
          <w:tcPr>
            <w:tcW w:w="992" w:type="dxa"/>
          </w:tcPr>
          <w:p>
            <w:pPr>
              <w:pStyle w:val="yTableNAm"/>
              <w:jc w:val="center"/>
            </w:pPr>
            <w:r>
              <w:br/>
              <w:t>589.5</w:t>
            </w:r>
          </w:p>
        </w:tc>
        <w:tc>
          <w:tcPr>
            <w:tcW w:w="993" w:type="dxa"/>
          </w:tcPr>
          <w:p>
            <w:pPr>
              <w:pStyle w:val="yTableNAm"/>
              <w:jc w:val="center"/>
            </w:pPr>
            <w:r>
              <w:br/>
              <w:t>715.3</w:t>
            </w:r>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r>
              <w:t>275.9</w:t>
            </w:r>
          </w:p>
        </w:tc>
        <w:tc>
          <w:tcPr>
            <w:tcW w:w="992" w:type="dxa"/>
            <w:tcBorders>
              <w:bottom w:val="single" w:sz="4" w:space="0" w:color="auto"/>
            </w:tcBorders>
          </w:tcPr>
          <w:p>
            <w:pPr>
              <w:pStyle w:val="yTableNAm"/>
              <w:jc w:val="center"/>
            </w:pPr>
            <w:r>
              <w:t>442.5</w:t>
            </w:r>
          </w:p>
        </w:tc>
        <w:tc>
          <w:tcPr>
            <w:tcW w:w="992" w:type="dxa"/>
            <w:tcBorders>
              <w:bottom w:val="single" w:sz="4" w:space="0" w:color="auto"/>
            </w:tcBorders>
          </w:tcPr>
          <w:p>
            <w:pPr>
              <w:pStyle w:val="yTableNAm"/>
              <w:jc w:val="center"/>
            </w:pPr>
            <w:r>
              <w:t>533.1</w:t>
            </w:r>
          </w:p>
        </w:tc>
        <w:tc>
          <w:tcPr>
            <w:tcW w:w="992" w:type="dxa"/>
            <w:tcBorders>
              <w:bottom w:val="single" w:sz="4" w:space="0" w:color="auto"/>
            </w:tcBorders>
          </w:tcPr>
          <w:p>
            <w:pPr>
              <w:pStyle w:val="yTableNAm"/>
              <w:jc w:val="center"/>
            </w:pPr>
            <w:r>
              <w:t>654.4</w:t>
            </w:r>
          </w:p>
        </w:tc>
        <w:tc>
          <w:tcPr>
            <w:tcW w:w="993" w:type="dxa"/>
            <w:tcBorders>
              <w:bottom w:val="single" w:sz="4" w:space="0" w:color="auto"/>
            </w:tcBorders>
          </w:tcPr>
          <w:p>
            <w:pPr>
              <w:pStyle w:val="yTableNAm"/>
              <w:jc w:val="center"/>
            </w:pPr>
            <w:r>
              <w:t>769.4</w:t>
            </w:r>
          </w:p>
        </w:tc>
      </w:tr>
    </w:tbl>
    <w:p>
      <w:pPr>
        <w:pStyle w:val="ySubsection"/>
      </w:pPr>
    </w:p>
    <w:tbl>
      <w:tblPr>
        <w:tblW w:w="0" w:type="auto"/>
        <w:tblInd w:w="534" w:type="dxa"/>
        <w:tblLook w:val="0000" w:firstRow="0" w:lastRow="0" w:firstColumn="0" w:lastColumn="0" w:noHBand="0" w:noVBand="0"/>
      </w:tblPr>
      <w:tblGrid>
        <w:gridCol w:w="850"/>
        <w:gridCol w:w="4237"/>
        <w:gridCol w:w="1291"/>
      </w:tblGrid>
      <w:tr>
        <w:tc>
          <w:tcPr>
            <w:tcW w:w="850" w:type="dxa"/>
          </w:tcPr>
          <w:p>
            <w:pPr>
              <w:pStyle w:val="yTableNAm"/>
              <w:rPr>
                <w:rStyle w:val="CharSClsNo"/>
              </w:rPr>
            </w:pPr>
          </w:p>
        </w:tc>
        <w:tc>
          <w:tcPr>
            <w:tcW w:w="4237" w:type="dxa"/>
          </w:tcPr>
          <w:p>
            <w:pPr>
              <w:pStyle w:val="yTableNAm"/>
              <w:rPr>
                <w:spacing w:val="-1"/>
              </w:rPr>
            </w:pPr>
            <w:r>
              <w:t>except that if the property is —</w:t>
            </w:r>
          </w:p>
        </w:tc>
        <w:tc>
          <w:tcPr>
            <w:tcW w:w="1291" w:type="dxa"/>
          </w:tcPr>
          <w:p>
            <w:pPr>
              <w:pStyle w:val="yTableNAm"/>
            </w:pPr>
          </w:p>
        </w:tc>
      </w:tr>
      <w:tr>
        <w:tc>
          <w:tcPr>
            <w:tcW w:w="850" w:type="dxa"/>
          </w:tcPr>
          <w:p>
            <w:pPr>
              <w:pStyle w:val="yTableNAm"/>
              <w:rPr>
                <w:rStyle w:val="CharSClsNo"/>
                <w:b/>
                <w:bCs/>
              </w:rPr>
            </w:pPr>
          </w:p>
        </w:tc>
        <w:tc>
          <w:tcPr>
            <w:tcW w:w="4237" w:type="dxa"/>
          </w:tcPr>
          <w:p>
            <w:pPr>
              <w:pStyle w:val="yTableNAm"/>
              <w:tabs>
                <w:tab w:val="clear" w:pos="567"/>
                <w:tab w:val="left" w:pos="416"/>
                <w:tab w:val="left" w:pos="1016"/>
              </w:tabs>
              <w:ind w:left="1016" w:hanging="101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rPr>
                <w:spacing w:val="-1"/>
              </w:rPr>
            </w:pPr>
            <w:r>
              <w:rPr>
                <w:snapToGrid w:val="0"/>
              </w:rPr>
              <w:tab/>
              <w:t>(b)</w:t>
            </w:r>
            <w:r>
              <w:rPr>
                <w:snapToGrid w:val="0"/>
              </w:rPr>
              <w:tab/>
              <w:t>north of 26ºS Latitude,</w:t>
            </w:r>
          </w:p>
        </w:tc>
        <w:tc>
          <w:tcPr>
            <w:tcW w:w="1291" w:type="dxa"/>
          </w:tcPr>
          <w:p>
            <w:pPr>
              <w:pStyle w:val="yTableNAm"/>
            </w:pPr>
          </w:p>
        </w:tc>
      </w:tr>
      <w:tr>
        <w:tc>
          <w:tcPr>
            <w:tcW w:w="850" w:type="dxa"/>
          </w:tcPr>
          <w:p>
            <w:pPr>
              <w:pStyle w:val="yTableNAm"/>
              <w:rPr>
                <w:rStyle w:val="CharSClsNo"/>
              </w:rPr>
            </w:pPr>
          </w:p>
        </w:tc>
        <w:tc>
          <w:tcPr>
            <w:tcW w:w="4237" w:type="dxa"/>
          </w:tcPr>
          <w:p>
            <w:pPr>
              <w:pStyle w:val="yTableNAm"/>
              <w:rPr>
                <w:snapToGrid w:val="0"/>
              </w:rPr>
            </w:pPr>
            <w:r>
              <w:t>the charge for each kilolitre of water is —</w:t>
            </w:r>
          </w:p>
        </w:tc>
        <w:tc>
          <w:tcPr>
            <w:tcW w:w="1291"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jc w:val="center"/>
              <w:rPr>
                <w:b/>
                <w:bCs/>
              </w:rPr>
            </w:pPr>
            <w:r>
              <w:rPr>
                <w:b/>
                <w:bCs/>
              </w:rPr>
              <w:t>Class 1 (c/kL)</w:t>
            </w:r>
          </w:p>
        </w:tc>
        <w:tc>
          <w:tcPr>
            <w:tcW w:w="992" w:type="dxa"/>
            <w:tcBorders>
              <w:top w:val="single" w:sz="4" w:space="0" w:color="auto"/>
              <w:bottom w:val="single" w:sz="4" w:space="0" w:color="auto"/>
            </w:tcBorders>
          </w:tcPr>
          <w:p>
            <w:pPr>
              <w:pStyle w:val="yTableNAm"/>
              <w:jc w:val="center"/>
              <w:rPr>
                <w:b/>
                <w:bCs/>
              </w:rPr>
            </w:pPr>
            <w:r>
              <w:rPr>
                <w:b/>
                <w:bCs/>
              </w:rPr>
              <w:t>Class 2 (c/kL)</w:t>
            </w:r>
          </w:p>
        </w:tc>
        <w:tc>
          <w:tcPr>
            <w:tcW w:w="992" w:type="dxa"/>
            <w:tcBorders>
              <w:top w:val="single" w:sz="4" w:space="0" w:color="auto"/>
              <w:bottom w:val="single" w:sz="4" w:space="0" w:color="auto"/>
            </w:tcBorders>
          </w:tcPr>
          <w:p>
            <w:pPr>
              <w:pStyle w:val="yTableNAm"/>
              <w:jc w:val="center"/>
              <w:rPr>
                <w:b/>
                <w:bCs/>
              </w:rPr>
            </w:pPr>
            <w:r>
              <w:rPr>
                <w:b/>
                <w:bCs/>
              </w:rPr>
              <w:t>Class 3 (c/kL)</w:t>
            </w:r>
          </w:p>
        </w:tc>
        <w:tc>
          <w:tcPr>
            <w:tcW w:w="992" w:type="dxa"/>
            <w:tcBorders>
              <w:top w:val="single" w:sz="4" w:space="0" w:color="auto"/>
              <w:bottom w:val="single" w:sz="4" w:space="0" w:color="auto"/>
            </w:tcBorders>
          </w:tcPr>
          <w:p>
            <w:pPr>
              <w:pStyle w:val="yTableNAm"/>
              <w:jc w:val="center"/>
              <w:rPr>
                <w:b/>
                <w:bCs/>
              </w:rPr>
            </w:pPr>
            <w:r>
              <w:rPr>
                <w:b/>
                <w:bCs/>
              </w:rPr>
              <w:t>Class 4 (c/kL)</w:t>
            </w:r>
          </w:p>
        </w:tc>
        <w:tc>
          <w:tcPr>
            <w:tcW w:w="993" w:type="dxa"/>
            <w:tcBorders>
              <w:top w:val="single" w:sz="4" w:space="0" w:color="auto"/>
              <w:bottom w:val="single" w:sz="4" w:space="0" w:color="auto"/>
            </w:tcBorders>
          </w:tcPr>
          <w:p>
            <w:pPr>
              <w:pStyle w:val="yTableNAm"/>
              <w:jc w:val="center"/>
              <w:rPr>
                <w:b/>
                <w:bCs/>
              </w:rPr>
            </w:pPr>
            <w:r>
              <w:rPr>
                <w:b/>
                <w:bCs/>
              </w:rPr>
              <w:t>Class 5 (c/kL)</w:t>
            </w:r>
          </w:p>
        </w:tc>
      </w:tr>
      <w:tr>
        <w:tc>
          <w:tcPr>
            <w:tcW w:w="1417" w:type="dxa"/>
          </w:tcPr>
          <w:p>
            <w:pPr>
              <w:pStyle w:val="yTableNAm"/>
            </w:pPr>
            <w:r>
              <w:t>Up to 150</w:t>
            </w:r>
          </w:p>
        </w:tc>
        <w:tc>
          <w:tcPr>
            <w:tcW w:w="992" w:type="dxa"/>
          </w:tcPr>
          <w:p>
            <w:pPr>
              <w:pStyle w:val="yTableNAm"/>
              <w:jc w:val="center"/>
            </w:pPr>
            <w:r>
              <w:t>36.3</w:t>
            </w:r>
          </w:p>
        </w:tc>
        <w:tc>
          <w:tcPr>
            <w:tcW w:w="992" w:type="dxa"/>
          </w:tcPr>
          <w:p>
            <w:pPr>
              <w:pStyle w:val="yTableNAm"/>
              <w:jc w:val="center"/>
            </w:pPr>
            <w:r>
              <w:t>36.3</w:t>
            </w:r>
          </w:p>
        </w:tc>
        <w:tc>
          <w:tcPr>
            <w:tcW w:w="992" w:type="dxa"/>
          </w:tcPr>
          <w:p>
            <w:pPr>
              <w:pStyle w:val="yTableNAm"/>
              <w:jc w:val="center"/>
            </w:pPr>
            <w:r>
              <w:t>36.3</w:t>
            </w:r>
          </w:p>
        </w:tc>
        <w:tc>
          <w:tcPr>
            <w:tcW w:w="992" w:type="dxa"/>
          </w:tcPr>
          <w:p>
            <w:pPr>
              <w:pStyle w:val="yTableNAm"/>
              <w:jc w:val="center"/>
            </w:pPr>
            <w:r>
              <w:t>36.3</w:t>
            </w:r>
          </w:p>
        </w:tc>
        <w:tc>
          <w:tcPr>
            <w:tcW w:w="993" w:type="dxa"/>
          </w:tcPr>
          <w:p>
            <w:pPr>
              <w:pStyle w:val="yTableNAm"/>
              <w:jc w:val="center"/>
            </w:pPr>
            <w:r>
              <w:t>36.3</w:t>
            </w:r>
          </w:p>
        </w:tc>
      </w:tr>
      <w:tr>
        <w:tc>
          <w:tcPr>
            <w:tcW w:w="1417" w:type="dxa"/>
          </w:tcPr>
          <w:p>
            <w:pPr>
              <w:pStyle w:val="yTableNAm"/>
            </w:pPr>
            <w:r>
              <w:t>Over 150 but not over 300</w:t>
            </w:r>
          </w:p>
        </w:tc>
        <w:tc>
          <w:tcPr>
            <w:tcW w:w="992" w:type="dxa"/>
          </w:tcPr>
          <w:p>
            <w:pPr>
              <w:pStyle w:val="yTableNAm"/>
              <w:jc w:val="center"/>
            </w:pPr>
            <w:r>
              <w:br/>
              <w:t>44.0</w:t>
            </w:r>
          </w:p>
        </w:tc>
        <w:tc>
          <w:tcPr>
            <w:tcW w:w="992" w:type="dxa"/>
          </w:tcPr>
          <w:p>
            <w:pPr>
              <w:pStyle w:val="yTableNAm"/>
              <w:jc w:val="center"/>
            </w:pPr>
            <w:r>
              <w:br/>
              <w:t>44.0</w:t>
            </w:r>
          </w:p>
        </w:tc>
        <w:tc>
          <w:tcPr>
            <w:tcW w:w="992" w:type="dxa"/>
          </w:tcPr>
          <w:p>
            <w:pPr>
              <w:pStyle w:val="yTableNAm"/>
              <w:jc w:val="center"/>
            </w:pPr>
            <w:r>
              <w:br/>
              <w:t>44.0</w:t>
            </w:r>
          </w:p>
        </w:tc>
        <w:tc>
          <w:tcPr>
            <w:tcW w:w="992" w:type="dxa"/>
          </w:tcPr>
          <w:p>
            <w:pPr>
              <w:pStyle w:val="yTableNAm"/>
              <w:jc w:val="center"/>
            </w:pPr>
            <w:r>
              <w:br/>
              <w:t>44.0</w:t>
            </w:r>
          </w:p>
        </w:tc>
        <w:tc>
          <w:tcPr>
            <w:tcW w:w="993" w:type="dxa"/>
          </w:tcPr>
          <w:p>
            <w:pPr>
              <w:pStyle w:val="yTableNAm"/>
              <w:jc w:val="center"/>
            </w:pPr>
            <w:r>
              <w:br/>
              <w:t>44.0</w:t>
            </w:r>
          </w:p>
        </w:tc>
      </w:tr>
      <w:tr>
        <w:tc>
          <w:tcPr>
            <w:tcW w:w="1417" w:type="dxa"/>
          </w:tcPr>
          <w:p>
            <w:pPr>
              <w:pStyle w:val="yTableNAm"/>
            </w:pPr>
            <w:r>
              <w:t>Over 300 but not over 500</w:t>
            </w:r>
          </w:p>
        </w:tc>
        <w:tc>
          <w:tcPr>
            <w:tcW w:w="992" w:type="dxa"/>
          </w:tcPr>
          <w:p>
            <w:pPr>
              <w:pStyle w:val="yTableNAm"/>
              <w:jc w:val="center"/>
            </w:pPr>
            <w:r>
              <w:br/>
              <w:t>44.0</w:t>
            </w:r>
          </w:p>
        </w:tc>
        <w:tc>
          <w:tcPr>
            <w:tcW w:w="992" w:type="dxa"/>
          </w:tcPr>
          <w:p>
            <w:pPr>
              <w:pStyle w:val="yTableNAm"/>
              <w:jc w:val="center"/>
            </w:pPr>
            <w:r>
              <w:br/>
              <w:t>44.0</w:t>
            </w:r>
          </w:p>
        </w:tc>
        <w:tc>
          <w:tcPr>
            <w:tcW w:w="992" w:type="dxa"/>
          </w:tcPr>
          <w:p>
            <w:pPr>
              <w:pStyle w:val="yTableNAm"/>
              <w:jc w:val="center"/>
            </w:pPr>
            <w:r>
              <w:br/>
              <w:t>44.0</w:t>
            </w:r>
          </w:p>
        </w:tc>
        <w:tc>
          <w:tcPr>
            <w:tcW w:w="992" w:type="dxa"/>
          </w:tcPr>
          <w:p>
            <w:pPr>
              <w:pStyle w:val="yTableNAm"/>
              <w:jc w:val="center"/>
            </w:pPr>
            <w:r>
              <w:br/>
              <w:t>44.0</w:t>
            </w:r>
          </w:p>
        </w:tc>
        <w:tc>
          <w:tcPr>
            <w:tcW w:w="993" w:type="dxa"/>
          </w:tcPr>
          <w:p>
            <w:pPr>
              <w:pStyle w:val="yTableNAm"/>
              <w:jc w:val="center"/>
            </w:pPr>
            <w:r>
              <w:br/>
              <w:t>44.0</w:t>
            </w:r>
          </w:p>
        </w:tc>
      </w:tr>
      <w:tr>
        <w:tc>
          <w:tcPr>
            <w:tcW w:w="1417" w:type="dxa"/>
          </w:tcPr>
          <w:p>
            <w:pPr>
              <w:pStyle w:val="yTableNAm"/>
            </w:pPr>
            <w:r>
              <w:t>Over 500 but not over 550</w:t>
            </w:r>
          </w:p>
        </w:tc>
        <w:tc>
          <w:tcPr>
            <w:tcW w:w="992" w:type="dxa"/>
          </w:tcPr>
          <w:p>
            <w:pPr>
              <w:pStyle w:val="yTableNAm"/>
              <w:jc w:val="center"/>
            </w:pPr>
            <w:r>
              <w:br/>
              <w:t>44.0</w:t>
            </w:r>
          </w:p>
        </w:tc>
        <w:tc>
          <w:tcPr>
            <w:tcW w:w="992" w:type="dxa"/>
          </w:tcPr>
          <w:p>
            <w:pPr>
              <w:pStyle w:val="yTableNAm"/>
              <w:jc w:val="center"/>
            </w:pPr>
            <w:r>
              <w:br/>
              <w:t>52.1</w:t>
            </w:r>
          </w:p>
        </w:tc>
        <w:tc>
          <w:tcPr>
            <w:tcW w:w="992" w:type="dxa"/>
          </w:tcPr>
          <w:p>
            <w:pPr>
              <w:pStyle w:val="yTableNAm"/>
              <w:jc w:val="center"/>
            </w:pPr>
            <w:r>
              <w:br/>
              <w:t>55.5</w:t>
            </w:r>
          </w:p>
        </w:tc>
        <w:tc>
          <w:tcPr>
            <w:tcW w:w="992" w:type="dxa"/>
          </w:tcPr>
          <w:p>
            <w:pPr>
              <w:pStyle w:val="yTableNAm"/>
              <w:jc w:val="center"/>
            </w:pPr>
            <w:r>
              <w:br/>
              <w:t>62.4</w:t>
            </w:r>
          </w:p>
        </w:tc>
        <w:tc>
          <w:tcPr>
            <w:tcW w:w="993" w:type="dxa"/>
          </w:tcPr>
          <w:p>
            <w:pPr>
              <w:pStyle w:val="yTableNAm"/>
              <w:jc w:val="center"/>
            </w:pPr>
            <w:r>
              <w:br/>
              <w:t>66.4</w:t>
            </w:r>
          </w:p>
        </w:tc>
      </w:tr>
      <w:tr>
        <w:tc>
          <w:tcPr>
            <w:tcW w:w="1417" w:type="dxa"/>
          </w:tcPr>
          <w:p>
            <w:pPr>
              <w:pStyle w:val="yTableNAm"/>
            </w:pPr>
            <w:r>
              <w:t>Over 550 but not over 600</w:t>
            </w:r>
          </w:p>
        </w:tc>
        <w:tc>
          <w:tcPr>
            <w:tcW w:w="992" w:type="dxa"/>
          </w:tcPr>
          <w:p>
            <w:pPr>
              <w:pStyle w:val="yTableNAm"/>
              <w:jc w:val="center"/>
            </w:pPr>
            <w:r>
              <w:br/>
              <w:t>48.2</w:t>
            </w:r>
          </w:p>
        </w:tc>
        <w:tc>
          <w:tcPr>
            <w:tcW w:w="992" w:type="dxa"/>
          </w:tcPr>
          <w:p>
            <w:pPr>
              <w:pStyle w:val="yTableNAm"/>
              <w:jc w:val="center"/>
            </w:pPr>
            <w:r>
              <w:br/>
              <w:t>56.3</w:t>
            </w:r>
          </w:p>
        </w:tc>
        <w:tc>
          <w:tcPr>
            <w:tcW w:w="992" w:type="dxa"/>
          </w:tcPr>
          <w:p>
            <w:pPr>
              <w:pStyle w:val="yTableNAm"/>
              <w:jc w:val="center"/>
            </w:pPr>
            <w:r>
              <w:br/>
              <w:t>59.7</w:t>
            </w:r>
          </w:p>
        </w:tc>
        <w:tc>
          <w:tcPr>
            <w:tcW w:w="992" w:type="dxa"/>
          </w:tcPr>
          <w:p>
            <w:pPr>
              <w:pStyle w:val="yTableNAm"/>
              <w:jc w:val="center"/>
            </w:pPr>
            <w:r>
              <w:br/>
              <w:t>66.6</w:t>
            </w:r>
          </w:p>
        </w:tc>
        <w:tc>
          <w:tcPr>
            <w:tcW w:w="993" w:type="dxa"/>
          </w:tcPr>
          <w:p>
            <w:pPr>
              <w:pStyle w:val="yTableNAm"/>
              <w:jc w:val="center"/>
            </w:pPr>
            <w:r>
              <w:br/>
              <w:t>70.6</w:t>
            </w:r>
          </w:p>
        </w:tc>
      </w:tr>
      <w:tr>
        <w:tc>
          <w:tcPr>
            <w:tcW w:w="1417" w:type="dxa"/>
          </w:tcPr>
          <w:p>
            <w:pPr>
              <w:pStyle w:val="yTableNAm"/>
            </w:pPr>
            <w:r>
              <w:t>Over 600 but not over 650</w:t>
            </w:r>
          </w:p>
        </w:tc>
        <w:tc>
          <w:tcPr>
            <w:tcW w:w="992" w:type="dxa"/>
          </w:tcPr>
          <w:p>
            <w:pPr>
              <w:pStyle w:val="yTableNAm"/>
              <w:jc w:val="center"/>
            </w:pPr>
            <w:r>
              <w:br/>
              <w:t>96.4</w:t>
            </w:r>
          </w:p>
        </w:tc>
        <w:tc>
          <w:tcPr>
            <w:tcW w:w="992" w:type="dxa"/>
          </w:tcPr>
          <w:p>
            <w:pPr>
              <w:pStyle w:val="yTableNAm"/>
              <w:jc w:val="center"/>
            </w:pPr>
            <w:r>
              <w:br/>
              <w:t>112.6</w:t>
            </w:r>
          </w:p>
        </w:tc>
        <w:tc>
          <w:tcPr>
            <w:tcW w:w="992" w:type="dxa"/>
          </w:tcPr>
          <w:p>
            <w:pPr>
              <w:pStyle w:val="yTableNAm"/>
              <w:jc w:val="center"/>
            </w:pPr>
            <w:r>
              <w:br/>
              <w:t>119.4</w:t>
            </w:r>
          </w:p>
        </w:tc>
        <w:tc>
          <w:tcPr>
            <w:tcW w:w="992" w:type="dxa"/>
          </w:tcPr>
          <w:p>
            <w:pPr>
              <w:pStyle w:val="yTableNAm"/>
              <w:jc w:val="center"/>
            </w:pPr>
            <w:r>
              <w:br/>
              <w:t>133.1</w:t>
            </w:r>
          </w:p>
        </w:tc>
        <w:tc>
          <w:tcPr>
            <w:tcW w:w="993" w:type="dxa"/>
          </w:tcPr>
          <w:p>
            <w:pPr>
              <w:pStyle w:val="yTableNAm"/>
              <w:jc w:val="center"/>
            </w:pPr>
            <w:r>
              <w:br/>
              <w:t>141.2</w:t>
            </w:r>
          </w:p>
        </w:tc>
      </w:tr>
      <w:tr>
        <w:tc>
          <w:tcPr>
            <w:tcW w:w="1417" w:type="dxa"/>
          </w:tcPr>
          <w:p>
            <w:pPr>
              <w:pStyle w:val="yTableNAm"/>
            </w:pPr>
            <w:r>
              <w:t>Over 650 but not over 750</w:t>
            </w:r>
          </w:p>
        </w:tc>
        <w:tc>
          <w:tcPr>
            <w:tcW w:w="992" w:type="dxa"/>
          </w:tcPr>
          <w:p>
            <w:pPr>
              <w:pStyle w:val="yTableNAm"/>
              <w:jc w:val="center"/>
            </w:pPr>
            <w:r>
              <w:br/>
              <w:t>122.6</w:t>
            </w:r>
          </w:p>
        </w:tc>
        <w:tc>
          <w:tcPr>
            <w:tcW w:w="992" w:type="dxa"/>
          </w:tcPr>
          <w:p>
            <w:pPr>
              <w:pStyle w:val="yTableNAm"/>
              <w:jc w:val="center"/>
            </w:pPr>
            <w:r>
              <w:br/>
              <w:t>142.4</w:t>
            </w:r>
          </w:p>
        </w:tc>
        <w:tc>
          <w:tcPr>
            <w:tcW w:w="992" w:type="dxa"/>
          </w:tcPr>
          <w:p>
            <w:pPr>
              <w:pStyle w:val="yTableNAm"/>
              <w:jc w:val="center"/>
            </w:pPr>
            <w:r>
              <w:br/>
              <w:t>162.2</w:t>
            </w:r>
          </w:p>
        </w:tc>
        <w:tc>
          <w:tcPr>
            <w:tcW w:w="992" w:type="dxa"/>
          </w:tcPr>
          <w:p>
            <w:pPr>
              <w:pStyle w:val="yTableNAm"/>
              <w:jc w:val="center"/>
            </w:pPr>
            <w:r>
              <w:br/>
              <w:t>186.4</w:t>
            </w:r>
          </w:p>
        </w:tc>
        <w:tc>
          <w:tcPr>
            <w:tcW w:w="993" w:type="dxa"/>
          </w:tcPr>
          <w:p>
            <w:pPr>
              <w:pStyle w:val="yTableNAm"/>
              <w:jc w:val="center"/>
            </w:pPr>
            <w:r>
              <w:br/>
              <w:t>204.7</w:t>
            </w:r>
          </w:p>
        </w:tc>
      </w:tr>
      <w:tr>
        <w:tc>
          <w:tcPr>
            <w:tcW w:w="1417" w:type="dxa"/>
          </w:tcPr>
          <w:p>
            <w:pPr>
              <w:pStyle w:val="yTableNAm"/>
            </w:pPr>
            <w:r>
              <w:t>Over 750 but not over 950</w:t>
            </w:r>
          </w:p>
        </w:tc>
        <w:tc>
          <w:tcPr>
            <w:tcW w:w="992" w:type="dxa"/>
          </w:tcPr>
          <w:p>
            <w:pPr>
              <w:pStyle w:val="yTableNAm"/>
              <w:jc w:val="center"/>
            </w:pPr>
            <w:r>
              <w:br/>
              <w:t>176.2</w:t>
            </w:r>
          </w:p>
        </w:tc>
        <w:tc>
          <w:tcPr>
            <w:tcW w:w="992" w:type="dxa"/>
          </w:tcPr>
          <w:p>
            <w:pPr>
              <w:pStyle w:val="yTableNAm"/>
              <w:jc w:val="center"/>
            </w:pPr>
            <w:r>
              <w:br/>
              <w:t>240.6</w:t>
            </w:r>
          </w:p>
        </w:tc>
        <w:tc>
          <w:tcPr>
            <w:tcW w:w="992" w:type="dxa"/>
          </w:tcPr>
          <w:p>
            <w:pPr>
              <w:pStyle w:val="yTableNAm"/>
              <w:jc w:val="center"/>
            </w:pPr>
            <w:r>
              <w:br/>
              <w:t>271.8</w:t>
            </w:r>
          </w:p>
        </w:tc>
        <w:tc>
          <w:tcPr>
            <w:tcW w:w="992" w:type="dxa"/>
          </w:tcPr>
          <w:p>
            <w:pPr>
              <w:pStyle w:val="yTableNAm"/>
              <w:jc w:val="center"/>
            </w:pPr>
            <w:r>
              <w:br/>
              <w:t>325.8</w:t>
            </w:r>
          </w:p>
        </w:tc>
        <w:tc>
          <w:tcPr>
            <w:tcW w:w="993" w:type="dxa"/>
          </w:tcPr>
          <w:p>
            <w:pPr>
              <w:pStyle w:val="yTableNAm"/>
              <w:jc w:val="center"/>
            </w:pPr>
            <w:r>
              <w:br/>
              <w:t>362.0</w:t>
            </w:r>
          </w:p>
        </w:tc>
      </w:tr>
      <w:tr>
        <w:tc>
          <w:tcPr>
            <w:tcW w:w="1417" w:type="dxa"/>
          </w:tcPr>
          <w:p>
            <w:pPr>
              <w:pStyle w:val="yTableNAm"/>
            </w:pPr>
            <w:r>
              <w:t>Over 950 but not over 1 150</w:t>
            </w:r>
          </w:p>
        </w:tc>
        <w:tc>
          <w:tcPr>
            <w:tcW w:w="992" w:type="dxa"/>
          </w:tcPr>
          <w:p>
            <w:pPr>
              <w:pStyle w:val="yTableNAm"/>
              <w:jc w:val="center"/>
            </w:pPr>
            <w:r>
              <w:br/>
              <w:t>176.2</w:t>
            </w:r>
          </w:p>
        </w:tc>
        <w:tc>
          <w:tcPr>
            <w:tcW w:w="992" w:type="dxa"/>
          </w:tcPr>
          <w:p>
            <w:pPr>
              <w:pStyle w:val="yTableNAm"/>
              <w:jc w:val="center"/>
            </w:pPr>
            <w:r>
              <w:br/>
              <w:t>240.6</w:t>
            </w:r>
          </w:p>
        </w:tc>
        <w:tc>
          <w:tcPr>
            <w:tcW w:w="992" w:type="dxa"/>
          </w:tcPr>
          <w:p>
            <w:pPr>
              <w:pStyle w:val="yTableNAm"/>
              <w:jc w:val="center"/>
            </w:pPr>
            <w:r>
              <w:br/>
              <w:t>271.8</w:t>
            </w:r>
          </w:p>
        </w:tc>
        <w:tc>
          <w:tcPr>
            <w:tcW w:w="992" w:type="dxa"/>
          </w:tcPr>
          <w:p>
            <w:pPr>
              <w:pStyle w:val="yTableNAm"/>
              <w:jc w:val="center"/>
            </w:pPr>
            <w:r>
              <w:br/>
              <w:t>325.8</w:t>
            </w:r>
          </w:p>
        </w:tc>
        <w:tc>
          <w:tcPr>
            <w:tcW w:w="993" w:type="dxa"/>
          </w:tcPr>
          <w:p>
            <w:pPr>
              <w:pStyle w:val="yTableNAm"/>
              <w:jc w:val="center"/>
            </w:pPr>
            <w:r>
              <w:br/>
              <w:t>362.0</w:t>
            </w:r>
          </w:p>
        </w:tc>
      </w:tr>
      <w:tr>
        <w:tc>
          <w:tcPr>
            <w:tcW w:w="1417" w:type="dxa"/>
          </w:tcPr>
          <w:p>
            <w:pPr>
              <w:pStyle w:val="yTableNAm"/>
            </w:pPr>
            <w:r>
              <w:t>Over 1 150 but not over 1 550</w:t>
            </w:r>
          </w:p>
        </w:tc>
        <w:tc>
          <w:tcPr>
            <w:tcW w:w="992" w:type="dxa"/>
          </w:tcPr>
          <w:p>
            <w:pPr>
              <w:pStyle w:val="yTableNAm"/>
              <w:jc w:val="center"/>
            </w:pPr>
            <w:r>
              <w:br/>
              <w:t>225.1</w:t>
            </w:r>
          </w:p>
        </w:tc>
        <w:tc>
          <w:tcPr>
            <w:tcW w:w="992" w:type="dxa"/>
          </w:tcPr>
          <w:p>
            <w:pPr>
              <w:pStyle w:val="yTableNAm"/>
              <w:jc w:val="center"/>
            </w:pPr>
            <w:r>
              <w:br/>
              <w:t>323.2</w:t>
            </w:r>
          </w:p>
        </w:tc>
        <w:tc>
          <w:tcPr>
            <w:tcW w:w="992" w:type="dxa"/>
          </w:tcPr>
          <w:p>
            <w:pPr>
              <w:pStyle w:val="yTableNAm"/>
              <w:jc w:val="center"/>
            </w:pPr>
            <w:r>
              <w:br/>
              <w:t>392.1</w:t>
            </w:r>
          </w:p>
        </w:tc>
        <w:tc>
          <w:tcPr>
            <w:tcW w:w="992" w:type="dxa"/>
          </w:tcPr>
          <w:p>
            <w:pPr>
              <w:pStyle w:val="yTableNAm"/>
              <w:jc w:val="center"/>
            </w:pPr>
            <w:r>
              <w:br/>
              <w:t>524.5</w:t>
            </w:r>
          </w:p>
        </w:tc>
        <w:tc>
          <w:tcPr>
            <w:tcW w:w="993" w:type="dxa"/>
          </w:tcPr>
          <w:p>
            <w:pPr>
              <w:pStyle w:val="yTableNAm"/>
              <w:jc w:val="center"/>
            </w:pPr>
            <w:r>
              <w:br/>
              <w:t>650.1</w:t>
            </w:r>
          </w:p>
        </w:tc>
      </w:tr>
      <w:tr>
        <w:tc>
          <w:tcPr>
            <w:tcW w:w="1417" w:type="dxa"/>
          </w:tcPr>
          <w:p>
            <w:pPr>
              <w:pStyle w:val="yTableNAm"/>
            </w:pPr>
            <w:r>
              <w:t>Over 1 550 but not over 1 950</w:t>
            </w:r>
          </w:p>
        </w:tc>
        <w:tc>
          <w:tcPr>
            <w:tcW w:w="992" w:type="dxa"/>
          </w:tcPr>
          <w:p>
            <w:pPr>
              <w:pStyle w:val="yTableNAm"/>
              <w:jc w:val="center"/>
            </w:pPr>
            <w:r>
              <w:br/>
              <w:t>247.9</w:t>
            </w:r>
          </w:p>
        </w:tc>
        <w:tc>
          <w:tcPr>
            <w:tcW w:w="992" w:type="dxa"/>
          </w:tcPr>
          <w:p>
            <w:pPr>
              <w:pStyle w:val="yTableNAm"/>
              <w:jc w:val="center"/>
            </w:pPr>
            <w:r>
              <w:br/>
              <w:t>371.9</w:t>
            </w:r>
          </w:p>
        </w:tc>
        <w:tc>
          <w:tcPr>
            <w:tcW w:w="992" w:type="dxa"/>
          </w:tcPr>
          <w:p>
            <w:pPr>
              <w:pStyle w:val="yTableNAm"/>
              <w:jc w:val="center"/>
            </w:pPr>
            <w:r>
              <w:br/>
              <w:t>468.1</w:t>
            </w:r>
          </w:p>
        </w:tc>
        <w:tc>
          <w:tcPr>
            <w:tcW w:w="992" w:type="dxa"/>
          </w:tcPr>
          <w:p>
            <w:pPr>
              <w:pStyle w:val="yTableNAm"/>
              <w:jc w:val="center"/>
            </w:pPr>
            <w:r>
              <w:br/>
              <w:t>589.5</w:t>
            </w:r>
          </w:p>
        </w:tc>
        <w:tc>
          <w:tcPr>
            <w:tcW w:w="993" w:type="dxa"/>
          </w:tcPr>
          <w:p>
            <w:pPr>
              <w:pStyle w:val="yTableNAm"/>
              <w:jc w:val="center"/>
            </w:pPr>
            <w:r>
              <w:br/>
              <w:t>715.3</w:t>
            </w:r>
          </w:p>
        </w:tc>
      </w:tr>
      <w:t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jc w:val="center"/>
            </w:pPr>
            <w:r>
              <w:t>275.9</w:t>
            </w:r>
          </w:p>
        </w:tc>
        <w:tc>
          <w:tcPr>
            <w:tcW w:w="992" w:type="dxa"/>
            <w:tcBorders>
              <w:bottom w:val="single" w:sz="4" w:space="0" w:color="auto"/>
            </w:tcBorders>
          </w:tcPr>
          <w:p>
            <w:pPr>
              <w:pStyle w:val="yTableNAm"/>
              <w:jc w:val="center"/>
            </w:pPr>
            <w:r>
              <w:t>442.5</w:t>
            </w:r>
          </w:p>
        </w:tc>
        <w:tc>
          <w:tcPr>
            <w:tcW w:w="992" w:type="dxa"/>
            <w:tcBorders>
              <w:bottom w:val="single" w:sz="4" w:space="0" w:color="auto"/>
            </w:tcBorders>
          </w:tcPr>
          <w:p>
            <w:pPr>
              <w:pStyle w:val="yTableNAm"/>
              <w:jc w:val="center"/>
            </w:pPr>
            <w:r>
              <w:t>533.1</w:t>
            </w:r>
          </w:p>
        </w:tc>
        <w:tc>
          <w:tcPr>
            <w:tcW w:w="992" w:type="dxa"/>
            <w:tcBorders>
              <w:bottom w:val="single" w:sz="4" w:space="0" w:color="auto"/>
            </w:tcBorders>
          </w:tcPr>
          <w:p>
            <w:pPr>
              <w:pStyle w:val="yTableNAm"/>
              <w:jc w:val="center"/>
            </w:pPr>
            <w:r>
              <w:t>654.4</w:t>
            </w:r>
          </w:p>
        </w:tc>
        <w:tc>
          <w:tcPr>
            <w:tcW w:w="993" w:type="dxa"/>
            <w:tcBorders>
              <w:bottom w:val="single" w:sz="4" w:space="0" w:color="auto"/>
            </w:tcBorders>
          </w:tcPr>
          <w:p>
            <w:pPr>
              <w:pStyle w:val="yTableNAm"/>
              <w:jc w:val="center"/>
            </w:pPr>
            <w:r>
              <w:t>769.4</w:t>
            </w:r>
          </w:p>
        </w:tc>
      </w:tr>
    </w:tbl>
    <w:p>
      <w:pPr>
        <w:pStyle w:val="ySubsection"/>
      </w:pPr>
    </w:p>
    <w:tbl>
      <w:tblPr>
        <w:tblW w:w="0" w:type="auto"/>
        <w:tblInd w:w="534" w:type="dxa"/>
        <w:tblLook w:val="0000" w:firstRow="0" w:lastRow="0" w:firstColumn="0" w:lastColumn="0" w:noHBand="0" w:noVBand="0"/>
      </w:tblPr>
      <w:tblGrid>
        <w:gridCol w:w="850"/>
        <w:gridCol w:w="4236"/>
        <w:gridCol w:w="1292"/>
      </w:tblGrid>
      <w:tr>
        <w:tc>
          <w:tcPr>
            <w:tcW w:w="850" w:type="dxa"/>
          </w:tcPr>
          <w:p>
            <w:pPr>
              <w:pStyle w:val="yTableNAm"/>
              <w:rPr>
                <w:rStyle w:val="CharSClsNo"/>
                <w:b/>
                <w:bCs/>
              </w:rPr>
            </w:pPr>
            <w:r>
              <w:rPr>
                <w:rStyle w:val="CharSClsNo"/>
                <w:b/>
                <w:bCs/>
              </w:rPr>
              <w:t>24</w:t>
            </w:r>
            <w:r>
              <w:rPr>
                <w:b/>
                <w:bCs/>
              </w:rPr>
              <w:t>.</w:t>
            </w:r>
          </w:p>
        </w:tc>
        <w:tc>
          <w:tcPr>
            <w:tcW w:w="4236" w:type="dxa"/>
          </w:tcPr>
          <w:p>
            <w:pPr>
              <w:pStyle w:val="yTableNAm"/>
              <w:rPr>
                <w:b/>
                <w:bCs/>
              </w:rPr>
            </w:pPr>
            <w:r>
              <w:rPr>
                <w:b/>
                <w:bCs/>
              </w:rPr>
              <w:t>Metropolitan non</w:t>
            </w:r>
            <w:r>
              <w:rPr>
                <w:b/>
                <w:bCs/>
              </w:rPr>
              <w:noBreakHyphen/>
              <w:t>residential</w:t>
            </w:r>
          </w:p>
        </w:tc>
        <w:tc>
          <w:tcPr>
            <w:tcW w:w="1292" w:type="dxa"/>
          </w:tcPr>
          <w:p>
            <w:pPr>
              <w:pStyle w:val="yTableNAm"/>
              <w:rPr>
                <w:b/>
                <w:bCs/>
              </w:rPr>
            </w:pPr>
          </w:p>
        </w:tc>
      </w:tr>
      <w:tr>
        <w:tc>
          <w:tcPr>
            <w:tcW w:w="850" w:type="dxa"/>
          </w:tcPr>
          <w:p>
            <w:pPr>
              <w:pStyle w:val="yTableNAm"/>
              <w:rPr>
                <w:rStyle w:val="CharSClsNo"/>
                <w:b/>
                <w:bCs/>
              </w:rPr>
            </w:pPr>
          </w:p>
        </w:tc>
        <w:tc>
          <w:tcPr>
            <w:tcW w:w="4236" w:type="dxa"/>
          </w:tcPr>
          <w:p>
            <w:pPr>
              <w:pStyle w:val="yTableNAm"/>
              <w:rPr>
                <w:spacing w:val="-1"/>
              </w:rPr>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416"/>
                <w:tab w:val="left" w:pos="1016"/>
              </w:tabs>
              <w:ind w:left="1016" w:hanging="1016"/>
              <w:rPr>
                <w:spacing w:val="-1"/>
              </w:rPr>
            </w:pPr>
            <w:r>
              <w:rPr>
                <w:snapToGrid w:val="0"/>
              </w:rPr>
              <w:tab/>
              <w:t>(a)</w:t>
            </w:r>
            <w:r>
              <w:rPr>
                <w:snapToGrid w:val="0"/>
              </w:rPr>
              <w:tab/>
              <w:t>in the case of land not mentioned in paragraph (b) or (c)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256"/>
              </w:tabs>
            </w:pPr>
            <w:r>
              <w:rPr>
                <w:spacing w:val="-1"/>
              </w:rPr>
              <w:tab/>
              <w:t>up</w:t>
            </w:r>
            <w:r>
              <w:t xml:space="preserve"> to 600 kL ............................</w:t>
            </w:r>
          </w:p>
        </w:tc>
        <w:tc>
          <w:tcPr>
            <w:tcW w:w="1292" w:type="dxa"/>
          </w:tcPr>
          <w:p>
            <w:pPr>
              <w:pStyle w:val="yTableNAm"/>
            </w:pPr>
            <w:r>
              <w:t>117.1 cents</w:t>
            </w:r>
          </w:p>
        </w:tc>
      </w:tr>
      <w:tr>
        <w:tc>
          <w:tcPr>
            <w:tcW w:w="850" w:type="dxa"/>
          </w:tcPr>
          <w:p>
            <w:pPr>
              <w:pStyle w:val="yTableNAm"/>
              <w:rPr>
                <w:rStyle w:val="CharSClsNo"/>
              </w:rPr>
            </w:pPr>
          </w:p>
        </w:tc>
        <w:tc>
          <w:tcPr>
            <w:tcW w:w="4236" w:type="dxa"/>
          </w:tcPr>
          <w:p>
            <w:pPr>
              <w:pStyle w:val="yTableNAm"/>
              <w:tabs>
                <w:tab w:val="clear" w:pos="567"/>
                <w:tab w:val="left" w:pos="1256"/>
              </w:tabs>
              <w:ind w:left="1256" w:hanging="1256"/>
              <w:rPr>
                <w:spacing w:val="-1"/>
              </w:rPr>
            </w:pPr>
            <w:r>
              <w:rPr>
                <w:spacing w:val="-1"/>
              </w:rPr>
              <w:tab/>
              <w:t>over 600 kL but not over 1 100 000 kL ..........................</w:t>
            </w:r>
          </w:p>
        </w:tc>
        <w:tc>
          <w:tcPr>
            <w:tcW w:w="1292" w:type="dxa"/>
          </w:tcPr>
          <w:p>
            <w:pPr>
              <w:pStyle w:val="yTableNAm"/>
            </w:pPr>
            <w:r>
              <w:br/>
              <w:t>122.0 cents</w:t>
            </w:r>
          </w:p>
        </w:tc>
      </w:tr>
      <w:tr>
        <w:tc>
          <w:tcPr>
            <w:tcW w:w="850" w:type="dxa"/>
          </w:tcPr>
          <w:p>
            <w:pPr>
              <w:pStyle w:val="yTableNAm"/>
              <w:rPr>
                <w:rStyle w:val="CharSClsNo"/>
              </w:rPr>
            </w:pPr>
          </w:p>
        </w:tc>
        <w:tc>
          <w:tcPr>
            <w:tcW w:w="4236" w:type="dxa"/>
          </w:tcPr>
          <w:p>
            <w:pPr>
              <w:pStyle w:val="yTableNAm"/>
              <w:tabs>
                <w:tab w:val="clear" w:pos="567"/>
                <w:tab w:val="left" w:pos="1256"/>
              </w:tabs>
            </w:pPr>
            <w:r>
              <w:tab/>
              <w:t>over 1 100 000 kL ...................</w:t>
            </w:r>
          </w:p>
        </w:tc>
        <w:tc>
          <w:tcPr>
            <w:tcW w:w="1292" w:type="dxa"/>
          </w:tcPr>
          <w:p>
            <w:pPr>
              <w:pStyle w:val="yTableNAm"/>
            </w:pPr>
            <w:r>
              <w:t>120.8 cents</w:t>
            </w:r>
          </w:p>
        </w:tc>
      </w:tr>
      <w:tr>
        <w:tc>
          <w:tcPr>
            <w:tcW w:w="850" w:type="dxa"/>
          </w:tcPr>
          <w:p>
            <w:pPr>
              <w:pStyle w:val="yTableNAm"/>
              <w:rPr>
                <w:rStyle w:val="CharSClsNo"/>
              </w:rPr>
            </w:pPr>
          </w:p>
        </w:tc>
        <w:tc>
          <w:tcPr>
            <w:tcW w:w="4236" w:type="dxa"/>
          </w:tcPr>
          <w:p>
            <w:pPr>
              <w:pStyle w:val="yTableNAm"/>
              <w:tabs>
                <w:tab w:val="clear" w:pos="567"/>
                <w:tab w:val="left" w:pos="416"/>
                <w:tab w:val="left" w:pos="1016"/>
              </w:tabs>
              <w:ind w:left="1016" w:hanging="1016"/>
            </w:pPr>
            <w:r>
              <w:rPr>
                <w:snapToGrid w:val="0"/>
              </w:rPr>
              <w:tab/>
              <w:t>(b)</w:t>
            </w:r>
            <w:r>
              <w:rPr>
                <w:snapToGrid w:val="0"/>
              </w:rPr>
              <w:tab/>
              <w:t>in the case of land classified as metropolitan farmland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256"/>
              </w:tabs>
            </w:pPr>
            <w:r>
              <w:tab/>
              <w:t>all water supplied ....................</w:t>
            </w:r>
          </w:p>
        </w:tc>
        <w:tc>
          <w:tcPr>
            <w:tcW w:w="1292" w:type="dxa"/>
          </w:tcPr>
          <w:p>
            <w:pPr>
              <w:pStyle w:val="yTableNAm"/>
            </w:pPr>
            <w:r>
              <w:t>112.8 cents</w:t>
            </w:r>
          </w:p>
        </w:tc>
      </w:tr>
      <w:tr>
        <w:tc>
          <w:tcPr>
            <w:tcW w:w="850" w:type="dxa"/>
          </w:tcPr>
          <w:p>
            <w:pPr>
              <w:pStyle w:val="yTableNAm"/>
              <w:rPr>
                <w:rStyle w:val="CharSClsNo"/>
              </w:rPr>
            </w:pPr>
          </w:p>
        </w:tc>
        <w:tc>
          <w:tcPr>
            <w:tcW w:w="4236" w:type="dxa"/>
          </w:tcPr>
          <w:p>
            <w:pPr>
              <w:pStyle w:val="yTableNAm"/>
              <w:tabs>
                <w:tab w:val="clear" w:pos="567"/>
                <w:tab w:val="left" w:pos="416"/>
                <w:tab w:val="left" w:pos="1016"/>
              </w:tabs>
              <w:ind w:left="1016" w:hanging="1016"/>
            </w:pPr>
            <w:r>
              <w:rPr>
                <w:snapToGrid w:val="0"/>
              </w:rPr>
              <w:tab/>
              <w:t>(c)</w:t>
            </w:r>
            <w:r>
              <w:rPr>
                <w:snapToGrid w:val="0"/>
              </w:rPr>
              <w:tab/>
              <w:t>in the case of land classified as c</w:t>
            </w:r>
            <w:r>
              <w:t>ommercial residential</w:t>
            </w:r>
            <w:r>
              <w:rPr>
                <w:snapToGrid w:val="0"/>
              </w:rPr>
              <w:t>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256"/>
              </w:tabs>
            </w:pPr>
            <w:r>
              <w:tab/>
              <w:t xml:space="preserve">up to </w:t>
            </w:r>
            <w:r>
              <w:rPr>
                <w:spacing w:val="-1"/>
              </w:rPr>
              <w:t>150</w:t>
            </w:r>
            <w:r>
              <w:t xml:space="preserve"> kL ............................</w:t>
            </w:r>
          </w:p>
        </w:tc>
        <w:tc>
          <w:tcPr>
            <w:tcW w:w="1292" w:type="dxa"/>
          </w:tcPr>
          <w:p>
            <w:pPr>
              <w:pStyle w:val="yTableNAm"/>
            </w:pPr>
            <w:r>
              <w:t>72.6 cents</w:t>
            </w:r>
          </w:p>
        </w:tc>
      </w:tr>
      <w:tr>
        <w:tc>
          <w:tcPr>
            <w:tcW w:w="850" w:type="dxa"/>
          </w:tcPr>
          <w:p>
            <w:pPr>
              <w:pStyle w:val="yTableNAm"/>
              <w:rPr>
                <w:rStyle w:val="CharSClsNo"/>
              </w:rPr>
            </w:pPr>
          </w:p>
        </w:tc>
        <w:tc>
          <w:tcPr>
            <w:tcW w:w="4236" w:type="dxa"/>
          </w:tcPr>
          <w:p>
            <w:pPr>
              <w:pStyle w:val="yTableNAm"/>
              <w:tabs>
                <w:tab w:val="clear" w:pos="567"/>
                <w:tab w:val="left" w:pos="1256"/>
              </w:tabs>
              <w:ind w:left="1256" w:hanging="1256"/>
            </w:pPr>
            <w:r>
              <w:tab/>
              <w:t xml:space="preserve">over </w:t>
            </w:r>
            <w:r>
              <w:rPr>
                <w:spacing w:val="-1"/>
              </w:rPr>
              <w:t>150</w:t>
            </w:r>
            <w:r>
              <w:t xml:space="preserve"> kL but not over 750 kL .....................................</w:t>
            </w:r>
          </w:p>
        </w:tc>
        <w:tc>
          <w:tcPr>
            <w:tcW w:w="1292" w:type="dxa"/>
          </w:tcPr>
          <w:p>
            <w:pPr>
              <w:pStyle w:val="yTableNAm"/>
            </w:pPr>
            <w:r>
              <w:br/>
              <w:t>117.1 cents</w:t>
            </w:r>
          </w:p>
        </w:tc>
      </w:tr>
      <w:tr>
        <w:tc>
          <w:tcPr>
            <w:tcW w:w="850" w:type="dxa"/>
          </w:tcPr>
          <w:p>
            <w:pPr>
              <w:pStyle w:val="yTableNAm"/>
              <w:rPr>
                <w:rStyle w:val="CharSClsNo"/>
              </w:rPr>
            </w:pPr>
          </w:p>
        </w:tc>
        <w:tc>
          <w:tcPr>
            <w:tcW w:w="4236" w:type="dxa"/>
          </w:tcPr>
          <w:p>
            <w:pPr>
              <w:pStyle w:val="yTableNAm"/>
              <w:tabs>
                <w:tab w:val="clear" w:pos="567"/>
                <w:tab w:val="left" w:pos="1256"/>
              </w:tabs>
            </w:pPr>
            <w:r>
              <w:tab/>
              <w:t xml:space="preserve">over </w:t>
            </w:r>
            <w:r>
              <w:rPr>
                <w:spacing w:val="-1"/>
              </w:rPr>
              <w:t>750</w:t>
            </w:r>
            <w:r>
              <w:t xml:space="preserve"> kL .............................</w:t>
            </w:r>
          </w:p>
        </w:tc>
        <w:tc>
          <w:tcPr>
            <w:tcW w:w="1292" w:type="dxa"/>
          </w:tcPr>
          <w:p>
            <w:pPr>
              <w:pStyle w:val="yTableNAm"/>
            </w:pPr>
            <w:r>
              <w:t>122.0 cents</w:t>
            </w:r>
          </w:p>
        </w:tc>
      </w:tr>
      <w:tr>
        <w:tc>
          <w:tcPr>
            <w:tcW w:w="850" w:type="dxa"/>
          </w:tcPr>
          <w:p>
            <w:pPr>
              <w:pStyle w:val="yTableNAm"/>
              <w:rPr>
                <w:rStyle w:val="CharSClsNo"/>
                <w:b/>
                <w:bCs/>
              </w:rPr>
            </w:pPr>
            <w:r>
              <w:rPr>
                <w:rStyle w:val="CharSClsNo"/>
                <w:b/>
                <w:bCs/>
              </w:rPr>
              <w:t>25.</w:t>
            </w:r>
          </w:p>
        </w:tc>
        <w:tc>
          <w:tcPr>
            <w:tcW w:w="4236" w:type="dxa"/>
          </w:tcPr>
          <w:p>
            <w:pPr>
              <w:pStyle w:val="yTableNAm"/>
              <w:rPr>
                <w:b/>
                <w:bCs/>
              </w:rPr>
            </w:pPr>
            <w:r>
              <w:rPr>
                <w:b/>
                <w:bCs/>
              </w:rPr>
              <w:t>Connected metropolitan exempt</w:t>
            </w:r>
          </w:p>
        </w:tc>
        <w:tc>
          <w:tcPr>
            <w:tcW w:w="1292" w:type="dxa"/>
          </w:tcPr>
          <w:p>
            <w:pPr>
              <w:pStyle w:val="yTableNAm"/>
              <w:rPr>
                <w:b/>
                <w:bCs/>
              </w:rPr>
            </w:pPr>
          </w:p>
        </w:tc>
      </w:tr>
      <w:tr>
        <w:tc>
          <w:tcPr>
            <w:tcW w:w="850" w:type="dxa"/>
          </w:tcPr>
          <w:p>
            <w:pPr>
              <w:pStyle w:val="yTableNAm"/>
              <w:rPr>
                <w:rStyle w:val="CharSClsNo"/>
              </w:rPr>
            </w:pPr>
          </w:p>
        </w:tc>
        <w:tc>
          <w:tcPr>
            <w:tcW w:w="4236" w:type="dxa"/>
          </w:tcPr>
          <w:p>
            <w:pPr>
              <w:pStyle w:val="yTableNAm"/>
            </w:pPr>
            <w:r>
              <w:t>For each kilolitre of water, not being water for which a charge is otherwise provided in item 29 or 31, supplied to land described in by</w:t>
            </w:r>
            <w:r>
              <w:noBreakHyphen/>
              <w:t>law 4 that is in the metropolitan area and that is not classified as residential —</w:t>
            </w:r>
          </w:p>
        </w:tc>
        <w:tc>
          <w:tcPr>
            <w:tcW w:w="1292" w:type="dxa"/>
          </w:tcPr>
          <w:p>
            <w:pPr>
              <w:pStyle w:val="yTableNAm"/>
            </w:pPr>
          </w:p>
        </w:tc>
      </w:tr>
      <w:tr>
        <w:tc>
          <w:tcPr>
            <w:tcW w:w="850" w:type="dxa"/>
          </w:tcPr>
          <w:p>
            <w:pPr>
              <w:pStyle w:val="yTableNAm"/>
              <w:rPr>
                <w:rStyle w:val="CharSClsNo"/>
              </w:rPr>
            </w:pPr>
          </w:p>
        </w:tc>
        <w:tc>
          <w:tcPr>
            <w:tcW w:w="4236" w:type="dxa"/>
          </w:tcPr>
          <w:p>
            <w:pPr>
              <w:pStyle w:val="yTableNAm"/>
            </w:pPr>
            <w:r>
              <w:t xml:space="preserve">up to </w:t>
            </w:r>
            <w:r>
              <w:rPr>
                <w:snapToGrid w:val="0"/>
              </w:rPr>
              <w:t>600</w:t>
            </w:r>
            <w:r>
              <w:t> kL .................................................</w:t>
            </w:r>
          </w:p>
        </w:tc>
        <w:tc>
          <w:tcPr>
            <w:tcW w:w="1292" w:type="dxa"/>
          </w:tcPr>
          <w:p>
            <w:pPr>
              <w:pStyle w:val="yTableNAm"/>
            </w:pPr>
            <w:r>
              <w:t>117.1 cents</w:t>
            </w:r>
          </w:p>
        </w:tc>
      </w:tr>
      <w:tr>
        <w:tc>
          <w:tcPr>
            <w:tcW w:w="850" w:type="dxa"/>
          </w:tcPr>
          <w:p>
            <w:pPr>
              <w:pStyle w:val="yTableNAm"/>
            </w:pPr>
          </w:p>
        </w:tc>
        <w:tc>
          <w:tcPr>
            <w:tcW w:w="4236" w:type="dxa"/>
          </w:tcPr>
          <w:p>
            <w:pPr>
              <w:pStyle w:val="yTableNAm"/>
            </w:pPr>
            <w:r>
              <w:t xml:space="preserve">over </w:t>
            </w:r>
            <w:r>
              <w:rPr>
                <w:snapToGrid w:val="0"/>
              </w:rPr>
              <w:t>600</w:t>
            </w:r>
            <w:r>
              <w:t> kL but not over 1 100 000 kL ........</w:t>
            </w:r>
          </w:p>
        </w:tc>
        <w:tc>
          <w:tcPr>
            <w:tcW w:w="1292" w:type="dxa"/>
          </w:tcPr>
          <w:p>
            <w:pPr>
              <w:pStyle w:val="yTableNAm"/>
            </w:pPr>
            <w:r>
              <w:t>122.0 cents</w:t>
            </w:r>
          </w:p>
        </w:tc>
      </w:tr>
      <w:tr>
        <w:tc>
          <w:tcPr>
            <w:tcW w:w="850" w:type="dxa"/>
          </w:tcPr>
          <w:p>
            <w:pPr>
              <w:pStyle w:val="yTableNAm"/>
            </w:pPr>
          </w:p>
        </w:tc>
        <w:tc>
          <w:tcPr>
            <w:tcW w:w="4236" w:type="dxa"/>
          </w:tcPr>
          <w:p>
            <w:pPr>
              <w:pStyle w:val="yTableNAm"/>
            </w:pPr>
            <w:r>
              <w:t>over 1 100 000 kL ........................................</w:t>
            </w:r>
          </w:p>
        </w:tc>
        <w:tc>
          <w:tcPr>
            <w:tcW w:w="1292" w:type="dxa"/>
          </w:tcPr>
          <w:p>
            <w:pPr>
              <w:pStyle w:val="yTableNAm"/>
            </w:pPr>
            <w:r>
              <w:t>120.8 cents</w:t>
            </w:r>
          </w:p>
        </w:tc>
      </w:tr>
      <w:tr>
        <w:tc>
          <w:tcPr>
            <w:tcW w:w="850" w:type="dxa"/>
          </w:tcPr>
          <w:p>
            <w:pPr>
              <w:pStyle w:val="yTableNAm"/>
              <w:rPr>
                <w:b/>
                <w:bCs/>
              </w:rPr>
            </w:pPr>
            <w:r>
              <w:rPr>
                <w:rStyle w:val="CharSClsNo"/>
                <w:b/>
                <w:bCs/>
              </w:rPr>
              <w:t>26</w:t>
            </w:r>
            <w:r>
              <w:rPr>
                <w:b/>
                <w:bCs/>
              </w:rPr>
              <w:t>.</w:t>
            </w:r>
          </w:p>
        </w:tc>
        <w:tc>
          <w:tcPr>
            <w:tcW w:w="4236" w:type="dxa"/>
          </w:tcPr>
          <w:p>
            <w:pPr>
              <w:pStyle w:val="yTableNAm"/>
              <w:rPr>
                <w:b/>
                <w:bCs/>
              </w:rPr>
            </w:pPr>
            <w:r>
              <w:rPr>
                <w:b/>
                <w:bCs/>
              </w:rPr>
              <w:t>Connected non</w:t>
            </w:r>
            <w:r>
              <w:rPr>
                <w:b/>
                <w:bCs/>
              </w:rPr>
              <w:noBreakHyphen/>
              <w:t>metropolitan residential exempt</w:t>
            </w:r>
          </w:p>
        </w:tc>
        <w:tc>
          <w:tcPr>
            <w:tcW w:w="1292" w:type="dxa"/>
          </w:tcPr>
          <w:p>
            <w:pPr>
              <w:pStyle w:val="yTableNAm"/>
              <w:rPr>
                <w:b/>
                <w:bCs/>
              </w:rPr>
            </w:pPr>
          </w:p>
        </w:tc>
      </w:tr>
      <w:t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292" w:type="dxa"/>
          </w:tcPr>
          <w:p>
            <w:pPr>
              <w:pStyle w:val="yTableNAm"/>
            </w:pPr>
          </w:p>
        </w:tc>
      </w:tr>
      <w:tr>
        <w:tc>
          <w:tcPr>
            <w:tcW w:w="850" w:type="dxa"/>
          </w:tcPr>
          <w:p>
            <w:pPr>
              <w:pStyle w:val="yTableNAm"/>
            </w:pPr>
          </w:p>
        </w:tc>
        <w:tc>
          <w:tcPr>
            <w:tcW w:w="4236" w:type="dxa"/>
          </w:tcPr>
          <w:p>
            <w:pPr>
              <w:pStyle w:val="yTableNAm"/>
            </w:pPr>
            <w:r>
              <w:t>up to 300 kL .................................................</w:t>
            </w:r>
          </w:p>
        </w:tc>
        <w:tc>
          <w:tcPr>
            <w:tcW w:w="1292" w:type="dxa"/>
          </w:tcPr>
          <w:p>
            <w:pPr>
              <w:pStyle w:val="yTableNAm"/>
            </w:pPr>
            <w:r>
              <w:t>119.7 cents</w:t>
            </w:r>
          </w:p>
        </w:tc>
      </w:tr>
      <w:tr>
        <w:tc>
          <w:tcPr>
            <w:tcW w:w="850" w:type="dxa"/>
          </w:tcPr>
          <w:p>
            <w:pPr>
              <w:pStyle w:val="yTableNAm"/>
            </w:pPr>
          </w:p>
        </w:tc>
        <w:tc>
          <w:tcPr>
            <w:tcW w:w="4236" w:type="dxa"/>
          </w:tcPr>
          <w:p>
            <w:pPr>
              <w:pStyle w:val="yTableNAm"/>
            </w:pPr>
            <w:r>
              <w:t>over 300 kL ..................................................</w:t>
            </w:r>
          </w:p>
        </w:tc>
        <w:tc>
          <w:tcPr>
            <w:tcW w:w="1292" w:type="dxa"/>
          </w:tcPr>
          <w:p>
            <w:pPr>
              <w:pStyle w:val="yTableNAm"/>
            </w:pPr>
            <w:r>
              <w:t>176.8 cents</w:t>
            </w:r>
          </w:p>
        </w:tc>
      </w:tr>
      <w:tr>
        <w:tc>
          <w:tcPr>
            <w:tcW w:w="850" w:type="dxa"/>
          </w:tcPr>
          <w:p>
            <w:pPr>
              <w:pStyle w:val="yTableNAm"/>
              <w:rPr>
                <w:b/>
                <w:bCs/>
              </w:rPr>
            </w:pPr>
            <w:r>
              <w:rPr>
                <w:rStyle w:val="CharSClsNo"/>
                <w:b/>
                <w:bCs/>
              </w:rPr>
              <w:t>27</w:t>
            </w:r>
            <w:r>
              <w:rPr>
                <w:b/>
                <w:bCs/>
              </w:rPr>
              <w:t>.</w:t>
            </w:r>
          </w:p>
        </w:tc>
        <w:tc>
          <w:tcPr>
            <w:tcW w:w="4236" w:type="dxa"/>
          </w:tcPr>
          <w:p>
            <w:pPr>
              <w:pStyle w:val="yTableNAm"/>
              <w:rPr>
                <w:b/>
                <w:bCs/>
              </w:rPr>
            </w:pPr>
            <w:r>
              <w:rPr>
                <w:b/>
                <w:bCs/>
              </w:rPr>
              <w:t>Non</w:t>
            </w:r>
            <w:r>
              <w:rPr>
                <w:b/>
                <w:bCs/>
              </w:rPr>
              <w:noBreakHyphen/>
              <w:t>metropolitan non</w:t>
            </w:r>
            <w:r>
              <w:rPr>
                <w:b/>
                <w:bCs/>
              </w:rPr>
              <w:noBreakHyphen/>
              <w:t>residential</w:t>
            </w:r>
          </w:p>
        </w:tc>
        <w:tc>
          <w:tcPr>
            <w:tcW w:w="1292" w:type="dxa"/>
          </w:tcPr>
          <w:p>
            <w:pPr>
              <w:pStyle w:val="yTableNAm"/>
              <w:rPr>
                <w:b/>
                <w:bCs/>
              </w:rPr>
            </w:pPr>
          </w:p>
        </w:tc>
      </w:tr>
      <w:t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(a)</w:t>
            </w:r>
            <w:r>
              <w:rPr>
                <w:snapToGrid w:val="0"/>
              </w:rPr>
              <w:tab/>
              <w:t>government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up to 300 kL ............................</w:t>
            </w:r>
          </w:p>
        </w:tc>
        <w:tc>
          <w:tcPr>
            <w:tcW w:w="1292" w:type="dxa"/>
          </w:tcPr>
          <w:p>
            <w:pPr>
              <w:pStyle w:val="yTableNAm"/>
            </w:pPr>
            <w:r>
              <w:t>119.7 cents</w:t>
            </w:r>
          </w:p>
        </w:tc>
      </w:tr>
      <w:tr>
        <w:tc>
          <w:tcPr>
            <w:tcW w:w="850" w:type="dxa"/>
          </w:tcPr>
          <w:p>
            <w:pPr>
              <w:pStyle w:val="yTableNAm"/>
            </w:pPr>
          </w:p>
        </w:tc>
        <w:tc>
          <w:tcPr>
            <w:tcW w:w="4236" w:type="dxa"/>
          </w:tcPr>
          <w:p>
            <w:pPr>
              <w:pStyle w:val="yTableNAm"/>
              <w:tabs>
                <w:tab w:val="clear" w:pos="567"/>
                <w:tab w:val="left" w:pos="1256"/>
              </w:tabs>
            </w:pPr>
            <w:r>
              <w:tab/>
              <w:t>over 300 kL ............….............</w:t>
            </w:r>
          </w:p>
        </w:tc>
        <w:tc>
          <w:tcPr>
            <w:tcW w:w="1292" w:type="dxa"/>
          </w:tcPr>
          <w:p>
            <w:pPr>
              <w:pStyle w:val="yTableNAm"/>
            </w:pPr>
            <w:r>
              <w:t>176.8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92"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rPr>
        <w:tc>
          <w:tcPr>
            <w:tcW w:w="1854" w:type="dxa"/>
            <w:vMerge w:val="restart"/>
            <w:tcBorders>
              <w:top w:val="single" w:sz="4" w:space="0" w:color="auto"/>
            </w:tcBorders>
          </w:tcPr>
          <w:p>
            <w:pPr>
              <w:pStyle w:val="yTableNAm"/>
              <w:rPr>
                <w:b/>
                <w:bCs/>
              </w:rPr>
            </w:pPr>
            <w:r>
              <w:rPr>
                <w:b/>
                <w:bCs/>
              </w:rPr>
              <w:t>Class</w:t>
            </w:r>
          </w:p>
        </w:tc>
        <w:tc>
          <w:tcPr>
            <w:tcW w:w="4524" w:type="dxa"/>
            <w:gridSpan w:val="2"/>
            <w:tcBorders>
              <w:top w:val="single" w:sz="4" w:space="0" w:color="auto"/>
            </w:tcBorders>
          </w:tcPr>
          <w:p>
            <w:pPr>
              <w:pStyle w:val="yTableNAm"/>
              <w:jc w:val="center"/>
              <w:rPr>
                <w:b/>
                <w:bCs/>
              </w:rPr>
            </w:pPr>
            <w:r>
              <w:rPr>
                <w:b/>
                <w:bCs/>
              </w:rPr>
              <w:t>Consumption (kL)</w:t>
            </w:r>
          </w:p>
        </w:tc>
      </w:tr>
      <w:tr>
        <w:trPr>
          <w:cantSplit/>
          <w:trHeight w:val="217"/>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jc w:val="center"/>
              <w:rPr>
                <w:b/>
                <w:bCs/>
              </w:rPr>
            </w:pPr>
            <w:r>
              <w:rPr>
                <w:b/>
                <w:bCs/>
              </w:rPr>
              <w:t>Up to 300</w:t>
            </w:r>
          </w:p>
        </w:tc>
        <w:tc>
          <w:tcPr>
            <w:tcW w:w="2262" w:type="dxa"/>
            <w:tcBorders>
              <w:bottom w:val="single" w:sz="4" w:space="0" w:color="auto"/>
            </w:tcBorders>
          </w:tcPr>
          <w:p>
            <w:pPr>
              <w:pStyle w:val="yTableNAm"/>
              <w:jc w:val="center"/>
              <w:rPr>
                <w:b/>
                <w:bCs/>
              </w:rPr>
            </w:pPr>
            <w:r>
              <w:rPr>
                <w:b/>
                <w:bCs/>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tcPr>
          <w:p>
            <w:pPr>
              <w:pStyle w:val="yTableNAm"/>
              <w:jc w:val="center"/>
            </w:pPr>
            <w:r>
              <w:t>119.7</w:t>
            </w:r>
          </w:p>
        </w:tc>
        <w:tc>
          <w:tcPr>
            <w:tcW w:w="2262" w:type="dxa"/>
            <w:tcBorders>
              <w:top w:val="single" w:sz="4" w:space="0" w:color="auto"/>
            </w:tcBorders>
          </w:tcPr>
          <w:p>
            <w:pPr>
              <w:pStyle w:val="yTableNAm"/>
              <w:jc w:val="center"/>
            </w:pPr>
            <w:r>
              <w:t>176.8</w:t>
            </w:r>
          </w:p>
        </w:tc>
      </w:tr>
      <w:tr>
        <w:tc>
          <w:tcPr>
            <w:tcW w:w="1854" w:type="dxa"/>
          </w:tcPr>
          <w:p>
            <w:pPr>
              <w:pStyle w:val="yTableNAm"/>
            </w:pPr>
            <w:r>
              <w:t>Class 2 (c/kL)</w:t>
            </w:r>
          </w:p>
        </w:tc>
        <w:tc>
          <w:tcPr>
            <w:tcW w:w="2262" w:type="dxa"/>
          </w:tcPr>
          <w:p>
            <w:pPr>
              <w:pStyle w:val="yTableNAm"/>
              <w:jc w:val="center"/>
            </w:pPr>
            <w:r>
              <w:t>133.9</w:t>
            </w:r>
          </w:p>
        </w:tc>
        <w:tc>
          <w:tcPr>
            <w:tcW w:w="2262" w:type="dxa"/>
          </w:tcPr>
          <w:p>
            <w:pPr>
              <w:pStyle w:val="yTableNAm"/>
              <w:jc w:val="center"/>
            </w:pPr>
            <w:r>
              <w:t>192.6</w:t>
            </w:r>
          </w:p>
        </w:tc>
      </w:tr>
      <w:tr>
        <w:tc>
          <w:tcPr>
            <w:tcW w:w="1854" w:type="dxa"/>
          </w:tcPr>
          <w:p>
            <w:pPr>
              <w:pStyle w:val="yTableNAm"/>
            </w:pPr>
            <w:r>
              <w:t>Class 3 (c/kL)</w:t>
            </w:r>
          </w:p>
        </w:tc>
        <w:tc>
          <w:tcPr>
            <w:tcW w:w="2262" w:type="dxa"/>
          </w:tcPr>
          <w:p>
            <w:pPr>
              <w:pStyle w:val="yTableNAm"/>
              <w:jc w:val="center"/>
            </w:pPr>
            <w:r>
              <w:t>149.6</w:t>
            </w:r>
          </w:p>
        </w:tc>
        <w:tc>
          <w:tcPr>
            <w:tcW w:w="2262" w:type="dxa"/>
          </w:tcPr>
          <w:p>
            <w:pPr>
              <w:pStyle w:val="yTableNAm"/>
              <w:jc w:val="center"/>
            </w:pPr>
            <w:r>
              <w:t>209.5</w:t>
            </w:r>
          </w:p>
        </w:tc>
      </w:tr>
      <w:tr>
        <w:tc>
          <w:tcPr>
            <w:tcW w:w="1854" w:type="dxa"/>
          </w:tcPr>
          <w:p>
            <w:pPr>
              <w:pStyle w:val="yTableNAm"/>
            </w:pPr>
            <w:r>
              <w:t>Class 4 (c/kL)</w:t>
            </w:r>
          </w:p>
        </w:tc>
        <w:tc>
          <w:tcPr>
            <w:tcW w:w="2262" w:type="dxa"/>
          </w:tcPr>
          <w:p>
            <w:pPr>
              <w:pStyle w:val="yTableNAm"/>
              <w:jc w:val="center"/>
            </w:pPr>
            <w:r>
              <w:t>167.2</w:t>
            </w:r>
          </w:p>
        </w:tc>
        <w:tc>
          <w:tcPr>
            <w:tcW w:w="2262" w:type="dxa"/>
          </w:tcPr>
          <w:p>
            <w:pPr>
              <w:pStyle w:val="yTableNAm"/>
              <w:jc w:val="center"/>
            </w:pPr>
            <w:r>
              <w:t>228.2</w:t>
            </w:r>
          </w:p>
        </w:tc>
      </w:tr>
      <w:tr>
        <w:tc>
          <w:tcPr>
            <w:tcW w:w="1854" w:type="dxa"/>
          </w:tcPr>
          <w:p>
            <w:pPr>
              <w:pStyle w:val="yTableNAm"/>
            </w:pPr>
            <w:r>
              <w:t>Class 5 (c/kL)</w:t>
            </w:r>
          </w:p>
        </w:tc>
        <w:tc>
          <w:tcPr>
            <w:tcW w:w="2262" w:type="dxa"/>
          </w:tcPr>
          <w:p>
            <w:pPr>
              <w:pStyle w:val="yTableNAm"/>
              <w:jc w:val="center"/>
            </w:pPr>
            <w:r>
              <w:t>187.0</w:t>
            </w:r>
          </w:p>
        </w:tc>
        <w:tc>
          <w:tcPr>
            <w:tcW w:w="2262" w:type="dxa"/>
          </w:tcPr>
          <w:p>
            <w:pPr>
              <w:pStyle w:val="yTableNAm"/>
              <w:jc w:val="center"/>
            </w:pPr>
            <w:r>
              <w:t>248.5</w:t>
            </w:r>
          </w:p>
        </w:tc>
      </w:tr>
      <w:tr>
        <w:tc>
          <w:tcPr>
            <w:tcW w:w="1854" w:type="dxa"/>
          </w:tcPr>
          <w:p>
            <w:pPr>
              <w:pStyle w:val="yTableNAm"/>
            </w:pPr>
            <w:r>
              <w:t>Class 6 (c/kL)</w:t>
            </w:r>
          </w:p>
        </w:tc>
        <w:tc>
          <w:tcPr>
            <w:tcW w:w="2262" w:type="dxa"/>
          </w:tcPr>
          <w:p>
            <w:pPr>
              <w:pStyle w:val="yTableNAm"/>
              <w:jc w:val="center"/>
            </w:pPr>
            <w:r>
              <w:t>203.1</w:t>
            </w:r>
          </w:p>
        </w:tc>
        <w:tc>
          <w:tcPr>
            <w:tcW w:w="2262" w:type="dxa"/>
          </w:tcPr>
          <w:p>
            <w:pPr>
              <w:pStyle w:val="yTableNAm"/>
              <w:jc w:val="center"/>
            </w:pPr>
            <w:r>
              <w:t>270.6</w:t>
            </w:r>
          </w:p>
        </w:tc>
      </w:tr>
      <w:tr>
        <w:tc>
          <w:tcPr>
            <w:tcW w:w="1854" w:type="dxa"/>
          </w:tcPr>
          <w:p>
            <w:pPr>
              <w:pStyle w:val="yTableNAm"/>
            </w:pPr>
            <w:r>
              <w:t>Class 7 (c/kL)</w:t>
            </w:r>
          </w:p>
        </w:tc>
        <w:tc>
          <w:tcPr>
            <w:tcW w:w="2262" w:type="dxa"/>
          </w:tcPr>
          <w:p>
            <w:pPr>
              <w:pStyle w:val="yTableNAm"/>
              <w:jc w:val="center"/>
            </w:pPr>
            <w:r>
              <w:t>220.6</w:t>
            </w:r>
          </w:p>
        </w:tc>
        <w:tc>
          <w:tcPr>
            <w:tcW w:w="2262" w:type="dxa"/>
          </w:tcPr>
          <w:p>
            <w:pPr>
              <w:pStyle w:val="yTableNAm"/>
              <w:jc w:val="center"/>
            </w:pPr>
            <w:r>
              <w:t>294.7</w:t>
            </w:r>
          </w:p>
        </w:tc>
      </w:tr>
      <w:tr>
        <w:tc>
          <w:tcPr>
            <w:tcW w:w="1854" w:type="dxa"/>
          </w:tcPr>
          <w:p>
            <w:pPr>
              <w:pStyle w:val="yTableNAm"/>
            </w:pPr>
            <w:r>
              <w:t>Class 8 (c/kL)</w:t>
            </w:r>
          </w:p>
        </w:tc>
        <w:tc>
          <w:tcPr>
            <w:tcW w:w="2262" w:type="dxa"/>
          </w:tcPr>
          <w:p>
            <w:pPr>
              <w:pStyle w:val="yTableNAm"/>
              <w:jc w:val="center"/>
            </w:pPr>
            <w:r>
              <w:t>237.4</w:t>
            </w:r>
          </w:p>
        </w:tc>
        <w:tc>
          <w:tcPr>
            <w:tcW w:w="2262" w:type="dxa"/>
          </w:tcPr>
          <w:p>
            <w:pPr>
              <w:pStyle w:val="yTableNAm"/>
              <w:jc w:val="center"/>
            </w:pPr>
            <w:r>
              <w:t>320.9</w:t>
            </w:r>
          </w:p>
        </w:tc>
      </w:tr>
      <w:tr>
        <w:tc>
          <w:tcPr>
            <w:tcW w:w="1854" w:type="dxa"/>
          </w:tcPr>
          <w:p>
            <w:pPr>
              <w:pStyle w:val="yTableNAm"/>
            </w:pPr>
            <w:r>
              <w:t>Class 9 (c/kL)</w:t>
            </w:r>
          </w:p>
        </w:tc>
        <w:tc>
          <w:tcPr>
            <w:tcW w:w="2262" w:type="dxa"/>
          </w:tcPr>
          <w:p>
            <w:pPr>
              <w:pStyle w:val="yTableNAm"/>
              <w:jc w:val="center"/>
            </w:pPr>
            <w:r>
              <w:t>255.5</w:t>
            </w:r>
          </w:p>
        </w:tc>
        <w:tc>
          <w:tcPr>
            <w:tcW w:w="2262" w:type="dxa"/>
          </w:tcPr>
          <w:p>
            <w:pPr>
              <w:pStyle w:val="yTableNAm"/>
              <w:jc w:val="center"/>
            </w:pPr>
            <w:r>
              <w:t>349.4</w:t>
            </w:r>
          </w:p>
        </w:tc>
      </w:tr>
      <w:tr>
        <w:tc>
          <w:tcPr>
            <w:tcW w:w="1854" w:type="dxa"/>
          </w:tcPr>
          <w:p>
            <w:pPr>
              <w:pStyle w:val="yTableNAm"/>
            </w:pPr>
            <w:r>
              <w:t>Class 10 (c/kL)</w:t>
            </w:r>
          </w:p>
        </w:tc>
        <w:tc>
          <w:tcPr>
            <w:tcW w:w="2262" w:type="dxa"/>
          </w:tcPr>
          <w:p>
            <w:pPr>
              <w:pStyle w:val="yTableNAm"/>
              <w:jc w:val="center"/>
            </w:pPr>
            <w:r>
              <w:t>265.9</w:t>
            </w:r>
          </w:p>
        </w:tc>
        <w:tc>
          <w:tcPr>
            <w:tcW w:w="2262" w:type="dxa"/>
          </w:tcPr>
          <w:p>
            <w:pPr>
              <w:pStyle w:val="yTableNAm"/>
              <w:jc w:val="center"/>
            </w:pPr>
            <w:r>
              <w:t>380.5</w:t>
            </w:r>
          </w:p>
        </w:tc>
      </w:tr>
      <w:tr>
        <w:tc>
          <w:tcPr>
            <w:tcW w:w="1854" w:type="dxa"/>
          </w:tcPr>
          <w:p>
            <w:pPr>
              <w:pStyle w:val="yTableNAm"/>
            </w:pPr>
            <w:r>
              <w:t>Class 11 (c/kL)</w:t>
            </w:r>
          </w:p>
        </w:tc>
        <w:tc>
          <w:tcPr>
            <w:tcW w:w="2262" w:type="dxa"/>
          </w:tcPr>
          <w:p>
            <w:pPr>
              <w:pStyle w:val="yTableNAm"/>
              <w:jc w:val="center"/>
            </w:pPr>
            <w:r>
              <w:t>291.9</w:t>
            </w:r>
          </w:p>
        </w:tc>
        <w:tc>
          <w:tcPr>
            <w:tcW w:w="2262" w:type="dxa"/>
          </w:tcPr>
          <w:p>
            <w:pPr>
              <w:pStyle w:val="yTableNAm"/>
              <w:jc w:val="center"/>
            </w:pPr>
            <w:r>
              <w:t>414.3</w:t>
            </w:r>
          </w:p>
        </w:tc>
      </w:tr>
      <w:tr>
        <w:tc>
          <w:tcPr>
            <w:tcW w:w="1854" w:type="dxa"/>
          </w:tcPr>
          <w:p>
            <w:pPr>
              <w:pStyle w:val="yTableNAm"/>
            </w:pPr>
            <w:r>
              <w:t>Class 12 (c/kL)</w:t>
            </w:r>
          </w:p>
        </w:tc>
        <w:tc>
          <w:tcPr>
            <w:tcW w:w="2262" w:type="dxa"/>
          </w:tcPr>
          <w:p>
            <w:pPr>
              <w:pStyle w:val="yTableNAm"/>
              <w:jc w:val="center"/>
            </w:pPr>
            <w:r>
              <w:t>320.4</w:t>
            </w:r>
          </w:p>
        </w:tc>
        <w:tc>
          <w:tcPr>
            <w:tcW w:w="2262" w:type="dxa"/>
          </w:tcPr>
          <w:p>
            <w:pPr>
              <w:pStyle w:val="yTableNAm"/>
              <w:jc w:val="center"/>
            </w:pPr>
            <w:r>
              <w:t>451.2</w:t>
            </w:r>
          </w:p>
        </w:tc>
      </w:tr>
      <w:tr>
        <w:tc>
          <w:tcPr>
            <w:tcW w:w="1854" w:type="dxa"/>
          </w:tcPr>
          <w:p>
            <w:pPr>
              <w:pStyle w:val="yTableNAm"/>
            </w:pPr>
            <w:r>
              <w:t>Class 13 (c/kL)</w:t>
            </w:r>
          </w:p>
        </w:tc>
        <w:tc>
          <w:tcPr>
            <w:tcW w:w="2262" w:type="dxa"/>
          </w:tcPr>
          <w:p>
            <w:pPr>
              <w:pStyle w:val="yTableNAm"/>
              <w:jc w:val="center"/>
            </w:pPr>
            <w:r>
              <w:t>351.7</w:t>
            </w:r>
          </w:p>
        </w:tc>
        <w:tc>
          <w:tcPr>
            <w:tcW w:w="2262" w:type="dxa"/>
          </w:tcPr>
          <w:p>
            <w:pPr>
              <w:pStyle w:val="yTableNAm"/>
              <w:jc w:val="center"/>
            </w:pPr>
            <w:r>
              <w:t>491.3</w:t>
            </w:r>
          </w:p>
        </w:tc>
      </w:tr>
      <w:tr>
        <w:tc>
          <w:tcPr>
            <w:tcW w:w="1854" w:type="dxa"/>
          </w:tcPr>
          <w:p>
            <w:pPr>
              <w:pStyle w:val="yTableNAm"/>
            </w:pPr>
            <w:r>
              <w:t>Class 14 (c/kL)</w:t>
            </w:r>
          </w:p>
        </w:tc>
        <w:tc>
          <w:tcPr>
            <w:tcW w:w="2262" w:type="dxa"/>
          </w:tcPr>
          <w:p>
            <w:pPr>
              <w:pStyle w:val="yTableNAm"/>
              <w:jc w:val="center"/>
            </w:pPr>
            <w:r>
              <w:t>386.2</w:t>
            </w:r>
          </w:p>
        </w:tc>
        <w:tc>
          <w:tcPr>
            <w:tcW w:w="2262" w:type="dxa"/>
          </w:tcPr>
          <w:p>
            <w:pPr>
              <w:pStyle w:val="yTableNAm"/>
              <w:jc w:val="center"/>
            </w:pPr>
            <w:r>
              <w:t>535.0</w:t>
            </w:r>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tcPr>
          <w:p>
            <w:pPr>
              <w:pStyle w:val="yTableNAm"/>
              <w:jc w:val="center"/>
            </w:pPr>
            <w:r>
              <w:t>423.9</w:t>
            </w:r>
          </w:p>
        </w:tc>
        <w:tc>
          <w:tcPr>
            <w:tcW w:w="2262" w:type="dxa"/>
            <w:tcBorders>
              <w:bottom w:val="single" w:sz="4" w:space="0" w:color="auto"/>
            </w:tcBorders>
          </w:tcPr>
          <w:p>
            <w:pPr>
              <w:pStyle w:val="yTableNAm"/>
              <w:jc w:val="center"/>
            </w:pPr>
            <w:r>
              <w:t>582.6</w:t>
            </w:r>
          </w:p>
        </w:tc>
      </w:tr>
    </w:tbl>
    <w:p>
      <w:pPr>
        <w:pStyle w:val="ySubsection"/>
      </w:pPr>
    </w:p>
    <w:tbl>
      <w:tblPr>
        <w:tblW w:w="0" w:type="auto"/>
        <w:tblInd w:w="534" w:type="dxa"/>
        <w:tblLook w:val="0000" w:firstRow="0" w:lastRow="0" w:firstColumn="0" w:lastColumn="0" w:noHBand="0" w:noVBand="0"/>
      </w:tblPr>
      <w:tblGrid>
        <w:gridCol w:w="850"/>
        <w:gridCol w:w="4236"/>
        <w:gridCol w:w="1292"/>
      </w:tblGrid>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(c)</w:t>
            </w:r>
            <w:r>
              <w:rPr>
                <w:snapToGrid w:val="0"/>
              </w:rPr>
              <w:tab/>
              <w:t>farmland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all water supplied ....................</w:t>
            </w:r>
          </w:p>
        </w:tc>
        <w:tc>
          <w:tcPr>
            <w:tcW w:w="1292" w:type="dxa"/>
          </w:tcPr>
          <w:p>
            <w:pPr>
              <w:pStyle w:val="yTableNAm"/>
            </w:pPr>
            <w:r>
              <w:t>112.8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(d)</w:t>
            </w:r>
            <w:r>
              <w:rPr>
                <w:snapToGrid w:val="0"/>
              </w:rPr>
              <w:tab/>
              <w:t>mining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all water supplied ....................</w:t>
            </w:r>
          </w:p>
        </w:tc>
        <w:tc>
          <w:tcPr>
            <w:tcW w:w="1292" w:type="dxa"/>
          </w:tcPr>
          <w:p>
            <w:pPr>
              <w:pStyle w:val="yTableNAm"/>
            </w:pPr>
            <w:r>
              <w:t>196.8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(e)</w:t>
            </w:r>
            <w:r>
              <w:rPr>
                <w:snapToGrid w:val="0"/>
              </w:rPr>
              <w:tab/>
            </w:r>
            <w:r>
              <w:rPr>
                <w:snapToGrid w:val="0"/>
                <w:spacing w:val="-4"/>
              </w:rPr>
              <w:t>institutional public</w:t>
            </w:r>
            <w:r>
              <w:rPr>
                <w:snapToGrid w:val="0"/>
              </w:rPr>
              <w:t>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up to 300 kL ............................</w:t>
            </w:r>
          </w:p>
        </w:tc>
        <w:tc>
          <w:tcPr>
            <w:tcW w:w="1292" w:type="dxa"/>
          </w:tcPr>
          <w:p>
            <w:pPr>
              <w:pStyle w:val="yTableNAm"/>
            </w:pPr>
            <w:r>
              <w:t>119.7 cents</w:t>
            </w:r>
          </w:p>
        </w:tc>
      </w:tr>
      <w:tr>
        <w:tc>
          <w:tcPr>
            <w:tcW w:w="850" w:type="dxa"/>
          </w:tcPr>
          <w:p>
            <w:pPr>
              <w:pStyle w:val="yTableNAm"/>
            </w:pPr>
          </w:p>
        </w:tc>
        <w:tc>
          <w:tcPr>
            <w:tcW w:w="4236" w:type="dxa"/>
          </w:tcPr>
          <w:p>
            <w:pPr>
              <w:pStyle w:val="yTableNAm"/>
              <w:tabs>
                <w:tab w:val="clear" w:pos="567"/>
                <w:tab w:val="left" w:pos="1256"/>
              </w:tabs>
            </w:pPr>
            <w:r>
              <w:tab/>
              <w:t>over 300 kL .............................</w:t>
            </w:r>
          </w:p>
        </w:tc>
        <w:tc>
          <w:tcPr>
            <w:tcW w:w="1292" w:type="dxa"/>
          </w:tcPr>
          <w:p>
            <w:pPr>
              <w:pStyle w:val="yTableNAm"/>
            </w:pPr>
            <w:r>
              <w:t>176.8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(f)</w:t>
            </w:r>
            <w:r>
              <w:rPr>
                <w:snapToGrid w:val="0"/>
              </w:rPr>
              <w:tab/>
              <w:t>charitable purposes —</w:t>
            </w:r>
          </w:p>
        </w:tc>
        <w:tc>
          <w:tcPr>
            <w:tcW w:w="1292" w:type="dxa"/>
          </w:tcPr>
          <w:p>
            <w:pPr>
              <w:pStyle w:val="yTableNAm"/>
            </w:pPr>
          </w:p>
        </w:tc>
      </w:tr>
      <w:tr>
        <w:tc>
          <w:tcPr>
            <w:tcW w:w="850" w:type="dxa"/>
          </w:tcPr>
          <w:p>
            <w:pPr>
              <w:pStyle w:val="yTableNAm"/>
            </w:pPr>
          </w:p>
        </w:tc>
        <w:tc>
          <w:tcPr>
            <w:tcW w:w="4236" w:type="dxa"/>
          </w:tcPr>
          <w:p>
            <w:pPr>
              <w:pStyle w:val="yTableNAm"/>
              <w:tabs>
                <w:tab w:val="clear" w:pos="567"/>
                <w:tab w:val="left" w:pos="1256"/>
              </w:tabs>
            </w:pPr>
            <w:r>
              <w:tab/>
              <w:t>up to 300 kL ............................</w:t>
            </w:r>
          </w:p>
        </w:tc>
        <w:tc>
          <w:tcPr>
            <w:tcW w:w="1292" w:type="dxa"/>
          </w:tcPr>
          <w:p>
            <w:pPr>
              <w:pStyle w:val="yTableNAm"/>
            </w:pPr>
            <w:r>
              <w:t>119.7 cents</w:t>
            </w:r>
          </w:p>
        </w:tc>
      </w:tr>
      <w:tr>
        <w:tc>
          <w:tcPr>
            <w:tcW w:w="850" w:type="dxa"/>
          </w:tcPr>
          <w:p>
            <w:pPr>
              <w:pStyle w:val="yTableNAm"/>
            </w:pPr>
          </w:p>
        </w:tc>
        <w:tc>
          <w:tcPr>
            <w:tcW w:w="4236" w:type="dxa"/>
          </w:tcPr>
          <w:p>
            <w:pPr>
              <w:pStyle w:val="yTableNAm"/>
              <w:tabs>
                <w:tab w:val="clear" w:pos="567"/>
                <w:tab w:val="left" w:pos="1256"/>
              </w:tabs>
            </w:pPr>
            <w:r>
              <w:tab/>
              <w:t>over 300 kL .............................</w:t>
            </w:r>
          </w:p>
        </w:tc>
        <w:tc>
          <w:tcPr>
            <w:tcW w:w="1292" w:type="dxa"/>
          </w:tcPr>
          <w:p>
            <w:pPr>
              <w:pStyle w:val="yTableNAm"/>
            </w:pPr>
            <w:r>
              <w:t>176.8 cents</w:t>
            </w:r>
          </w:p>
        </w:tc>
      </w:tr>
      <w:tr>
        <w:tc>
          <w:tcPr>
            <w:tcW w:w="850" w:type="dxa"/>
          </w:tcPr>
          <w:p>
            <w:pPr>
              <w:pStyle w:val="yTableNAm"/>
            </w:pPr>
          </w:p>
        </w:tc>
        <w:tc>
          <w:tcPr>
            <w:tcW w:w="4236" w:type="dxa"/>
          </w:tcPr>
          <w:p>
            <w:pPr>
              <w:pStyle w:val="yTableNAm"/>
              <w:tabs>
                <w:tab w:val="clear" w:pos="567"/>
                <w:tab w:val="left" w:pos="416"/>
                <w:tab w:val="left" w:pos="1016"/>
              </w:tabs>
              <w:ind w:left="1016" w:hanging="101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tcPr>
          <w:p>
            <w:pPr>
              <w:pStyle w:val="yTableNAm"/>
            </w:pPr>
          </w:p>
        </w:tc>
      </w:tr>
    </w:tbl>
    <w:p>
      <w:pPr>
        <w:pStyle w:val="ySubsection"/>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bCs/>
              </w:rPr>
            </w:pPr>
            <w:r>
              <w:rPr>
                <w:b/>
                <w:bCs/>
              </w:rPr>
              <w:t>Class</w:t>
            </w:r>
          </w:p>
        </w:tc>
        <w:tc>
          <w:tcPr>
            <w:tcW w:w="4522" w:type="dxa"/>
            <w:gridSpan w:val="3"/>
            <w:tcBorders>
              <w:top w:val="single" w:sz="4" w:space="0" w:color="auto"/>
            </w:tcBorders>
          </w:tcPr>
          <w:p>
            <w:pPr>
              <w:pStyle w:val="yTableNAm"/>
              <w:jc w:val="center"/>
              <w:rPr>
                <w:b/>
                <w:bCs/>
              </w:rPr>
            </w:pPr>
            <w:r>
              <w:rPr>
                <w:b/>
                <w:bCs/>
              </w:rPr>
              <w:t>Consumption (kL)</w:t>
            </w:r>
          </w:p>
        </w:tc>
      </w:tr>
      <w:tr>
        <w:trPr>
          <w:cantSplit/>
          <w:tblHeader/>
        </w:trPr>
        <w:tc>
          <w:tcPr>
            <w:tcW w:w="1856" w:type="dxa"/>
            <w:vMerge/>
            <w:tcBorders>
              <w:bottom w:val="single" w:sz="4" w:space="0" w:color="auto"/>
            </w:tcBorders>
          </w:tcPr>
          <w:p>
            <w:pPr>
              <w:pStyle w:val="yTableNAm"/>
              <w:rPr>
                <w:b/>
                <w:bCs/>
              </w:rPr>
            </w:pPr>
          </w:p>
        </w:tc>
        <w:tc>
          <w:tcPr>
            <w:tcW w:w="1507" w:type="dxa"/>
            <w:tcBorders>
              <w:bottom w:val="single" w:sz="4" w:space="0" w:color="auto"/>
            </w:tcBorders>
          </w:tcPr>
          <w:p>
            <w:pPr>
              <w:pStyle w:val="yTableNAm"/>
              <w:jc w:val="center"/>
              <w:rPr>
                <w:b/>
                <w:bCs/>
              </w:rPr>
            </w:pPr>
            <w:r>
              <w:rPr>
                <w:b/>
                <w:bCs/>
              </w:rPr>
              <w:t>Up to 150</w:t>
            </w:r>
          </w:p>
        </w:tc>
        <w:tc>
          <w:tcPr>
            <w:tcW w:w="1507" w:type="dxa"/>
            <w:tcBorders>
              <w:bottom w:val="single" w:sz="4" w:space="0" w:color="auto"/>
            </w:tcBorders>
          </w:tcPr>
          <w:p>
            <w:pPr>
              <w:pStyle w:val="yTableNAm"/>
              <w:jc w:val="center"/>
              <w:rPr>
                <w:b/>
                <w:bCs/>
              </w:rPr>
            </w:pPr>
            <w:r>
              <w:rPr>
                <w:b/>
                <w:bCs/>
              </w:rPr>
              <w:t>Over 150 but not over 450</w:t>
            </w:r>
          </w:p>
        </w:tc>
        <w:tc>
          <w:tcPr>
            <w:tcW w:w="1508" w:type="dxa"/>
            <w:tcBorders>
              <w:bottom w:val="single" w:sz="4" w:space="0" w:color="auto"/>
            </w:tcBorders>
          </w:tcPr>
          <w:p>
            <w:pPr>
              <w:pStyle w:val="yTableNAm"/>
              <w:jc w:val="center"/>
              <w:rPr>
                <w:b/>
                <w:bCs/>
              </w:rPr>
            </w:pPr>
            <w:r>
              <w:rPr>
                <w:b/>
                <w:bCs/>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tcPr>
          <w:p>
            <w:pPr>
              <w:pStyle w:val="yTableNAm"/>
              <w:jc w:val="center"/>
            </w:pPr>
            <w:r>
              <w:t>72.6</w:t>
            </w:r>
          </w:p>
        </w:tc>
        <w:tc>
          <w:tcPr>
            <w:tcW w:w="1507" w:type="dxa"/>
            <w:tcBorders>
              <w:top w:val="single" w:sz="4" w:space="0" w:color="auto"/>
            </w:tcBorders>
          </w:tcPr>
          <w:p>
            <w:pPr>
              <w:pStyle w:val="yTableNAm"/>
              <w:jc w:val="center"/>
            </w:pPr>
            <w:r>
              <w:t>119.7</w:t>
            </w:r>
          </w:p>
        </w:tc>
        <w:tc>
          <w:tcPr>
            <w:tcW w:w="1508" w:type="dxa"/>
            <w:tcBorders>
              <w:top w:val="single" w:sz="4" w:space="0" w:color="auto"/>
            </w:tcBorders>
          </w:tcPr>
          <w:p>
            <w:pPr>
              <w:pStyle w:val="yTableNAm"/>
              <w:jc w:val="center"/>
            </w:pPr>
            <w:r>
              <w:t>176.8</w:t>
            </w:r>
          </w:p>
        </w:tc>
      </w:tr>
      <w:tr>
        <w:tc>
          <w:tcPr>
            <w:tcW w:w="1856" w:type="dxa"/>
          </w:tcPr>
          <w:p>
            <w:pPr>
              <w:pStyle w:val="yTableNAm"/>
            </w:pPr>
            <w:r>
              <w:t>Class 2 (c/kL)</w:t>
            </w:r>
          </w:p>
        </w:tc>
        <w:tc>
          <w:tcPr>
            <w:tcW w:w="1507" w:type="dxa"/>
          </w:tcPr>
          <w:p>
            <w:pPr>
              <w:pStyle w:val="yTableNAm"/>
              <w:jc w:val="center"/>
            </w:pPr>
            <w:r>
              <w:t>72.6</w:t>
            </w:r>
          </w:p>
        </w:tc>
        <w:tc>
          <w:tcPr>
            <w:tcW w:w="1507" w:type="dxa"/>
          </w:tcPr>
          <w:p>
            <w:pPr>
              <w:pStyle w:val="yTableNAm"/>
              <w:jc w:val="center"/>
            </w:pPr>
            <w:r>
              <w:t>133.9</w:t>
            </w:r>
          </w:p>
        </w:tc>
        <w:tc>
          <w:tcPr>
            <w:tcW w:w="1508" w:type="dxa"/>
          </w:tcPr>
          <w:p>
            <w:pPr>
              <w:pStyle w:val="yTableNAm"/>
              <w:jc w:val="center"/>
            </w:pPr>
            <w:r>
              <w:t>192.6</w:t>
            </w:r>
          </w:p>
        </w:tc>
      </w:tr>
      <w:tr>
        <w:tc>
          <w:tcPr>
            <w:tcW w:w="1856" w:type="dxa"/>
          </w:tcPr>
          <w:p>
            <w:pPr>
              <w:pStyle w:val="yTableNAm"/>
            </w:pPr>
            <w:r>
              <w:t>Class 3 (c/kL)</w:t>
            </w:r>
          </w:p>
        </w:tc>
        <w:tc>
          <w:tcPr>
            <w:tcW w:w="1507" w:type="dxa"/>
          </w:tcPr>
          <w:p>
            <w:pPr>
              <w:pStyle w:val="yTableNAm"/>
              <w:jc w:val="center"/>
            </w:pPr>
            <w:r>
              <w:t>72.6</w:t>
            </w:r>
          </w:p>
        </w:tc>
        <w:tc>
          <w:tcPr>
            <w:tcW w:w="1507" w:type="dxa"/>
          </w:tcPr>
          <w:p>
            <w:pPr>
              <w:pStyle w:val="yTableNAm"/>
              <w:jc w:val="center"/>
            </w:pPr>
            <w:r>
              <w:t>149.6</w:t>
            </w:r>
          </w:p>
        </w:tc>
        <w:tc>
          <w:tcPr>
            <w:tcW w:w="1508" w:type="dxa"/>
          </w:tcPr>
          <w:p>
            <w:pPr>
              <w:pStyle w:val="yTableNAm"/>
              <w:jc w:val="center"/>
            </w:pPr>
            <w:r>
              <w:t>209.5</w:t>
            </w:r>
          </w:p>
        </w:tc>
      </w:tr>
      <w:tr>
        <w:tc>
          <w:tcPr>
            <w:tcW w:w="1856" w:type="dxa"/>
          </w:tcPr>
          <w:p>
            <w:pPr>
              <w:pStyle w:val="yTableNAm"/>
            </w:pPr>
            <w:r>
              <w:t>Class 4 (c/kL)</w:t>
            </w:r>
          </w:p>
        </w:tc>
        <w:tc>
          <w:tcPr>
            <w:tcW w:w="1507" w:type="dxa"/>
          </w:tcPr>
          <w:p>
            <w:pPr>
              <w:pStyle w:val="yTableNAm"/>
              <w:jc w:val="center"/>
            </w:pPr>
            <w:r>
              <w:t>72.6</w:t>
            </w:r>
          </w:p>
        </w:tc>
        <w:tc>
          <w:tcPr>
            <w:tcW w:w="1507" w:type="dxa"/>
          </w:tcPr>
          <w:p>
            <w:pPr>
              <w:pStyle w:val="yTableNAm"/>
              <w:jc w:val="center"/>
            </w:pPr>
            <w:r>
              <w:t>167.2</w:t>
            </w:r>
          </w:p>
        </w:tc>
        <w:tc>
          <w:tcPr>
            <w:tcW w:w="1508" w:type="dxa"/>
          </w:tcPr>
          <w:p>
            <w:pPr>
              <w:pStyle w:val="yTableNAm"/>
              <w:jc w:val="center"/>
            </w:pPr>
            <w:r>
              <w:t>228.2</w:t>
            </w:r>
          </w:p>
        </w:tc>
      </w:tr>
      <w:tr>
        <w:tc>
          <w:tcPr>
            <w:tcW w:w="1856" w:type="dxa"/>
          </w:tcPr>
          <w:p>
            <w:pPr>
              <w:pStyle w:val="yTableNAm"/>
            </w:pPr>
            <w:r>
              <w:t>Class 5 (c/kL)</w:t>
            </w:r>
          </w:p>
        </w:tc>
        <w:tc>
          <w:tcPr>
            <w:tcW w:w="1507" w:type="dxa"/>
          </w:tcPr>
          <w:p>
            <w:pPr>
              <w:pStyle w:val="yTableNAm"/>
              <w:jc w:val="center"/>
            </w:pPr>
            <w:r>
              <w:t>72.6</w:t>
            </w:r>
          </w:p>
        </w:tc>
        <w:tc>
          <w:tcPr>
            <w:tcW w:w="1507" w:type="dxa"/>
          </w:tcPr>
          <w:p>
            <w:pPr>
              <w:pStyle w:val="yTableNAm"/>
              <w:jc w:val="center"/>
            </w:pPr>
            <w:r>
              <w:t>187.0</w:t>
            </w:r>
          </w:p>
        </w:tc>
        <w:tc>
          <w:tcPr>
            <w:tcW w:w="1508" w:type="dxa"/>
          </w:tcPr>
          <w:p>
            <w:pPr>
              <w:pStyle w:val="yTableNAm"/>
              <w:jc w:val="center"/>
            </w:pPr>
            <w:r>
              <w:t>248.5</w:t>
            </w:r>
          </w:p>
        </w:tc>
      </w:tr>
      <w:tr>
        <w:tc>
          <w:tcPr>
            <w:tcW w:w="1856" w:type="dxa"/>
          </w:tcPr>
          <w:p>
            <w:pPr>
              <w:pStyle w:val="yTableNAm"/>
            </w:pPr>
            <w:r>
              <w:t>Class 6 (c/kL)</w:t>
            </w:r>
          </w:p>
        </w:tc>
        <w:tc>
          <w:tcPr>
            <w:tcW w:w="1507" w:type="dxa"/>
          </w:tcPr>
          <w:p>
            <w:pPr>
              <w:pStyle w:val="yTableNAm"/>
              <w:jc w:val="center"/>
            </w:pPr>
            <w:r>
              <w:t>72.6</w:t>
            </w:r>
          </w:p>
        </w:tc>
        <w:tc>
          <w:tcPr>
            <w:tcW w:w="1507" w:type="dxa"/>
          </w:tcPr>
          <w:p>
            <w:pPr>
              <w:pStyle w:val="yTableNAm"/>
              <w:jc w:val="center"/>
            </w:pPr>
            <w:r>
              <w:t>203.1</w:t>
            </w:r>
          </w:p>
        </w:tc>
        <w:tc>
          <w:tcPr>
            <w:tcW w:w="1508" w:type="dxa"/>
          </w:tcPr>
          <w:p>
            <w:pPr>
              <w:pStyle w:val="yTableNAm"/>
              <w:jc w:val="center"/>
            </w:pPr>
            <w:r>
              <w:t>270.6</w:t>
            </w:r>
          </w:p>
        </w:tc>
      </w:tr>
      <w:tr>
        <w:tc>
          <w:tcPr>
            <w:tcW w:w="1856" w:type="dxa"/>
          </w:tcPr>
          <w:p>
            <w:pPr>
              <w:pStyle w:val="yTableNAm"/>
            </w:pPr>
            <w:r>
              <w:t>Class 7 (c/kL)</w:t>
            </w:r>
          </w:p>
        </w:tc>
        <w:tc>
          <w:tcPr>
            <w:tcW w:w="1507" w:type="dxa"/>
          </w:tcPr>
          <w:p>
            <w:pPr>
              <w:pStyle w:val="yTableNAm"/>
              <w:jc w:val="center"/>
            </w:pPr>
            <w:r>
              <w:t>72.6</w:t>
            </w:r>
          </w:p>
        </w:tc>
        <w:tc>
          <w:tcPr>
            <w:tcW w:w="1507" w:type="dxa"/>
          </w:tcPr>
          <w:p>
            <w:pPr>
              <w:pStyle w:val="yTableNAm"/>
              <w:jc w:val="center"/>
            </w:pPr>
            <w:r>
              <w:t>220.6</w:t>
            </w:r>
          </w:p>
        </w:tc>
        <w:tc>
          <w:tcPr>
            <w:tcW w:w="1508" w:type="dxa"/>
          </w:tcPr>
          <w:p>
            <w:pPr>
              <w:pStyle w:val="yTableNAm"/>
              <w:jc w:val="center"/>
            </w:pPr>
            <w:r>
              <w:t>294.7</w:t>
            </w:r>
          </w:p>
        </w:tc>
      </w:tr>
      <w:tr>
        <w:tc>
          <w:tcPr>
            <w:tcW w:w="1856" w:type="dxa"/>
          </w:tcPr>
          <w:p>
            <w:pPr>
              <w:pStyle w:val="yTableNAm"/>
            </w:pPr>
            <w:r>
              <w:t>Class 8 (c/kL)</w:t>
            </w:r>
          </w:p>
        </w:tc>
        <w:tc>
          <w:tcPr>
            <w:tcW w:w="1507" w:type="dxa"/>
          </w:tcPr>
          <w:p>
            <w:pPr>
              <w:pStyle w:val="yTableNAm"/>
              <w:jc w:val="center"/>
            </w:pPr>
            <w:r>
              <w:t>72.6</w:t>
            </w:r>
          </w:p>
        </w:tc>
        <w:tc>
          <w:tcPr>
            <w:tcW w:w="1507" w:type="dxa"/>
          </w:tcPr>
          <w:p>
            <w:pPr>
              <w:pStyle w:val="yTableNAm"/>
              <w:jc w:val="center"/>
            </w:pPr>
            <w:r>
              <w:t>237.4</w:t>
            </w:r>
          </w:p>
        </w:tc>
        <w:tc>
          <w:tcPr>
            <w:tcW w:w="1508" w:type="dxa"/>
          </w:tcPr>
          <w:p>
            <w:pPr>
              <w:pStyle w:val="yTableNAm"/>
              <w:jc w:val="center"/>
            </w:pPr>
            <w:r>
              <w:t>320.9</w:t>
            </w:r>
          </w:p>
        </w:tc>
      </w:tr>
      <w:tr>
        <w:tc>
          <w:tcPr>
            <w:tcW w:w="1856" w:type="dxa"/>
          </w:tcPr>
          <w:p>
            <w:pPr>
              <w:pStyle w:val="yTableNAm"/>
            </w:pPr>
            <w:r>
              <w:t>Class 9 (c/kL)</w:t>
            </w:r>
          </w:p>
        </w:tc>
        <w:tc>
          <w:tcPr>
            <w:tcW w:w="1507" w:type="dxa"/>
          </w:tcPr>
          <w:p>
            <w:pPr>
              <w:pStyle w:val="yTableNAm"/>
              <w:jc w:val="center"/>
            </w:pPr>
            <w:r>
              <w:t>72.6</w:t>
            </w:r>
          </w:p>
        </w:tc>
        <w:tc>
          <w:tcPr>
            <w:tcW w:w="1507" w:type="dxa"/>
          </w:tcPr>
          <w:p>
            <w:pPr>
              <w:pStyle w:val="yTableNAm"/>
              <w:jc w:val="center"/>
            </w:pPr>
            <w:r>
              <w:t>255.5</w:t>
            </w:r>
          </w:p>
        </w:tc>
        <w:tc>
          <w:tcPr>
            <w:tcW w:w="1508" w:type="dxa"/>
          </w:tcPr>
          <w:p>
            <w:pPr>
              <w:pStyle w:val="yTableNAm"/>
              <w:jc w:val="center"/>
            </w:pPr>
            <w:r>
              <w:t>349.4</w:t>
            </w:r>
          </w:p>
        </w:tc>
      </w:tr>
      <w:tr>
        <w:tc>
          <w:tcPr>
            <w:tcW w:w="1856" w:type="dxa"/>
          </w:tcPr>
          <w:p>
            <w:pPr>
              <w:pStyle w:val="yTableNAm"/>
            </w:pPr>
            <w:r>
              <w:t>Class 10 (c/kL)</w:t>
            </w:r>
          </w:p>
        </w:tc>
        <w:tc>
          <w:tcPr>
            <w:tcW w:w="1507" w:type="dxa"/>
          </w:tcPr>
          <w:p>
            <w:pPr>
              <w:pStyle w:val="yTableNAm"/>
              <w:jc w:val="center"/>
            </w:pPr>
            <w:r>
              <w:t>72.6</w:t>
            </w:r>
          </w:p>
        </w:tc>
        <w:tc>
          <w:tcPr>
            <w:tcW w:w="1507" w:type="dxa"/>
          </w:tcPr>
          <w:p>
            <w:pPr>
              <w:pStyle w:val="yTableNAm"/>
              <w:jc w:val="center"/>
            </w:pPr>
            <w:r>
              <w:t>265.9</w:t>
            </w:r>
          </w:p>
        </w:tc>
        <w:tc>
          <w:tcPr>
            <w:tcW w:w="1508" w:type="dxa"/>
          </w:tcPr>
          <w:p>
            <w:pPr>
              <w:pStyle w:val="yTableNAm"/>
              <w:jc w:val="center"/>
            </w:pPr>
            <w:r>
              <w:t>380.5</w:t>
            </w:r>
          </w:p>
        </w:tc>
      </w:tr>
      <w:tr>
        <w:tc>
          <w:tcPr>
            <w:tcW w:w="1856" w:type="dxa"/>
          </w:tcPr>
          <w:p>
            <w:pPr>
              <w:pStyle w:val="yTableNAm"/>
            </w:pPr>
            <w:r>
              <w:t>Class 11 (c/kL)</w:t>
            </w:r>
          </w:p>
        </w:tc>
        <w:tc>
          <w:tcPr>
            <w:tcW w:w="1507" w:type="dxa"/>
          </w:tcPr>
          <w:p>
            <w:pPr>
              <w:pStyle w:val="yTableNAm"/>
              <w:jc w:val="center"/>
            </w:pPr>
            <w:r>
              <w:t>72.6</w:t>
            </w:r>
          </w:p>
        </w:tc>
        <w:tc>
          <w:tcPr>
            <w:tcW w:w="1507" w:type="dxa"/>
          </w:tcPr>
          <w:p>
            <w:pPr>
              <w:pStyle w:val="yTableNAm"/>
              <w:jc w:val="center"/>
            </w:pPr>
            <w:r>
              <w:t>291.9</w:t>
            </w:r>
          </w:p>
        </w:tc>
        <w:tc>
          <w:tcPr>
            <w:tcW w:w="1508" w:type="dxa"/>
          </w:tcPr>
          <w:p>
            <w:pPr>
              <w:pStyle w:val="yTableNAm"/>
              <w:jc w:val="center"/>
            </w:pPr>
            <w:r>
              <w:t>414.3</w:t>
            </w:r>
          </w:p>
        </w:tc>
      </w:tr>
      <w:tr>
        <w:tc>
          <w:tcPr>
            <w:tcW w:w="1856" w:type="dxa"/>
          </w:tcPr>
          <w:p>
            <w:pPr>
              <w:pStyle w:val="yTableNAm"/>
            </w:pPr>
            <w:r>
              <w:t>Class 12 (c/kL)</w:t>
            </w:r>
          </w:p>
        </w:tc>
        <w:tc>
          <w:tcPr>
            <w:tcW w:w="1507" w:type="dxa"/>
          </w:tcPr>
          <w:p>
            <w:pPr>
              <w:pStyle w:val="yTableNAm"/>
              <w:jc w:val="center"/>
            </w:pPr>
            <w:r>
              <w:t>72.6</w:t>
            </w:r>
          </w:p>
        </w:tc>
        <w:tc>
          <w:tcPr>
            <w:tcW w:w="1507" w:type="dxa"/>
          </w:tcPr>
          <w:p>
            <w:pPr>
              <w:pStyle w:val="yTableNAm"/>
              <w:jc w:val="center"/>
            </w:pPr>
            <w:r>
              <w:t>320.4</w:t>
            </w:r>
          </w:p>
        </w:tc>
        <w:tc>
          <w:tcPr>
            <w:tcW w:w="1508" w:type="dxa"/>
          </w:tcPr>
          <w:p>
            <w:pPr>
              <w:pStyle w:val="yTableNAm"/>
              <w:jc w:val="center"/>
            </w:pPr>
            <w:r>
              <w:t>451.2</w:t>
            </w:r>
          </w:p>
        </w:tc>
      </w:tr>
      <w:tr>
        <w:tc>
          <w:tcPr>
            <w:tcW w:w="1856" w:type="dxa"/>
          </w:tcPr>
          <w:p>
            <w:pPr>
              <w:pStyle w:val="yTableNAm"/>
            </w:pPr>
            <w:r>
              <w:t>Class 13 (c/kL)</w:t>
            </w:r>
          </w:p>
        </w:tc>
        <w:tc>
          <w:tcPr>
            <w:tcW w:w="1507" w:type="dxa"/>
          </w:tcPr>
          <w:p>
            <w:pPr>
              <w:pStyle w:val="yTableNAm"/>
              <w:jc w:val="center"/>
            </w:pPr>
            <w:r>
              <w:t>72.6</w:t>
            </w:r>
          </w:p>
        </w:tc>
        <w:tc>
          <w:tcPr>
            <w:tcW w:w="1507" w:type="dxa"/>
          </w:tcPr>
          <w:p>
            <w:pPr>
              <w:pStyle w:val="yTableNAm"/>
              <w:jc w:val="center"/>
            </w:pPr>
            <w:r>
              <w:t>351.7</w:t>
            </w:r>
          </w:p>
        </w:tc>
        <w:tc>
          <w:tcPr>
            <w:tcW w:w="1508" w:type="dxa"/>
          </w:tcPr>
          <w:p>
            <w:pPr>
              <w:pStyle w:val="yTableNAm"/>
              <w:jc w:val="center"/>
            </w:pPr>
            <w:r>
              <w:t>491.3</w:t>
            </w:r>
          </w:p>
        </w:tc>
      </w:tr>
      <w:tr>
        <w:tc>
          <w:tcPr>
            <w:tcW w:w="1856" w:type="dxa"/>
          </w:tcPr>
          <w:p>
            <w:pPr>
              <w:pStyle w:val="yTableNAm"/>
            </w:pPr>
            <w:r>
              <w:t>Class 14 (c/kL)</w:t>
            </w:r>
          </w:p>
        </w:tc>
        <w:tc>
          <w:tcPr>
            <w:tcW w:w="1507" w:type="dxa"/>
          </w:tcPr>
          <w:p>
            <w:pPr>
              <w:pStyle w:val="yTableNAm"/>
              <w:jc w:val="center"/>
            </w:pPr>
            <w:r>
              <w:t>72.6</w:t>
            </w:r>
          </w:p>
        </w:tc>
        <w:tc>
          <w:tcPr>
            <w:tcW w:w="1507" w:type="dxa"/>
          </w:tcPr>
          <w:p>
            <w:pPr>
              <w:pStyle w:val="yTableNAm"/>
              <w:jc w:val="center"/>
            </w:pPr>
            <w:r>
              <w:t>386.2</w:t>
            </w:r>
          </w:p>
        </w:tc>
        <w:tc>
          <w:tcPr>
            <w:tcW w:w="1508" w:type="dxa"/>
          </w:tcPr>
          <w:p>
            <w:pPr>
              <w:pStyle w:val="yTableNAm"/>
              <w:jc w:val="center"/>
            </w:pPr>
            <w:r>
              <w:t>535.0</w:t>
            </w:r>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tcPr>
          <w:p>
            <w:pPr>
              <w:pStyle w:val="yTableNAm"/>
              <w:jc w:val="center"/>
            </w:pPr>
            <w:r>
              <w:t>72.6</w:t>
            </w:r>
          </w:p>
        </w:tc>
        <w:tc>
          <w:tcPr>
            <w:tcW w:w="1507" w:type="dxa"/>
            <w:tcBorders>
              <w:bottom w:val="single" w:sz="4" w:space="0" w:color="auto"/>
            </w:tcBorders>
          </w:tcPr>
          <w:p>
            <w:pPr>
              <w:pStyle w:val="yTableNAm"/>
              <w:jc w:val="center"/>
            </w:pPr>
            <w:r>
              <w:t>423.9</w:t>
            </w:r>
          </w:p>
        </w:tc>
        <w:tc>
          <w:tcPr>
            <w:tcW w:w="1508" w:type="dxa"/>
            <w:tcBorders>
              <w:bottom w:val="single" w:sz="4" w:space="0" w:color="auto"/>
            </w:tcBorders>
          </w:tcPr>
          <w:p>
            <w:pPr>
              <w:pStyle w:val="yTableNAm"/>
              <w:jc w:val="center"/>
            </w:pPr>
            <w:r>
              <w:t>582.6</w:t>
            </w:r>
          </w:p>
        </w:tc>
      </w:tr>
    </w:tbl>
    <w:p>
      <w:pPr>
        <w:pStyle w:val="ySubsection"/>
      </w:pPr>
    </w:p>
    <w:tbl>
      <w:tblPr>
        <w:tblW w:w="0" w:type="auto"/>
        <w:tblInd w:w="534" w:type="dxa"/>
        <w:tblLook w:val="0000" w:firstRow="0" w:lastRow="0" w:firstColumn="0" w:lastColumn="0" w:noHBand="0" w:noVBand="0"/>
      </w:tblPr>
      <w:tblGrid>
        <w:gridCol w:w="850"/>
        <w:gridCol w:w="4237"/>
        <w:gridCol w:w="1384"/>
      </w:tblGrid>
      <w:tr>
        <w:tc>
          <w:tcPr>
            <w:tcW w:w="850" w:type="dxa"/>
          </w:tcPr>
          <w:p>
            <w:pPr>
              <w:pStyle w:val="yTableNAm"/>
              <w:rPr>
                <w:b/>
                <w:bCs/>
              </w:rPr>
            </w:pPr>
            <w:r>
              <w:rPr>
                <w:rStyle w:val="CharSClsNo"/>
                <w:b/>
                <w:bCs/>
              </w:rPr>
              <w:t>28.</w:t>
            </w:r>
          </w:p>
        </w:tc>
        <w:tc>
          <w:tcPr>
            <w:tcW w:w="4237" w:type="dxa"/>
          </w:tcPr>
          <w:p>
            <w:pPr>
              <w:pStyle w:val="yTableNAm"/>
              <w:rPr>
                <w:b/>
                <w:bCs/>
              </w:rPr>
            </w:pPr>
            <w:r>
              <w:rPr>
                <w:b/>
                <w:bCs/>
              </w:rPr>
              <w:t>Coral Bay desalinated</w:t>
            </w:r>
          </w:p>
        </w:tc>
        <w:tc>
          <w:tcPr>
            <w:tcW w:w="1291" w:type="dxa"/>
          </w:tcPr>
          <w:p>
            <w:pPr>
              <w:pStyle w:val="yTableNAm"/>
              <w:rPr>
                <w:b/>
                <w:bCs/>
              </w:rPr>
            </w:pPr>
          </w:p>
        </w:tc>
      </w:tr>
      <w:tr>
        <w:tc>
          <w:tcPr>
            <w:tcW w:w="850" w:type="dxa"/>
          </w:tcPr>
          <w:p>
            <w:pPr>
              <w:pStyle w:val="yTableNAm"/>
            </w:pPr>
          </w:p>
        </w:tc>
        <w:tc>
          <w:tcPr>
            <w:tcW w:w="4237" w:type="dxa"/>
          </w:tcPr>
          <w:p>
            <w:pPr>
              <w:pStyle w:val="yTableNAm"/>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291" w:type="dxa"/>
          </w:tcPr>
          <w:p>
            <w:pPr>
              <w:pStyle w:val="yTableNAm"/>
            </w:pPr>
            <w:r>
              <w:br/>
            </w:r>
            <w:r>
              <w:br/>
            </w:r>
            <w:r>
              <w:br/>
              <w:t>584.6 cents</w:t>
            </w:r>
          </w:p>
        </w:tc>
      </w:tr>
      <w:tr>
        <w:tc>
          <w:tcPr>
            <w:tcW w:w="850" w:type="dxa"/>
          </w:tcPr>
          <w:p>
            <w:pPr>
              <w:pStyle w:val="yTableNAm"/>
              <w:rPr>
                <w:b/>
                <w:bCs/>
              </w:rPr>
            </w:pPr>
            <w:r>
              <w:rPr>
                <w:rStyle w:val="CharSClsNo"/>
                <w:b/>
                <w:bCs/>
              </w:rPr>
              <w:t>29</w:t>
            </w:r>
            <w:r>
              <w:rPr>
                <w:b/>
                <w:bCs/>
              </w:rPr>
              <w:t>.</w:t>
            </w:r>
          </w:p>
        </w:tc>
        <w:tc>
          <w:tcPr>
            <w:tcW w:w="4237" w:type="dxa"/>
          </w:tcPr>
          <w:p>
            <w:pPr>
              <w:pStyle w:val="yTableNAm"/>
              <w:rPr>
                <w:b/>
                <w:bCs/>
              </w:rPr>
            </w:pPr>
            <w:r>
              <w:rPr>
                <w:b/>
                <w:bCs/>
              </w:rPr>
              <w:t>Denham desalinated</w:t>
            </w:r>
          </w:p>
        </w:tc>
        <w:tc>
          <w:tcPr>
            <w:tcW w:w="1291" w:type="dxa"/>
          </w:tcPr>
          <w:p>
            <w:pPr>
              <w:pStyle w:val="yTableNAm"/>
              <w:rPr>
                <w:b/>
                <w:bCs/>
              </w:rPr>
            </w:pPr>
          </w:p>
        </w:tc>
      </w:tr>
      <w:tr>
        <w:tc>
          <w:tcPr>
            <w:tcW w:w="850" w:type="dxa"/>
          </w:tcPr>
          <w:p>
            <w:pPr>
              <w:pStyle w:val="yTableNAm"/>
            </w:pPr>
          </w:p>
        </w:tc>
        <w:tc>
          <w:tcPr>
            <w:tcW w:w="4237" w:type="dxa"/>
          </w:tcPr>
          <w:p>
            <w:pPr>
              <w:pStyle w:val="yTableNAm"/>
            </w:pPr>
            <w:r>
              <w:t>For each kilolitre of water supplied to land in the Denham Country Water Area, being water that has been treated to reduce the level of, or remove, salts —</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t>(a)</w:t>
            </w:r>
            <w:r>
              <w:rPr>
                <w:snapToGrid w:val="0"/>
              </w:rPr>
              <w:tab/>
              <w:t>in the case of land classified as residential —</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1256"/>
              </w:tabs>
            </w:pPr>
            <w:r>
              <w:tab/>
              <w:t>up to quota ...............................</w:t>
            </w:r>
          </w:p>
        </w:tc>
        <w:tc>
          <w:tcPr>
            <w:tcW w:w="1291" w:type="dxa"/>
          </w:tcPr>
          <w:p>
            <w:pPr>
              <w:pStyle w:val="yTableNAm"/>
            </w:pPr>
            <w:r>
              <w:t>53.9 cents</w:t>
            </w:r>
          </w:p>
        </w:tc>
      </w:tr>
      <w:tr>
        <w:tc>
          <w:tcPr>
            <w:tcW w:w="850" w:type="dxa"/>
          </w:tcPr>
          <w:p>
            <w:pPr>
              <w:pStyle w:val="yTableNAm"/>
            </w:pPr>
          </w:p>
        </w:tc>
        <w:tc>
          <w:tcPr>
            <w:tcW w:w="4237" w:type="dxa"/>
          </w:tcPr>
          <w:p>
            <w:pPr>
              <w:pStyle w:val="yTableNAm"/>
              <w:tabs>
                <w:tab w:val="clear" w:pos="567"/>
                <w:tab w:val="left" w:pos="1256"/>
              </w:tabs>
              <w:ind w:left="1256" w:hanging="1256"/>
            </w:pPr>
            <w:r>
              <w:tab/>
              <w:t>over quota by up to 1 kL per 7 kL of quota ...........................</w:t>
            </w:r>
          </w:p>
        </w:tc>
        <w:tc>
          <w:tcPr>
            <w:tcW w:w="1291" w:type="dxa"/>
          </w:tcPr>
          <w:p>
            <w:pPr>
              <w:pStyle w:val="yTableNAm"/>
            </w:pPr>
            <w:r>
              <w:br/>
              <w:t>395.4 cents</w:t>
            </w:r>
          </w:p>
        </w:tc>
      </w:tr>
      <w:tr>
        <w:tc>
          <w:tcPr>
            <w:tcW w:w="850" w:type="dxa"/>
          </w:tcPr>
          <w:p>
            <w:pPr>
              <w:pStyle w:val="yTableNAm"/>
            </w:pPr>
          </w:p>
        </w:tc>
        <w:tc>
          <w:tcPr>
            <w:tcW w:w="4237" w:type="dxa"/>
          </w:tcPr>
          <w:p>
            <w:pPr>
              <w:pStyle w:val="yTableNAm"/>
              <w:tabs>
                <w:tab w:val="clear" w:pos="567"/>
                <w:tab w:val="left" w:pos="1256"/>
              </w:tabs>
              <w:ind w:left="1256" w:hanging="1256"/>
            </w:pPr>
            <w:r>
              <w:tab/>
              <w:t>over quota by more than 1 kL per 7 kL of quota .....................</w:t>
            </w:r>
          </w:p>
        </w:tc>
        <w:tc>
          <w:tcPr>
            <w:tcW w:w="1291" w:type="dxa"/>
          </w:tcPr>
          <w:p>
            <w:pPr>
              <w:pStyle w:val="yTableNAm"/>
            </w:pPr>
            <w:r>
              <w:br/>
              <w:t>1 232.0 cents</w:t>
            </w: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t>(b)</w:t>
            </w:r>
            <w:r>
              <w:rPr>
                <w:snapToGrid w:val="0"/>
              </w:rPr>
              <w:tab/>
              <w:t>in the case of land not classified as residential —</w:t>
            </w:r>
          </w:p>
        </w:tc>
        <w:tc>
          <w:tcPr>
            <w:tcW w:w="1291" w:type="dxa"/>
          </w:tcPr>
          <w:p>
            <w:pPr>
              <w:pStyle w:val="yTableNAm"/>
            </w:pPr>
          </w:p>
        </w:tc>
      </w:tr>
      <w:tr>
        <w:tc>
          <w:tcPr>
            <w:tcW w:w="850" w:type="dxa"/>
          </w:tcPr>
          <w:p>
            <w:pPr>
              <w:pStyle w:val="yTableNAm"/>
            </w:pPr>
          </w:p>
        </w:tc>
        <w:tc>
          <w:tcPr>
            <w:tcW w:w="4237" w:type="dxa"/>
          </w:tcPr>
          <w:p>
            <w:pPr>
              <w:pStyle w:val="yTableNAm"/>
              <w:tabs>
                <w:tab w:val="clear" w:pos="567"/>
                <w:tab w:val="left" w:pos="1256"/>
              </w:tabs>
              <w:ind w:left="1256" w:hanging="1256"/>
            </w:pPr>
            <w:r>
              <w:tab/>
              <w:t>up to quota ...............................</w:t>
            </w:r>
          </w:p>
        </w:tc>
        <w:tc>
          <w:tcPr>
            <w:tcW w:w="1291" w:type="dxa"/>
          </w:tcPr>
          <w:p>
            <w:pPr>
              <w:pStyle w:val="yTableNAm"/>
            </w:pPr>
            <w:r>
              <w:t>53.9 cents</w:t>
            </w:r>
          </w:p>
        </w:tc>
      </w:tr>
      <w:tr>
        <w:tc>
          <w:tcPr>
            <w:tcW w:w="850" w:type="dxa"/>
          </w:tcPr>
          <w:p>
            <w:pPr>
              <w:pStyle w:val="yTableNAm"/>
            </w:pPr>
          </w:p>
        </w:tc>
        <w:tc>
          <w:tcPr>
            <w:tcW w:w="4237" w:type="dxa"/>
          </w:tcPr>
          <w:p>
            <w:pPr>
              <w:pStyle w:val="yTableNAm"/>
              <w:tabs>
                <w:tab w:val="clear" w:pos="567"/>
                <w:tab w:val="left" w:pos="1256"/>
              </w:tabs>
              <w:ind w:left="1256" w:hanging="1256"/>
            </w:pPr>
            <w:r>
              <w:tab/>
              <w:t>over quota ................................</w:t>
            </w:r>
          </w:p>
        </w:tc>
        <w:tc>
          <w:tcPr>
            <w:tcW w:w="1291" w:type="dxa"/>
          </w:tcPr>
          <w:p>
            <w:pPr>
              <w:pStyle w:val="yTableNAm"/>
            </w:pPr>
            <w:r>
              <w:t>1 232.0 cents</w:t>
            </w:r>
          </w:p>
        </w:tc>
      </w:tr>
      <w:tr>
        <w:tc>
          <w:tcPr>
            <w:tcW w:w="850" w:type="dxa"/>
          </w:tcPr>
          <w:p>
            <w:pPr>
              <w:pStyle w:val="yTableNAm"/>
            </w:pPr>
          </w:p>
        </w:tc>
        <w:tc>
          <w:tcPr>
            <w:tcW w:w="4237" w:type="dxa"/>
          </w:tcPr>
          <w:p>
            <w:pPr>
              <w:pStyle w:val="yTableNAm"/>
              <w:tabs>
                <w:tab w:val="clear" w:pos="567"/>
                <w:tab w:val="left" w:pos="416"/>
                <w:tab w:val="left" w:pos="1016"/>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291" w:type="dxa"/>
          </w:tcPr>
          <w:p>
            <w:pPr>
              <w:pStyle w:val="yTableNAm"/>
            </w:pPr>
          </w:p>
        </w:tc>
      </w:tr>
      <w:tr>
        <w:tc>
          <w:tcPr>
            <w:tcW w:w="850" w:type="dxa"/>
          </w:tcPr>
          <w:p>
            <w:pPr>
              <w:pStyle w:val="yTableNAm"/>
              <w:rPr>
                <w:b/>
                <w:bCs/>
              </w:rPr>
            </w:pPr>
            <w:r>
              <w:rPr>
                <w:rStyle w:val="CharSClsNo"/>
                <w:b/>
                <w:bCs/>
              </w:rPr>
              <w:t>30</w:t>
            </w:r>
            <w:r>
              <w:rPr>
                <w:b/>
                <w:bCs/>
              </w:rPr>
              <w:t>.</w:t>
            </w:r>
          </w:p>
        </w:tc>
        <w:tc>
          <w:tcPr>
            <w:tcW w:w="4237" w:type="dxa"/>
          </w:tcPr>
          <w:p>
            <w:pPr>
              <w:pStyle w:val="yTableNAm"/>
              <w:rPr>
                <w:b/>
                <w:bCs/>
                <w:snapToGrid w:val="0"/>
              </w:rPr>
            </w:pPr>
            <w:r>
              <w:rPr>
                <w:b/>
                <w:bCs/>
              </w:rPr>
              <w:t>Local government standpipes</w:t>
            </w:r>
          </w:p>
        </w:tc>
        <w:tc>
          <w:tcPr>
            <w:tcW w:w="1291" w:type="dxa"/>
          </w:tcPr>
          <w:p>
            <w:pPr>
              <w:pStyle w:val="yTableNAm"/>
              <w:rPr>
                <w:b/>
                <w:bCs/>
              </w:rPr>
            </w:pPr>
          </w:p>
        </w:tc>
      </w:tr>
      <w:tr>
        <w:tc>
          <w:tcPr>
            <w:tcW w:w="850" w:type="dxa"/>
          </w:tcPr>
          <w:p>
            <w:pPr>
              <w:pStyle w:val="yTableNAm"/>
            </w:pPr>
          </w:p>
        </w:tc>
        <w:tc>
          <w:tcPr>
            <w:tcW w:w="4237" w:type="dxa"/>
          </w:tcPr>
          <w:p>
            <w:pPr>
              <w:pStyle w:val="yTableNAm"/>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291" w:type="dxa"/>
          </w:tcPr>
          <w:p>
            <w:pPr>
              <w:pStyle w:val="yTableNAm"/>
            </w:pPr>
            <w:r>
              <w:br/>
              <w:t>112.8 cents</w:t>
            </w:r>
          </w:p>
        </w:tc>
      </w:tr>
      <w:tr>
        <w:tc>
          <w:tcPr>
            <w:tcW w:w="850" w:type="dxa"/>
          </w:tcPr>
          <w:p>
            <w:pPr>
              <w:pStyle w:val="yTableNAm"/>
              <w:rPr>
                <w:b/>
                <w:bCs/>
              </w:rPr>
            </w:pPr>
            <w:r>
              <w:rPr>
                <w:rStyle w:val="CharSClsNo"/>
                <w:b/>
                <w:bCs/>
              </w:rPr>
              <w:t>31</w:t>
            </w:r>
            <w:r>
              <w:rPr>
                <w:b/>
                <w:bCs/>
              </w:rPr>
              <w:t>.</w:t>
            </w:r>
          </w:p>
        </w:tc>
        <w:tc>
          <w:tcPr>
            <w:tcW w:w="4237" w:type="dxa"/>
          </w:tcPr>
          <w:p>
            <w:pPr>
              <w:pStyle w:val="yTableNAm"/>
              <w:rPr>
                <w:b/>
                <w:bCs/>
                <w:snapToGrid w:val="0"/>
              </w:rPr>
            </w:pPr>
            <w:r>
              <w:rPr>
                <w:b/>
                <w:bCs/>
              </w:rPr>
              <w:t>Shipping</w:t>
            </w:r>
          </w:p>
        </w:tc>
        <w:tc>
          <w:tcPr>
            <w:tcW w:w="1291" w:type="dxa"/>
          </w:tcPr>
          <w:p>
            <w:pPr>
              <w:pStyle w:val="yTableNAm"/>
              <w:rPr>
                <w:b/>
                <w:bCs/>
              </w:rPr>
            </w:pPr>
          </w:p>
        </w:tc>
      </w:tr>
      <w:tr>
        <w:tc>
          <w:tcPr>
            <w:tcW w:w="850" w:type="dxa"/>
          </w:tcPr>
          <w:p>
            <w:pPr>
              <w:pStyle w:val="yTableNAm"/>
              <w:rPr>
                <w:rStyle w:val="CharSClsNo"/>
              </w:rPr>
            </w:pPr>
          </w:p>
        </w:tc>
        <w:tc>
          <w:tcPr>
            <w:tcW w:w="4237" w:type="dxa"/>
          </w:tcPr>
          <w:p>
            <w:pPr>
              <w:pStyle w:val="yTableNAm"/>
            </w:pPr>
            <w:r>
              <w:t xml:space="preserve">For </w:t>
            </w:r>
            <w:r>
              <w:rPr>
                <w:snapToGrid w:val="0"/>
              </w:rPr>
              <w:t>each</w:t>
            </w:r>
            <w:r>
              <w:t xml:space="preserve"> kilolitre of water supplied for the purpose of being taken on board any ship in port —</w:t>
            </w:r>
          </w:p>
        </w:tc>
        <w:tc>
          <w:tcPr>
            <w:tcW w:w="1291" w:type="dxa"/>
          </w:tcPr>
          <w:p>
            <w:pPr>
              <w:pStyle w:val="yTableNAm"/>
            </w:pP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pPr>
            <w:r>
              <w:rPr>
                <w:snapToGrid w:val="0"/>
              </w:rPr>
              <w:tab/>
              <w:t>(a)</w:t>
            </w:r>
            <w:r>
              <w:rPr>
                <w:snapToGrid w:val="0"/>
              </w:rPr>
              <w:tab/>
              <w:t>in the metropolitan area —</w:t>
            </w:r>
          </w:p>
        </w:tc>
        <w:tc>
          <w:tcPr>
            <w:tcW w:w="1291" w:type="dxa"/>
          </w:tcPr>
          <w:p>
            <w:pPr>
              <w:pStyle w:val="yTableNAm"/>
            </w:pPr>
          </w:p>
        </w:tc>
      </w:tr>
      <w:tr>
        <w:tc>
          <w:tcPr>
            <w:tcW w:w="850" w:type="dxa"/>
          </w:tcPr>
          <w:p>
            <w:pPr>
              <w:pStyle w:val="yTableNAm"/>
              <w:rPr>
                <w:rStyle w:val="CharSClsNo"/>
              </w:rPr>
            </w:pPr>
          </w:p>
        </w:tc>
        <w:tc>
          <w:tcPr>
            <w:tcW w:w="4237" w:type="dxa"/>
          </w:tcPr>
          <w:p>
            <w:pPr>
              <w:pStyle w:val="yTableNAm"/>
              <w:tabs>
                <w:tab w:val="clear" w:pos="567"/>
                <w:tab w:val="left" w:pos="1256"/>
              </w:tabs>
              <w:ind w:left="1256" w:hanging="1256"/>
            </w:pPr>
            <w:r>
              <w:tab/>
              <w:t>up to 600 kL ............................</w:t>
            </w:r>
          </w:p>
        </w:tc>
        <w:tc>
          <w:tcPr>
            <w:tcW w:w="1291" w:type="dxa"/>
          </w:tcPr>
          <w:p>
            <w:pPr>
              <w:pStyle w:val="yTableNAm"/>
            </w:pPr>
            <w:r>
              <w:t>117.1 cents</w:t>
            </w:r>
          </w:p>
        </w:tc>
      </w:tr>
      <w:tr>
        <w:tc>
          <w:tcPr>
            <w:tcW w:w="850" w:type="dxa"/>
          </w:tcPr>
          <w:p>
            <w:pPr>
              <w:pStyle w:val="yTableNAm"/>
              <w:rPr>
                <w:rStyle w:val="CharSClsNo"/>
              </w:rPr>
            </w:pPr>
          </w:p>
        </w:tc>
        <w:tc>
          <w:tcPr>
            <w:tcW w:w="4237" w:type="dxa"/>
          </w:tcPr>
          <w:p>
            <w:pPr>
              <w:pStyle w:val="yTableNAm"/>
              <w:tabs>
                <w:tab w:val="clear" w:pos="567"/>
                <w:tab w:val="left" w:pos="1256"/>
              </w:tabs>
              <w:ind w:left="1256" w:hanging="1256"/>
              <w:rPr>
                <w:rFonts w:ascii="Times" w:hAnsi="Times"/>
              </w:rPr>
            </w:pPr>
            <w:r>
              <w:tab/>
            </w:r>
            <w:r>
              <w:rPr>
                <w:rFonts w:ascii="Times" w:hAnsi="Times"/>
              </w:rPr>
              <w:t>over 600 kL but not over 1 100 000 kL ..........................</w:t>
            </w:r>
          </w:p>
        </w:tc>
        <w:tc>
          <w:tcPr>
            <w:tcW w:w="1291" w:type="dxa"/>
          </w:tcPr>
          <w:p>
            <w:pPr>
              <w:pStyle w:val="yTableNAm"/>
            </w:pPr>
            <w:r>
              <w:br/>
              <w:t>122.0 cents</w:t>
            </w:r>
          </w:p>
        </w:tc>
      </w:tr>
      <w:tr>
        <w:tc>
          <w:tcPr>
            <w:tcW w:w="850" w:type="dxa"/>
          </w:tcPr>
          <w:p>
            <w:pPr>
              <w:pStyle w:val="yTableNAm"/>
              <w:rPr>
                <w:rStyle w:val="CharSClsNo"/>
              </w:rPr>
            </w:pPr>
          </w:p>
        </w:tc>
        <w:tc>
          <w:tcPr>
            <w:tcW w:w="4237" w:type="dxa"/>
          </w:tcPr>
          <w:p>
            <w:pPr>
              <w:pStyle w:val="yTableNAm"/>
              <w:tabs>
                <w:tab w:val="clear" w:pos="567"/>
                <w:tab w:val="left" w:pos="1256"/>
              </w:tabs>
              <w:ind w:left="1256" w:hanging="1256"/>
              <w:rPr>
                <w:spacing w:val="-1"/>
              </w:rPr>
            </w:pPr>
            <w:r>
              <w:rPr>
                <w:spacing w:val="-1"/>
              </w:rPr>
              <w:tab/>
            </w:r>
            <w:r>
              <w:t>over</w:t>
            </w:r>
            <w:r>
              <w:rPr>
                <w:spacing w:val="-1"/>
              </w:rPr>
              <w:t xml:space="preserve"> 1 100 000 kL ...................</w:t>
            </w:r>
          </w:p>
        </w:tc>
        <w:tc>
          <w:tcPr>
            <w:tcW w:w="1291" w:type="dxa"/>
          </w:tcPr>
          <w:p>
            <w:pPr>
              <w:pStyle w:val="yTableNAm"/>
            </w:pPr>
            <w:r>
              <w:t>120.8 cents</w:t>
            </w:r>
          </w:p>
        </w:tc>
      </w:tr>
      <w:tr>
        <w:tc>
          <w:tcPr>
            <w:tcW w:w="850" w:type="dxa"/>
          </w:tcPr>
          <w:p>
            <w:pPr>
              <w:pStyle w:val="yTableNAm"/>
              <w:rPr>
                <w:rStyle w:val="CharSClsNo"/>
              </w:rPr>
            </w:pPr>
          </w:p>
        </w:tc>
        <w:tc>
          <w:tcPr>
            <w:tcW w:w="4237" w:type="dxa"/>
          </w:tcPr>
          <w:p>
            <w:pPr>
              <w:pStyle w:val="yTableNAm"/>
              <w:tabs>
                <w:tab w:val="clear" w:pos="567"/>
                <w:tab w:val="left" w:pos="416"/>
                <w:tab w:val="left" w:pos="1016"/>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91" w:type="dxa"/>
          </w:tcPr>
          <w:p>
            <w:pPr>
              <w:pStyle w:val="yTableNAm"/>
            </w:pPr>
          </w:p>
        </w:tc>
      </w:tr>
    </w:tbl>
    <w:p>
      <w:pPr>
        <w:pStyle w:val="ySubsection"/>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bCs/>
              </w:rPr>
            </w:pPr>
            <w:r>
              <w:rPr>
                <w:b/>
                <w:bCs/>
              </w:rPr>
              <w:t>Class</w:t>
            </w:r>
          </w:p>
        </w:tc>
        <w:tc>
          <w:tcPr>
            <w:tcW w:w="4678"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rPr>
                <w:b/>
                <w:bCs/>
              </w:rPr>
            </w:pPr>
          </w:p>
        </w:tc>
        <w:tc>
          <w:tcPr>
            <w:tcW w:w="2339" w:type="dxa"/>
            <w:tcBorders>
              <w:bottom w:val="single" w:sz="4" w:space="0" w:color="auto"/>
            </w:tcBorders>
          </w:tcPr>
          <w:p>
            <w:pPr>
              <w:pStyle w:val="yTableNAm"/>
              <w:jc w:val="center"/>
              <w:rPr>
                <w:b/>
                <w:bCs/>
              </w:rPr>
            </w:pPr>
            <w:r>
              <w:rPr>
                <w:b/>
                <w:bCs/>
              </w:rPr>
              <w:t>Up to 300</w:t>
            </w:r>
          </w:p>
        </w:tc>
        <w:tc>
          <w:tcPr>
            <w:tcW w:w="2339" w:type="dxa"/>
            <w:tcBorders>
              <w:bottom w:val="single" w:sz="4" w:space="0" w:color="auto"/>
            </w:tcBorders>
          </w:tcPr>
          <w:p>
            <w:pPr>
              <w:pStyle w:val="yTableNAm"/>
              <w:jc w:val="center"/>
              <w:rPr>
                <w:b/>
                <w:bCs/>
              </w:rPr>
            </w:pPr>
            <w:r>
              <w:rPr>
                <w:b/>
                <w:bCs/>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tcPr>
          <w:p>
            <w:pPr>
              <w:pStyle w:val="yTableNAm"/>
              <w:jc w:val="center"/>
            </w:pPr>
            <w:r>
              <w:t>119.7</w:t>
            </w:r>
          </w:p>
        </w:tc>
        <w:tc>
          <w:tcPr>
            <w:tcW w:w="2339" w:type="dxa"/>
            <w:tcBorders>
              <w:top w:val="single" w:sz="4" w:space="0" w:color="auto"/>
            </w:tcBorders>
          </w:tcPr>
          <w:p>
            <w:pPr>
              <w:pStyle w:val="yTableNAm"/>
              <w:jc w:val="center"/>
            </w:pPr>
            <w:r>
              <w:t>176.8</w:t>
            </w:r>
          </w:p>
        </w:tc>
      </w:tr>
      <w:tr>
        <w:tc>
          <w:tcPr>
            <w:tcW w:w="1842" w:type="dxa"/>
          </w:tcPr>
          <w:p>
            <w:pPr>
              <w:pStyle w:val="yTableNAm"/>
            </w:pPr>
            <w:r>
              <w:t>Class 2 (c/kL)</w:t>
            </w:r>
          </w:p>
        </w:tc>
        <w:tc>
          <w:tcPr>
            <w:tcW w:w="2339" w:type="dxa"/>
          </w:tcPr>
          <w:p>
            <w:pPr>
              <w:pStyle w:val="yTableNAm"/>
              <w:jc w:val="center"/>
            </w:pPr>
            <w:r>
              <w:t>133.9</w:t>
            </w:r>
          </w:p>
        </w:tc>
        <w:tc>
          <w:tcPr>
            <w:tcW w:w="2339" w:type="dxa"/>
          </w:tcPr>
          <w:p>
            <w:pPr>
              <w:pStyle w:val="yTableNAm"/>
              <w:jc w:val="center"/>
            </w:pPr>
            <w:r>
              <w:t>192.6</w:t>
            </w:r>
          </w:p>
        </w:tc>
      </w:tr>
      <w:tr>
        <w:tc>
          <w:tcPr>
            <w:tcW w:w="1842" w:type="dxa"/>
          </w:tcPr>
          <w:p>
            <w:pPr>
              <w:pStyle w:val="yTableNAm"/>
            </w:pPr>
            <w:r>
              <w:t>Class 3 (c/kL)</w:t>
            </w:r>
          </w:p>
        </w:tc>
        <w:tc>
          <w:tcPr>
            <w:tcW w:w="2339" w:type="dxa"/>
          </w:tcPr>
          <w:p>
            <w:pPr>
              <w:pStyle w:val="yTableNAm"/>
              <w:jc w:val="center"/>
            </w:pPr>
            <w:r>
              <w:t>149.6</w:t>
            </w:r>
          </w:p>
        </w:tc>
        <w:tc>
          <w:tcPr>
            <w:tcW w:w="2339" w:type="dxa"/>
          </w:tcPr>
          <w:p>
            <w:pPr>
              <w:pStyle w:val="yTableNAm"/>
              <w:jc w:val="center"/>
            </w:pPr>
            <w:r>
              <w:t>209.5</w:t>
            </w:r>
          </w:p>
        </w:tc>
      </w:tr>
      <w:tr>
        <w:tc>
          <w:tcPr>
            <w:tcW w:w="1842" w:type="dxa"/>
          </w:tcPr>
          <w:p>
            <w:pPr>
              <w:pStyle w:val="yTableNAm"/>
            </w:pPr>
            <w:r>
              <w:t>Class 4 (c/kL)</w:t>
            </w:r>
          </w:p>
        </w:tc>
        <w:tc>
          <w:tcPr>
            <w:tcW w:w="2339" w:type="dxa"/>
          </w:tcPr>
          <w:p>
            <w:pPr>
              <w:pStyle w:val="yTableNAm"/>
              <w:jc w:val="center"/>
            </w:pPr>
            <w:r>
              <w:t>167.2</w:t>
            </w:r>
          </w:p>
        </w:tc>
        <w:tc>
          <w:tcPr>
            <w:tcW w:w="2339" w:type="dxa"/>
          </w:tcPr>
          <w:p>
            <w:pPr>
              <w:pStyle w:val="yTableNAm"/>
              <w:jc w:val="center"/>
            </w:pPr>
            <w:r>
              <w:t>228.2</w:t>
            </w:r>
          </w:p>
        </w:tc>
      </w:tr>
      <w:tr>
        <w:tc>
          <w:tcPr>
            <w:tcW w:w="1842" w:type="dxa"/>
          </w:tcPr>
          <w:p>
            <w:pPr>
              <w:pStyle w:val="yTableNAm"/>
            </w:pPr>
            <w:r>
              <w:t>Class 5 (c/kL)</w:t>
            </w:r>
          </w:p>
        </w:tc>
        <w:tc>
          <w:tcPr>
            <w:tcW w:w="2339" w:type="dxa"/>
          </w:tcPr>
          <w:p>
            <w:pPr>
              <w:pStyle w:val="yTableNAm"/>
              <w:jc w:val="center"/>
            </w:pPr>
            <w:r>
              <w:t>187.0</w:t>
            </w:r>
          </w:p>
        </w:tc>
        <w:tc>
          <w:tcPr>
            <w:tcW w:w="2339" w:type="dxa"/>
          </w:tcPr>
          <w:p>
            <w:pPr>
              <w:pStyle w:val="yTableNAm"/>
              <w:jc w:val="center"/>
            </w:pPr>
            <w:r>
              <w:t>248.5</w:t>
            </w:r>
          </w:p>
        </w:tc>
      </w:tr>
      <w:tr>
        <w:tc>
          <w:tcPr>
            <w:tcW w:w="1842" w:type="dxa"/>
          </w:tcPr>
          <w:p>
            <w:pPr>
              <w:pStyle w:val="yTableNAm"/>
            </w:pPr>
            <w:r>
              <w:t>Class 6 (c/kL)</w:t>
            </w:r>
          </w:p>
        </w:tc>
        <w:tc>
          <w:tcPr>
            <w:tcW w:w="2339" w:type="dxa"/>
          </w:tcPr>
          <w:p>
            <w:pPr>
              <w:pStyle w:val="yTableNAm"/>
              <w:jc w:val="center"/>
            </w:pPr>
            <w:r>
              <w:t>203.1</w:t>
            </w:r>
          </w:p>
        </w:tc>
        <w:tc>
          <w:tcPr>
            <w:tcW w:w="2339" w:type="dxa"/>
          </w:tcPr>
          <w:p>
            <w:pPr>
              <w:pStyle w:val="yTableNAm"/>
              <w:jc w:val="center"/>
            </w:pPr>
            <w:r>
              <w:t>270.6</w:t>
            </w:r>
          </w:p>
        </w:tc>
      </w:tr>
      <w:tr>
        <w:tc>
          <w:tcPr>
            <w:tcW w:w="1842" w:type="dxa"/>
          </w:tcPr>
          <w:p>
            <w:pPr>
              <w:pStyle w:val="yTableNAm"/>
            </w:pPr>
            <w:r>
              <w:t>Class 7 (c/kL)</w:t>
            </w:r>
          </w:p>
        </w:tc>
        <w:tc>
          <w:tcPr>
            <w:tcW w:w="2339" w:type="dxa"/>
          </w:tcPr>
          <w:p>
            <w:pPr>
              <w:pStyle w:val="yTableNAm"/>
              <w:jc w:val="center"/>
            </w:pPr>
            <w:r>
              <w:t>220.6</w:t>
            </w:r>
          </w:p>
        </w:tc>
        <w:tc>
          <w:tcPr>
            <w:tcW w:w="2339" w:type="dxa"/>
          </w:tcPr>
          <w:p>
            <w:pPr>
              <w:pStyle w:val="yTableNAm"/>
              <w:jc w:val="center"/>
            </w:pPr>
            <w:r>
              <w:t>294.7</w:t>
            </w:r>
          </w:p>
        </w:tc>
      </w:tr>
      <w:tr>
        <w:tc>
          <w:tcPr>
            <w:tcW w:w="1842" w:type="dxa"/>
          </w:tcPr>
          <w:p>
            <w:pPr>
              <w:pStyle w:val="yTableNAm"/>
            </w:pPr>
            <w:r>
              <w:t>Class 8 (c/kL)</w:t>
            </w:r>
          </w:p>
        </w:tc>
        <w:tc>
          <w:tcPr>
            <w:tcW w:w="2339" w:type="dxa"/>
          </w:tcPr>
          <w:p>
            <w:pPr>
              <w:pStyle w:val="yTableNAm"/>
              <w:jc w:val="center"/>
            </w:pPr>
            <w:r>
              <w:t>237.4</w:t>
            </w:r>
          </w:p>
        </w:tc>
        <w:tc>
          <w:tcPr>
            <w:tcW w:w="2339" w:type="dxa"/>
          </w:tcPr>
          <w:p>
            <w:pPr>
              <w:pStyle w:val="yTableNAm"/>
              <w:jc w:val="center"/>
            </w:pPr>
            <w:r>
              <w:t>320.9</w:t>
            </w:r>
          </w:p>
        </w:tc>
      </w:tr>
      <w:tr>
        <w:tc>
          <w:tcPr>
            <w:tcW w:w="1842" w:type="dxa"/>
          </w:tcPr>
          <w:p>
            <w:pPr>
              <w:pStyle w:val="yTableNAm"/>
            </w:pPr>
            <w:r>
              <w:t>Class 9 (c/kL)</w:t>
            </w:r>
          </w:p>
        </w:tc>
        <w:tc>
          <w:tcPr>
            <w:tcW w:w="2339" w:type="dxa"/>
          </w:tcPr>
          <w:p>
            <w:pPr>
              <w:pStyle w:val="yTableNAm"/>
              <w:jc w:val="center"/>
            </w:pPr>
            <w:r>
              <w:t>255.5</w:t>
            </w:r>
          </w:p>
        </w:tc>
        <w:tc>
          <w:tcPr>
            <w:tcW w:w="2339" w:type="dxa"/>
          </w:tcPr>
          <w:p>
            <w:pPr>
              <w:pStyle w:val="yTableNAm"/>
              <w:jc w:val="center"/>
            </w:pPr>
            <w:r>
              <w:t>349.4</w:t>
            </w:r>
          </w:p>
        </w:tc>
      </w:tr>
      <w:tr>
        <w:tc>
          <w:tcPr>
            <w:tcW w:w="1842" w:type="dxa"/>
          </w:tcPr>
          <w:p>
            <w:pPr>
              <w:pStyle w:val="yTableNAm"/>
            </w:pPr>
            <w:r>
              <w:t>Class 10 (c/kL)</w:t>
            </w:r>
          </w:p>
        </w:tc>
        <w:tc>
          <w:tcPr>
            <w:tcW w:w="2339" w:type="dxa"/>
          </w:tcPr>
          <w:p>
            <w:pPr>
              <w:pStyle w:val="yTableNAm"/>
              <w:jc w:val="center"/>
            </w:pPr>
            <w:r>
              <w:t>265.9</w:t>
            </w:r>
          </w:p>
        </w:tc>
        <w:tc>
          <w:tcPr>
            <w:tcW w:w="2339" w:type="dxa"/>
          </w:tcPr>
          <w:p>
            <w:pPr>
              <w:pStyle w:val="yTableNAm"/>
              <w:jc w:val="center"/>
            </w:pPr>
            <w:r>
              <w:t>380.5</w:t>
            </w:r>
          </w:p>
        </w:tc>
      </w:tr>
      <w:tr>
        <w:tc>
          <w:tcPr>
            <w:tcW w:w="1842" w:type="dxa"/>
          </w:tcPr>
          <w:p>
            <w:pPr>
              <w:pStyle w:val="yTableNAm"/>
            </w:pPr>
            <w:r>
              <w:t>Class 11 (c/kL)</w:t>
            </w:r>
          </w:p>
        </w:tc>
        <w:tc>
          <w:tcPr>
            <w:tcW w:w="2339" w:type="dxa"/>
          </w:tcPr>
          <w:p>
            <w:pPr>
              <w:pStyle w:val="yTableNAm"/>
              <w:jc w:val="center"/>
            </w:pPr>
            <w:r>
              <w:t>291.9</w:t>
            </w:r>
          </w:p>
        </w:tc>
        <w:tc>
          <w:tcPr>
            <w:tcW w:w="2339" w:type="dxa"/>
          </w:tcPr>
          <w:p>
            <w:pPr>
              <w:pStyle w:val="yTableNAm"/>
              <w:jc w:val="center"/>
            </w:pPr>
            <w:r>
              <w:t>414.3</w:t>
            </w:r>
          </w:p>
        </w:tc>
      </w:tr>
      <w:tr>
        <w:tc>
          <w:tcPr>
            <w:tcW w:w="1842" w:type="dxa"/>
          </w:tcPr>
          <w:p>
            <w:pPr>
              <w:pStyle w:val="yTableNAm"/>
            </w:pPr>
            <w:r>
              <w:t>Class 12 (c/kL)</w:t>
            </w:r>
          </w:p>
        </w:tc>
        <w:tc>
          <w:tcPr>
            <w:tcW w:w="2339" w:type="dxa"/>
          </w:tcPr>
          <w:p>
            <w:pPr>
              <w:pStyle w:val="yTableNAm"/>
              <w:jc w:val="center"/>
            </w:pPr>
            <w:r>
              <w:t>320.4</w:t>
            </w:r>
          </w:p>
        </w:tc>
        <w:tc>
          <w:tcPr>
            <w:tcW w:w="2339" w:type="dxa"/>
          </w:tcPr>
          <w:p>
            <w:pPr>
              <w:pStyle w:val="yTableNAm"/>
              <w:jc w:val="center"/>
            </w:pPr>
            <w:r>
              <w:t>451.2</w:t>
            </w:r>
          </w:p>
        </w:tc>
      </w:tr>
      <w:tr>
        <w:tc>
          <w:tcPr>
            <w:tcW w:w="1842" w:type="dxa"/>
          </w:tcPr>
          <w:p>
            <w:pPr>
              <w:pStyle w:val="yTableNAm"/>
            </w:pPr>
            <w:r>
              <w:t>Class 13 (c/kL)</w:t>
            </w:r>
          </w:p>
        </w:tc>
        <w:tc>
          <w:tcPr>
            <w:tcW w:w="2339" w:type="dxa"/>
          </w:tcPr>
          <w:p>
            <w:pPr>
              <w:pStyle w:val="yTableNAm"/>
              <w:jc w:val="center"/>
            </w:pPr>
            <w:r>
              <w:t>351.7</w:t>
            </w:r>
          </w:p>
        </w:tc>
        <w:tc>
          <w:tcPr>
            <w:tcW w:w="2339" w:type="dxa"/>
          </w:tcPr>
          <w:p>
            <w:pPr>
              <w:pStyle w:val="yTableNAm"/>
              <w:jc w:val="center"/>
            </w:pPr>
            <w:r>
              <w:t>491.3</w:t>
            </w:r>
          </w:p>
        </w:tc>
      </w:tr>
      <w:tr>
        <w:tc>
          <w:tcPr>
            <w:tcW w:w="1842" w:type="dxa"/>
          </w:tcPr>
          <w:p>
            <w:pPr>
              <w:pStyle w:val="yTableNAm"/>
            </w:pPr>
            <w:r>
              <w:t>Class 14 (c/kL)</w:t>
            </w:r>
          </w:p>
        </w:tc>
        <w:tc>
          <w:tcPr>
            <w:tcW w:w="2339" w:type="dxa"/>
          </w:tcPr>
          <w:p>
            <w:pPr>
              <w:pStyle w:val="yTableNAm"/>
              <w:jc w:val="center"/>
            </w:pPr>
            <w:r>
              <w:t>386.2</w:t>
            </w:r>
          </w:p>
        </w:tc>
        <w:tc>
          <w:tcPr>
            <w:tcW w:w="2339" w:type="dxa"/>
          </w:tcPr>
          <w:p>
            <w:pPr>
              <w:pStyle w:val="yTableNAm"/>
              <w:jc w:val="center"/>
            </w:pPr>
            <w:r>
              <w:t>535.0</w:t>
            </w:r>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tcPr>
          <w:p>
            <w:pPr>
              <w:pStyle w:val="yTableNAm"/>
              <w:jc w:val="center"/>
            </w:pPr>
            <w:r>
              <w:t>423.9</w:t>
            </w:r>
          </w:p>
        </w:tc>
        <w:tc>
          <w:tcPr>
            <w:tcW w:w="2339" w:type="dxa"/>
            <w:tcBorders>
              <w:bottom w:val="single" w:sz="4" w:space="0" w:color="auto"/>
            </w:tcBorders>
          </w:tcPr>
          <w:p>
            <w:pPr>
              <w:pStyle w:val="yTableNAm"/>
              <w:jc w:val="center"/>
            </w:pPr>
            <w:r>
              <w:t>582.6</w:t>
            </w:r>
          </w:p>
        </w:tc>
      </w:tr>
    </w:tbl>
    <w:p>
      <w:pPr>
        <w:pStyle w:val="ySubsection"/>
      </w:pPr>
    </w:p>
    <w:tbl>
      <w:tblPr>
        <w:tblW w:w="0" w:type="auto"/>
        <w:tblInd w:w="534" w:type="dxa"/>
        <w:tblLook w:val="0000" w:firstRow="0" w:lastRow="0" w:firstColumn="0" w:lastColumn="0" w:noHBand="0" w:noVBand="0"/>
      </w:tblPr>
      <w:tblGrid>
        <w:gridCol w:w="850"/>
        <w:gridCol w:w="4306"/>
        <w:gridCol w:w="1364"/>
      </w:tblGrid>
      <w:tr>
        <w:tc>
          <w:tcPr>
            <w:tcW w:w="850" w:type="dxa"/>
          </w:tcPr>
          <w:p>
            <w:pPr>
              <w:pStyle w:val="yTableNAm"/>
              <w:rPr>
                <w:b/>
                <w:bCs/>
              </w:rPr>
            </w:pPr>
            <w:r>
              <w:rPr>
                <w:rStyle w:val="CharSClsNo"/>
                <w:b/>
                <w:bCs/>
              </w:rPr>
              <w:t>32</w:t>
            </w:r>
            <w:r>
              <w:rPr>
                <w:b/>
                <w:bCs/>
              </w:rPr>
              <w:t>.</w:t>
            </w:r>
          </w:p>
        </w:tc>
        <w:tc>
          <w:tcPr>
            <w:tcW w:w="4306" w:type="dxa"/>
          </w:tcPr>
          <w:p>
            <w:pPr>
              <w:pStyle w:val="yTableNAm"/>
              <w:rPr>
                <w:b/>
                <w:bCs/>
                <w:snapToGrid w:val="0"/>
              </w:rPr>
            </w:pPr>
            <w:r>
              <w:rPr>
                <w:b/>
                <w:bCs/>
              </w:rPr>
              <w:t>Stock</w:t>
            </w:r>
          </w:p>
        </w:tc>
        <w:tc>
          <w:tcPr>
            <w:tcW w:w="1364" w:type="dxa"/>
          </w:tcPr>
          <w:p>
            <w:pPr>
              <w:pStyle w:val="yTableNAm"/>
              <w:rPr>
                <w:b/>
                <w:bCs/>
              </w:rPr>
            </w:pPr>
          </w:p>
        </w:tc>
      </w:tr>
      <w:tr>
        <w:tc>
          <w:tcPr>
            <w:tcW w:w="850" w:type="dxa"/>
          </w:tcPr>
          <w:p>
            <w:pPr>
              <w:pStyle w:val="yTableNAm"/>
              <w:rPr>
                <w:rStyle w:val="CharSClsNo"/>
              </w:rPr>
            </w:pPr>
          </w:p>
        </w:tc>
        <w:tc>
          <w:tcPr>
            <w:tcW w:w="4306" w:type="dxa"/>
          </w:tcPr>
          <w:p>
            <w:pPr>
              <w:pStyle w:val="yTableNAm"/>
              <w:rPr>
                <w:spacing w:val="-1"/>
              </w:rPr>
            </w:pPr>
            <w:r>
              <w:rPr>
                <w:spacing w:val="-1"/>
              </w:rPr>
              <w:t>For each kilolitre of water supplied for the purpose of watering stock on land that is not the subject of a charge under item 10 ...............</w:t>
            </w:r>
          </w:p>
        </w:tc>
        <w:tc>
          <w:tcPr>
            <w:tcW w:w="1364" w:type="dxa"/>
          </w:tcPr>
          <w:p>
            <w:pPr>
              <w:pStyle w:val="yTableNAm"/>
              <w:rPr>
                <w:spacing w:val="-1"/>
              </w:rPr>
            </w:pPr>
            <w:r>
              <w:br/>
            </w:r>
            <w:r>
              <w:br/>
              <w:t>112.8</w:t>
            </w:r>
            <w:r>
              <w:rPr>
                <w:spacing w:val="-1"/>
              </w:rPr>
              <w:t xml:space="preserve"> </w:t>
            </w:r>
            <w:r>
              <w:t>cents</w:t>
            </w:r>
          </w:p>
        </w:tc>
      </w:tr>
      <w:tr>
        <w:tc>
          <w:tcPr>
            <w:tcW w:w="850" w:type="dxa"/>
          </w:tcPr>
          <w:p>
            <w:pPr>
              <w:pStyle w:val="yTableNAm"/>
              <w:rPr>
                <w:rStyle w:val="CharSClsNo"/>
                <w:b/>
                <w:bCs/>
              </w:rPr>
            </w:pPr>
            <w:r>
              <w:rPr>
                <w:rStyle w:val="CharSClsNo"/>
                <w:b/>
                <w:bCs/>
              </w:rPr>
              <w:t>33</w:t>
            </w:r>
            <w:r>
              <w:rPr>
                <w:b/>
                <w:bCs/>
              </w:rPr>
              <w:t>.</w:t>
            </w:r>
          </w:p>
        </w:tc>
        <w:tc>
          <w:tcPr>
            <w:tcW w:w="4306" w:type="dxa"/>
          </w:tcPr>
          <w:p>
            <w:pPr>
              <w:pStyle w:val="yTableNAm"/>
              <w:rPr>
                <w:b/>
                <w:bCs/>
              </w:rPr>
            </w:pPr>
            <w:r>
              <w:rPr>
                <w:b/>
                <w:bCs/>
              </w:rPr>
              <w:t>Building</w:t>
            </w:r>
          </w:p>
        </w:tc>
        <w:tc>
          <w:tcPr>
            <w:tcW w:w="1364" w:type="dxa"/>
          </w:tcPr>
          <w:p>
            <w:pPr>
              <w:pStyle w:val="yTableNAm"/>
              <w:rPr>
                <w:b/>
                <w:bCs/>
              </w:rPr>
            </w:pPr>
          </w:p>
        </w:tc>
      </w:tr>
      <w:tr>
        <w:tc>
          <w:tcPr>
            <w:tcW w:w="850" w:type="dxa"/>
          </w:tcPr>
          <w:p>
            <w:pPr>
              <w:pStyle w:val="yTableNAm"/>
              <w:rPr>
                <w:rStyle w:val="CharSClsNo"/>
              </w:rPr>
            </w:pPr>
          </w:p>
        </w:tc>
        <w:tc>
          <w:tcPr>
            <w:tcW w:w="430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4" w:type="dxa"/>
          </w:tcPr>
          <w:p>
            <w:pPr>
              <w:pStyle w:val="yTableNAm"/>
              <w:rPr>
                <w:spacing w:val="-1"/>
              </w:rPr>
            </w:pPr>
          </w:p>
        </w:tc>
      </w:tr>
      <w:tr>
        <w:tc>
          <w:tcPr>
            <w:tcW w:w="850" w:type="dxa"/>
          </w:tcPr>
          <w:p>
            <w:pPr>
              <w:pStyle w:val="yTableNAm"/>
              <w:rPr>
                <w:rStyle w:val="CharSClsNo"/>
              </w:rPr>
            </w:pPr>
          </w:p>
        </w:tc>
        <w:tc>
          <w:tcPr>
            <w:tcW w:w="4306" w:type="dxa"/>
          </w:tcPr>
          <w:p>
            <w:pPr>
              <w:pStyle w:val="yTableNAm"/>
              <w:tabs>
                <w:tab w:val="clear" w:pos="567"/>
                <w:tab w:val="left" w:pos="416"/>
                <w:tab w:val="left" w:pos="1016"/>
              </w:tabs>
              <w:ind w:left="1016" w:hanging="1016"/>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364" w:type="dxa"/>
          </w:tcPr>
          <w:p>
            <w:pPr>
              <w:pStyle w:val="yTableNAm"/>
              <w:rPr>
                <w:spacing w:val="-1"/>
              </w:rPr>
            </w:pPr>
          </w:p>
        </w:tc>
      </w:tr>
      <w:tr>
        <w:tc>
          <w:tcPr>
            <w:tcW w:w="850" w:type="dxa"/>
          </w:tcPr>
          <w:p>
            <w:pPr>
              <w:pStyle w:val="yTableNAm"/>
              <w:rPr>
                <w:rStyle w:val="CharSClsNo"/>
              </w:rPr>
            </w:pPr>
          </w:p>
        </w:tc>
        <w:tc>
          <w:tcPr>
            <w:tcW w:w="4306" w:type="dxa"/>
          </w:tcPr>
          <w:p>
            <w:pPr>
              <w:pStyle w:val="yTableNAm"/>
              <w:tabs>
                <w:tab w:val="clear" w:pos="567"/>
                <w:tab w:val="left" w:pos="416"/>
                <w:tab w:val="left" w:pos="1016"/>
              </w:tabs>
              <w:ind w:left="1016" w:hanging="1016"/>
            </w:pPr>
            <w:r>
              <w:rPr>
                <w:spacing w:val="-1"/>
              </w:rPr>
              <w:tab/>
              <w:t>(b)</w:t>
            </w:r>
            <w:r>
              <w:rPr>
                <w:spacing w:val="-1"/>
              </w:rPr>
              <w:tab/>
              <w:t>not in the metropolitan area, the charge that would apply under item 27(b) if the water supplied through that connection were the only water supplied to the land.</w:t>
            </w:r>
          </w:p>
        </w:tc>
        <w:tc>
          <w:tcPr>
            <w:tcW w:w="1364" w:type="dxa"/>
          </w:tcPr>
          <w:p>
            <w:pPr>
              <w:pStyle w:val="yTableNAm"/>
              <w:rPr>
                <w:spacing w:val="-1"/>
              </w:rPr>
            </w:pPr>
          </w:p>
        </w:tc>
      </w:tr>
      <w:tr>
        <w:tc>
          <w:tcPr>
            <w:tcW w:w="850" w:type="dxa"/>
          </w:tcPr>
          <w:p>
            <w:pPr>
              <w:pStyle w:val="yTableNAm"/>
              <w:rPr>
                <w:rStyle w:val="CharSClsNo"/>
                <w:b/>
                <w:bCs/>
              </w:rPr>
            </w:pPr>
            <w:r>
              <w:rPr>
                <w:rStyle w:val="CharSClsNo"/>
                <w:b/>
                <w:bCs/>
              </w:rPr>
              <w:t>34</w:t>
            </w:r>
            <w:r>
              <w:rPr>
                <w:b/>
                <w:bCs/>
              </w:rPr>
              <w:t>.</w:t>
            </w:r>
          </w:p>
        </w:tc>
        <w:tc>
          <w:tcPr>
            <w:tcW w:w="4306" w:type="dxa"/>
          </w:tcPr>
          <w:p>
            <w:pPr>
              <w:pStyle w:val="yTableNAm"/>
              <w:rPr>
                <w:b/>
                <w:bCs/>
                <w:spacing w:val="-1"/>
              </w:rPr>
            </w:pPr>
            <w:r>
              <w:rPr>
                <w:b/>
                <w:bCs/>
              </w:rPr>
              <w:t>Metropolitan hydrant standpipes</w:t>
            </w:r>
          </w:p>
        </w:tc>
        <w:tc>
          <w:tcPr>
            <w:tcW w:w="1364" w:type="dxa"/>
          </w:tcPr>
          <w:p>
            <w:pPr>
              <w:pStyle w:val="yTableNAm"/>
              <w:rPr>
                <w:b/>
                <w:bCs/>
              </w:rPr>
            </w:pPr>
          </w:p>
        </w:tc>
      </w:tr>
      <w:tr>
        <w:tc>
          <w:tcPr>
            <w:tcW w:w="850" w:type="dxa"/>
          </w:tcPr>
          <w:p>
            <w:pPr>
              <w:pStyle w:val="yTableNAm"/>
              <w:rPr>
                <w:rStyle w:val="CharSClsNo"/>
              </w:rPr>
            </w:pPr>
          </w:p>
        </w:tc>
        <w:tc>
          <w:tcPr>
            <w:tcW w:w="4306" w:type="dxa"/>
          </w:tcPr>
          <w:p>
            <w:pPr>
              <w:pStyle w:val="yTableNAm"/>
              <w:rPr>
                <w:spacing w:val="-1"/>
              </w:rPr>
            </w:pPr>
            <w:r>
              <w:rPr>
                <w:spacing w:val="-1"/>
              </w:rPr>
              <w:t>For each kilolitre of water supplied through a hydrant standpipe in the metropolitan area ......</w:t>
            </w:r>
          </w:p>
        </w:tc>
        <w:tc>
          <w:tcPr>
            <w:tcW w:w="1364" w:type="dxa"/>
          </w:tcPr>
          <w:p>
            <w:pPr>
              <w:pStyle w:val="yTableNAm"/>
              <w:rPr>
                <w:spacing w:val="-1"/>
              </w:rPr>
            </w:pPr>
            <w:r>
              <w:rPr>
                <w:spacing w:val="-1"/>
              </w:rPr>
              <w:br/>
              <w:t>122.0 cents</w:t>
            </w:r>
          </w:p>
        </w:tc>
      </w:tr>
    </w:tbl>
    <w:p>
      <w:pPr>
        <w:pStyle w:val="yFootnotesection"/>
      </w:pPr>
      <w:r>
        <w:tab/>
        <w:t>[Division 2 inserted in Gazette 19 Jun 2009 p. 2330-41.]</w:t>
      </w:r>
    </w:p>
    <w:p>
      <w:pPr>
        <w:pStyle w:val="yHeading3"/>
      </w:pPr>
      <w:bookmarkStart w:id="484" w:name="_Toc233448385"/>
      <w:bookmarkStart w:id="485" w:name="_Toc233611692"/>
      <w:r>
        <w:rPr>
          <w:rStyle w:val="CharSDivNo"/>
        </w:rPr>
        <w:t>Division 3</w:t>
      </w:r>
      <w:r>
        <w:rPr>
          <w:b w:val="0"/>
        </w:rPr>
        <w:t> — </w:t>
      </w:r>
      <w:r>
        <w:rPr>
          <w:rStyle w:val="CharSDivText"/>
        </w:rPr>
        <w:t>Formula for the purposes of by</w:t>
      </w:r>
      <w:r>
        <w:rPr>
          <w:rStyle w:val="CharSDivText"/>
        </w:rPr>
        <w:noBreakHyphen/>
        <w:t>law 17(3)</w:t>
      </w:r>
      <w:bookmarkEnd w:id="484"/>
      <w:bookmarkEnd w:id="485"/>
    </w:p>
    <w:p>
      <w:pPr>
        <w:pStyle w:val="yFootnoteheading"/>
      </w:pPr>
      <w:r>
        <w:tab/>
        <w:t>[Heading inserted in Gazette 19 Jun 2009 p. 2342.]</w:t>
      </w:r>
    </w:p>
    <w:p>
      <w:pPr>
        <w:pStyle w:val="yHeading5"/>
      </w:pPr>
      <w:bookmarkStart w:id="486" w:name="_Toc233611693"/>
      <w:r>
        <w:rPr>
          <w:rStyle w:val="CharSClsNo"/>
        </w:rPr>
        <w:t>35</w:t>
      </w:r>
      <w:r>
        <w:t>.</w:t>
      </w:r>
      <w:r>
        <w:rPr>
          <w:b w:val="0"/>
        </w:rPr>
        <w:tab/>
      </w:r>
      <w:r>
        <w:t>Formula for the purposes of by</w:t>
      </w:r>
      <w:r>
        <w:noBreakHyphen/>
        <w:t>law 17(3)</w:t>
      </w:r>
      <w:bookmarkEnd w:id="486"/>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19 Jun 2009 p. 2342.]</w:t>
      </w:r>
    </w:p>
    <w:p>
      <w:pPr>
        <w:pStyle w:val="yHeading3"/>
      </w:pPr>
      <w:bookmarkStart w:id="487" w:name="_Toc233448387"/>
      <w:bookmarkStart w:id="488" w:name="_Toc233611694"/>
      <w:r>
        <w:rPr>
          <w:rStyle w:val="CharSDivNo"/>
        </w:rPr>
        <w:t>Division 4</w:t>
      </w:r>
      <w:r>
        <w:rPr>
          <w:b w:val="0"/>
        </w:rPr>
        <w:t> — </w:t>
      </w:r>
      <w:r>
        <w:rPr>
          <w:rStyle w:val="CharSDivText"/>
        </w:rPr>
        <w:t>Capital infrastructure charges determined under by</w:t>
      </w:r>
      <w:r>
        <w:rPr>
          <w:rStyle w:val="CharSDivText"/>
        </w:rPr>
        <w:noBreakHyphen/>
        <w:t>law 19A</w:t>
      </w:r>
      <w:bookmarkEnd w:id="487"/>
      <w:bookmarkEnd w:id="488"/>
    </w:p>
    <w:p>
      <w:pPr>
        <w:pStyle w:val="yFootnoteheading"/>
      </w:pPr>
      <w:r>
        <w:tab/>
        <w:t>[Heading inserted in Gazette 19 Jun 2009 p. 2342.]</w:t>
      </w:r>
    </w:p>
    <w:p>
      <w:pPr>
        <w:pStyle w:val="yHeading5"/>
      </w:pPr>
      <w:bookmarkStart w:id="489" w:name="_Toc233611695"/>
      <w:r>
        <w:rPr>
          <w:rStyle w:val="CharSClsNo"/>
        </w:rPr>
        <w:t>36</w:t>
      </w:r>
      <w:r>
        <w:t>.</w:t>
      </w:r>
      <w:r>
        <w:rPr>
          <w:b w:val="0"/>
        </w:rPr>
        <w:tab/>
      </w:r>
      <w:r>
        <w:t>Capital infrastructure charges determined under by</w:t>
      </w:r>
      <w:r>
        <w:noBreakHyphen/>
        <w:t>law 19A</w:t>
      </w:r>
      <w:bookmarkEnd w:id="489"/>
    </w:p>
    <w:p>
      <w:pPr>
        <w:pStyle w:val="ySubsection"/>
      </w:pPr>
      <w:r>
        <w:tab/>
      </w:r>
      <w:r>
        <w:tab/>
        <w:t>The capital infrastructure charges determined under by</w:t>
      </w:r>
      <w:r>
        <w:noBreakHyphen/>
        <w:t xml:space="preserve">law 19A are as follows — </w:t>
      </w:r>
    </w:p>
    <w:p>
      <w:pPr>
        <w:pStyle w:val="ySubsection"/>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jc w:val="center"/>
              <w:rPr>
                <w:b/>
                <w:bCs/>
              </w:rPr>
            </w:pPr>
            <w:r>
              <w:rPr>
                <w:b/>
                <w:bCs/>
              </w:rPr>
              <w:t>Column 2</w:t>
            </w:r>
          </w:p>
        </w:tc>
        <w:tc>
          <w:tcPr>
            <w:tcW w:w="1559" w:type="dxa"/>
            <w:tcBorders>
              <w:top w:val="single" w:sz="4" w:space="0" w:color="auto"/>
            </w:tcBorders>
          </w:tcPr>
          <w:p>
            <w:pPr>
              <w:pStyle w:val="yTableNAm"/>
              <w:jc w:val="center"/>
              <w:rPr>
                <w:b/>
                <w:bCs/>
              </w:rPr>
            </w:pPr>
            <w:r>
              <w:rPr>
                <w:b/>
                <w:bCs/>
              </w:rPr>
              <w:t>Column 3</w:t>
            </w:r>
          </w:p>
        </w:tc>
        <w:tc>
          <w:tcPr>
            <w:tcW w:w="1276" w:type="dxa"/>
            <w:tcBorders>
              <w:top w:val="single" w:sz="4" w:space="0" w:color="auto"/>
            </w:tcBorders>
          </w:tcPr>
          <w:p>
            <w:pPr>
              <w:pStyle w:val="yTableNAm"/>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jc w:val="center"/>
              <w:rPr>
                <w:b/>
                <w:bCs/>
                <w:i/>
              </w:rPr>
            </w:pPr>
            <w:r>
              <w:rPr>
                <w:b/>
                <w:bCs/>
                <w:i/>
              </w:rPr>
              <w:t>Single Charge</w:t>
            </w:r>
          </w:p>
        </w:tc>
        <w:tc>
          <w:tcPr>
            <w:tcW w:w="1559" w:type="dxa"/>
            <w:tcBorders>
              <w:bottom w:val="single" w:sz="4" w:space="0" w:color="auto"/>
            </w:tcBorders>
          </w:tcPr>
          <w:p>
            <w:pPr>
              <w:pStyle w:val="yTableNAm"/>
              <w:jc w:val="center"/>
              <w:rPr>
                <w:b/>
                <w:bCs/>
                <w:i/>
              </w:rPr>
            </w:pPr>
            <w:r>
              <w:rPr>
                <w:b/>
                <w:bCs/>
                <w:i/>
              </w:rPr>
              <w:t>Annual Charge</w:t>
            </w:r>
          </w:p>
        </w:tc>
        <w:tc>
          <w:tcPr>
            <w:tcW w:w="1276" w:type="dxa"/>
            <w:tcBorders>
              <w:bottom w:val="single" w:sz="4" w:space="0" w:color="auto"/>
            </w:tcBorders>
          </w:tcPr>
          <w:p>
            <w:pPr>
              <w:pStyle w:val="yTableNAm"/>
              <w:jc w:val="center"/>
              <w:rPr>
                <w:b/>
                <w:bCs/>
                <w:i/>
              </w:rPr>
            </w:pPr>
            <w:r>
              <w:rPr>
                <w:b/>
                <w:bCs/>
                <w:i/>
              </w:rPr>
              <w:t>No. of years</w:t>
            </w:r>
          </w:p>
        </w:tc>
      </w:tr>
      <w:tr>
        <w:tc>
          <w:tcPr>
            <w:tcW w:w="2694" w:type="dxa"/>
          </w:tcPr>
          <w:p>
            <w:pPr>
              <w:pStyle w:val="yTableNAm"/>
            </w:pPr>
            <w:r>
              <w:t>Greenough Flats</w:t>
            </w:r>
          </w:p>
        </w:tc>
        <w:tc>
          <w:tcPr>
            <w:tcW w:w="1559" w:type="dxa"/>
          </w:tcPr>
          <w:p>
            <w:pPr>
              <w:pStyle w:val="yTableNAm"/>
              <w:jc w:val="center"/>
            </w:pPr>
            <w:r>
              <w:t>$4 800.00</w:t>
            </w:r>
          </w:p>
        </w:tc>
        <w:tc>
          <w:tcPr>
            <w:tcW w:w="1559" w:type="dxa"/>
          </w:tcPr>
          <w:p>
            <w:pPr>
              <w:pStyle w:val="yTableNAm"/>
              <w:jc w:val="center"/>
            </w:pPr>
            <w:r>
              <w:t>$667.70</w:t>
            </w:r>
          </w:p>
        </w:tc>
        <w:tc>
          <w:tcPr>
            <w:tcW w:w="1276" w:type="dxa"/>
          </w:tcPr>
          <w:p>
            <w:pPr>
              <w:pStyle w:val="yTableNAm"/>
              <w:jc w:val="center"/>
            </w:pPr>
            <w:r>
              <w:t>10</w:t>
            </w:r>
          </w:p>
        </w:tc>
      </w:tr>
      <w:tr>
        <w:tc>
          <w:tcPr>
            <w:tcW w:w="2694" w:type="dxa"/>
          </w:tcPr>
          <w:p>
            <w:pPr>
              <w:pStyle w:val="yTableNAm"/>
            </w:pPr>
            <w:r>
              <w:t>Nilgen</w:t>
            </w:r>
          </w:p>
        </w:tc>
        <w:tc>
          <w:tcPr>
            <w:tcW w:w="1559" w:type="dxa"/>
          </w:tcPr>
          <w:p>
            <w:pPr>
              <w:pStyle w:val="yTableNAm"/>
              <w:jc w:val="center"/>
            </w:pPr>
            <w:r>
              <w:t>$3 120.00</w:t>
            </w:r>
          </w:p>
        </w:tc>
        <w:tc>
          <w:tcPr>
            <w:tcW w:w="1559" w:type="dxa"/>
          </w:tcPr>
          <w:p>
            <w:pPr>
              <w:pStyle w:val="yTableNAm"/>
              <w:jc w:val="center"/>
            </w:pPr>
            <w:r>
              <w:t>$463.80</w:t>
            </w:r>
          </w:p>
        </w:tc>
        <w:tc>
          <w:tcPr>
            <w:tcW w:w="1276" w:type="dxa"/>
          </w:tcPr>
          <w:p>
            <w:pPr>
              <w:pStyle w:val="yTableNAm"/>
              <w:jc w:val="center"/>
            </w:pPr>
            <w:r>
              <w:t>10</w:t>
            </w:r>
          </w:p>
        </w:tc>
      </w:tr>
      <w:tr>
        <w:tc>
          <w:tcPr>
            <w:tcW w:w="2694" w:type="dxa"/>
          </w:tcPr>
          <w:p>
            <w:pPr>
              <w:pStyle w:val="yTableNAm"/>
            </w:pPr>
            <w:r>
              <w:t>Prevelly</w:t>
            </w:r>
          </w:p>
        </w:tc>
        <w:tc>
          <w:tcPr>
            <w:tcW w:w="1559" w:type="dxa"/>
          </w:tcPr>
          <w:p>
            <w:pPr>
              <w:pStyle w:val="yTableNAm"/>
              <w:jc w:val="center"/>
            </w:pPr>
            <w:r>
              <w:t>$2 755.00</w:t>
            </w:r>
          </w:p>
        </w:tc>
        <w:tc>
          <w:tcPr>
            <w:tcW w:w="1559" w:type="dxa"/>
          </w:tcPr>
          <w:p>
            <w:pPr>
              <w:pStyle w:val="yTableNAm"/>
              <w:jc w:val="center"/>
            </w:pPr>
            <w:r>
              <w:t>$345.00</w:t>
            </w:r>
          </w:p>
        </w:tc>
        <w:tc>
          <w:tcPr>
            <w:tcW w:w="1276" w:type="dxa"/>
          </w:tcPr>
          <w:p>
            <w:pPr>
              <w:pStyle w:val="yTableNAm"/>
              <w:jc w:val="center"/>
            </w:pPr>
            <w:r>
              <w:t>10</w:t>
            </w:r>
          </w:p>
        </w:tc>
      </w:tr>
      <w:tr>
        <w:tc>
          <w:tcPr>
            <w:tcW w:w="2694" w:type="dxa"/>
          </w:tcPr>
          <w:p>
            <w:pPr>
              <w:pStyle w:val="yTableNAm"/>
            </w:pPr>
            <w:r>
              <w:t>South</w:t>
            </w:r>
            <w:r>
              <w:noBreakHyphen/>
              <w:t>west Moora</w:t>
            </w:r>
          </w:p>
        </w:tc>
        <w:tc>
          <w:tcPr>
            <w:tcW w:w="1559" w:type="dxa"/>
          </w:tcPr>
          <w:p>
            <w:pPr>
              <w:pStyle w:val="yTableNAm"/>
              <w:jc w:val="center"/>
            </w:pPr>
            <w:r>
              <w:t>$3 074.00</w:t>
            </w:r>
          </w:p>
        </w:tc>
        <w:tc>
          <w:tcPr>
            <w:tcW w:w="1559" w:type="dxa"/>
          </w:tcPr>
          <w:p>
            <w:pPr>
              <w:pStyle w:val="yTableNAm"/>
              <w:jc w:val="center"/>
            </w:pPr>
            <w:r>
              <w:t>$427.60</w:t>
            </w:r>
          </w:p>
        </w:tc>
        <w:tc>
          <w:tcPr>
            <w:tcW w:w="1276" w:type="dxa"/>
          </w:tcPr>
          <w:p>
            <w:pPr>
              <w:pStyle w:val="yTableNAm"/>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jc w:val="center"/>
            </w:pPr>
            <w:r>
              <w:t>$2 448.00</w:t>
            </w:r>
          </w:p>
        </w:tc>
        <w:tc>
          <w:tcPr>
            <w:tcW w:w="1559" w:type="dxa"/>
            <w:tcBorders>
              <w:bottom w:val="single" w:sz="4" w:space="0" w:color="auto"/>
            </w:tcBorders>
          </w:tcPr>
          <w:p>
            <w:pPr>
              <w:pStyle w:val="yTableNAm"/>
              <w:jc w:val="center"/>
            </w:pPr>
            <w:r>
              <w:t>$401.00</w:t>
            </w:r>
          </w:p>
        </w:tc>
        <w:tc>
          <w:tcPr>
            <w:tcW w:w="1276" w:type="dxa"/>
            <w:tcBorders>
              <w:bottom w:val="single" w:sz="4" w:space="0" w:color="auto"/>
            </w:tcBorders>
          </w:tcPr>
          <w:p>
            <w:pPr>
              <w:pStyle w:val="yTableNAm"/>
              <w:jc w:val="center"/>
            </w:pPr>
            <w:r>
              <w:t>10</w:t>
            </w:r>
          </w:p>
        </w:tc>
      </w:tr>
    </w:tbl>
    <w:p>
      <w:pPr>
        <w:pStyle w:val="yFootnotesection"/>
      </w:pPr>
      <w:r>
        <w:tab/>
        <w:t>[Division 4 inserted in Gazette 19 Jun 2009 p. 2342-3.]</w:t>
      </w:r>
    </w:p>
    <w:p>
      <w:pPr>
        <w:pStyle w:val="yScheduleHeading"/>
      </w:pPr>
      <w:bookmarkStart w:id="490" w:name="_Toc233448392"/>
      <w:bookmarkStart w:id="491" w:name="_Toc233611696"/>
      <w:bookmarkStart w:id="492" w:name="_Toc103741755"/>
      <w:bookmarkStart w:id="493" w:name="_Toc139771095"/>
      <w:bookmarkStart w:id="494" w:name="_Toc139771473"/>
      <w:bookmarkStart w:id="495" w:name="_Toc151191688"/>
      <w:bookmarkStart w:id="496" w:name="_Toc151260581"/>
      <w:bookmarkStart w:id="497" w:name="_Toc164158688"/>
      <w:bookmarkStart w:id="498" w:name="_Toc164221060"/>
      <w:bookmarkStart w:id="499" w:name="_Toc170879115"/>
      <w:bookmarkStart w:id="500" w:name="_Toc170894765"/>
      <w:bookmarkStart w:id="501" w:name="_Toc175712731"/>
      <w:bookmarkStart w:id="502" w:name="_Toc175970672"/>
      <w:bookmarkStart w:id="503" w:name="_Toc176335391"/>
      <w:bookmarkStart w:id="504" w:name="_Toc176338966"/>
      <w:bookmarkStart w:id="505" w:name="_Toc178742991"/>
      <w:bookmarkStart w:id="506" w:name="_Toc179363414"/>
      <w:bookmarkStart w:id="507" w:name="_Toc179604483"/>
      <w:bookmarkStart w:id="508" w:name="_Toc180204676"/>
      <w:bookmarkStart w:id="509" w:name="_Toc180204892"/>
      <w:bookmarkStart w:id="510" w:name="_Toc185844637"/>
      <w:bookmarkStart w:id="511" w:name="_Toc185845257"/>
      <w:bookmarkStart w:id="512" w:name="_Toc185927222"/>
      <w:bookmarkStart w:id="513" w:name="_Toc202506016"/>
      <w:bookmarkStart w:id="514" w:name="_Toc202672748"/>
      <w:bookmarkStart w:id="515" w:name="_Toc202691763"/>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SchNo"/>
        </w:rPr>
        <w:t>Schedule 2</w:t>
      </w:r>
      <w:r>
        <w:rPr>
          <w:rStyle w:val="CharSDivNo"/>
        </w:rPr>
        <w:t> </w:t>
      </w:r>
      <w:r>
        <w:t>—</w:t>
      </w:r>
      <w:r>
        <w:rPr>
          <w:rStyle w:val="CharSDivText"/>
        </w:rPr>
        <w:t> </w:t>
      </w:r>
      <w:r>
        <w:rPr>
          <w:rStyle w:val="CharSchText"/>
        </w:rPr>
        <w:t xml:space="preserve">Charges for water supply under the </w:t>
      </w:r>
      <w:r>
        <w:rPr>
          <w:rStyle w:val="CharSchText"/>
          <w:i/>
          <w:iCs/>
        </w:rPr>
        <w:t>Rights in Water and Irrigation Act 1914</w:t>
      </w:r>
      <w:r>
        <w:rPr>
          <w:rStyle w:val="CharSchText"/>
        </w:rPr>
        <w:t xml:space="preserve"> for 2009/2010</w:t>
      </w:r>
      <w:bookmarkEnd w:id="490"/>
      <w:bookmarkEnd w:id="491"/>
    </w:p>
    <w:p>
      <w:pPr>
        <w:pStyle w:val="yShoulderClause"/>
      </w:pPr>
      <w:r>
        <w:t xml:space="preserve">[bl. </w:t>
      </w:r>
      <w:r>
        <w:rPr>
          <w:snapToGrid w:val="0"/>
        </w:rPr>
        <w:t>20</w:t>
      </w:r>
      <w:r>
        <w:t>]</w:t>
      </w:r>
    </w:p>
    <w:p>
      <w:pPr>
        <w:pStyle w:val="yFootnoteheading"/>
      </w:pPr>
      <w:r>
        <w:tab/>
        <w:t>[Heading inserted in Gazette 19 Jun 2009 p. 2343.]</w:t>
      </w:r>
    </w:p>
    <w:p>
      <w:pPr>
        <w:pStyle w:val="yHeading3"/>
      </w:pPr>
      <w:bookmarkStart w:id="516" w:name="_Toc233448393"/>
      <w:bookmarkStart w:id="517" w:name="_Toc233611697"/>
      <w:r>
        <w:rPr>
          <w:rStyle w:val="CharSDivNo"/>
        </w:rPr>
        <w:t>Division 1</w:t>
      </w:r>
      <w:r>
        <w:rPr>
          <w:b w:val="0"/>
        </w:rPr>
        <w:t> — </w:t>
      </w:r>
      <w:r>
        <w:rPr>
          <w:rStyle w:val="CharSDivText"/>
        </w:rPr>
        <w:t>Fixed charges</w:t>
      </w:r>
      <w:bookmarkEnd w:id="516"/>
      <w:bookmarkEnd w:id="517"/>
    </w:p>
    <w:p>
      <w:pPr>
        <w:pStyle w:val="yFootnoteheading"/>
        <w:spacing w:after="120"/>
      </w:pPr>
      <w:r>
        <w:tab/>
        <w:t>[Heading inserted in Gazette 19 Jun 2009 p. 2343.]</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bCs/>
              </w:rPr>
            </w:pPr>
            <w:r>
              <w:rPr>
                <w:b/>
                <w:bCs/>
              </w:rPr>
              <w:t>1.</w:t>
            </w:r>
          </w:p>
        </w:tc>
        <w:tc>
          <w:tcPr>
            <w:tcW w:w="5692" w:type="dxa"/>
            <w:gridSpan w:val="2"/>
          </w:tcPr>
          <w:p>
            <w:pPr>
              <w:pStyle w:val="yTableNAm"/>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tcPr>
          <w:p>
            <w:pPr>
              <w:pStyle w:val="yTableNAm"/>
            </w:pP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(a)</w:t>
            </w:r>
            <w:r>
              <w:tab/>
              <w:t>where the supply is assured ........</w:t>
            </w:r>
          </w:p>
        </w:tc>
        <w:tc>
          <w:tcPr>
            <w:tcW w:w="1457" w:type="dxa"/>
          </w:tcPr>
          <w:p>
            <w:pPr>
              <w:pStyle w:val="yTableNAm"/>
            </w:pPr>
            <w:r>
              <w:t>$222.50</w:t>
            </w:r>
          </w:p>
        </w:tc>
      </w:tr>
      <w:tr>
        <w:tc>
          <w:tcPr>
            <w:tcW w:w="850" w:type="dxa"/>
          </w:tcPr>
          <w:p>
            <w:pPr>
              <w:pStyle w:val="yTableNAm"/>
            </w:pPr>
          </w:p>
        </w:tc>
        <w:tc>
          <w:tcPr>
            <w:tcW w:w="4235" w:type="dxa"/>
          </w:tcPr>
          <w:p>
            <w:pPr>
              <w:pStyle w:val="yTableNAm"/>
              <w:tabs>
                <w:tab w:val="clear" w:pos="567"/>
                <w:tab w:val="left" w:pos="416"/>
                <w:tab w:val="left" w:pos="1016"/>
              </w:tabs>
              <w:ind w:left="1016" w:hanging="1016"/>
            </w:pPr>
            <w:r>
              <w:tab/>
              <w:t>(b)</w:t>
            </w:r>
            <w:r>
              <w:tab/>
              <w:t>where the supply is not assured ...</w:t>
            </w:r>
          </w:p>
        </w:tc>
        <w:tc>
          <w:tcPr>
            <w:tcW w:w="1457" w:type="dxa"/>
          </w:tcPr>
          <w:p>
            <w:pPr>
              <w:pStyle w:val="yTableNAm"/>
            </w:pPr>
            <w:r>
              <w:t>$163.00</w:t>
            </w:r>
          </w:p>
        </w:tc>
      </w:tr>
    </w:tbl>
    <w:p>
      <w:pPr>
        <w:pStyle w:val="yFootnotesection"/>
      </w:pPr>
      <w:r>
        <w:tab/>
        <w:t>[Division 1 inserted in Gazette 19 Jun 2009 p. 2343.]</w:t>
      </w:r>
    </w:p>
    <w:p>
      <w:pPr>
        <w:pStyle w:val="yHeading3"/>
      </w:pPr>
      <w:bookmarkStart w:id="518" w:name="_Toc233448394"/>
      <w:bookmarkStart w:id="519" w:name="_Toc233611698"/>
      <w:r>
        <w:rPr>
          <w:rStyle w:val="CharSDivNo"/>
        </w:rPr>
        <w:t>Division 2</w:t>
      </w:r>
      <w:r>
        <w:rPr>
          <w:b w:val="0"/>
        </w:rPr>
        <w:t> — </w:t>
      </w:r>
      <w:r>
        <w:rPr>
          <w:rStyle w:val="CharSDivText"/>
        </w:rPr>
        <w:t>Variable charges and charges by way of a rate</w:t>
      </w:r>
      <w:bookmarkEnd w:id="518"/>
      <w:bookmarkEnd w:id="519"/>
    </w:p>
    <w:p>
      <w:pPr>
        <w:pStyle w:val="yFootnoteheading"/>
        <w:spacing w:after="120"/>
      </w:pPr>
      <w:r>
        <w:tab/>
        <w:t>[Heading inserted in Gazette 19 Jun 2009 p. 2344.]</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bCs/>
              </w:rPr>
            </w:pPr>
            <w:r>
              <w:rPr>
                <w:rStyle w:val="CharSClsNo"/>
                <w:b/>
                <w:bCs/>
              </w:rPr>
              <w:t>2</w:t>
            </w:r>
            <w:r>
              <w:rPr>
                <w:b/>
                <w:bCs/>
              </w:rPr>
              <w:t>.</w:t>
            </w:r>
          </w:p>
        </w:tc>
        <w:tc>
          <w:tcPr>
            <w:tcW w:w="5670" w:type="dxa"/>
            <w:gridSpan w:val="2"/>
          </w:tcPr>
          <w:p>
            <w:pPr>
              <w:pStyle w:val="yTableNAm"/>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c>
          <w:tcPr>
            <w:tcW w:w="850" w:type="dxa"/>
          </w:tcPr>
          <w:p>
            <w:pPr>
              <w:pStyle w:val="yTableNAm"/>
            </w:pPr>
          </w:p>
        </w:tc>
        <w:tc>
          <w:tcPr>
            <w:tcW w:w="4243"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tcPr>
          <w:p>
            <w:pPr>
              <w:pStyle w:val="yTableNAm"/>
            </w:pPr>
          </w:p>
        </w:tc>
      </w:tr>
      <w:tr>
        <w:tc>
          <w:tcPr>
            <w:tcW w:w="850" w:type="dxa"/>
          </w:tcPr>
          <w:p>
            <w:pPr>
              <w:pStyle w:val="yTableNAm"/>
            </w:pPr>
          </w:p>
        </w:tc>
        <w:tc>
          <w:tcPr>
            <w:tcW w:w="4243" w:type="dxa"/>
          </w:tcPr>
          <w:p>
            <w:pPr>
              <w:pStyle w:val="yTableNAm"/>
              <w:tabs>
                <w:tab w:val="clear" w:pos="567"/>
                <w:tab w:val="left" w:pos="416"/>
                <w:tab w:val="left" w:pos="1016"/>
              </w:tabs>
              <w:ind w:left="1016" w:hanging="1016"/>
            </w:pPr>
            <w:r>
              <w:tab/>
              <w:t>(a)</w:t>
            </w:r>
            <w:r>
              <w:tab/>
              <w:t>where the maximum area used as a feed lot during the year is not more than 4 hectares ....................</w:t>
            </w:r>
          </w:p>
        </w:tc>
        <w:tc>
          <w:tcPr>
            <w:tcW w:w="1427" w:type="dxa"/>
          </w:tcPr>
          <w:p>
            <w:pPr>
              <w:pStyle w:val="yTableNAm"/>
            </w:pPr>
            <w:r>
              <w:br/>
            </w:r>
            <w:r>
              <w:br/>
              <w:t>$597.00</w:t>
            </w:r>
          </w:p>
        </w:tc>
      </w:tr>
      <w:tr>
        <w:tc>
          <w:tcPr>
            <w:tcW w:w="850" w:type="dxa"/>
          </w:tcPr>
          <w:p>
            <w:pPr>
              <w:pStyle w:val="yTableNAm"/>
            </w:pPr>
          </w:p>
        </w:tc>
        <w:tc>
          <w:tcPr>
            <w:tcW w:w="4243" w:type="dxa"/>
          </w:tcPr>
          <w:p>
            <w:pPr>
              <w:pStyle w:val="yTableNAm"/>
              <w:tabs>
                <w:tab w:val="clear" w:pos="567"/>
                <w:tab w:val="left" w:pos="416"/>
                <w:tab w:val="left" w:pos="1016"/>
              </w:tabs>
              <w:ind w:left="1016" w:hanging="1016"/>
            </w:pPr>
            <w:r>
              <w:tab/>
              <w:t>(b)</w:t>
            </w:r>
            <w:r>
              <w:tab/>
              <w:t>where the maximum area used as a feed lot during the year is more than 4 hectares, the amount specified in paragraph (a) and, for each hectare (or part thereof) in excess of 4 hectares that is so used, a further amount of .............</w:t>
            </w:r>
          </w:p>
        </w:tc>
        <w:tc>
          <w:tcPr>
            <w:tcW w:w="1427" w:type="dxa"/>
          </w:tcPr>
          <w:p>
            <w:pPr>
              <w:pStyle w:val="yTableNAm"/>
            </w:pPr>
            <w:r>
              <w:br/>
            </w:r>
            <w:r>
              <w:br/>
            </w:r>
            <w:r>
              <w:br/>
            </w:r>
            <w:r>
              <w:br/>
            </w:r>
            <w:r>
              <w:br/>
            </w:r>
            <w:r>
              <w:br/>
              <w:t>$118.50</w:t>
            </w:r>
          </w:p>
        </w:tc>
      </w:tr>
    </w:tbl>
    <w:p>
      <w:pPr>
        <w:pStyle w:val="yFootnotesection"/>
      </w:pPr>
      <w:r>
        <w:tab/>
        <w:t>[Division 2 inserted in Gazette 19 Jun 2009 p. 2344.]</w:t>
      </w:r>
    </w:p>
    <w:p>
      <w:pPr>
        <w:pStyle w:val="yScheduleHeading"/>
      </w:pPr>
      <w:bookmarkStart w:id="520" w:name="_Toc233448420"/>
      <w:bookmarkStart w:id="521" w:name="_Toc233611699"/>
      <w:bookmarkStart w:id="522" w:name="_Toc170879125"/>
      <w:bookmarkStart w:id="523" w:name="_Toc170894773"/>
      <w:bookmarkStart w:id="524" w:name="_Toc175712739"/>
      <w:bookmarkStart w:id="525" w:name="_Toc175970680"/>
      <w:bookmarkStart w:id="526" w:name="_Toc176335399"/>
      <w:bookmarkStart w:id="527" w:name="_Toc176338974"/>
      <w:bookmarkStart w:id="528" w:name="_Toc178742999"/>
      <w:bookmarkStart w:id="529" w:name="_Toc179363422"/>
      <w:bookmarkStart w:id="530" w:name="_Toc179604491"/>
      <w:bookmarkStart w:id="531" w:name="_Toc180204684"/>
      <w:bookmarkStart w:id="532" w:name="_Toc180204900"/>
      <w:bookmarkStart w:id="533" w:name="_Toc185844645"/>
      <w:bookmarkStart w:id="534" w:name="_Toc185845265"/>
      <w:bookmarkStart w:id="535" w:name="_Toc185927230"/>
      <w:bookmarkStart w:id="536" w:name="_Toc202506071"/>
      <w:bookmarkStart w:id="537" w:name="_Toc202672803"/>
      <w:bookmarkStart w:id="538" w:name="_Toc202691788"/>
      <w:bookmarkStart w:id="539" w:name="_Toc139771097"/>
      <w:bookmarkStart w:id="540" w:name="_Toc139771475"/>
      <w:bookmarkStart w:id="541" w:name="_Toc151191690"/>
      <w:bookmarkStart w:id="542" w:name="_Toc151260583"/>
      <w:bookmarkStart w:id="543" w:name="_Toc164158690"/>
      <w:bookmarkStart w:id="544" w:name="_Toc164221062"/>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SchNo"/>
        </w:rPr>
        <w:t>Schedule 3</w:t>
      </w:r>
      <w:r>
        <w:rPr>
          <w:rStyle w:val="CharSDivNo"/>
        </w:rPr>
        <w:t> </w:t>
      </w:r>
      <w:r>
        <w:t>—</w:t>
      </w:r>
      <w:r>
        <w:rPr>
          <w:rStyle w:val="CharSDivText"/>
        </w:rPr>
        <w:t> </w:t>
      </w:r>
      <w:r>
        <w:rPr>
          <w:rStyle w:val="CharSchText"/>
        </w:rPr>
        <w:t>Charges for sewerage for 2009/2010</w:t>
      </w:r>
      <w:bookmarkEnd w:id="520"/>
      <w:bookmarkEnd w:id="521"/>
    </w:p>
    <w:p>
      <w:pPr>
        <w:pStyle w:val="yShoulderClause"/>
      </w:pPr>
      <w:r>
        <w:t>[bl. 21, 25A, 25B, 25C, 26, 26A, 26B]</w:t>
      </w:r>
    </w:p>
    <w:p>
      <w:pPr>
        <w:pStyle w:val="yFootnoteheading"/>
      </w:pPr>
      <w:r>
        <w:tab/>
        <w:t>[Heading inserted in Gazette 19 Jun 2009 p. 2344.]</w:t>
      </w:r>
    </w:p>
    <w:p>
      <w:pPr>
        <w:pStyle w:val="yHeading3"/>
      </w:pPr>
      <w:bookmarkStart w:id="545" w:name="_Toc233448421"/>
      <w:bookmarkStart w:id="546" w:name="_Toc233611700"/>
      <w:r>
        <w:rPr>
          <w:rStyle w:val="CharSDivNo"/>
        </w:rPr>
        <w:t>Division 1</w:t>
      </w:r>
      <w:r>
        <w:rPr>
          <w:b w:val="0"/>
        </w:rPr>
        <w:t> — </w:t>
      </w:r>
      <w:r>
        <w:rPr>
          <w:rStyle w:val="CharSDivText"/>
        </w:rPr>
        <w:t>Fixed charges</w:t>
      </w:r>
      <w:bookmarkEnd w:id="545"/>
      <w:bookmarkEnd w:id="546"/>
    </w:p>
    <w:p>
      <w:pPr>
        <w:pStyle w:val="yFootnoteheading"/>
        <w:spacing w:after="120"/>
      </w:pPr>
      <w:r>
        <w:tab/>
        <w:t>[Heading inserted in Gazette 19 Jun 2009 p. 2344.]</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bCs/>
              </w:rPr>
            </w:pPr>
            <w:r>
              <w:rPr>
                <w:rStyle w:val="CharSClsNo"/>
                <w:b/>
                <w:bCs/>
              </w:rPr>
              <w:t>1</w:t>
            </w:r>
            <w:r>
              <w:rPr>
                <w:b/>
                <w:bCs/>
              </w:rPr>
              <w:t>.</w:t>
            </w:r>
          </w:p>
        </w:tc>
        <w:tc>
          <w:tcPr>
            <w:tcW w:w="5670" w:type="dxa"/>
            <w:gridSpan w:val="2"/>
          </w:tcPr>
          <w:p>
            <w:pPr>
              <w:pStyle w:val="yTableNAm"/>
              <w:rPr>
                <w:b/>
                <w:bCs/>
              </w:rPr>
            </w:pPr>
            <w:r>
              <w:rPr>
                <w:b/>
                <w:bCs/>
              </w:rPr>
              <w:t>Connected metropolitan exempt</w:t>
            </w:r>
          </w:p>
        </w:tc>
      </w:tr>
      <w:tr>
        <w:tc>
          <w:tcPr>
            <w:tcW w:w="850" w:type="dxa"/>
          </w:tcPr>
          <w:p>
            <w:pPr>
              <w:pStyle w:val="yTableNAm"/>
            </w:pPr>
          </w:p>
        </w:tc>
        <w:tc>
          <w:tcPr>
            <w:tcW w:w="4236" w:type="dxa"/>
          </w:tcPr>
          <w:p>
            <w:pPr>
              <w:pStyle w:val="yTableNAm"/>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tcPr>
          <w:p>
            <w:pPr>
              <w:pStyle w:val="yTableNAm"/>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(a)</w:t>
            </w:r>
            <w:r>
              <w:tab/>
              <w:t>in the case of land used as a home for the aged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the </w:t>
            </w:r>
            <w:r>
              <w:t>first</w:t>
            </w:r>
            <w:r>
              <w:rPr>
                <w:spacing w:val="-1"/>
              </w:rPr>
              <w:t xml:space="preserve"> major fixture that discharges into the sewer ...........</w:t>
            </w:r>
          </w:p>
        </w:tc>
        <w:tc>
          <w:tcPr>
            <w:tcW w:w="1434" w:type="dxa"/>
          </w:tcPr>
          <w:p>
            <w:pPr>
              <w:pStyle w:val="yTableNAm"/>
              <w:rPr>
                <w:spacing w:val="-1"/>
              </w:rPr>
            </w:pPr>
            <w:r>
              <w:rPr>
                <w:spacing w:val="-1"/>
              </w:rPr>
              <w:br/>
              <w:t>$170.20</w:t>
            </w: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each </w:t>
            </w:r>
            <w:r>
              <w:t>additional</w:t>
            </w:r>
            <w:r>
              <w:rPr>
                <w:spacing w:val="-1"/>
              </w:rPr>
              <w:t xml:space="preserve"> major fixture that discharges into the sewer ...</w:t>
            </w:r>
          </w:p>
        </w:tc>
        <w:tc>
          <w:tcPr>
            <w:tcW w:w="1434" w:type="dxa"/>
          </w:tcPr>
          <w:p>
            <w:pPr>
              <w:pStyle w:val="yTableNAm"/>
              <w:rPr>
                <w:spacing w:val="-1"/>
              </w:rPr>
            </w:pPr>
            <w:r>
              <w:rPr>
                <w:spacing w:val="-1"/>
              </w:rPr>
              <w:br/>
              <w:t>$74.80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4"/>
              </w:rPr>
              <w:tab/>
              <w:t>(b)</w:t>
            </w:r>
            <w:r>
              <w:rPr>
                <w:spacing w:val="-4"/>
              </w:rPr>
              <w:tab/>
              <w:t xml:space="preserve">in </w:t>
            </w:r>
            <w:r>
              <w:t>any</w:t>
            </w:r>
            <w:r>
              <w:rPr>
                <w:spacing w:val="-4"/>
              </w:rPr>
              <w:t xml:space="preserve"> other case, a charge equal to the number of major fixtures multiplied by .....................................</w:t>
            </w:r>
          </w:p>
        </w:tc>
        <w:tc>
          <w:tcPr>
            <w:tcW w:w="1434" w:type="dxa"/>
          </w:tcPr>
          <w:p>
            <w:pPr>
              <w:pStyle w:val="yTableNAm"/>
              <w:rPr>
                <w:spacing w:val="-1"/>
              </w:rPr>
            </w:pPr>
            <w:r>
              <w:rPr>
                <w:spacing w:val="-1"/>
              </w:rPr>
              <w:br/>
            </w:r>
            <w:r>
              <w:rPr>
                <w:spacing w:val="-1"/>
              </w:rPr>
              <w:br/>
              <w:t>$170.20</w:t>
            </w:r>
          </w:p>
        </w:tc>
      </w:tr>
      <w:tr>
        <w:tc>
          <w:tcPr>
            <w:tcW w:w="850" w:type="dxa"/>
          </w:tcPr>
          <w:p>
            <w:pPr>
              <w:pStyle w:val="yTableNAm"/>
              <w:rPr>
                <w:b/>
                <w:bCs/>
              </w:rPr>
            </w:pPr>
            <w:r>
              <w:rPr>
                <w:rStyle w:val="CharSClsNo"/>
                <w:b/>
                <w:bCs/>
              </w:rPr>
              <w:t>2</w:t>
            </w:r>
            <w:r>
              <w:rPr>
                <w:b/>
                <w:bCs/>
              </w:rPr>
              <w:t>.</w:t>
            </w:r>
          </w:p>
        </w:tc>
        <w:tc>
          <w:tcPr>
            <w:tcW w:w="4236" w:type="dxa"/>
          </w:tcPr>
          <w:p>
            <w:pPr>
              <w:pStyle w:val="yTableNAm"/>
              <w:rPr>
                <w:b/>
                <w:bCs/>
                <w:spacing w:val="-4"/>
              </w:rPr>
            </w:pPr>
            <w:r>
              <w:rPr>
                <w:b/>
                <w:bCs/>
              </w:rPr>
              <w:t>Connected country exempt</w:t>
            </w:r>
          </w:p>
        </w:tc>
        <w:tc>
          <w:tcPr>
            <w:tcW w:w="1434" w:type="dxa"/>
          </w:tcPr>
          <w:p>
            <w:pPr>
              <w:pStyle w:val="yTableNAm"/>
              <w:rPr>
                <w:b/>
                <w:bCs/>
                <w:spacing w:val="-1"/>
              </w:rPr>
            </w:pPr>
          </w:p>
        </w:tc>
      </w:tr>
      <w:tr>
        <w:tc>
          <w:tcPr>
            <w:tcW w:w="850" w:type="dxa"/>
          </w:tcPr>
          <w:p>
            <w:pPr>
              <w:pStyle w:val="yTableNAm"/>
            </w:pPr>
          </w:p>
        </w:tc>
        <w:tc>
          <w:tcPr>
            <w:tcW w:w="4236" w:type="dxa"/>
          </w:tcPr>
          <w:p>
            <w:pPr>
              <w:pStyle w:val="yTableNAm"/>
              <w:rPr>
                <w:spacing w:val="-4"/>
              </w:rPr>
            </w:pPr>
            <w:r>
              <w:t>In respect of land in a country sewerage area that is classified as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(a)</w:t>
            </w:r>
            <w:r>
              <w:tab/>
              <w:t>i</w:t>
            </w:r>
            <w:r>
              <w:rPr>
                <w:snapToGrid w:val="0"/>
                <w:spacing w:val="-4"/>
              </w:rPr>
              <w:t>nstitutional public</w:t>
            </w:r>
            <w:r>
              <w:t xml:space="preserve">, an amount of —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for the first major fixture that discharges into the sewer ...........</w:t>
            </w:r>
          </w:p>
        </w:tc>
        <w:tc>
          <w:tcPr>
            <w:tcW w:w="1434" w:type="dxa"/>
          </w:tcPr>
          <w:p>
            <w:pPr>
              <w:pStyle w:val="yTableNAm"/>
              <w:rPr>
                <w:spacing w:val="-1"/>
              </w:rPr>
            </w:pPr>
            <w:r>
              <w:rPr>
                <w:spacing w:val="-1"/>
              </w:rPr>
              <w:br/>
              <w:t>$170.20</w:t>
            </w: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each </w:t>
            </w:r>
            <w:r>
              <w:t>additional</w:t>
            </w:r>
            <w:r>
              <w:rPr>
                <w:spacing w:val="-1"/>
              </w:rPr>
              <w:t xml:space="preserve"> major fixture that discharges into the sewer.....</w:t>
            </w:r>
          </w:p>
        </w:tc>
        <w:tc>
          <w:tcPr>
            <w:tcW w:w="1434" w:type="dxa"/>
          </w:tcPr>
          <w:p>
            <w:pPr>
              <w:pStyle w:val="yTableNAm"/>
              <w:rPr>
                <w:spacing w:val="-1"/>
              </w:rPr>
            </w:pPr>
            <w:r>
              <w:rPr>
                <w:spacing w:val="-1"/>
              </w:rPr>
              <w:br/>
              <w:t>$74.80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1"/>
              </w:rPr>
              <w:tab/>
              <w:t>(b)</w:t>
            </w:r>
            <w:r>
              <w:rPr>
                <w:spacing w:val="-1"/>
              </w:rPr>
              <w:tab/>
            </w:r>
            <w:r>
              <w:t>charitable purposes</w:t>
            </w:r>
            <w:r>
              <w:rPr>
                <w:spacing w:val="-1"/>
              </w:rPr>
              <w:t xml:space="preserve">, an amount of —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for the first major fixture that discharges into the sewer ...........</w:t>
            </w:r>
          </w:p>
        </w:tc>
        <w:tc>
          <w:tcPr>
            <w:tcW w:w="1434" w:type="dxa"/>
          </w:tcPr>
          <w:p>
            <w:pPr>
              <w:pStyle w:val="yTableNAm"/>
              <w:rPr>
                <w:spacing w:val="-1"/>
              </w:rPr>
            </w:pPr>
            <w:r>
              <w:rPr>
                <w:spacing w:val="-1"/>
              </w:rPr>
              <w:br/>
              <w:t>$170.20</w:t>
            </w: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 xml:space="preserve">for </w:t>
            </w:r>
            <w:r>
              <w:t>each</w:t>
            </w:r>
            <w:r>
              <w:rPr>
                <w:spacing w:val="-1"/>
              </w:rPr>
              <w:t xml:space="preserve"> additional major fixture that discharges into the sewer ....</w:t>
            </w:r>
          </w:p>
        </w:tc>
        <w:tc>
          <w:tcPr>
            <w:tcW w:w="1434" w:type="dxa"/>
          </w:tcPr>
          <w:p>
            <w:pPr>
              <w:pStyle w:val="yTableNAm"/>
              <w:rPr>
                <w:spacing w:val="-1"/>
              </w:rPr>
            </w:pPr>
            <w:r>
              <w:rPr>
                <w:spacing w:val="-1"/>
              </w:rPr>
              <w:br/>
              <w:t>$74.80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1"/>
              </w:rPr>
              <w:tab/>
              <w:t>(c)</w:t>
            </w:r>
            <w:r>
              <w:rPr>
                <w:spacing w:val="-1"/>
              </w:rPr>
              <w:tab/>
            </w:r>
            <w:r>
              <w:t>c</w:t>
            </w:r>
            <w:r>
              <w:rPr>
                <w:snapToGrid w:val="0"/>
              </w:rPr>
              <w:t>ommunity residential</w:t>
            </w:r>
            <w:r>
              <w:rPr>
                <w:spacing w:val="-1"/>
              </w:rPr>
              <w:t>, an amount for each major fixture that discharges into the sewer ...............</w:t>
            </w:r>
          </w:p>
        </w:tc>
        <w:tc>
          <w:tcPr>
            <w:tcW w:w="1434" w:type="dxa"/>
          </w:tcPr>
          <w:p>
            <w:pPr>
              <w:pStyle w:val="yTableNAm"/>
              <w:rPr>
                <w:spacing w:val="-1"/>
              </w:rPr>
            </w:pPr>
            <w:r>
              <w:rPr>
                <w:spacing w:val="-1"/>
              </w:rPr>
              <w:br/>
            </w:r>
            <w:r>
              <w:rPr>
                <w:spacing w:val="-1"/>
              </w:rPr>
              <w:br/>
              <w:t>$74.80</w:t>
            </w:r>
          </w:p>
        </w:tc>
      </w:tr>
      <w:tr>
        <w:tc>
          <w:tcPr>
            <w:tcW w:w="850" w:type="dxa"/>
          </w:tcPr>
          <w:p>
            <w:pPr>
              <w:pStyle w:val="yTableNAm"/>
            </w:pPr>
          </w:p>
        </w:tc>
        <w:tc>
          <w:tcPr>
            <w:tcW w:w="4236" w:type="dxa"/>
          </w:tcPr>
          <w:p>
            <w:pPr>
              <w:pStyle w:val="yTableNAm"/>
              <w:tabs>
                <w:tab w:val="clear" w:pos="567"/>
                <w:tab w:val="left" w:pos="416"/>
                <w:tab w:val="left" w:pos="896"/>
              </w:tabs>
              <w:ind w:left="896" w:hanging="896"/>
            </w:pPr>
            <w:r>
              <w:rPr>
                <w:spacing w:val="-1"/>
              </w:rPr>
              <w:tab/>
              <w:t>(d)</w:t>
            </w:r>
            <w:r>
              <w:rPr>
                <w:spacing w:val="-1"/>
              </w:rPr>
              <w:tab/>
            </w:r>
            <w:r>
              <w:t>general</w:t>
            </w:r>
            <w:r>
              <w:rPr>
                <w:spacing w:val="-1"/>
              </w:rPr>
              <w:t xml:space="preserve"> exempt, an amount of —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for the first major fixture that discharges into the sewer ...........</w:t>
            </w:r>
          </w:p>
        </w:tc>
        <w:tc>
          <w:tcPr>
            <w:tcW w:w="1434" w:type="dxa"/>
          </w:tcPr>
          <w:p>
            <w:pPr>
              <w:pStyle w:val="yTableNAm"/>
              <w:rPr>
                <w:spacing w:val="-1"/>
              </w:rPr>
            </w:pPr>
            <w:r>
              <w:rPr>
                <w:spacing w:val="-1"/>
              </w:rPr>
              <w:br/>
              <w:t>$170.20</w:t>
            </w:r>
          </w:p>
        </w:tc>
      </w:tr>
      <w:tr>
        <w:tc>
          <w:tcPr>
            <w:tcW w:w="850" w:type="dxa"/>
          </w:tcPr>
          <w:p>
            <w:pPr>
              <w:pStyle w:val="yTableNAm"/>
            </w:pPr>
          </w:p>
        </w:tc>
        <w:tc>
          <w:tcPr>
            <w:tcW w:w="4236" w:type="dxa"/>
          </w:tcPr>
          <w:p>
            <w:pPr>
              <w:pStyle w:val="yTableNAm"/>
              <w:tabs>
                <w:tab w:val="clear" w:pos="567"/>
                <w:tab w:val="left" w:pos="1136"/>
              </w:tabs>
              <w:ind w:left="1136" w:hanging="1136"/>
              <w:rPr>
                <w:spacing w:val="-1"/>
              </w:rPr>
            </w:pPr>
            <w:r>
              <w:rPr>
                <w:spacing w:val="-1"/>
              </w:rPr>
              <w:tab/>
              <w:t>for each additional major fixture that discharges into the sewer ....</w:t>
            </w:r>
          </w:p>
        </w:tc>
        <w:tc>
          <w:tcPr>
            <w:tcW w:w="1434" w:type="dxa"/>
          </w:tcPr>
          <w:p>
            <w:pPr>
              <w:pStyle w:val="yTableNAm"/>
              <w:rPr>
                <w:spacing w:val="-1"/>
              </w:rPr>
            </w:pPr>
            <w:r>
              <w:rPr>
                <w:spacing w:val="-1"/>
              </w:rPr>
              <w:br/>
              <w:t>$74.80</w:t>
            </w:r>
          </w:p>
        </w:tc>
      </w:tr>
      <w:tr>
        <w:tc>
          <w:tcPr>
            <w:tcW w:w="850" w:type="dxa"/>
          </w:tcPr>
          <w:p>
            <w:pPr>
              <w:pStyle w:val="yTableNAm"/>
              <w:rPr>
                <w:b/>
                <w:bCs/>
              </w:rPr>
            </w:pPr>
            <w:r>
              <w:rPr>
                <w:rStyle w:val="CharSClsNo"/>
                <w:b/>
                <w:bCs/>
              </w:rPr>
              <w:t>3</w:t>
            </w:r>
            <w:r>
              <w:rPr>
                <w:b/>
                <w:bCs/>
              </w:rPr>
              <w:t>.</w:t>
            </w:r>
          </w:p>
        </w:tc>
        <w:tc>
          <w:tcPr>
            <w:tcW w:w="4236" w:type="dxa"/>
          </w:tcPr>
          <w:p>
            <w:pPr>
              <w:pStyle w:val="yTableNAm"/>
              <w:rPr>
                <w:b/>
                <w:bCs/>
                <w:spacing w:val="-1"/>
              </w:rPr>
            </w:pPr>
            <w:r>
              <w:rPr>
                <w:b/>
                <w:bCs/>
              </w:rPr>
              <w:t>Strata</w:t>
            </w:r>
            <w:r>
              <w:rPr>
                <w:b/>
                <w:bCs/>
              </w:rPr>
              <w:noBreakHyphen/>
              <w:t>titled caravan bay</w:t>
            </w:r>
          </w:p>
        </w:tc>
        <w:tc>
          <w:tcPr>
            <w:tcW w:w="1434" w:type="dxa"/>
          </w:tcPr>
          <w:p>
            <w:pPr>
              <w:pStyle w:val="yTableNAm"/>
              <w:rPr>
                <w:b/>
                <w:bCs/>
                <w:spacing w:val="-1"/>
              </w:rPr>
            </w:pPr>
          </w:p>
        </w:tc>
      </w:tr>
      <w:tr>
        <w:tc>
          <w:tcPr>
            <w:tcW w:w="850" w:type="dxa"/>
          </w:tcPr>
          <w:p>
            <w:pPr>
              <w:pStyle w:val="yTableNAm"/>
            </w:pPr>
          </w:p>
        </w:tc>
        <w:tc>
          <w:tcPr>
            <w:tcW w:w="4236" w:type="dxa"/>
          </w:tcPr>
          <w:p>
            <w:pPr>
              <w:pStyle w:val="yTableNAm"/>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p>
        </w:tc>
        <w:tc>
          <w:tcPr>
            <w:tcW w:w="1434" w:type="dxa"/>
          </w:tcPr>
          <w:p>
            <w:pPr>
              <w:pStyle w:val="yTableNAm"/>
              <w:rPr>
                <w:spacing w:val="-1"/>
              </w:rPr>
            </w:pPr>
            <w:r>
              <w:rPr>
                <w:spacing w:val="-1"/>
              </w:rPr>
              <w:br/>
            </w:r>
            <w:r>
              <w:rPr>
                <w:spacing w:val="-1"/>
              </w:rPr>
              <w:br/>
              <w:t>$209.10</w:t>
            </w:r>
          </w:p>
        </w:tc>
      </w:tr>
      <w:tr>
        <w:tc>
          <w:tcPr>
            <w:tcW w:w="850" w:type="dxa"/>
          </w:tcPr>
          <w:p>
            <w:pPr>
              <w:pStyle w:val="yTableNAm"/>
              <w:rPr>
                <w:b/>
                <w:bCs/>
              </w:rPr>
            </w:pPr>
            <w:r>
              <w:rPr>
                <w:b/>
                <w:bCs/>
              </w:rPr>
              <w:t>4.</w:t>
            </w:r>
          </w:p>
        </w:tc>
        <w:tc>
          <w:tcPr>
            <w:tcW w:w="4236" w:type="dxa"/>
          </w:tcPr>
          <w:p>
            <w:pPr>
              <w:pStyle w:val="yTableNAm"/>
              <w:rPr>
                <w:b/>
                <w:bCs/>
              </w:rPr>
            </w:pPr>
            <w:r>
              <w:rPr>
                <w:b/>
                <w:bCs/>
              </w:rPr>
              <w:t>Strata</w:t>
            </w:r>
            <w:r>
              <w:rPr>
                <w:b/>
                <w:bCs/>
              </w:rPr>
              <w:noBreakHyphen/>
              <w:t>titled storage unit and strata</w:t>
            </w:r>
            <w:r>
              <w:rPr>
                <w:b/>
                <w:bCs/>
              </w:rPr>
              <w:noBreakHyphen/>
              <w:t>titled parking bay</w:t>
            </w:r>
          </w:p>
        </w:tc>
        <w:tc>
          <w:tcPr>
            <w:tcW w:w="1434" w:type="dxa"/>
          </w:tcPr>
          <w:p>
            <w:pPr>
              <w:pStyle w:val="yTableNAm"/>
              <w:rPr>
                <w:b/>
                <w:bCs/>
              </w:rPr>
            </w:pPr>
          </w:p>
        </w:tc>
      </w:tr>
      <w:tr>
        <w:tc>
          <w:tcPr>
            <w:tcW w:w="850" w:type="dxa"/>
          </w:tcPr>
          <w:p>
            <w:pPr>
              <w:pStyle w:val="yTableNAm"/>
            </w:pPr>
          </w:p>
        </w:tc>
        <w:tc>
          <w:tcPr>
            <w:tcW w:w="4236" w:type="dxa"/>
          </w:tcPr>
          <w:p>
            <w:pPr>
              <w:pStyle w:val="yTableNAm"/>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34" w:type="dxa"/>
          </w:tcPr>
          <w:p>
            <w:pPr>
              <w:pStyle w:val="yTableNAm"/>
              <w:rPr>
                <w:spacing w:val="-1"/>
              </w:rPr>
            </w:pPr>
            <w:r>
              <w:rPr>
                <w:spacing w:val="-1"/>
              </w:rPr>
              <w:br/>
            </w:r>
            <w:r>
              <w:rPr>
                <w:spacing w:val="-1"/>
              </w:rPr>
              <w:br/>
            </w:r>
            <w:r>
              <w:rPr>
                <w:spacing w:val="-1"/>
              </w:rPr>
              <w:br/>
              <w:t>$62.70</w:t>
            </w:r>
          </w:p>
        </w:tc>
      </w:tr>
      <w:tr>
        <w:trPr>
          <w:cantSplit/>
        </w:trPr>
        <w:tc>
          <w:tcPr>
            <w:tcW w:w="850" w:type="dxa"/>
          </w:tcPr>
          <w:p>
            <w:pPr>
              <w:pStyle w:val="yTableNAm"/>
              <w:rPr>
                <w:b/>
                <w:bCs/>
              </w:rPr>
            </w:pPr>
            <w:r>
              <w:rPr>
                <w:rStyle w:val="CharSClsNo"/>
                <w:b/>
                <w:bCs/>
              </w:rPr>
              <w:t>5</w:t>
            </w:r>
            <w:r>
              <w:rPr>
                <w:b/>
                <w:bCs/>
              </w:rPr>
              <w:t>.</w:t>
            </w:r>
          </w:p>
        </w:tc>
        <w:tc>
          <w:tcPr>
            <w:tcW w:w="5670" w:type="dxa"/>
            <w:gridSpan w:val="2"/>
          </w:tcPr>
          <w:p>
            <w:pPr>
              <w:pStyle w:val="yTableNAm"/>
              <w:rPr>
                <w:b/>
                <w:bCs/>
                <w:spacing w:val="-1"/>
              </w:rPr>
            </w:pPr>
            <w:r>
              <w:rPr>
                <w:b/>
                <w:bCs/>
              </w:rPr>
              <w:t>Non</w:t>
            </w:r>
            <w:r>
              <w:rPr>
                <w:b/>
                <w:bCs/>
              </w:rPr>
              <w:noBreakHyphen/>
              <w:t>residential strata</w:t>
            </w:r>
            <w:r>
              <w:rPr>
                <w:b/>
                <w:bCs/>
              </w:rPr>
              <w:noBreakHyphen/>
              <w:t>titled unit (except a storage unit or parking bay)</w:t>
            </w:r>
          </w:p>
        </w:tc>
      </w:tr>
      <w:tr>
        <w:tc>
          <w:tcPr>
            <w:tcW w:w="850" w:type="dxa"/>
          </w:tcPr>
          <w:p>
            <w:pPr>
              <w:pStyle w:val="yTableNAm"/>
            </w:pPr>
          </w:p>
        </w:tc>
        <w:tc>
          <w:tcPr>
            <w:tcW w:w="4236" w:type="dxa"/>
          </w:tcPr>
          <w:p>
            <w:pPr>
              <w:pStyle w:val="yTableNAm"/>
              <w:rPr>
                <w:spacing w:val="-1"/>
              </w:rPr>
            </w:pPr>
            <w:r>
              <w:t>In respect of land that —</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rPr>
                <w:spacing w:val="-1"/>
              </w:rPr>
            </w:pPr>
            <w:r>
              <w:tab/>
              <w:t>(a)</w:t>
            </w:r>
            <w:r>
              <w:tab/>
              <w:t>is classified non</w:t>
            </w:r>
            <w:r>
              <w:noBreakHyphen/>
              <w:t>residential; and</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rPr>
                <w:spacing w:val="-1"/>
              </w:rPr>
            </w:pPr>
            <w:r>
              <w:tab/>
              <w:t>(b)</w:t>
            </w:r>
            <w:r>
              <w:tab/>
              <w:t xml:space="preserve">comprises a unit that is a lot within the meaning of the </w:t>
            </w:r>
            <w:r>
              <w:rPr>
                <w:i/>
              </w:rPr>
              <w:t>Strata Titles Act 1985</w:t>
            </w:r>
            <w:r>
              <w:t>; and</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(c)</w:t>
            </w:r>
            <w:r>
              <w:tab/>
              <w:t>shares a major fixture with another unit described in paragraph (b) and has no other major fixtures that discharge into the sewer; and</w:t>
            </w:r>
          </w:p>
        </w:tc>
        <w:tc>
          <w:tcPr>
            <w:tcW w:w="1434" w:type="dxa"/>
          </w:tcPr>
          <w:p>
            <w:pPr>
              <w:pStyle w:val="yTableNAm"/>
              <w:rPr>
                <w:spacing w:val="-1"/>
              </w:rPr>
            </w:pPr>
          </w:p>
        </w:tc>
      </w:tr>
      <w:tr>
        <w:tc>
          <w:tcPr>
            <w:tcW w:w="850" w:type="dxa"/>
          </w:tcPr>
          <w:p>
            <w:pPr>
              <w:pStyle w:val="yTableNAm"/>
            </w:pPr>
          </w:p>
        </w:tc>
        <w:tc>
          <w:tcPr>
            <w:tcW w:w="4236" w:type="dxa"/>
          </w:tcPr>
          <w:p>
            <w:pPr>
              <w:pStyle w:val="yTableNAm"/>
              <w:tabs>
                <w:tab w:val="clear" w:pos="567"/>
                <w:tab w:val="left" w:pos="416"/>
                <w:tab w:val="left" w:pos="896"/>
              </w:tabs>
              <w:ind w:left="896" w:hanging="896"/>
            </w:pPr>
            <w:r>
              <w:tab/>
              <w:t>(d)</w:t>
            </w:r>
            <w:r>
              <w:tab/>
              <w:t>is not land mentioned in item 4,</w:t>
            </w:r>
          </w:p>
        </w:tc>
        <w:tc>
          <w:tcPr>
            <w:tcW w:w="1434" w:type="dxa"/>
          </w:tcPr>
          <w:p>
            <w:pPr>
              <w:pStyle w:val="yTableNAm"/>
              <w:rPr>
                <w:spacing w:val="-1"/>
              </w:rPr>
            </w:pPr>
          </w:p>
        </w:tc>
      </w:tr>
      <w:tr>
        <w:tc>
          <w:tcPr>
            <w:tcW w:w="850" w:type="dxa"/>
          </w:tcPr>
          <w:p>
            <w:pPr>
              <w:pStyle w:val="yTableNAm"/>
            </w:pPr>
          </w:p>
        </w:tc>
        <w:tc>
          <w:tcPr>
            <w:tcW w:w="4236" w:type="dxa"/>
          </w:tcPr>
          <w:p>
            <w:pPr>
              <w:pStyle w:val="yTableNAm"/>
              <w:rPr>
                <w:spacing w:val="-1"/>
              </w:rPr>
            </w:pPr>
            <w:r>
              <w:rPr>
                <w:spacing w:val="-1"/>
              </w:rPr>
              <w:t xml:space="preserve">and </w:t>
            </w:r>
            <w:r>
              <w:t xml:space="preserve">where </w:t>
            </w:r>
            <w:r>
              <w:rPr>
                <w:spacing w:val="-1"/>
              </w:rPr>
              <w:t>the total number of major fixtures shared by all the units on the relevant strata plan is less than the number of those units .....</w:t>
            </w:r>
          </w:p>
        </w:tc>
        <w:tc>
          <w:tcPr>
            <w:tcW w:w="1434" w:type="dxa"/>
          </w:tcPr>
          <w:p>
            <w:pPr>
              <w:pStyle w:val="yTableNAm"/>
              <w:rPr>
                <w:spacing w:val="-1"/>
              </w:rPr>
            </w:pPr>
            <w:r>
              <w:rPr>
                <w:spacing w:val="-1"/>
              </w:rPr>
              <w:br/>
            </w:r>
            <w:r>
              <w:rPr>
                <w:spacing w:val="-1"/>
              </w:rPr>
              <w:br/>
              <w:t>$393.70</w:t>
            </w:r>
          </w:p>
        </w:tc>
      </w:tr>
      <w:tr>
        <w:trPr>
          <w:cantSplit/>
        </w:trPr>
        <w:tc>
          <w:tcPr>
            <w:tcW w:w="850" w:type="dxa"/>
          </w:tcPr>
          <w:p>
            <w:pPr>
              <w:pStyle w:val="yTableNAm"/>
              <w:rPr>
                <w:b/>
                <w:bCs/>
              </w:rPr>
            </w:pPr>
            <w:r>
              <w:rPr>
                <w:rStyle w:val="CharSClsNo"/>
                <w:b/>
                <w:bCs/>
              </w:rPr>
              <w:t>6</w:t>
            </w:r>
            <w:r>
              <w:rPr>
                <w:b/>
                <w:bCs/>
              </w:rPr>
              <w:t>.</w:t>
            </w:r>
          </w:p>
        </w:tc>
        <w:tc>
          <w:tcPr>
            <w:tcW w:w="5670" w:type="dxa"/>
            <w:gridSpan w:val="2"/>
          </w:tcPr>
          <w:p>
            <w:pPr>
              <w:pStyle w:val="yTableNAm"/>
              <w:rPr>
                <w:b/>
                <w:bCs/>
                <w:spacing w:val="-1"/>
              </w:rPr>
            </w:pPr>
            <w:r>
              <w:rPr>
                <w:b/>
                <w:bCs/>
              </w:rPr>
              <w:t>Land from which industrial waste is discharged into a sewer of the Corporation</w:t>
            </w:r>
          </w:p>
        </w:tc>
      </w:tr>
      <w:tr>
        <w:tc>
          <w:tcPr>
            <w:tcW w:w="850" w:type="dxa"/>
          </w:tcPr>
          <w:p>
            <w:pPr>
              <w:pStyle w:val="yTableNAm"/>
            </w:pPr>
          </w:p>
        </w:tc>
        <w:tc>
          <w:tcPr>
            <w:tcW w:w="4236" w:type="dxa"/>
          </w:tcPr>
          <w:p>
            <w:pPr>
              <w:pStyle w:val="yTableNAm"/>
            </w:pPr>
            <w:r>
              <w:t>Discharge pursuant to permit .......................</w:t>
            </w:r>
          </w:p>
        </w:tc>
        <w:tc>
          <w:tcPr>
            <w:tcW w:w="1434" w:type="dxa"/>
          </w:tcPr>
          <w:p>
            <w:pPr>
              <w:pStyle w:val="yTableNAm"/>
            </w:pPr>
            <w:r>
              <w:t>$195.60</w:t>
            </w:r>
          </w:p>
        </w:tc>
      </w:tr>
      <w:tr>
        <w:trPr>
          <w:cantSplit/>
        </w:trPr>
        <w:tc>
          <w:tcPr>
            <w:tcW w:w="850" w:type="dxa"/>
          </w:tcPr>
          <w:p>
            <w:pPr>
              <w:pStyle w:val="yTableNAm"/>
              <w:rPr>
                <w:b/>
                <w:bCs/>
              </w:rPr>
            </w:pPr>
            <w:r>
              <w:rPr>
                <w:rStyle w:val="CharSClsNo"/>
                <w:b/>
                <w:bCs/>
              </w:rPr>
              <w:t>7</w:t>
            </w:r>
            <w:r>
              <w:rPr>
                <w:b/>
                <w:bCs/>
              </w:rPr>
              <w:t>.</w:t>
            </w:r>
          </w:p>
        </w:tc>
        <w:tc>
          <w:tcPr>
            <w:tcW w:w="5670" w:type="dxa"/>
            <w:gridSpan w:val="2"/>
          </w:tcPr>
          <w:p>
            <w:pPr>
              <w:pStyle w:val="yTableNAm"/>
              <w:rPr>
                <w:b/>
                <w:bCs/>
                <w:spacing w:val="-1"/>
              </w:rPr>
            </w:pPr>
            <w:r>
              <w:rPr>
                <w:b/>
                <w:bCs/>
              </w:rPr>
              <w:t>Land from which industrial waste is discharged into a sewer of the Corporation through grease arrestor</w:t>
            </w:r>
          </w:p>
        </w:tc>
      </w:tr>
      <w:tr>
        <w:tc>
          <w:tcPr>
            <w:tcW w:w="850" w:type="dxa"/>
          </w:tcPr>
          <w:p>
            <w:pPr>
              <w:pStyle w:val="yTableNAm"/>
              <w:rPr>
                <w:rStyle w:val="CharSClsNo"/>
              </w:rPr>
            </w:pPr>
          </w:p>
        </w:tc>
        <w:tc>
          <w:tcPr>
            <w:tcW w:w="4236" w:type="dxa"/>
          </w:tcPr>
          <w:p>
            <w:pPr>
              <w:pStyle w:val="yTableNAm"/>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in respect of each grease arrestor, not being a grease arrestor that is shared with other land the subject of a permit, a charge of ................</w:t>
            </w:r>
          </w:p>
        </w:tc>
        <w:tc>
          <w:tcPr>
            <w:tcW w:w="1434" w:type="dxa"/>
          </w:tcPr>
          <w:p>
            <w:pPr>
              <w:pStyle w:val="yTableNAm"/>
            </w:pPr>
            <w:r>
              <w:br/>
            </w:r>
            <w:r>
              <w:br/>
            </w:r>
            <w:r>
              <w:br/>
              <w:t>$85.95</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in respect of each grease arrestor that is shared with other land the subject of a permit, a charge of ....</w:t>
            </w:r>
          </w:p>
        </w:tc>
        <w:tc>
          <w:tcPr>
            <w:tcW w:w="1434" w:type="dxa"/>
          </w:tcPr>
          <w:p>
            <w:pPr>
              <w:pStyle w:val="yTableNAm"/>
            </w:pPr>
            <w:r>
              <w:br/>
            </w:r>
            <w:r>
              <w:br/>
              <w:t>$46.90</w:t>
            </w:r>
          </w:p>
        </w:tc>
      </w:tr>
    </w:tbl>
    <w:p>
      <w:pPr>
        <w:pStyle w:val="yFootnotesection"/>
      </w:pPr>
      <w:r>
        <w:tab/>
        <w:t>[Division 1 inserted in Gazette 19 Jun 2009 p. 2344-7.]</w:t>
      </w:r>
    </w:p>
    <w:p>
      <w:pPr>
        <w:pStyle w:val="yHeading3"/>
      </w:pPr>
      <w:bookmarkStart w:id="547" w:name="_Toc233448422"/>
      <w:bookmarkStart w:id="548" w:name="_Toc233611701"/>
      <w:r>
        <w:rPr>
          <w:rStyle w:val="CharSDivNo"/>
        </w:rPr>
        <w:t>Division 2</w:t>
      </w:r>
      <w:r>
        <w:t> — </w:t>
      </w:r>
      <w:r>
        <w:rPr>
          <w:rStyle w:val="CharSDivText"/>
        </w:rPr>
        <w:t>Variable charges and charges by way of a rate</w:t>
      </w:r>
      <w:bookmarkEnd w:id="547"/>
      <w:bookmarkEnd w:id="548"/>
    </w:p>
    <w:p>
      <w:pPr>
        <w:pStyle w:val="yFootnoteheading"/>
        <w:spacing w:after="120"/>
      </w:pPr>
      <w:r>
        <w:tab/>
        <w:t>[Heading inserted in Gazette 19 Jun 2009 p. 2347.]</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rPr>
                <w:b/>
                <w:bCs/>
              </w:rPr>
            </w:pPr>
            <w:r>
              <w:rPr>
                <w:rStyle w:val="CharSClsNo"/>
                <w:b/>
                <w:bCs/>
              </w:rPr>
              <w:t>8</w:t>
            </w:r>
            <w:r>
              <w:rPr>
                <w:b/>
                <w:bCs/>
              </w:rPr>
              <w:t>.</w:t>
            </w:r>
          </w:p>
        </w:tc>
        <w:tc>
          <w:tcPr>
            <w:tcW w:w="5670" w:type="dxa"/>
            <w:gridSpan w:val="2"/>
          </w:tcPr>
          <w:p>
            <w:pPr>
              <w:pStyle w:val="yTableNAm"/>
              <w:rPr>
                <w:b/>
                <w:bCs/>
                <w:spacing w:val="-1"/>
              </w:rPr>
            </w:pPr>
            <w:r>
              <w:rPr>
                <w:b/>
                <w:bCs/>
              </w:rPr>
              <w:t>Metropolitan residential</w:t>
            </w:r>
          </w:p>
        </w:tc>
      </w:tr>
      <w:tr>
        <w:tc>
          <w:tcPr>
            <w:tcW w:w="850" w:type="dxa"/>
          </w:tcPr>
          <w:p>
            <w:pPr>
              <w:pStyle w:val="yTableNAm"/>
              <w:rPr>
                <w:rStyle w:val="CharSClsNo"/>
              </w:rPr>
            </w:pPr>
          </w:p>
        </w:tc>
        <w:tc>
          <w:tcPr>
            <w:tcW w:w="4236" w:type="dxa"/>
          </w:tcPr>
          <w:p>
            <w:pPr>
              <w:pStyle w:val="yTableNAm"/>
              <w:rPr>
                <w:spacing w:val="-1"/>
              </w:rPr>
            </w:pPr>
            <w:r>
              <w:t>In respect of each residential property in the metropolitan area not being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subject to a charge under item 1 or 3; or</w:t>
            </w:r>
          </w:p>
        </w:tc>
        <w:tc>
          <w:tcPr>
            <w:tcW w:w="1434"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a caravan park or a nursing home,</w:t>
            </w:r>
          </w:p>
        </w:tc>
        <w:tc>
          <w:tcPr>
            <w:tcW w:w="1434" w:type="dxa"/>
          </w:tcPr>
          <w:p>
            <w:pPr>
              <w:pStyle w:val="yTableNAm"/>
            </w:pPr>
          </w:p>
        </w:tc>
      </w:tr>
      <w:tr>
        <w:tc>
          <w:tcPr>
            <w:tcW w:w="850" w:type="dxa"/>
          </w:tcPr>
          <w:p>
            <w:pPr>
              <w:pStyle w:val="yTableNAm"/>
              <w:rPr>
                <w:rStyle w:val="CharSClsNo"/>
              </w:rPr>
            </w:pPr>
          </w:p>
        </w:tc>
        <w:tc>
          <w:tcPr>
            <w:tcW w:w="4236" w:type="dxa"/>
          </w:tcPr>
          <w:p>
            <w:pPr>
              <w:pStyle w:val="yTableNAm"/>
            </w:pPr>
            <w:r>
              <w:t>an amount for each dollar of the GRV —</w:t>
            </w:r>
          </w:p>
        </w:tc>
        <w:tc>
          <w:tcPr>
            <w:tcW w:w="1434"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1136"/>
              </w:tabs>
              <w:ind w:left="1136" w:hanging="1136"/>
              <w:rPr>
                <w:spacing w:val="-1"/>
              </w:rPr>
            </w:pPr>
            <w:r>
              <w:tab/>
              <w:t>up</w:t>
            </w:r>
            <w:r>
              <w:rPr>
                <w:spacing w:val="-1"/>
              </w:rPr>
              <w:t xml:space="preserve"> to $12 400 ..............................</w:t>
            </w:r>
          </w:p>
        </w:tc>
        <w:tc>
          <w:tcPr>
            <w:tcW w:w="1434" w:type="dxa"/>
          </w:tcPr>
          <w:p>
            <w:pPr>
              <w:pStyle w:val="yTableNAm"/>
              <w:rPr>
                <w:spacing w:val="-1"/>
              </w:rPr>
            </w:pPr>
            <w:r>
              <w:t>4.92 cents</w:t>
            </w:r>
            <w:r>
              <w:rPr>
                <w:spacing w:val="-1"/>
              </w:rPr>
              <w:t>/$ of GRV</w:t>
            </w:r>
          </w:p>
        </w:tc>
      </w:tr>
      <w:tr>
        <w:tc>
          <w:tcPr>
            <w:tcW w:w="850" w:type="dxa"/>
          </w:tcPr>
          <w:p>
            <w:pPr>
              <w:pStyle w:val="yTableNAm"/>
              <w:rPr>
                <w:rStyle w:val="CharSClsNo"/>
              </w:rPr>
            </w:pPr>
          </w:p>
        </w:tc>
        <w:tc>
          <w:tcPr>
            <w:tcW w:w="4236" w:type="dxa"/>
          </w:tcPr>
          <w:p>
            <w:pPr>
              <w:pStyle w:val="yTableNAm"/>
              <w:tabs>
                <w:tab w:val="clear" w:pos="567"/>
                <w:tab w:val="left" w:pos="1136"/>
              </w:tabs>
              <w:ind w:left="1136" w:hanging="1136"/>
              <w:rPr>
                <w:spacing w:val="-1"/>
              </w:rPr>
            </w:pPr>
            <w:r>
              <w:tab/>
              <w:t>over</w:t>
            </w:r>
            <w:r>
              <w:rPr>
                <w:spacing w:val="-1"/>
              </w:rPr>
              <w:t xml:space="preserve"> $</w:t>
            </w:r>
            <w:r>
              <w:t>12</w:t>
            </w:r>
            <w:r>
              <w:rPr>
                <w:spacing w:val="-1"/>
              </w:rPr>
              <w:t> 400 ..............................</w:t>
            </w:r>
          </w:p>
        </w:tc>
        <w:tc>
          <w:tcPr>
            <w:tcW w:w="1434" w:type="dxa"/>
          </w:tcPr>
          <w:p>
            <w:pPr>
              <w:pStyle w:val="yTableNAm"/>
              <w:rPr>
                <w:spacing w:val="-1"/>
              </w:rPr>
            </w:pPr>
            <w:r>
              <w:rPr>
                <w:spacing w:val="-1"/>
              </w:rPr>
              <w:t>1.69 cents/$ of GRV</w:t>
            </w:r>
          </w:p>
        </w:tc>
      </w:tr>
      <w:tr>
        <w:tc>
          <w:tcPr>
            <w:tcW w:w="850" w:type="dxa"/>
          </w:tcPr>
          <w:p>
            <w:pPr>
              <w:pStyle w:val="yTableNAm"/>
              <w:rPr>
                <w:rStyle w:val="CharSClsNo"/>
              </w:rPr>
            </w:pPr>
          </w:p>
        </w:tc>
        <w:tc>
          <w:tcPr>
            <w:tcW w:w="4236" w:type="dxa"/>
          </w:tcPr>
          <w:p>
            <w:pPr>
              <w:pStyle w:val="yTableNAm"/>
              <w:rPr>
                <w:spacing w:val="-1"/>
              </w:rPr>
            </w:pPr>
            <w:r>
              <w:rPr>
                <w:spacing w:val="-1"/>
              </w:rPr>
              <w:t>Subject to a minimum of .................................</w:t>
            </w:r>
          </w:p>
        </w:tc>
        <w:tc>
          <w:tcPr>
            <w:tcW w:w="1434" w:type="dxa"/>
          </w:tcPr>
          <w:p>
            <w:pPr>
              <w:pStyle w:val="yTableNAm"/>
              <w:rPr>
                <w:spacing w:val="-1"/>
              </w:rPr>
            </w:pPr>
            <w:r>
              <w:rPr>
                <w:spacing w:val="-1"/>
              </w:rPr>
              <w:t>$287.50</w:t>
            </w:r>
          </w:p>
        </w:tc>
      </w:tr>
      <w:tr>
        <w:tc>
          <w:tcPr>
            <w:tcW w:w="850" w:type="dxa"/>
          </w:tcPr>
          <w:p>
            <w:pPr>
              <w:pStyle w:val="yTableNAm"/>
              <w:rPr>
                <w:rStyle w:val="CharSClsNo"/>
                <w:b/>
                <w:bCs/>
              </w:rPr>
            </w:pPr>
            <w:r>
              <w:rPr>
                <w:rStyle w:val="CharSClsNo"/>
                <w:b/>
                <w:bCs/>
              </w:rPr>
              <w:t>9</w:t>
            </w:r>
            <w:r>
              <w:rPr>
                <w:b/>
                <w:bCs/>
              </w:rPr>
              <w:t>.</w:t>
            </w:r>
          </w:p>
        </w:tc>
        <w:tc>
          <w:tcPr>
            <w:tcW w:w="4236" w:type="dxa"/>
          </w:tcPr>
          <w:p>
            <w:pPr>
              <w:pStyle w:val="yTableNAm"/>
              <w:rPr>
                <w:b/>
                <w:bCs/>
                <w:spacing w:val="-1"/>
              </w:rPr>
            </w:pPr>
            <w:r>
              <w:rPr>
                <w:b/>
                <w:bCs/>
              </w:rPr>
              <w:t>Vacant metropolitan non</w:t>
            </w:r>
            <w:r>
              <w:rPr>
                <w:b/>
                <w:bCs/>
              </w:rPr>
              <w:noBreakHyphen/>
              <w:t>residential</w:t>
            </w:r>
          </w:p>
        </w:tc>
        <w:tc>
          <w:tcPr>
            <w:tcW w:w="1434" w:type="dxa"/>
          </w:tcPr>
          <w:p>
            <w:pPr>
              <w:pStyle w:val="yTableNAm"/>
              <w:rPr>
                <w:b/>
                <w:bCs/>
                <w:spacing w:val="-1"/>
              </w:rPr>
            </w:pPr>
          </w:p>
        </w:tc>
      </w:tr>
      <w:tr>
        <w:tc>
          <w:tcPr>
            <w:tcW w:w="850" w:type="dxa"/>
          </w:tcPr>
          <w:p>
            <w:pPr>
              <w:pStyle w:val="yTableNAm"/>
              <w:rPr>
                <w:rStyle w:val="CharSClsNo"/>
              </w:rPr>
            </w:pPr>
          </w:p>
        </w:tc>
        <w:tc>
          <w:tcPr>
            <w:tcW w:w="4236" w:type="dxa"/>
          </w:tcPr>
          <w:p>
            <w:pPr>
              <w:pStyle w:val="yTableNAm"/>
              <w:rPr>
                <w:spacing w:val="-1"/>
              </w:rPr>
            </w:pPr>
            <w:r>
              <w:t>In respect of vacant land in the metropolitan area not being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rPr>
                <w:spacing w:val="-1"/>
              </w:rPr>
            </w:pPr>
            <w:r>
              <w:tab/>
              <w:t>(a)</w:t>
            </w:r>
            <w:r>
              <w:tab/>
              <w:t>land comprised in a residential property; or</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rPr>
                <w:spacing w:val="-1"/>
              </w:rPr>
            </w:pPr>
            <w:r>
              <w:tab/>
              <w:t>(b)</w:t>
            </w:r>
            <w:r>
              <w:tab/>
              <w:t>a nursing home; or</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rPr>
                <w:spacing w:val="-1"/>
              </w:rPr>
            </w:pPr>
            <w:r>
              <w:tab/>
              <w:t>(c)</w:t>
            </w:r>
            <w:r>
              <w:tab/>
              <w:t>a caravan park; or</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(d)</w:t>
            </w:r>
            <w:r>
              <w:tab/>
              <w:t>land referred to in item 1 or 3,</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rPr>
                <w:spacing w:val="-1"/>
              </w:rPr>
            </w:pPr>
            <w:r>
              <w:t xml:space="preserve">an amount of </w:t>
            </w:r>
            <w:r>
              <w:rPr>
                <w:spacing w:val="-1"/>
              </w:rPr>
              <w:t>...................................................</w:t>
            </w:r>
          </w:p>
        </w:tc>
        <w:tc>
          <w:tcPr>
            <w:tcW w:w="1434" w:type="dxa"/>
          </w:tcPr>
          <w:p>
            <w:pPr>
              <w:pStyle w:val="yTableNAm"/>
              <w:rPr>
                <w:spacing w:val="-1"/>
              </w:rPr>
            </w:pPr>
            <w:r>
              <w:t>1.540 cents/$ of GRV</w:t>
            </w:r>
          </w:p>
        </w:tc>
      </w:tr>
      <w:tr>
        <w:tc>
          <w:tcPr>
            <w:tcW w:w="850" w:type="dxa"/>
          </w:tcPr>
          <w:p>
            <w:pPr>
              <w:pStyle w:val="yTableNAm"/>
              <w:rPr>
                <w:rStyle w:val="CharSClsNo"/>
              </w:rPr>
            </w:pPr>
          </w:p>
        </w:tc>
        <w:tc>
          <w:tcPr>
            <w:tcW w:w="4236" w:type="dxa"/>
          </w:tcPr>
          <w:p>
            <w:pPr>
              <w:pStyle w:val="yTableNAm"/>
              <w:rPr>
                <w:spacing w:val="-1"/>
              </w:rPr>
            </w:pPr>
            <w:r>
              <w:rPr>
                <w:spacing w:val="-1"/>
              </w:rPr>
              <w:t xml:space="preserve">subject to a </w:t>
            </w:r>
            <w:r>
              <w:t>minimum</w:t>
            </w:r>
            <w:r>
              <w:rPr>
                <w:spacing w:val="-1"/>
              </w:rPr>
              <w:t xml:space="preserve"> in respect of any vacant land the subject of a separate assessment of ...</w:t>
            </w:r>
          </w:p>
        </w:tc>
        <w:tc>
          <w:tcPr>
            <w:tcW w:w="1434" w:type="dxa"/>
          </w:tcPr>
          <w:p>
            <w:pPr>
              <w:pStyle w:val="yTableNAm"/>
              <w:rPr>
                <w:spacing w:val="-1"/>
              </w:rPr>
            </w:pPr>
            <w:r>
              <w:rPr>
                <w:spacing w:val="-1"/>
              </w:rPr>
              <w:br/>
              <w:t>$216.20</w:t>
            </w:r>
          </w:p>
        </w:tc>
      </w:tr>
      <w:tr>
        <w:tc>
          <w:tcPr>
            <w:tcW w:w="850" w:type="dxa"/>
          </w:tcPr>
          <w:p>
            <w:pPr>
              <w:pStyle w:val="yTableNAm"/>
              <w:rPr>
                <w:rStyle w:val="CharSClsNo"/>
                <w:b/>
                <w:bCs/>
              </w:rPr>
            </w:pPr>
            <w:r>
              <w:rPr>
                <w:rStyle w:val="CharSClsNo"/>
                <w:b/>
                <w:bCs/>
              </w:rPr>
              <w:t>10.</w:t>
            </w:r>
          </w:p>
        </w:tc>
        <w:tc>
          <w:tcPr>
            <w:tcW w:w="4236" w:type="dxa"/>
          </w:tcPr>
          <w:p>
            <w:pPr>
              <w:pStyle w:val="yTableNAm"/>
              <w:rPr>
                <w:b/>
                <w:bCs/>
                <w:spacing w:val="-1"/>
              </w:rPr>
            </w:pPr>
            <w:r>
              <w:rPr>
                <w:b/>
                <w:bCs/>
              </w:rPr>
              <w:t>Country</w:t>
            </w:r>
          </w:p>
        </w:tc>
        <w:tc>
          <w:tcPr>
            <w:tcW w:w="1434" w:type="dxa"/>
          </w:tcPr>
          <w:p>
            <w:pPr>
              <w:pStyle w:val="yTableNAm"/>
              <w:rPr>
                <w:b/>
                <w:bCs/>
                <w:spacing w:val="-1"/>
              </w:rPr>
            </w:pPr>
          </w:p>
        </w:tc>
      </w:tr>
      <w:tr>
        <w:tc>
          <w:tcPr>
            <w:tcW w:w="850" w:type="dxa"/>
          </w:tcPr>
          <w:p>
            <w:pPr>
              <w:pStyle w:val="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where the land is classified as residential, an amount for each dollar of the GRV as set out in column 2 of the Table;</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where the land is not classified as residential, an amount for each dollar of the GRV as set out in column 3 of the Table,</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pPr>
            <w:r>
              <w:t>subject to a minimum in respect of any land the subject of a separate assessment of —</w:t>
            </w:r>
          </w:p>
        </w:tc>
        <w:tc>
          <w:tcPr>
            <w:tcW w:w="1434"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(c)</w:t>
            </w:r>
            <w:r>
              <w:tab/>
              <w:t>in the case of land classified as residential .………….…...............</w:t>
            </w:r>
          </w:p>
        </w:tc>
        <w:tc>
          <w:tcPr>
            <w:tcW w:w="1434" w:type="dxa"/>
          </w:tcPr>
          <w:p>
            <w:pPr>
              <w:pStyle w:val="yTableNAm"/>
            </w:pPr>
            <w:r>
              <w:br/>
              <w:t>$287.50</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(d)</w:t>
            </w:r>
            <w:r>
              <w:tab/>
              <w:t>in the case of land classified as vacant land ...................................</w:t>
            </w:r>
          </w:p>
        </w:tc>
        <w:tc>
          <w:tcPr>
            <w:tcW w:w="1434" w:type="dxa"/>
          </w:tcPr>
          <w:p>
            <w:pPr>
              <w:pStyle w:val="yTableNAm"/>
            </w:pPr>
            <w:r>
              <w:br/>
              <w:t>$189.20</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(e)</w:t>
            </w:r>
            <w:r>
              <w:tab/>
              <w:t>in the case of land not classified as residential or vacant land .........</w:t>
            </w:r>
          </w:p>
        </w:tc>
        <w:tc>
          <w:tcPr>
            <w:tcW w:w="1434" w:type="dxa"/>
          </w:tcPr>
          <w:p>
            <w:pPr>
              <w:pStyle w:val="yTableNAm"/>
            </w:pPr>
            <w:r>
              <w:br/>
              <w:t>$633.40</w:t>
            </w:r>
          </w:p>
        </w:tc>
      </w:tr>
      <w:tr>
        <w:tc>
          <w:tcPr>
            <w:tcW w:w="850" w:type="dxa"/>
          </w:tcPr>
          <w:p>
            <w:pPr>
              <w:pStyle w:val="yTableNAm"/>
              <w:rPr>
                <w:rStyle w:val="CharSClsNo"/>
              </w:rPr>
            </w:pPr>
          </w:p>
        </w:tc>
        <w:tc>
          <w:tcPr>
            <w:tcW w:w="4236" w:type="dxa"/>
          </w:tcPr>
          <w:p>
            <w:pPr>
              <w:pStyle w:val="yTableNAm"/>
            </w:pPr>
            <w:r>
              <w:t>and subject to a maximum in respect of any land classified as residential or classified as vacant land and held for residential purposes.</w:t>
            </w:r>
          </w:p>
        </w:tc>
        <w:tc>
          <w:tcPr>
            <w:tcW w:w="1434" w:type="dxa"/>
          </w:tcPr>
          <w:p>
            <w:pPr>
              <w:pStyle w:val="yTableNAm"/>
            </w:pPr>
            <w:r>
              <w:br/>
            </w:r>
            <w:r>
              <w:br/>
              <w:t>$716.40</w:t>
            </w:r>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tblGrid>
      <w:tr>
        <w:trPr>
          <w:cantSplit/>
          <w:trHeight w:hRule="exact" w:val="851"/>
          <w:tblHeader/>
        </w:trPr>
        <w:tc>
          <w:tcPr>
            <w:tcW w:w="2173" w:type="dxa"/>
            <w:tcBorders>
              <w:top w:val="single" w:sz="4" w:space="0" w:color="auto"/>
              <w:bottom w:val="single" w:sz="4" w:space="0" w:color="auto"/>
            </w:tcBorders>
          </w:tcPr>
          <w:p>
            <w:pPr>
              <w:pStyle w:val="yTableNAm"/>
              <w:jc w:val="center"/>
              <w:rPr>
                <w:b/>
                <w:bCs/>
              </w:rPr>
            </w:pPr>
            <w:r>
              <w:rPr>
                <w:b/>
                <w:bCs/>
              </w:rPr>
              <w:t>Column 1</w:t>
            </w:r>
            <w:r>
              <w:rPr>
                <w:b/>
                <w:bCs/>
              </w:rPr>
              <w:br/>
              <w:t>Country sewerage area</w:t>
            </w:r>
          </w:p>
        </w:tc>
        <w:tc>
          <w:tcPr>
            <w:tcW w:w="2173" w:type="dxa"/>
            <w:tcBorders>
              <w:top w:val="single" w:sz="4" w:space="0" w:color="auto"/>
              <w:bottom w:val="single" w:sz="4" w:space="0" w:color="auto"/>
            </w:tcBorders>
          </w:tcPr>
          <w:p>
            <w:pPr>
              <w:pStyle w:val="yTableNAm"/>
              <w:jc w:val="center"/>
              <w:rPr>
                <w:b/>
                <w:bCs/>
              </w:rPr>
            </w:pPr>
            <w:r>
              <w:rPr>
                <w:b/>
                <w:bCs/>
              </w:rPr>
              <w:t>Column 2</w:t>
            </w:r>
            <w:r>
              <w:rPr>
                <w:b/>
                <w:bCs/>
              </w:rPr>
              <w:br/>
              <w:t>(Residential)</w:t>
            </w:r>
            <w:r>
              <w:rPr>
                <w:b/>
                <w:bCs/>
              </w:rPr>
              <w:br/>
              <w:t>cents/$ of GRV</w:t>
            </w:r>
          </w:p>
        </w:tc>
        <w:tc>
          <w:tcPr>
            <w:tcW w:w="2174" w:type="dxa"/>
            <w:tcBorders>
              <w:top w:val="single" w:sz="4" w:space="0" w:color="auto"/>
              <w:bottom w:val="single" w:sz="4" w:space="0" w:color="auto"/>
            </w:tcBorders>
          </w:tcPr>
          <w:p>
            <w:pPr>
              <w:pStyle w:val="yTableNAm"/>
              <w:jc w:val="center"/>
              <w:rPr>
                <w:b/>
                <w:bCs/>
              </w:rPr>
            </w:pPr>
            <w:r>
              <w:rPr>
                <w:b/>
                <w:bCs/>
              </w:rPr>
              <w:t>Column 3</w:t>
            </w:r>
            <w:r>
              <w:rPr>
                <w:b/>
                <w:bCs/>
              </w:rPr>
              <w:br/>
              <w:t>(Non</w:t>
            </w:r>
            <w:r>
              <w:rPr>
                <w:b/>
                <w:bCs/>
              </w:rPr>
              <w:noBreakHyphen/>
              <w:t>residential)</w:t>
            </w:r>
            <w:r>
              <w:rPr>
                <w:b/>
                <w:bCs/>
              </w:rPr>
              <w:br/>
              <w:t>cents/$ of GRV</w:t>
            </w:r>
          </w:p>
        </w:tc>
      </w:tr>
      <w:tr>
        <w:tc>
          <w:tcPr>
            <w:tcW w:w="2173" w:type="dxa"/>
          </w:tcPr>
          <w:p>
            <w:pPr>
              <w:pStyle w:val="yTableNAm"/>
            </w:pPr>
            <w:r>
              <w:t>Albany</w:t>
            </w:r>
          </w:p>
        </w:tc>
        <w:tc>
          <w:tcPr>
            <w:tcW w:w="2173" w:type="dxa"/>
          </w:tcPr>
          <w:p>
            <w:pPr>
              <w:pStyle w:val="yTableNAm"/>
              <w:jc w:val="center"/>
            </w:pPr>
            <w:r>
              <w:t>9.357</w:t>
            </w:r>
          </w:p>
        </w:tc>
        <w:tc>
          <w:tcPr>
            <w:tcW w:w="2174" w:type="dxa"/>
          </w:tcPr>
          <w:p>
            <w:pPr>
              <w:pStyle w:val="yTableNAm"/>
              <w:jc w:val="center"/>
            </w:pPr>
            <w:r>
              <w:t>4.592</w:t>
            </w:r>
          </w:p>
        </w:tc>
      </w:tr>
      <w:tr>
        <w:tc>
          <w:tcPr>
            <w:tcW w:w="2173" w:type="dxa"/>
          </w:tcPr>
          <w:p>
            <w:pPr>
              <w:pStyle w:val="yTableNAm"/>
            </w:pPr>
            <w:r>
              <w:t>Augusta</w:t>
            </w:r>
          </w:p>
        </w:tc>
        <w:tc>
          <w:tcPr>
            <w:tcW w:w="2173" w:type="dxa"/>
          </w:tcPr>
          <w:p>
            <w:pPr>
              <w:pStyle w:val="yTableNAm"/>
              <w:jc w:val="center"/>
            </w:pPr>
            <w:r>
              <w:t>7.910</w:t>
            </w:r>
          </w:p>
        </w:tc>
        <w:tc>
          <w:tcPr>
            <w:tcW w:w="2174" w:type="dxa"/>
          </w:tcPr>
          <w:p>
            <w:pPr>
              <w:pStyle w:val="yTableNAm"/>
              <w:jc w:val="center"/>
            </w:pPr>
            <w:r>
              <w:t>3.102</w:t>
            </w:r>
          </w:p>
        </w:tc>
      </w:tr>
      <w:tr>
        <w:tc>
          <w:tcPr>
            <w:tcW w:w="2173" w:type="dxa"/>
          </w:tcPr>
          <w:p>
            <w:pPr>
              <w:pStyle w:val="yTableNAm"/>
            </w:pPr>
            <w:r>
              <w:t>Australind</w:t>
            </w:r>
          </w:p>
        </w:tc>
        <w:tc>
          <w:tcPr>
            <w:tcW w:w="2173" w:type="dxa"/>
          </w:tcPr>
          <w:p>
            <w:pPr>
              <w:pStyle w:val="yTableNAm"/>
              <w:jc w:val="center"/>
            </w:pPr>
            <w:r>
              <w:t>7.102</w:t>
            </w:r>
          </w:p>
        </w:tc>
        <w:tc>
          <w:tcPr>
            <w:tcW w:w="2174" w:type="dxa"/>
          </w:tcPr>
          <w:p>
            <w:pPr>
              <w:pStyle w:val="yTableNAm"/>
              <w:jc w:val="center"/>
            </w:pPr>
            <w:r>
              <w:t>0.357</w:t>
            </w:r>
          </w:p>
        </w:tc>
      </w:tr>
      <w:tr>
        <w:tc>
          <w:tcPr>
            <w:tcW w:w="2173" w:type="dxa"/>
          </w:tcPr>
          <w:p>
            <w:pPr>
              <w:pStyle w:val="yTableNAm"/>
            </w:pPr>
            <w:r>
              <w:t>Beverley</w:t>
            </w:r>
          </w:p>
        </w:tc>
        <w:tc>
          <w:tcPr>
            <w:tcW w:w="2173" w:type="dxa"/>
          </w:tcPr>
          <w:p>
            <w:pPr>
              <w:pStyle w:val="yTableNAm"/>
              <w:jc w:val="center"/>
            </w:pPr>
            <w:r>
              <w:t>11.032</w:t>
            </w:r>
          </w:p>
        </w:tc>
        <w:tc>
          <w:tcPr>
            <w:tcW w:w="2174" w:type="dxa"/>
          </w:tcPr>
          <w:p>
            <w:pPr>
              <w:pStyle w:val="yTableNAm"/>
              <w:jc w:val="center"/>
            </w:pPr>
            <w:r>
              <w:t>9.730</w:t>
            </w:r>
          </w:p>
        </w:tc>
      </w:tr>
      <w:tr>
        <w:tc>
          <w:tcPr>
            <w:tcW w:w="2173" w:type="dxa"/>
          </w:tcPr>
          <w:p>
            <w:pPr>
              <w:pStyle w:val="yTableNAm"/>
            </w:pPr>
            <w:r>
              <w:t>Binningup</w:t>
            </w:r>
          </w:p>
        </w:tc>
        <w:tc>
          <w:tcPr>
            <w:tcW w:w="2173" w:type="dxa"/>
          </w:tcPr>
          <w:p>
            <w:pPr>
              <w:pStyle w:val="yTableNAm"/>
              <w:jc w:val="center"/>
            </w:pPr>
            <w:r>
              <w:t>12.000</w:t>
            </w:r>
          </w:p>
        </w:tc>
        <w:tc>
          <w:tcPr>
            <w:tcW w:w="2174" w:type="dxa"/>
          </w:tcPr>
          <w:p>
            <w:pPr>
              <w:pStyle w:val="yTableNAm"/>
              <w:jc w:val="center"/>
            </w:pPr>
            <w:r>
              <w:t>6.908</w:t>
            </w:r>
          </w:p>
        </w:tc>
      </w:tr>
      <w:tr>
        <w:tc>
          <w:tcPr>
            <w:tcW w:w="2173" w:type="dxa"/>
          </w:tcPr>
          <w:p>
            <w:pPr>
              <w:pStyle w:val="yTableNAm"/>
            </w:pPr>
            <w:r>
              <w:t>Boddington</w:t>
            </w:r>
          </w:p>
        </w:tc>
        <w:tc>
          <w:tcPr>
            <w:tcW w:w="2173" w:type="dxa"/>
          </w:tcPr>
          <w:p>
            <w:pPr>
              <w:pStyle w:val="yTableNAm"/>
              <w:jc w:val="center"/>
            </w:pPr>
            <w:r>
              <w:t>12.000</w:t>
            </w:r>
          </w:p>
        </w:tc>
        <w:tc>
          <w:tcPr>
            <w:tcW w:w="2174" w:type="dxa"/>
          </w:tcPr>
          <w:p>
            <w:pPr>
              <w:pStyle w:val="yTableNAm"/>
              <w:jc w:val="center"/>
            </w:pPr>
            <w:r>
              <w:t>4.979</w:t>
            </w:r>
          </w:p>
        </w:tc>
      </w:tr>
      <w:tr>
        <w:tc>
          <w:tcPr>
            <w:tcW w:w="2173" w:type="dxa"/>
          </w:tcPr>
          <w:p>
            <w:pPr>
              <w:pStyle w:val="yTableNAm"/>
            </w:pPr>
            <w:r>
              <w:t>Boyanup</w:t>
            </w:r>
          </w:p>
        </w:tc>
        <w:tc>
          <w:tcPr>
            <w:tcW w:w="2173" w:type="dxa"/>
          </w:tcPr>
          <w:p>
            <w:pPr>
              <w:pStyle w:val="yTableNAm"/>
              <w:jc w:val="center"/>
            </w:pPr>
            <w:r>
              <w:t>12.000</w:t>
            </w:r>
          </w:p>
        </w:tc>
        <w:tc>
          <w:tcPr>
            <w:tcW w:w="2174" w:type="dxa"/>
          </w:tcPr>
          <w:p>
            <w:pPr>
              <w:pStyle w:val="yTableNAm"/>
              <w:jc w:val="center"/>
            </w:pPr>
            <w:r>
              <w:t>7.868</w:t>
            </w:r>
          </w:p>
        </w:tc>
      </w:tr>
      <w:tr>
        <w:tc>
          <w:tcPr>
            <w:tcW w:w="2173" w:type="dxa"/>
          </w:tcPr>
          <w:p>
            <w:pPr>
              <w:pStyle w:val="yTableNAm"/>
            </w:pPr>
            <w:r>
              <w:t>Bremer Bay</w:t>
            </w:r>
          </w:p>
        </w:tc>
        <w:tc>
          <w:tcPr>
            <w:tcW w:w="2173" w:type="dxa"/>
          </w:tcPr>
          <w:p>
            <w:pPr>
              <w:pStyle w:val="yTableNAm"/>
              <w:jc w:val="center"/>
            </w:pPr>
            <w:r>
              <w:t>10.436</w:t>
            </w:r>
          </w:p>
        </w:tc>
        <w:tc>
          <w:tcPr>
            <w:tcW w:w="2174" w:type="dxa"/>
          </w:tcPr>
          <w:p>
            <w:pPr>
              <w:pStyle w:val="yTableNAm"/>
              <w:jc w:val="center"/>
            </w:pPr>
            <w:r>
              <w:t>2.147</w:t>
            </w:r>
          </w:p>
        </w:tc>
      </w:tr>
      <w:tr>
        <w:tc>
          <w:tcPr>
            <w:tcW w:w="2173" w:type="dxa"/>
          </w:tcPr>
          <w:p>
            <w:pPr>
              <w:pStyle w:val="yTableNAm"/>
            </w:pPr>
            <w:r>
              <w:t>Bridgetown</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Broome</w:t>
            </w:r>
          </w:p>
        </w:tc>
        <w:tc>
          <w:tcPr>
            <w:tcW w:w="2173" w:type="dxa"/>
          </w:tcPr>
          <w:p>
            <w:pPr>
              <w:pStyle w:val="yTableNAm"/>
              <w:jc w:val="center"/>
            </w:pPr>
            <w:r>
              <w:t>3.481</w:t>
            </w:r>
          </w:p>
        </w:tc>
        <w:tc>
          <w:tcPr>
            <w:tcW w:w="2174" w:type="dxa"/>
          </w:tcPr>
          <w:p>
            <w:pPr>
              <w:pStyle w:val="yTableNAm"/>
              <w:jc w:val="center"/>
            </w:pPr>
            <w:r>
              <w:t>1.182</w:t>
            </w:r>
          </w:p>
        </w:tc>
      </w:tr>
      <w:tr>
        <w:tc>
          <w:tcPr>
            <w:tcW w:w="2173" w:type="dxa"/>
          </w:tcPr>
          <w:p>
            <w:pPr>
              <w:pStyle w:val="yTableNAm"/>
            </w:pPr>
            <w:r>
              <w:t>Brunswick</w:t>
            </w:r>
          </w:p>
        </w:tc>
        <w:tc>
          <w:tcPr>
            <w:tcW w:w="2173" w:type="dxa"/>
          </w:tcPr>
          <w:p>
            <w:pPr>
              <w:pStyle w:val="yTableNAm"/>
              <w:jc w:val="center"/>
            </w:pPr>
            <w:r>
              <w:t>6.916</w:t>
            </w:r>
          </w:p>
        </w:tc>
        <w:tc>
          <w:tcPr>
            <w:tcW w:w="2174" w:type="dxa"/>
          </w:tcPr>
          <w:p>
            <w:pPr>
              <w:pStyle w:val="yTableNAm"/>
              <w:jc w:val="center"/>
            </w:pPr>
            <w:r>
              <w:t>4.018</w:t>
            </w:r>
          </w:p>
        </w:tc>
      </w:tr>
      <w:tr>
        <w:tc>
          <w:tcPr>
            <w:tcW w:w="2173" w:type="dxa"/>
          </w:tcPr>
          <w:p>
            <w:pPr>
              <w:pStyle w:val="yTableNAm"/>
            </w:pPr>
            <w:r>
              <w:t>Bunbury</w:t>
            </w:r>
            <w:r>
              <w:br/>
              <w:t>(1/7/08 Values)</w:t>
            </w:r>
          </w:p>
        </w:tc>
        <w:tc>
          <w:tcPr>
            <w:tcW w:w="2173" w:type="dxa"/>
          </w:tcPr>
          <w:p>
            <w:pPr>
              <w:pStyle w:val="yTableNAm"/>
              <w:jc w:val="center"/>
            </w:pPr>
            <w:r>
              <w:t>5.827</w:t>
            </w:r>
          </w:p>
        </w:tc>
        <w:tc>
          <w:tcPr>
            <w:tcW w:w="2174" w:type="dxa"/>
          </w:tcPr>
          <w:p>
            <w:pPr>
              <w:pStyle w:val="yTableNAm"/>
              <w:jc w:val="center"/>
            </w:pPr>
            <w:r>
              <w:t>2.629</w:t>
            </w:r>
          </w:p>
        </w:tc>
      </w:tr>
      <w:tr>
        <w:tc>
          <w:tcPr>
            <w:tcW w:w="2173" w:type="dxa"/>
          </w:tcPr>
          <w:p>
            <w:pPr>
              <w:pStyle w:val="yTableNAm"/>
            </w:pPr>
            <w:r>
              <w:t>Bunbury</w:t>
            </w:r>
            <w:r>
              <w:br/>
              <w:t>(1/7/06 Values)</w:t>
            </w:r>
          </w:p>
        </w:tc>
        <w:tc>
          <w:tcPr>
            <w:tcW w:w="2173" w:type="dxa"/>
          </w:tcPr>
          <w:p>
            <w:pPr>
              <w:pStyle w:val="yTableNAm"/>
              <w:jc w:val="center"/>
            </w:pPr>
            <w:r>
              <w:t>4.829</w:t>
            </w:r>
          </w:p>
        </w:tc>
        <w:tc>
          <w:tcPr>
            <w:tcW w:w="2174" w:type="dxa"/>
          </w:tcPr>
          <w:p>
            <w:pPr>
              <w:pStyle w:val="yTableNAm"/>
              <w:jc w:val="center"/>
            </w:pPr>
            <w:r>
              <w:t>1.977</w:t>
            </w:r>
          </w:p>
        </w:tc>
      </w:tr>
      <w:tr>
        <w:tc>
          <w:tcPr>
            <w:tcW w:w="2173" w:type="dxa"/>
          </w:tcPr>
          <w:p>
            <w:pPr>
              <w:pStyle w:val="yTableNAm"/>
            </w:pPr>
            <w:r>
              <w:t>Burekup</w:t>
            </w:r>
          </w:p>
        </w:tc>
        <w:tc>
          <w:tcPr>
            <w:tcW w:w="2173" w:type="dxa"/>
          </w:tcPr>
          <w:p>
            <w:pPr>
              <w:pStyle w:val="yTableNAm"/>
              <w:jc w:val="center"/>
            </w:pPr>
            <w:r>
              <w:t>8.134</w:t>
            </w:r>
          </w:p>
        </w:tc>
        <w:tc>
          <w:tcPr>
            <w:tcW w:w="2174" w:type="dxa"/>
          </w:tcPr>
          <w:p>
            <w:pPr>
              <w:pStyle w:val="yTableNAm"/>
              <w:jc w:val="center"/>
            </w:pPr>
            <w:r>
              <w:t>2.052</w:t>
            </w:r>
          </w:p>
        </w:tc>
      </w:tr>
      <w:tr>
        <w:tc>
          <w:tcPr>
            <w:tcW w:w="2173" w:type="dxa"/>
          </w:tcPr>
          <w:p>
            <w:pPr>
              <w:pStyle w:val="yTableNAm"/>
            </w:pPr>
            <w:r>
              <w:t>Busselton</w:t>
            </w:r>
          </w:p>
        </w:tc>
        <w:tc>
          <w:tcPr>
            <w:tcW w:w="2173" w:type="dxa"/>
          </w:tcPr>
          <w:p>
            <w:pPr>
              <w:pStyle w:val="yTableNAm"/>
              <w:jc w:val="center"/>
            </w:pPr>
            <w:r>
              <w:t>5.081</w:t>
            </w:r>
          </w:p>
        </w:tc>
        <w:tc>
          <w:tcPr>
            <w:tcW w:w="2174" w:type="dxa"/>
          </w:tcPr>
          <w:p>
            <w:pPr>
              <w:pStyle w:val="yTableNAm"/>
              <w:jc w:val="center"/>
            </w:pPr>
            <w:r>
              <w:t>3.224</w:t>
            </w:r>
          </w:p>
        </w:tc>
      </w:tr>
      <w:tr>
        <w:tc>
          <w:tcPr>
            <w:tcW w:w="2173" w:type="dxa"/>
          </w:tcPr>
          <w:p>
            <w:pPr>
              <w:pStyle w:val="yTableNAm"/>
            </w:pPr>
            <w:r>
              <w:t>Cape Burney</w:t>
            </w:r>
          </w:p>
        </w:tc>
        <w:tc>
          <w:tcPr>
            <w:tcW w:w="2173" w:type="dxa"/>
          </w:tcPr>
          <w:p>
            <w:pPr>
              <w:pStyle w:val="yTableNAm"/>
              <w:jc w:val="center"/>
            </w:pPr>
            <w:r>
              <w:t>8.161</w:t>
            </w:r>
          </w:p>
        </w:tc>
        <w:tc>
          <w:tcPr>
            <w:tcW w:w="2174" w:type="dxa"/>
          </w:tcPr>
          <w:p>
            <w:pPr>
              <w:pStyle w:val="yTableNAm"/>
              <w:jc w:val="center"/>
            </w:pPr>
            <w:r>
              <w:t>2.749</w:t>
            </w:r>
          </w:p>
        </w:tc>
      </w:tr>
      <w:tr>
        <w:tc>
          <w:tcPr>
            <w:tcW w:w="2173" w:type="dxa"/>
          </w:tcPr>
          <w:p>
            <w:pPr>
              <w:pStyle w:val="yTableNAm"/>
            </w:pPr>
            <w:r>
              <w:t>Capel</w:t>
            </w:r>
          </w:p>
        </w:tc>
        <w:tc>
          <w:tcPr>
            <w:tcW w:w="2173" w:type="dxa"/>
          </w:tcPr>
          <w:p>
            <w:pPr>
              <w:pStyle w:val="yTableNAm"/>
              <w:jc w:val="center"/>
            </w:pPr>
            <w:r>
              <w:t>11.511</w:t>
            </w:r>
          </w:p>
        </w:tc>
        <w:tc>
          <w:tcPr>
            <w:tcW w:w="2174" w:type="dxa"/>
          </w:tcPr>
          <w:p>
            <w:pPr>
              <w:pStyle w:val="yTableNAm"/>
              <w:jc w:val="center"/>
            </w:pPr>
            <w:r>
              <w:t>3.688</w:t>
            </w:r>
          </w:p>
        </w:tc>
      </w:tr>
      <w:tr>
        <w:tc>
          <w:tcPr>
            <w:tcW w:w="2173" w:type="dxa"/>
          </w:tcPr>
          <w:p>
            <w:pPr>
              <w:pStyle w:val="yTableNAm"/>
            </w:pPr>
            <w:r>
              <w:t>Carnarvon</w:t>
            </w:r>
          </w:p>
        </w:tc>
        <w:tc>
          <w:tcPr>
            <w:tcW w:w="2173" w:type="dxa"/>
          </w:tcPr>
          <w:p>
            <w:pPr>
              <w:pStyle w:val="yTableNAm"/>
              <w:jc w:val="center"/>
            </w:pPr>
            <w:r>
              <w:t>11.912</w:t>
            </w:r>
          </w:p>
        </w:tc>
        <w:tc>
          <w:tcPr>
            <w:tcW w:w="2174" w:type="dxa"/>
          </w:tcPr>
          <w:p>
            <w:pPr>
              <w:pStyle w:val="yTableNAm"/>
              <w:jc w:val="center"/>
            </w:pPr>
            <w:r>
              <w:t>8.804</w:t>
            </w:r>
          </w:p>
        </w:tc>
      </w:tr>
      <w:tr>
        <w:tc>
          <w:tcPr>
            <w:tcW w:w="2173" w:type="dxa"/>
          </w:tcPr>
          <w:p>
            <w:pPr>
              <w:pStyle w:val="yTableNAm"/>
            </w:pPr>
            <w:r>
              <w:t>Cervantes</w:t>
            </w:r>
          </w:p>
        </w:tc>
        <w:tc>
          <w:tcPr>
            <w:tcW w:w="2173" w:type="dxa"/>
          </w:tcPr>
          <w:p>
            <w:pPr>
              <w:pStyle w:val="yTableNAm"/>
              <w:jc w:val="center"/>
            </w:pPr>
            <w:r>
              <w:t>8.798</w:t>
            </w:r>
          </w:p>
        </w:tc>
        <w:tc>
          <w:tcPr>
            <w:tcW w:w="2174" w:type="dxa"/>
          </w:tcPr>
          <w:p>
            <w:pPr>
              <w:pStyle w:val="yTableNAm"/>
              <w:jc w:val="center"/>
            </w:pPr>
            <w:r>
              <w:t>1.225</w:t>
            </w:r>
          </w:p>
        </w:tc>
      </w:tr>
      <w:tr>
        <w:tc>
          <w:tcPr>
            <w:tcW w:w="2173" w:type="dxa"/>
          </w:tcPr>
          <w:p>
            <w:pPr>
              <w:pStyle w:val="yTableNAm"/>
            </w:pPr>
            <w:r>
              <w:t>Collie</w:t>
            </w:r>
          </w:p>
        </w:tc>
        <w:tc>
          <w:tcPr>
            <w:tcW w:w="2173" w:type="dxa"/>
          </w:tcPr>
          <w:p>
            <w:pPr>
              <w:pStyle w:val="yTableNAm"/>
              <w:jc w:val="center"/>
            </w:pPr>
            <w:r>
              <w:t>12.000</w:t>
            </w:r>
          </w:p>
        </w:tc>
        <w:tc>
          <w:tcPr>
            <w:tcW w:w="2174" w:type="dxa"/>
          </w:tcPr>
          <w:p>
            <w:pPr>
              <w:pStyle w:val="yTableNAm"/>
              <w:jc w:val="center"/>
            </w:pPr>
            <w:r>
              <w:t>10.687</w:t>
            </w:r>
          </w:p>
        </w:tc>
      </w:tr>
      <w:tr>
        <w:tc>
          <w:tcPr>
            <w:tcW w:w="2173" w:type="dxa"/>
          </w:tcPr>
          <w:p>
            <w:pPr>
              <w:pStyle w:val="yTableNAm"/>
            </w:pPr>
            <w:r>
              <w:t>Coral Bay</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Corrigin</w:t>
            </w:r>
          </w:p>
        </w:tc>
        <w:tc>
          <w:tcPr>
            <w:tcW w:w="2173" w:type="dxa"/>
          </w:tcPr>
          <w:p>
            <w:pPr>
              <w:pStyle w:val="yTableNAm"/>
              <w:jc w:val="center"/>
            </w:pPr>
            <w:r>
              <w:t>7.668</w:t>
            </w:r>
          </w:p>
        </w:tc>
        <w:tc>
          <w:tcPr>
            <w:tcW w:w="2174" w:type="dxa"/>
          </w:tcPr>
          <w:p>
            <w:pPr>
              <w:pStyle w:val="yTableNAm"/>
              <w:jc w:val="center"/>
            </w:pPr>
            <w:r>
              <w:t>11.113</w:t>
            </w:r>
          </w:p>
        </w:tc>
      </w:tr>
      <w:tr>
        <w:tc>
          <w:tcPr>
            <w:tcW w:w="2173" w:type="dxa"/>
          </w:tcPr>
          <w:p>
            <w:pPr>
              <w:pStyle w:val="yTableNAm"/>
            </w:pPr>
            <w:r>
              <w:t>Cowaramup</w:t>
            </w:r>
          </w:p>
        </w:tc>
        <w:tc>
          <w:tcPr>
            <w:tcW w:w="2173" w:type="dxa"/>
          </w:tcPr>
          <w:p>
            <w:pPr>
              <w:pStyle w:val="yTableNAm"/>
              <w:jc w:val="center"/>
            </w:pPr>
            <w:r>
              <w:t>9.986</w:t>
            </w:r>
          </w:p>
        </w:tc>
        <w:tc>
          <w:tcPr>
            <w:tcW w:w="2174" w:type="dxa"/>
          </w:tcPr>
          <w:p>
            <w:pPr>
              <w:pStyle w:val="yTableNAm"/>
              <w:jc w:val="center"/>
            </w:pPr>
            <w:r>
              <w:t>3.264</w:t>
            </w:r>
          </w:p>
        </w:tc>
      </w:tr>
      <w:tr>
        <w:tc>
          <w:tcPr>
            <w:tcW w:w="2173" w:type="dxa"/>
          </w:tcPr>
          <w:p>
            <w:pPr>
              <w:pStyle w:val="yTableNAm"/>
            </w:pPr>
            <w:r>
              <w:t>Cranbrook</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Cunderdin</w:t>
            </w:r>
          </w:p>
        </w:tc>
        <w:tc>
          <w:tcPr>
            <w:tcW w:w="2173" w:type="dxa"/>
          </w:tcPr>
          <w:p>
            <w:pPr>
              <w:pStyle w:val="yTableNAm"/>
              <w:jc w:val="center"/>
            </w:pPr>
            <w:r>
              <w:t>10.086</w:t>
            </w:r>
          </w:p>
        </w:tc>
        <w:tc>
          <w:tcPr>
            <w:tcW w:w="2174" w:type="dxa"/>
          </w:tcPr>
          <w:p>
            <w:pPr>
              <w:pStyle w:val="yTableNAm"/>
              <w:jc w:val="center"/>
            </w:pPr>
            <w:r>
              <w:t>12.000</w:t>
            </w:r>
          </w:p>
        </w:tc>
      </w:tr>
      <w:tr>
        <w:tc>
          <w:tcPr>
            <w:tcW w:w="2173" w:type="dxa"/>
          </w:tcPr>
          <w:p>
            <w:pPr>
              <w:pStyle w:val="yTableNAm"/>
            </w:pPr>
            <w:r>
              <w:t>Dardanup</w:t>
            </w:r>
          </w:p>
        </w:tc>
        <w:tc>
          <w:tcPr>
            <w:tcW w:w="2173" w:type="dxa"/>
          </w:tcPr>
          <w:p>
            <w:pPr>
              <w:pStyle w:val="yTableNAm"/>
              <w:jc w:val="center"/>
            </w:pPr>
            <w:r>
              <w:t>12.000</w:t>
            </w:r>
          </w:p>
        </w:tc>
        <w:tc>
          <w:tcPr>
            <w:tcW w:w="2174" w:type="dxa"/>
          </w:tcPr>
          <w:p>
            <w:pPr>
              <w:pStyle w:val="yTableNAm"/>
              <w:jc w:val="center"/>
            </w:pPr>
            <w:r>
              <w:t>4.666</w:t>
            </w:r>
          </w:p>
        </w:tc>
      </w:tr>
      <w:tr>
        <w:tc>
          <w:tcPr>
            <w:tcW w:w="2173" w:type="dxa"/>
          </w:tcPr>
          <w:p>
            <w:pPr>
              <w:pStyle w:val="yTableNAm"/>
            </w:pPr>
            <w:r>
              <w:t>Denham</w:t>
            </w:r>
          </w:p>
        </w:tc>
        <w:tc>
          <w:tcPr>
            <w:tcW w:w="2173" w:type="dxa"/>
          </w:tcPr>
          <w:p>
            <w:pPr>
              <w:pStyle w:val="yTableNAm"/>
              <w:jc w:val="center"/>
            </w:pPr>
            <w:r>
              <w:t>11.115</w:t>
            </w:r>
          </w:p>
        </w:tc>
        <w:tc>
          <w:tcPr>
            <w:tcW w:w="2174" w:type="dxa"/>
          </w:tcPr>
          <w:p>
            <w:pPr>
              <w:pStyle w:val="yTableNAm"/>
              <w:jc w:val="center"/>
            </w:pPr>
            <w:r>
              <w:t>4.578</w:t>
            </w:r>
          </w:p>
        </w:tc>
      </w:tr>
      <w:tr>
        <w:tc>
          <w:tcPr>
            <w:tcW w:w="2173" w:type="dxa"/>
          </w:tcPr>
          <w:p>
            <w:pPr>
              <w:pStyle w:val="yTableNAm"/>
            </w:pPr>
            <w:r>
              <w:t>Denmark</w:t>
            </w:r>
          </w:p>
        </w:tc>
        <w:tc>
          <w:tcPr>
            <w:tcW w:w="2173" w:type="dxa"/>
          </w:tcPr>
          <w:p>
            <w:pPr>
              <w:pStyle w:val="yTableNAm"/>
              <w:jc w:val="center"/>
            </w:pPr>
            <w:r>
              <w:t>10.852</w:t>
            </w:r>
          </w:p>
        </w:tc>
        <w:tc>
          <w:tcPr>
            <w:tcW w:w="2174" w:type="dxa"/>
          </w:tcPr>
          <w:p>
            <w:pPr>
              <w:pStyle w:val="yTableNAm"/>
              <w:jc w:val="center"/>
            </w:pPr>
            <w:r>
              <w:t>3.740</w:t>
            </w:r>
          </w:p>
        </w:tc>
      </w:tr>
      <w:tr>
        <w:tc>
          <w:tcPr>
            <w:tcW w:w="2173" w:type="dxa"/>
          </w:tcPr>
          <w:p>
            <w:pPr>
              <w:pStyle w:val="yTableNAm"/>
            </w:pPr>
            <w:r>
              <w:t>Derby</w:t>
            </w:r>
          </w:p>
        </w:tc>
        <w:tc>
          <w:tcPr>
            <w:tcW w:w="2173" w:type="dxa"/>
          </w:tcPr>
          <w:p>
            <w:pPr>
              <w:pStyle w:val="yTableNAm"/>
              <w:jc w:val="center"/>
            </w:pPr>
            <w:r>
              <w:t>7.280</w:t>
            </w:r>
          </w:p>
        </w:tc>
        <w:tc>
          <w:tcPr>
            <w:tcW w:w="2174" w:type="dxa"/>
          </w:tcPr>
          <w:p>
            <w:pPr>
              <w:pStyle w:val="yTableNAm"/>
              <w:jc w:val="center"/>
            </w:pPr>
            <w:r>
              <w:t>10.680</w:t>
            </w:r>
          </w:p>
        </w:tc>
      </w:tr>
      <w:tr>
        <w:tc>
          <w:tcPr>
            <w:tcW w:w="2173" w:type="dxa"/>
          </w:tcPr>
          <w:p>
            <w:pPr>
              <w:pStyle w:val="yTableNAm"/>
            </w:pPr>
            <w:r>
              <w:t>Dongara</w:t>
            </w:r>
            <w:r>
              <w:noBreakHyphen/>
              <w:t>Denison</w:t>
            </w:r>
          </w:p>
        </w:tc>
        <w:tc>
          <w:tcPr>
            <w:tcW w:w="2173" w:type="dxa"/>
          </w:tcPr>
          <w:p>
            <w:pPr>
              <w:pStyle w:val="yTableNAm"/>
              <w:jc w:val="center"/>
            </w:pPr>
            <w:r>
              <w:t>10.392</w:t>
            </w:r>
          </w:p>
        </w:tc>
        <w:tc>
          <w:tcPr>
            <w:tcW w:w="2174" w:type="dxa"/>
          </w:tcPr>
          <w:p>
            <w:pPr>
              <w:pStyle w:val="yTableNAm"/>
              <w:jc w:val="center"/>
            </w:pPr>
            <w:r>
              <w:t>2.223</w:t>
            </w:r>
          </w:p>
        </w:tc>
      </w:tr>
      <w:tr>
        <w:tc>
          <w:tcPr>
            <w:tcW w:w="2173" w:type="dxa"/>
          </w:tcPr>
          <w:p>
            <w:pPr>
              <w:pStyle w:val="yTableNAm"/>
            </w:pPr>
            <w:r>
              <w:t>Donnybrook</w:t>
            </w:r>
          </w:p>
        </w:tc>
        <w:tc>
          <w:tcPr>
            <w:tcW w:w="2173" w:type="dxa"/>
          </w:tcPr>
          <w:p>
            <w:pPr>
              <w:pStyle w:val="yTableNAm"/>
              <w:jc w:val="center"/>
            </w:pPr>
            <w:r>
              <w:t>12.000</w:t>
            </w:r>
          </w:p>
        </w:tc>
        <w:tc>
          <w:tcPr>
            <w:tcW w:w="2174" w:type="dxa"/>
          </w:tcPr>
          <w:p>
            <w:pPr>
              <w:pStyle w:val="yTableNAm"/>
              <w:jc w:val="center"/>
            </w:pPr>
            <w:r>
              <w:t>5.845</w:t>
            </w:r>
          </w:p>
        </w:tc>
      </w:tr>
      <w:tr>
        <w:tc>
          <w:tcPr>
            <w:tcW w:w="2173" w:type="dxa"/>
          </w:tcPr>
          <w:p>
            <w:pPr>
              <w:pStyle w:val="yTableNAm"/>
            </w:pPr>
            <w:r>
              <w:t>Dunsborough</w:t>
            </w:r>
          </w:p>
        </w:tc>
        <w:tc>
          <w:tcPr>
            <w:tcW w:w="2173" w:type="dxa"/>
          </w:tcPr>
          <w:p>
            <w:pPr>
              <w:pStyle w:val="yTableNAm"/>
              <w:jc w:val="center"/>
            </w:pPr>
            <w:r>
              <w:t>6.275</w:t>
            </w:r>
          </w:p>
        </w:tc>
        <w:tc>
          <w:tcPr>
            <w:tcW w:w="2174" w:type="dxa"/>
          </w:tcPr>
          <w:p>
            <w:pPr>
              <w:pStyle w:val="yTableNAm"/>
              <w:jc w:val="center"/>
            </w:pPr>
            <w:r>
              <w:t>2.567</w:t>
            </w:r>
          </w:p>
        </w:tc>
      </w:tr>
      <w:tr>
        <w:tc>
          <w:tcPr>
            <w:tcW w:w="2173" w:type="dxa"/>
          </w:tcPr>
          <w:p>
            <w:pPr>
              <w:pStyle w:val="yTableNAm"/>
            </w:pPr>
            <w:r>
              <w:t>Eaton</w:t>
            </w:r>
            <w:r>
              <w:br/>
              <w:t>(1/7/08 Values)</w:t>
            </w:r>
          </w:p>
        </w:tc>
        <w:tc>
          <w:tcPr>
            <w:tcW w:w="2173" w:type="dxa"/>
          </w:tcPr>
          <w:p>
            <w:pPr>
              <w:pStyle w:val="yTableNAm"/>
              <w:jc w:val="center"/>
            </w:pPr>
            <w:r>
              <w:t>7.847</w:t>
            </w:r>
          </w:p>
        </w:tc>
        <w:tc>
          <w:tcPr>
            <w:tcW w:w="2174" w:type="dxa"/>
          </w:tcPr>
          <w:p>
            <w:pPr>
              <w:pStyle w:val="yTableNAm"/>
              <w:jc w:val="center"/>
            </w:pPr>
            <w:r>
              <w:t>1.999</w:t>
            </w:r>
          </w:p>
        </w:tc>
      </w:tr>
      <w:tr>
        <w:tc>
          <w:tcPr>
            <w:tcW w:w="2173" w:type="dxa"/>
          </w:tcPr>
          <w:p>
            <w:pPr>
              <w:pStyle w:val="yTableNAm"/>
            </w:pPr>
            <w:r>
              <w:t>Eaton</w:t>
            </w:r>
            <w:r>
              <w:br/>
              <w:t>(1/07/07 Values)</w:t>
            </w:r>
          </w:p>
        </w:tc>
        <w:tc>
          <w:tcPr>
            <w:tcW w:w="2173" w:type="dxa"/>
          </w:tcPr>
          <w:p>
            <w:pPr>
              <w:pStyle w:val="yTableNAm"/>
              <w:jc w:val="center"/>
            </w:pPr>
            <w:r>
              <w:t>8.519</w:t>
            </w:r>
          </w:p>
        </w:tc>
        <w:tc>
          <w:tcPr>
            <w:tcW w:w="2174" w:type="dxa"/>
          </w:tcPr>
          <w:p>
            <w:pPr>
              <w:pStyle w:val="yTableNAm"/>
              <w:jc w:val="center"/>
            </w:pPr>
            <w:r>
              <w:t>2.905</w:t>
            </w:r>
          </w:p>
        </w:tc>
      </w:tr>
      <w:tr>
        <w:tc>
          <w:tcPr>
            <w:tcW w:w="2173" w:type="dxa"/>
          </w:tcPr>
          <w:p>
            <w:pPr>
              <w:pStyle w:val="yTableNAm"/>
            </w:pPr>
            <w:r>
              <w:t>Eneabba</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Esperance</w:t>
            </w:r>
          </w:p>
        </w:tc>
        <w:tc>
          <w:tcPr>
            <w:tcW w:w="2173" w:type="dxa"/>
          </w:tcPr>
          <w:p>
            <w:pPr>
              <w:pStyle w:val="yTableNAm"/>
              <w:jc w:val="center"/>
            </w:pPr>
            <w:r>
              <w:t>6.141</w:t>
            </w:r>
          </w:p>
        </w:tc>
        <w:tc>
          <w:tcPr>
            <w:tcW w:w="2174" w:type="dxa"/>
          </w:tcPr>
          <w:p>
            <w:pPr>
              <w:pStyle w:val="yTableNAm"/>
              <w:jc w:val="center"/>
            </w:pPr>
            <w:r>
              <w:t>3.350</w:t>
            </w:r>
          </w:p>
        </w:tc>
      </w:tr>
      <w:tr>
        <w:tc>
          <w:tcPr>
            <w:tcW w:w="2173" w:type="dxa"/>
          </w:tcPr>
          <w:p>
            <w:pPr>
              <w:pStyle w:val="yTableNAm"/>
            </w:pPr>
            <w:r>
              <w:t>Exmouth</w:t>
            </w:r>
          </w:p>
        </w:tc>
        <w:tc>
          <w:tcPr>
            <w:tcW w:w="2173" w:type="dxa"/>
          </w:tcPr>
          <w:p>
            <w:pPr>
              <w:pStyle w:val="yTableNAm"/>
              <w:jc w:val="center"/>
            </w:pPr>
            <w:r>
              <w:t>6.408</w:t>
            </w:r>
          </w:p>
        </w:tc>
        <w:tc>
          <w:tcPr>
            <w:tcW w:w="2174" w:type="dxa"/>
          </w:tcPr>
          <w:p>
            <w:pPr>
              <w:pStyle w:val="yTableNAm"/>
              <w:jc w:val="center"/>
            </w:pPr>
            <w:r>
              <w:t>1.821</w:t>
            </w:r>
          </w:p>
        </w:tc>
      </w:tr>
      <w:tr>
        <w:tc>
          <w:tcPr>
            <w:tcW w:w="2173" w:type="dxa"/>
          </w:tcPr>
          <w:p>
            <w:pPr>
              <w:pStyle w:val="yTableNAm"/>
            </w:pPr>
            <w:r>
              <w:t>Fitzroy Crossing</w:t>
            </w:r>
          </w:p>
        </w:tc>
        <w:tc>
          <w:tcPr>
            <w:tcW w:w="2173" w:type="dxa"/>
          </w:tcPr>
          <w:p>
            <w:pPr>
              <w:pStyle w:val="yTableNAm"/>
              <w:jc w:val="center"/>
            </w:pPr>
            <w:r>
              <w:t>9.165</w:t>
            </w:r>
          </w:p>
        </w:tc>
        <w:tc>
          <w:tcPr>
            <w:tcW w:w="2174" w:type="dxa"/>
          </w:tcPr>
          <w:p>
            <w:pPr>
              <w:pStyle w:val="yTableNAm"/>
              <w:jc w:val="center"/>
            </w:pPr>
            <w:r>
              <w:t>12.000</w:t>
            </w:r>
          </w:p>
        </w:tc>
      </w:tr>
      <w:tr>
        <w:tc>
          <w:tcPr>
            <w:tcW w:w="2173" w:type="dxa"/>
          </w:tcPr>
          <w:p>
            <w:pPr>
              <w:pStyle w:val="yTableNAm"/>
            </w:pPr>
            <w:r>
              <w:t>Geraldton</w:t>
            </w:r>
          </w:p>
        </w:tc>
        <w:tc>
          <w:tcPr>
            <w:tcW w:w="2173" w:type="dxa"/>
          </w:tcPr>
          <w:p>
            <w:pPr>
              <w:pStyle w:val="yTableNAm"/>
              <w:jc w:val="center"/>
            </w:pPr>
            <w:r>
              <w:t>6.145</w:t>
            </w:r>
          </w:p>
        </w:tc>
        <w:tc>
          <w:tcPr>
            <w:tcW w:w="2174" w:type="dxa"/>
          </w:tcPr>
          <w:p>
            <w:pPr>
              <w:pStyle w:val="yTableNAm"/>
              <w:jc w:val="center"/>
            </w:pPr>
            <w:r>
              <w:t>2.766</w:t>
            </w:r>
          </w:p>
        </w:tc>
      </w:tr>
      <w:tr>
        <w:tc>
          <w:tcPr>
            <w:tcW w:w="2173" w:type="dxa"/>
          </w:tcPr>
          <w:p>
            <w:pPr>
              <w:pStyle w:val="yTableNAm"/>
            </w:pPr>
            <w:r>
              <w:t>Gnowangerup</w:t>
            </w:r>
          </w:p>
        </w:tc>
        <w:tc>
          <w:tcPr>
            <w:tcW w:w="2173" w:type="dxa"/>
          </w:tcPr>
          <w:p>
            <w:pPr>
              <w:pStyle w:val="yTableNAm"/>
              <w:jc w:val="center"/>
            </w:pPr>
            <w:r>
              <w:t>8.234</w:t>
            </w:r>
          </w:p>
        </w:tc>
        <w:tc>
          <w:tcPr>
            <w:tcW w:w="2174" w:type="dxa"/>
          </w:tcPr>
          <w:p>
            <w:pPr>
              <w:pStyle w:val="yTableNAm"/>
              <w:jc w:val="center"/>
            </w:pPr>
            <w:r>
              <w:t>11.601</w:t>
            </w:r>
          </w:p>
        </w:tc>
      </w:tr>
      <w:tr>
        <w:tc>
          <w:tcPr>
            <w:tcW w:w="2173" w:type="dxa"/>
          </w:tcPr>
          <w:p>
            <w:pPr>
              <w:pStyle w:val="yTableNAm"/>
            </w:pPr>
            <w:r>
              <w:t>Greenhead</w:t>
            </w:r>
          </w:p>
        </w:tc>
        <w:tc>
          <w:tcPr>
            <w:tcW w:w="2173" w:type="dxa"/>
          </w:tcPr>
          <w:p>
            <w:pPr>
              <w:pStyle w:val="yTableNAm"/>
              <w:jc w:val="center"/>
            </w:pPr>
            <w:r>
              <w:t>11.162</w:t>
            </w:r>
          </w:p>
        </w:tc>
        <w:tc>
          <w:tcPr>
            <w:tcW w:w="2174" w:type="dxa"/>
          </w:tcPr>
          <w:p>
            <w:pPr>
              <w:pStyle w:val="yTableNAm"/>
              <w:jc w:val="center"/>
            </w:pPr>
            <w:r>
              <w:t>2.678</w:t>
            </w:r>
          </w:p>
        </w:tc>
      </w:tr>
      <w:tr>
        <w:tc>
          <w:tcPr>
            <w:tcW w:w="2173" w:type="dxa"/>
          </w:tcPr>
          <w:p>
            <w:pPr>
              <w:pStyle w:val="yTableNAm"/>
            </w:pPr>
            <w:r>
              <w:t>Halls Creek</w:t>
            </w:r>
          </w:p>
        </w:tc>
        <w:tc>
          <w:tcPr>
            <w:tcW w:w="2173" w:type="dxa"/>
          </w:tcPr>
          <w:p>
            <w:pPr>
              <w:pStyle w:val="yTableNAm"/>
              <w:jc w:val="center"/>
            </w:pPr>
            <w:r>
              <w:t>8.683</w:t>
            </w:r>
          </w:p>
        </w:tc>
        <w:tc>
          <w:tcPr>
            <w:tcW w:w="2174" w:type="dxa"/>
          </w:tcPr>
          <w:p>
            <w:pPr>
              <w:pStyle w:val="yTableNAm"/>
              <w:jc w:val="center"/>
            </w:pPr>
            <w:r>
              <w:t>12.000</w:t>
            </w:r>
          </w:p>
        </w:tc>
      </w:tr>
      <w:tr>
        <w:tc>
          <w:tcPr>
            <w:tcW w:w="2173" w:type="dxa"/>
          </w:tcPr>
          <w:p>
            <w:pPr>
              <w:pStyle w:val="yTableNAm"/>
            </w:pPr>
            <w:r>
              <w:t>Harvey</w:t>
            </w:r>
          </w:p>
        </w:tc>
        <w:tc>
          <w:tcPr>
            <w:tcW w:w="2173" w:type="dxa"/>
          </w:tcPr>
          <w:p>
            <w:pPr>
              <w:pStyle w:val="yTableNAm"/>
              <w:jc w:val="center"/>
            </w:pPr>
            <w:r>
              <w:t>9.032</w:t>
            </w:r>
          </w:p>
        </w:tc>
        <w:tc>
          <w:tcPr>
            <w:tcW w:w="2174" w:type="dxa"/>
          </w:tcPr>
          <w:p>
            <w:pPr>
              <w:pStyle w:val="yTableNAm"/>
              <w:jc w:val="center"/>
            </w:pPr>
            <w:r>
              <w:t>8.405</w:t>
            </w:r>
          </w:p>
        </w:tc>
      </w:tr>
      <w:tr>
        <w:tc>
          <w:tcPr>
            <w:tcW w:w="2173" w:type="dxa"/>
          </w:tcPr>
          <w:p>
            <w:pPr>
              <w:pStyle w:val="yTableNAm"/>
            </w:pPr>
            <w:r>
              <w:t>Hopetoun</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Horrocks</w:t>
            </w:r>
          </w:p>
        </w:tc>
        <w:tc>
          <w:tcPr>
            <w:tcW w:w="2173" w:type="dxa"/>
          </w:tcPr>
          <w:p>
            <w:pPr>
              <w:pStyle w:val="yTableNAm"/>
              <w:jc w:val="center"/>
            </w:pPr>
            <w:r>
              <w:t>10.223</w:t>
            </w:r>
          </w:p>
        </w:tc>
        <w:tc>
          <w:tcPr>
            <w:tcW w:w="2174" w:type="dxa"/>
          </w:tcPr>
          <w:p>
            <w:pPr>
              <w:pStyle w:val="yTableNAm"/>
              <w:jc w:val="center"/>
            </w:pPr>
            <w:r>
              <w:t>4.904</w:t>
            </w:r>
          </w:p>
        </w:tc>
      </w:tr>
      <w:tr>
        <w:tc>
          <w:tcPr>
            <w:tcW w:w="2173" w:type="dxa"/>
          </w:tcPr>
          <w:p>
            <w:pPr>
              <w:pStyle w:val="yTableNAm"/>
            </w:pPr>
            <w:r>
              <w:t>Jurien Bay</w:t>
            </w:r>
          </w:p>
        </w:tc>
        <w:tc>
          <w:tcPr>
            <w:tcW w:w="2173" w:type="dxa"/>
          </w:tcPr>
          <w:p>
            <w:pPr>
              <w:pStyle w:val="yTableNAm"/>
              <w:jc w:val="center"/>
            </w:pPr>
            <w:r>
              <w:t>8.809</w:t>
            </w:r>
          </w:p>
        </w:tc>
        <w:tc>
          <w:tcPr>
            <w:tcW w:w="2174" w:type="dxa"/>
          </w:tcPr>
          <w:p>
            <w:pPr>
              <w:pStyle w:val="yTableNAm"/>
              <w:jc w:val="center"/>
            </w:pPr>
            <w:r>
              <w:t>2.407</w:t>
            </w:r>
          </w:p>
        </w:tc>
      </w:tr>
      <w:tr>
        <w:tc>
          <w:tcPr>
            <w:tcW w:w="2173" w:type="dxa"/>
          </w:tcPr>
          <w:p>
            <w:pPr>
              <w:pStyle w:val="yTableNAm"/>
            </w:pPr>
            <w:r>
              <w:t>Kalbarri</w:t>
            </w:r>
          </w:p>
        </w:tc>
        <w:tc>
          <w:tcPr>
            <w:tcW w:w="2173" w:type="dxa"/>
          </w:tcPr>
          <w:p>
            <w:pPr>
              <w:pStyle w:val="yTableNAm"/>
              <w:jc w:val="center"/>
            </w:pPr>
            <w:r>
              <w:t>5.854</w:t>
            </w:r>
          </w:p>
        </w:tc>
        <w:tc>
          <w:tcPr>
            <w:tcW w:w="2174" w:type="dxa"/>
          </w:tcPr>
          <w:p>
            <w:pPr>
              <w:pStyle w:val="yTableNAm"/>
              <w:jc w:val="center"/>
            </w:pPr>
            <w:r>
              <w:t>1.793</w:t>
            </w:r>
          </w:p>
        </w:tc>
      </w:tr>
      <w:tr>
        <w:tc>
          <w:tcPr>
            <w:tcW w:w="2173" w:type="dxa"/>
          </w:tcPr>
          <w:p>
            <w:pPr>
              <w:pStyle w:val="yTableNAm"/>
            </w:pPr>
            <w:r>
              <w:t>Kambalda</w:t>
            </w:r>
          </w:p>
        </w:tc>
        <w:tc>
          <w:tcPr>
            <w:tcW w:w="2173" w:type="dxa"/>
          </w:tcPr>
          <w:p>
            <w:pPr>
              <w:pStyle w:val="yTableNAm"/>
              <w:jc w:val="center"/>
            </w:pPr>
            <w:r>
              <w:t>5.986</w:t>
            </w:r>
          </w:p>
        </w:tc>
        <w:tc>
          <w:tcPr>
            <w:tcW w:w="2174" w:type="dxa"/>
          </w:tcPr>
          <w:p>
            <w:pPr>
              <w:pStyle w:val="yTableNAm"/>
              <w:jc w:val="center"/>
            </w:pPr>
            <w:r>
              <w:t>5.986</w:t>
            </w:r>
          </w:p>
        </w:tc>
      </w:tr>
      <w:tr>
        <w:tc>
          <w:tcPr>
            <w:tcW w:w="2173" w:type="dxa"/>
          </w:tcPr>
          <w:p>
            <w:pPr>
              <w:pStyle w:val="yTableNAm"/>
            </w:pPr>
            <w:r>
              <w:t>Karratha</w:t>
            </w:r>
          </w:p>
        </w:tc>
        <w:tc>
          <w:tcPr>
            <w:tcW w:w="2173" w:type="dxa"/>
          </w:tcPr>
          <w:p>
            <w:pPr>
              <w:pStyle w:val="yTableNAm"/>
              <w:jc w:val="center"/>
            </w:pPr>
            <w:r>
              <w:t>0.914</w:t>
            </w:r>
          </w:p>
        </w:tc>
        <w:tc>
          <w:tcPr>
            <w:tcW w:w="2174" w:type="dxa"/>
          </w:tcPr>
          <w:p>
            <w:pPr>
              <w:pStyle w:val="yTableNAm"/>
              <w:jc w:val="center"/>
            </w:pPr>
            <w:r>
              <w:t>0.512</w:t>
            </w:r>
          </w:p>
        </w:tc>
      </w:tr>
      <w:tr>
        <w:tc>
          <w:tcPr>
            <w:tcW w:w="2173" w:type="dxa"/>
          </w:tcPr>
          <w:p>
            <w:pPr>
              <w:pStyle w:val="yTableNAm"/>
            </w:pPr>
            <w:r>
              <w:t>Katanning</w:t>
            </w:r>
          </w:p>
        </w:tc>
        <w:tc>
          <w:tcPr>
            <w:tcW w:w="2173" w:type="dxa"/>
          </w:tcPr>
          <w:p>
            <w:pPr>
              <w:pStyle w:val="yTableNAm"/>
              <w:jc w:val="center"/>
            </w:pPr>
            <w:r>
              <w:t>5.263</w:t>
            </w:r>
          </w:p>
        </w:tc>
        <w:tc>
          <w:tcPr>
            <w:tcW w:w="2174" w:type="dxa"/>
          </w:tcPr>
          <w:p>
            <w:pPr>
              <w:pStyle w:val="yTableNAm"/>
              <w:jc w:val="center"/>
            </w:pPr>
            <w:r>
              <w:t>10.171</w:t>
            </w:r>
          </w:p>
        </w:tc>
      </w:tr>
      <w:tr>
        <w:tc>
          <w:tcPr>
            <w:tcW w:w="2173" w:type="dxa"/>
          </w:tcPr>
          <w:p>
            <w:pPr>
              <w:pStyle w:val="yTableNAm"/>
            </w:pPr>
            <w:r>
              <w:t>Kellerberrin</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Kojonup</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Kulin</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Kununurra</w:t>
            </w:r>
          </w:p>
        </w:tc>
        <w:tc>
          <w:tcPr>
            <w:tcW w:w="2173" w:type="dxa"/>
          </w:tcPr>
          <w:p>
            <w:pPr>
              <w:pStyle w:val="yTableNAm"/>
              <w:jc w:val="center"/>
            </w:pPr>
            <w:r>
              <w:t>5.690</w:t>
            </w:r>
          </w:p>
        </w:tc>
        <w:tc>
          <w:tcPr>
            <w:tcW w:w="2174" w:type="dxa"/>
          </w:tcPr>
          <w:p>
            <w:pPr>
              <w:pStyle w:val="yTableNAm"/>
              <w:jc w:val="center"/>
            </w:pPr>
            <w:r>
              <w:t>4.335</w:t>
            </w:r>
          </w:p>
        </w:tc>
      </w:tr>
      <w:tr>
        <w:tc>
          <w:tcPr>
            <w:tcW w:w="2173" w:type="dxa"/>
          </w:tcPr>
          <w:p>
            <w:pPr>
              <w:pStyle w:val="yTableNAm"/>
            </w:pPr>
            <w:r>
              <w:t>Lake Argyle</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Lancelin</w:t>
            </w:r>
          </w:p>
        </w:tc>
        <w:tc>
          <w:tcPr>
            <w:tcW w:w="2173" w:type="dxa"/>
          </w:tcPr>
          <w:p>
            <w:pPr>
              <w:pStyle w:val="yTableNAm"/>
              <w:jc w:val="center"/>
            </w:pPr>
            <w:r>
              <w:t>7.480</w:t>
            </w:r>
          </w:p>
        </w:tc>
        <w:tc>
          <w:tcPr>
            <w:tcW w:w="2174" w:type="dxa"/>
          </w:tcPr>
          <w:p>
            <w:pPr>
              <w:pStyle w:val="yTableNAm"/>
              <w:jc w:val="center"/>
            </w:pPr>
            <w:r>
              <w:t>1.417</w:t>
            </w:r>
          </w:p>
        </w:tc>
      </w:tr>
      <w:tr>
        <w:tc>
          <w:tcPr>
            <w:tcW w:w="2173" w:type="dxa"/>
          </w:tcPr>
          <w:p>
            <w:pPr>
              <w:pStyle w:val="yTableNAm"/>
            </w:pPr>
            <w:r>
              <w:t>Laverton</w:t>
            </w:r>
          </w:p>
        </w:tc>
        <w:tc>
          <w:tcPr>
            <w:tcW w:w="2173" w:type="dxa"/>
          </w:tcPr>
          <w:p>
            <w:pPr>
              <w:pStyle w:val="yTableNAm"/>
              <w:jc w:val="center"/>
            </w:pPr>
            <w:r>
              <w:t>8.749</w:t>
            </w:r>
          </w:p>
        </w:tc>
        <w:tc>
          <w:tcPr>
            <w:tcW w:w="2174" w:type="dxa"/>
          </w:tcPr>
          <w:p>
            <w:pPr>
              <w:pStyle w:val="yTableNAm"/>
              <w:jc w:val="center"/>
            </w:pPr>
            <w:r>
              <w:t>11.357</w:t>
            </w:r>
          </w:p>
        </w:tc>
      </w:tr>
      <w:tr>
        <w:tc>
          <w:tcPr>
            <w:tcW w:w="2173" w:type="dxa"/>
          </w:tcPr>
          <w:p>
            <w:pPr>
              <w:pStyle w:val="yTableNAm"/>
            </w:pPr>
            <w:r>
              <w:t>Ledge Point</w:t>
            </w:r>
          </w:p>
        </w:tc>
        <w:tc>
          <w:tcPr>
            <w:tcW w:w="2173" w:type="dxa"/>
          </w:tcPr>
          <w:p>
            <w:pPr>
              <w:pStyle w:val="yTableNAm"/>
              <w:jc w:val="center"/>
            </w:pPr>
            <w:r>
              <w:t>6.042</w:t>
            </w:r>
          </w:p>
        </w:tc>
        <w:tc>
          <w:tcPr>
            <w:tcW w:w="2174" w:type="dxa"/>
          </w:tcPr>
          <w:p>
            <w:pPr>
              <w:pStyle w:val="yTableNAm"/>
              <w:jc w:val="center"/>
            </w:pPr>
            <w:r>
              <w:t>1.662</w:t>
            </w:r>
          </w:p>
        </w:tc>
      </w:tr>
      <w:tr>
        <w:tc>
          <w:tcPr>
            <w:tcW w:w="2173" w:type="dxa"/>
          </w:tcPr>
          <w:p>
            <w:pPr>
              <w:pStyle w:val="yTableNAm"/>
            </w:pPr>
            <w:r>
              <w:t>Leeman</w:t>
            </w:r>
          </w:p>
        </w:tc>
        <w:tc>
          <w:tcPr>
            <w:tcW w:w="2173" w:type="dxa"/>
          </w:tcPr>
          <w:p>
            <w:pPr>
              <w:pStyle w:val="yTableNAm"/>
              <w:jc w:val="center"/>
            </w:pPr>
            <w:r>
              <w:t>10.885</w:t>
            </w:r>
          </w:p>
        </w:tc>
        <w:tc>
          <w:tcPr>
            <w:tcW w:w="2174" w:type="dxa"/>
          </w:tcPr>
          <w:p>
            <w:pPr>
              <w:pStyle w:val="yTableNAm"/>
              <w:jc w:val="center"/>
            </w:pPr>
            <w:r>
              <w:t>3.483</w:t>
            </w:r>
          </w:p>
        </w:tc>
      </w:tr>
      <w:tr>
        <w:tc>
          <w:tcPr>
            <w:tcW w:w="2173" w:type="dxa"/>
          </w:tcPr>
          <w:p>
            <w:pPr>
              <w:pStyle w:val="yTableNAm"/>
            </w:pPr>
            <w:r>
              <w:t>Leonora</w:t>
            </w:r>
          </w:p>
        </w:tc>
        <w:tc>
          <w:tcPr>
            <w:tcW w:w="2173" w:type="dxa"/>
          </w:tcPr>
          <w:p>
            <w:pPr>
              <w:pStyle w:val="yTableNAm"/>
              <w:jc w:val="center"/>
            </w:pPr>
            <w:r>
              <w:t>9.049</w:t>
            </w:r>
          </w:p>
        </w:tc>
        <w:tc>
          <w:tcPr>
            <w:tcW w:w="2174" w:type="dxa"/>
          </w:tcPr>
          <w:p>
            <w:pPr>
              <w:pStyle w:val="yTableNAm"/>
              <w:jc w:val="center"/>
            </w:pPr>
            <w:r>
              <w:t>12.000</w:t>
            </w:r>
          </w:p>
        </w:tc>
      </w:tr>
      <w:tr>
        <w:tc>
          <w:tcPr>
            <w:tcW w:w="2173" w:type="dxa"/>
          </w:tcPr>
          <w:p>
            <w:pPr>
              <w:pStyle w:val="yTableNAm"/>
            </w:pPr>
            <w:r>
              <w:t>Mandurah</w:t>
            </w:r>
          </w:p>
        </w:tc>
        <w:tc>
          <w:tcPr>
            <w:tcW w:w="2173" w:type="dxa"/>
          </w:tcPr>
          <w:p>
            <w:pPr>
              <w:pStyle w:val="yTableNAm"/>
              <w:jc w:val="center"/>
            </w:pPr>
            <w:r>
              <w:t>8.247</w:t>
            </w:r>
          </w:p>
        </w:tc>
        <w:tc>
          <w:tcPr>
            <w:tcW w:w="2174" w:type="dxa"/>
          </w:tcPr>
          <w:p>
            <w:pPr>
              <w:pStyle w:val="yTableNAm"/>
              <w:jc w:val="center"/>
            </w:pPr>
            <w:r>
              <w:t>3.300</w:t>
            </w:r>
          </w:p>
        </w:tc>
      </w:tr>
      <w:tr>
        <w:tc>
          <w:tcPr>
            <w:tcW w:w="2173" w:type="dxa"/>
          </w:tcPr>
          <w:p>
            <w:pPr>
              <w:pStyle w:val="yTableNAm"/>
            </w:pPr>
            <w:r>
              <w:t>Manjimup</w:t>
            </w:r>
          </w:p>
        </w:tc>
        <w:tc>
          <w:tcPr>
            <w:tcW w:w="2173" w:type="dxa"/>
          </w:tcPr>
          <w:p>
            <w:pPr>
              <w:pStyle w:val="yTableNAm"/>
              <w:jc w:val="center"/>
            </w:pPr>
            <w:r>
              <w:t>11.894</w:t>
            </w:r>
          </w:p>
        </w:tc>
        <w:tc>
          <w:tcPr>
            <w:tcW w:w="2174" w:type="dxa"/>
          </w:tcPr>
          <w:p>
            <w:pPr>
              <w:pStyle w:val="yTableNAm"/>
              <w:jc w:val="center"/>
            </w:pPr>
            <w:r>
              <w:t>12.000</w:t>
            </w:r>
          </w:p>
        </w:tc>
      </w:tr>
      <w:tr>
        <w:tc>
          <w:tcPr>
            <w:tcW w:w="2173" w:type="dxa"/>
          </w:tcPr>
          <w:p>
            <w:pPr>
              <w:pStyle w:val="yTableNAm"/>
            </w:pPr>
            <w:r>
              <w:t>Margaret River</w:t>
            </w:r>
          </w:p>
        </w:tc>
        <w:tc>
          <w:tcPr>
            <w:tcW w:w="2173" w:type="dxa"/>
          </w:tcPr>
          <w:p>
            <w:pPr>
              <w:pStyle w:val="yTableNAm"/>
              <w:jc w:val="center"/>
            </w:pPr>
            <w:r>
              <w:t>5.542</w:t>
            </w:r>
          </w:p>
        </w:tc>
        <w:tc>
          <w:tcPr>
            <w:tcW w:w="2174" w:type="dxa"/>
          </w:tcPr>
          <w:p>
            <w:pPr>
              <w:pStyle w:val="yTableNAm"/>
              <w:jc w:val="center"/>
            </w:pPr>
            <w:r>
              <w:t>2.580</w:t>
            </w:r>
          </w:p>
        </w:tc>
      </w:tr>
      <w:tr>
        <w:tc>
          <w:tcPr>
            <w:tcW w:w="2173" w:type="dxa"/>
          </w:tcPr>
          <w:p>
            <w:pPr>
              <w:pStyle w:val="yTableNAm"/>
            </w:pPr>
            <w:r>
              <w:t>Meckering</w:t>
            </w:r>
          </w:p>
        </w:tc>
        <w:tc>
          <w:tcPr>
            <w:tcW w:w="2173" w:type="dxa"/>
          </w:tcPr>
          <w:p>
            <w:pPr>
              <w:pStyle w:val="yTableNAm"/>
              <w:jc w:val="center"/>
            </w:pPr>
            <w:r>
              <w:t>11.720</w:t>
            </w:r>
          </w:p>
        </w:tc>
        <w:tc>
          <w:tcPr>
            <w:tcW w:w="2174" w:type="dxa"/>
          </w:tcPr>
          <w:p>
            <w:pPr>
              <w:pStyle w:val="yTableNAm"/>
              <w:jc w:val="center"/>
            </w:pPr>
            <w:r>
              <w:t>12.000</w:t>
            </w:r>
          </w:p>
        </w:tc>
      </w:tr>
      <w:tr>
        <w:tc>
          <w:tcPr>
            <w:tcW w:w="2173" w:type="dxa"/>
          </w:tcPr>
          <w:p>
            <w:pPr>
              <w:pStyle w:val="yTableNAm"/>
            </w:pPr>
            <w:r>
              <w:t>Merredin</w:t>
            </w:r>
          </w:p>
        </w:tc>
        <w:tc>
          <w:tcPr>
            <w:tcW w:w="2173" w:type="dxa"/>
          </w:tcPr>
          <w:p>
            <w:pPr>
              <w:pStyle w:val="yTableNAm"/>
              <w:jc w:val="center"/>
            </w:pPr>
            <w:r>
              <w:t>8.155</w:t>
            </w:r>
          </w:p>
        </w:tc>
        <w:tc>
          <w:tcPr>
            <w:tcW w:w="2174" w:type="dxa"/>
          </w:tcPr>
          <w:p>
            <w:pPr>
              <w:pStyle w:val="yTableNAm"/>
              <w:jc w:val="center"/>
            </w:pPr>
            <w:r>
              <w:t>5.261</w:t>
            </w:r>
          </w:p>
        </w:tc>
      </w:tr>
      <w:tr>
        <w:tc>
          <w:tcPr>
            <w:tcW w:w="2173" w:type="dxa"/>
          </w:tcPr>
          <w:p>
            <w:pPr>
              <w:pStyle w:val="yTableNAm"/>
            </w:pPr>
            <w:r>
              <w:t>Mount Barker</w:t>
            </w:r>
          </w:p>
        </w:tc>
        <w:tc>
          <w:tcPr>
            <w:tcW w:w="2173" w:type="dxa"/>
          </w:tcPr>
          <w:p>
            <w:pPr>
              <w:pStyle w:val="yTableNAm"/>
              <w:jc w:val="center"/>
            </w:pPr>
            <w:r>
              <w:t>9.287</w:t>
            </w:r>
          </w:p>
        </w:tc>
        <w:tc>
          <w:tcPr>
            <w:tcW w:w="2174" w:type="dxa"/>
          </w:tcPr>
          <w:p>
            <w:pPr>
              <w:pStyle w:val="yTableNAm"/>
              <w:jc w:val="center"/>
            </w:pPr>
            <w:r>
              <w:t>2.937</w:t>
            </w:r>
          </w:p>
        </w:tc>
      </w:tr>
      <w:tr>
        <w:tc>
          <w:tcPr>
            <w:tcW w:w="2173" w:type="dxa"/>
          </w:tcPr>
          <w:p>
            <w:pPr>
              <w:pStyle w:val="yTableNAm"/>
            </w:pPr>
            <w:r>
              <w:t>Mukinbudin</w:t>
            </w:r>
          </w:p>
        </w:tc>
        <w:tc>
          <w:tcPr>
            <w:tcW w:w="2173" w:type="dxa"/>
          </w:tcPr>
          <w:p>
            <w:pPr>
              <w:pStyle w:val="yTableNAm"/>
              <w:jc w:val="center"/>
            </w:pPr>
            <w:r>
              <w:t>9.374</w:t>
            </w:r>
          </w:p>
        </w:tc>
        <w:tc>
          <w:tcPr>
            <w:tcW w:w="2174" w:type="dxa"/>
          </w:tcPr>
          <w:p>
            <w:pPr>
              <w:pStyle w:val="yTableNAm"/>
              <w:jc w:val="center"/>
            </w:pPr>
            <w:r>
              <w:t>11.298</w:t>
            </w:r>
          </w:p>
        </w:tc>
      </w:tr>
      <w:tr>
        <w:tc>
          <w:tcPr>
            <w:tcW w:w="2173" w:type="dxa"/>
          </w:tcPr>
          <w:p>
            <w:pPr>
              <w:pStyle w:val="yTableNAm"/>
            </w:pPr>
            <w:r>
              <w:t>Nannup</w:t>
            </w:r>
          </w:p>
        </w:tc>
        <w:tc>
          <w:tcPr>
            <w:tcW w:w="2173" w:type="dxa"/>
          </w:tcPr>
          <w:p>
            <w:pPr>
              <w:pStyle w:val="yTableNAm"/>
              <w:jc w:val="center"/>
            </w:pPr>
            <w:r>
              <w:t>12.000</w:t>
            </w:r>
          </w:p>
        </w:tc>
        <w:tc>
          <w:tcPr>
            <w:tcW w:w="2174" w:type="dxa"/>
          </w:tcPr>
          <w:p>
            <w:pPr>
              <w:pStyle w:val="yTableNAm"/>
              <w:jc w:val="center"/>
            </w:pPr>
            <w:r>
              <w:t>11.039</w:t>
            </w:r>
          </w:p>
        </w:tc>
      </w:tr>
      <w:tr>
        <w:tc>
          <w:tcPr>
            <w:tcW w:w="2173" w:type="dxa"/>
          </w:tcPr>
          <w:p>
            <w:pPr>
              <w:pStyle w:val="yTableNAm"/>
            </w:pPr>
            <w:r>
              <w:t>Narembeen</w:t>
            </w:r>
          </w:p>
        </w:tc>
        <w:tc>
          <w:tcPr>
            <w:tcW w:w="2173" w:type="dxa"/>
          </w:tcPr>
          <w:p>
            <w:pPr>
              <w:pStyle w:val="yTableNAm"/>
              <w:jc w:val="center"/>
            </w:pPr>
            <w:r>
              <w:t>7.807</w:t>
            </w:r>
          </w:p>
        </w:tc>
        <w:tc>
          <w:tcPr>
            <w:tcW w:w="2174" w:type="dxa"/>
          </w:tcPr>
          <w:p>
            <w:pPr>
              <w:pStyle w:val="yTableNAm"/>
              <w:jc w:val="center"/>
            </w:pPr>
            <w:r>
              <w:t>12.000</w:t>
            </w:r>
          </w:p>
        </w:tc>
      </w:tr>
      <w:tr>
        <w:tc>
          <w:tcPr>
            <w:tcW w:w="2173" w:type="dxa"/>
          </w:tcPr>
          <w:p>
            <w:pPr>
              <w:pStyle w:val="yTableNAm"/>
            </w:pPr>
            <w:r>
              <w:t>Narrogin</w:t>
            </w:r>
          </w:p>
        </w:tc>
        <w:tc>
          <w:tcPr>
            <w:tcW w:w="2173" w:type="dxa"/>
          </w:tcPr>
          <w:p>
            <w:pPr>
              <w:pStyle w:val="yTableNAm"/>
              <w:jc w:val="center"/>
            </w:pPr>
            <w:r>
              <w:t>7.435</w:t>
            </w:r>
          </w:p>
        </w:tc>
        <w:tc>
          <w:tcPr>
            <w:tcW w:w="2174" w:type="dxa"/>
          </w:tcPr>
          <w:p>
            <w:pPr>
              <w:pStyle w:val="yTableNAm"/>
              <w:jc w:val="center"/>
            </w:pPr>
            <w:r>
              <w:t>8.764</w:t>
            </w:r>
          </w:p>
        </w:tc>
      </w:tr>
      <w:tr>
        <w:tc>
          <w:tcPr>
            <w:tcW w:w="2173" w:type="dxa"/>
          </w:tcPr>
          <w:p>
            <w:pPr>
              <w:pStyle w:val="yTableNAm"/>
            </w:pPr>
            <w:r>
              <w:t>Newdegate</w:t>
            </w:r>
          </w:p>
        </w:tc>
        <w:tc>
          <w:tcPr>
            <w:tcW w:w="2173" w:type="dxa"/>
          </w:tcPr>
          <w:p>
            <w:pPr>
              <w:pStyle w:val="yTableNAm"/>
              <w:jc w:val="center"/>
            </w:pPr>
            <w:r>
              <w:t>9.476</w:t>
            </w:r>
          </w:p>
        </w:tc>
        <w:tc>
          <w:tcPr>
            <w:tcW w:w="2174" w:type="dxa"/>
          </w:tcPr>
          <w:p>
            <w:pPr>
              <w:pStyle w:val="yTableNAm"/>
              <w:jc w:val="center"/>
            </w:pPr>
            <w:r>
              <w:t>8.311</w:t>
            </w:r>
          </w:p>
        </w:tc>
      </w:tr>
      <w:tr>
        <w:tc>
          <w:tcPr>
            <w:tcW w:w="2173" w:type="dxa"/>
          </w:tcPr>
          <w:p>
            <w:pPr>
              <w:pStyle w:val="yTableNAm"/>
            </w:pPr>
            <w:r>
              <w:t>Newman</w:t>
            </w:r>
          </w:p>
        </w:tc>
        <w:tc>
          <w:tcPr>
            <w:tcW w:w="2173" w:type="dxa"/>
          </w:tcPr>
          <w:p>
            <w:pPr>
              <w:pStyle w:val="yTableNAm"/>
              <w:jc w:val="center"/>
            </w:pPr>
            <w:r>
              <w:t>2.074</w:t>
            </w:r>
          </w:p>
        </w:tc>
        <w:tc>
          <w:tcPr>
            <w:tcW w:w="2174" w:type="dxa"/>
          </w:tcPr>
          <w:p>
            <w:pPr>
              <w:pStyle w:val="yTableNAm"/>
              <w:jc w:val="center"/>
            </w:pPr>
            <w:r>
              <w:t>0.853</w:t>
            </w:r>
          </w:p>
        </w:tc>
      </w:tr>
      <w:tr>
        <w:tc>
          <w:tcPr>
            <w:tcW w:w="2173" w:type="dxa"/>
          </w:tcPr>
          <w:p>
            <w:pPr>
              <w:pStyle w:val="yTableNAm"/>
            </w:pPr>
            <w:r>
              <w:t>Northam</w:t>
            </w:r>
          </w:p>
        </w:tc>
        <w:tc>
          <w:tcPr>
            <w:tcW w:w="2173" w:type="dxa"/>
          </w:tcPr>
          <w:p>
            <w:pPr>
              <w:pStyle w:val="yTableNAm"/>
              <w:jc w:val="center"/>
            </w:pPr>
            <w:r>
              <w:t>8.632</w:t>
            </w:r>
          </w:p>
        </w:tc>
        <w:tc>
          <w:tcPr>
            <w:tcW w:w="2174" w:type="dxa"/>
          </w:tcPr>
          <w:p>
            <w:pPr>
              <w:pStyle w:val="yTableNAm"/>
              <w:jc w:val="center"/>
            </w:pPr>
            <w:r>
              <w:t>4.184</w:t>
            </w:r>
          </w:p>
        </w:tc>
      </w:tr>
      <w:tr>
        <w:tc>
          <w:tcPr>
            <w:tcW w:w="2173" w:type="dxa"/>
          </w:tcPr>
          <w:p>
            <w:pPr>
              <w:pStyle w:val="yTableNAm"/>
            </w:pPr>
            <w:r>
              <w:t>Onslow</w:t>
            </w:r>
          </w:p>
        </w:tc>
        <w:tc>
          <w:tcPr>
            <w:tcW w:w="2173" w:type="dxa"/>
          </w:tcPr>
          <w:p>
            <w:pPr>
              <w:pStyle w:val="yTableNAm"/>
              <w:jc w:val="center"/>
            </w:pPr>
            <w:r>
              <w:t>9.798</w:t>
            </w:r>
          </w:p>
        </w:tc>
        <w:tc>
          <w:tcPr>
            <w:tcW w:w="2174" w:type="dxa"/>
          </w:tcPr>
          <w:p>
            <w:pPr>
              <w:pStyle w:val="yTableNAm"/>
              <w:jc w:val="center"/>
            </w:pPr>
            <w:r>
              <w:t>4.185</w:t>
            </w:r>
          </w:p>
        </w:tc>
      </w:tr>
      <w:tr>
        <w:tc>
          <w:tcPr>
            <w:tcW w:w="2173" w:type="dxa"/>
          </w:tcPr>
          <w:p>
            <w:pPr>
              <w:pStyle w:val="yTableNAm"/>
            </w:pPr>
            <w:r>
              <w:t>Pemberton</w:t>
            </w:r>
          </w:p>
        </w:tc>
        <w:tc>
          <w:tcPr>
            <w:tcW w:w="2173" w:type="dxa"/>
          </w:tcPr>
          <w:p>
            <w:pPr>
              <w:pStyle w:val="yTableNAm"/>
              <w:jc w:val="center"/>
            </w:pPr>
            <w:r>
              <w:t>12.000</w:t>
            </w:r>
          </w:p>
        </w:tc>
        <w:tc>
          <w:tcPr>
            <w:tcW w:w="2174" w:type="dxa"/>
          </w:tcPr>
          <w:p>
            <w:pPr>
              <w:pStyle w:val="yTableNAm"/>
              <w:jc w:val="center"/>
            </w:pPr>
            <w:r>
              <w:t>11.164</w:t>
            </w:r>
          </w:p>
        </w:tc>
      </w:tr>
      <w:tr>
        <w:tc>
          <w:tcPr>
            <w:tcW w:w="2173" w:type="dxa"/>
          </w:tcPr>
          <w:p>
            <w:pPr>
              <w:pStyle w:val="yTableNAm"/>
            </w:pPr>
            <w:r>
              <w:t>Pingelly</w:t>
            </w:r>
          </w:p>
        </w:tc>
        <w:tc>
          <w:tcPr>
            <w:tcW w:w="2173" w:type="dxa"/>
          </w:tcPr>
          <w:p>
            <w:pPr>
              <w:pStyle w:val="yTableNAm"/>
              <w:jc w:val="center"/>
            </w:pPr>
            <w:r>
              <w:t>6.845</w:t>
            </w:r>
          </w:p>
        </w:tc>
        <w:tc>
          <w:tcPr>
            <w:tcW w:w="2174" w:type="dxa"/>
          </w:tcPr>
          <w:p>
            <w:pPr>
              <w:pStyle w:val="yTableNAm"/>
              <w:jc w:val="center"/>
            </w:pPr>
            <w:r>
              <w:t>3.639</w:t>
            </w:r>
          </w:p>
        </w:tc>
      </w:tr>
      <w:tr>
        <w:tc>
          <w:tcPr>
            <w:tcW w:w="2173" w:type="dxa"/>
          </w:tcPr>
          <w:p>
            <w:pPr>
              <w:pStyle w:val="yTableNAm"/>
            </w:pPr>
            <w:r>
              <w:t>Pinjarra</w:t>
            </w:r>
          </w:p>
        </w:tc>
        <w:tc>
          <w:tcPr>
            <w:tcW w:w="2173" w:type="dxa"/>
          </w:tcPr>
          <w:p>
            <w:pPr>
              <w:pStyle w:val="yTableNAm"/>
              <w:jc w:val="center"/>
            </w:pPr>
            <w:r>
              <w:t>8.800</w:t>
            </w:r>
          </w:p>
        </w:tc>
        <w:tc>
          <w:tcPr>
            <w:tcW w:w="2174" w:type="dxa"/>
          </w:tcPr>
          <w:p>
            <w:pPr>
              <w:pStyle w:val="yTableNAm"/>
              <w:jc w:val="center"/>
            </w:pPr>
            <w:r>
              <w:t>5.237</w:t>
            </w:r>
          </w:p>
        </w:tc>
      </w:tr>
      <w:tr>
        <w:tc>
          <w:tcPr>
            <w:tcW w:w="2173" w:type="dxa"/>
          </w:tcPr>
          <w:p>
            <w:pPr>
              <w:pStyle w:val="yTableNAm"/>
            </w:pPr>
            <w:r>
              <w:t>Port Hedland</w:t>
            </w:r>
          </w:p>
        </w:tc>
        <w:tc>
          <w:tcPr>
            <w:tcW w:w="2173" w:type="dxa"/>
          </w:tcPr>
          <w:p>
            <w:pPr>
              <w:pStyle w:val="yTableNAm"/>
              <w:jc w:val="center"/>
            </w:pPr>
            <w:r>
              <w:t>3.377</w:t>
            </w:r>
          </w:p>
        </w:tc>
        <w:tc>
          <w:tcPr>
            <w:tcW w:w="2174" w:type="dxa"/>
          </w:tcPr>
          <w:p>
            <w:pPr>
              <w:pStyle w:val="yTableNAm"/>
              <w:jc w:val="center"/>
            </w:pPr>
            <w:r>
              <w:t>0.973</w:t>
            </w:r>
          </w:p>
        </w:tc>
      </w:tr>
      <w:tr>
        <w:tc>
          <w:tcPr>
            <w:tcW w:w="2173" w:type="dxa"/>
          </w:tcPr>
          <w:p>
            <w:pPr>
              <w:pStyle w:val="yTableNAm"/>
            </w:pPr>
            <w:r>
              <w:t>Quairading</w:t>
            </w:r>
          </w:p>
        </w:tc>
        <w:tc>
          <w:tcPr>
            <w:tcW w:w="2173" w:type="dxa"/>
          </w:tcPr>
          <w:p>
            <w:pPr>
              <w:pStyle w:val="yTableNAm"/>
              <w:jc w:val="center"/>
            </w:pPr>
            <w:r>
              <w:t>9.977</w:t>
            </w:r>
          </w:p>
        </w:tc>
        <w:tc>
          <w:tcPr>
            <w:tcW w:w="2174" w:type="dxa"/>
          </w:tcPr>
          <w:p>
            <w:pPr>
              <w:pStyle w:val="yTableNAm"/>
              <w:jc w:val="center"/>
            </w:pPr>
            <w:r>
              <w:t>10.611</w:t>
            </w:r>
          </w:p>
        </w:tc>
      </w:tr>
      <w:tr>
        <w:tc>
          <w:tcPr>
            <w:tcW w:w="2173" w:type="dxa"/>
          </w:tcPr>
          <w:p>
            <w:pPr>
              <w:pStyle w:val="yTableNAm"/>
            </w:pPr>
            <w:r>
              <w:t>Roebourne</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Seabird</w:t>
            </w:r>
          </w:p>
        </w:tc>
        <w:tc>
          <w:tcPr>
            <w:tcW w:w="2173" w:type="dxa"/>
          </w:tcPr>
          <w:p>
            <w:pPr>
              <w:pStyle w:val="yTableNAm"/>
              <w:jc w:val="center"/>
            </w:pPr>
            <w:r>
              <w:t>12.000</w:t>
            </w:r>
          </w:p>
        </w:tc>
        <w:tc>
          <w:tcPr>
            <w:tcW w:w="2174" w:type="dxa"/>
          </w:tcPr>
          <w:p>
            <w:pPr>
              <w:pStyle w:val="yTableNAm"/>
              <w:jc w:val="center"/>
            </w:pPr>
            <w:r>
              <w:t>3.807</w:t>
            </w:r>
          </w:p>
        </w:tc>
      </w:tr>
      <w:tr>
        <w:tblPrEx>
          <w:tblCellMar>
            <w:left w:w="108" w:type="dxa"/>
            <w:right w:w="108" w:type="dxa"/>
          </w:tblCellMar>
        </w:tblPrEx>
        <w:tc>
          <w:tcPr>
            <w:tcW w:w="2173" w:type="dxa"/>
          </w:tcPr>
          <w:p>
            <w:pPr>
              <w:pStyle w:val="yTableNAm"/>
            </w:pPr>
            <w:r>
              <w:t>Tambellup</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Three Springs</w:t>
            </w:r>
          </w:p>
        </w:tc>
        <w:tc>
          <w:tcPr>
            <w:tcW w:w="2173" w:type="dxa"/>
          </w:tcPr>
          <w:p>
            <w:pPr>
              <w:pStyle w:val="yTableNAm"/>
              <w:jc w:val="center"/>
            </w:pPr>
            <w:r>
              <w:t>9.120</w:t>
            </w:r>
          </w:p>
        </w:tc>
        <w:tc>
          <w:tcPr>
            <w:tcW w:w="2174" w:type="dxa"/>
          </w:tcPr>
          <w:p>
            <w:pPr>
              <w:pStyle w:val="yTableNAm"/>
              <w:jc w:val="center"/>
            </w:pPr>
            <w:r>
              <w:t>8.448</w:t>
            </w:r>
          </w:p>
        </w:tc>
      </w:tr>
      <w:tr>
        <w:tc>
          <w:tcPr>
            <w:tcW w:w="2173" w:type="dxa"/>
          </w:tcPr>
          <w:p>
            <w:pPr>
              <w:pStyle w:val="yTableNAm"/>
            </w:pPr>
            <w:r>
              <w:t>Toodyay</w:t>
            </w:r>
          </w:p>
        </w:tc>
        <w:tc>
          <w:tcPr>
            <w:tcW w:w="2173" w:type="dxa"/>
          </w:tcPr>
          <w:p>
            <w:pPr>
              <w:pStyle w:val="yTableNAm"/>
              <w:jc w:val="center"/>
            </w:pPr>
            <w:r>
              <w:t>12.000</w:t>
            </w:r>
          </w:p>
        </w:tc>
        <w:tc>
          <w:tcPr>
            <w:tcW w:w="2174" w:type="dxa"/>
          </w:tcPr>
          <w:p>
            <w:pPr>
              <w:pStyle w:val="yTableNAm"/>
              <w:jc w:val="center"/>
            </w:pPr>
            <w:r>
              <w:t>9.474</w:t>
            </w:r>
          </w:p>
        </w:tc>
      </w:tr>
      <w:tr>
        <w:tc>
          <w:tcPr>
            <w:tcW w:w="2173" w:type="dxa"/>
          </w:tcPr>
          <w:p>
            <w:pPr>
              <w:pStyle w:val="yTableNAm"/>
            </w:pPr>
            <w:r>
              <w:t>Wagin</w:t>
            </w:r>
          </w:p>
        </w:tc>
        <w:tc>
          <w:tcPr>
            <w:tcW w:w="2173" w:type="dxa"/>
          </w:tcPr>
          <w:p>
            <w:pPr>
              <w:pStyle w:val="yTableNAm"/>
              <w:jc w:val="center"/>
            </w:pPr>
            <w:r>
              <w:t>10.959</w:t>
            </w:r>
          </w:p>
        </w:tc>
        <w:tc>
          <w:tcPr>
            <w:tcW w:w="2174" w:type="dxa"/>
          </w:tcPr>
          <w:p>
            <w:pPr>
              <w:pStyle w:val="yTableNAm"/>
              <w:jc w:val="center"/>
            </w:pPr>
            <w:r>
              <w:t>12.000</w:t>
            </w:r>
          </w:p>
        </w:tc>
      </w:tr>
      <w:tr>
        <w:tc>
          <w:tcPr>
            <w:tcW w:w="2173" w:type="dxa"/>
          </w:tcPr>
          <w:p>
            <w:pPr>
              <w:pStyle w:val="yTableNAm"/>
            </w:pPr>
            <w:r>
              <w:t>Walpole</w:t>
            </w:r>
          </w:p>
        </w:tc>
        <w:tc>
          <w:tcPr>
            <w:tcW w:w="2173" w:type="dxa"/>
          </w:tcPr>
          <w:p>
            <w:pPr>
              <w:pStyle w:val="yTableNAm"/>
              <w:jc w:val="center"/>
            </w:pPr>
            <w:r>
              <w:t>12.000</w:t>
            </w:r>
          </w:p>
        </w:tc>
        <w:tc>
          <w:tcPr>
            <w:tcW w:w="2174" w:type="dxa"/>
          </w:tcPr>
          <w:p>
            <w:pPr>
              <w:pStyle w:val="yTableNAm"/>
              <w:jc w:val="center"/>
            </w:pPr>
            <w:r>
              <w:t>5.978</w:t>
            </w:r>
          </w:p>
        </w:tc>
      </w:tr>
      <w:tr>
        <w:tc>
          <w:tcPr>
            <w:tcW w:w="2173" w:type="dxa"/>
          </w:tcPr>
          <w:p>
            <w:pPr>
              <w:pStyle w:val="yTableNAm"/>
            </w:pPr>
            <w:r>
              <w:t>Waroona</w:t>
            </w:r>
          </w:p>
        </w:tc>
        <w:tc>
          <w:tcPr>
            <w:tcW w:w="2173" w:type="dxa"/>
          </w:tcPr>
          <w:p>
            <w:pPr>
              <w:pStyle w:val="yTableNAm"/>
              <w:jc w:val="center"/>
            </w:pPr>
            <w:r>
              <w:t>4.627</w:t>
            </w:r>
          </w:p>
        </w:tc>
        <w:tc>
          <w:tcPr>
            <w:tcW w:w="2174" w:type="dxa"/>
          </w:tcPr>
          <w:p>
            <w:pPr>
              <w:pStyle w:val="yTableNAm"/>
              <w:jc w:val="center"/>
            </w:pPr>
            <w:r>
              <w:t>2.822</w:t>
            </w:r>
          </w:p>
        </w:tc>
      </w:tr>
      <w:tr>
        <w:tc>
          <w:tcPr>
            <w:tcW w:w="2173" w:type="dxa"/>
          </w:tcPr>
          <w:p>
            <w:pPr>
              <w:pStyle w:val="yTableNAm"/>
            </w:pPr>
            <w:r>
              <w:t>Wickham</w:t>
            </w:r>
          </w:p>
        </w:tc>
        <w:tc>
          <w:tcPr>
            <w:tcW w:w="2173" w:type="dxa"/>
          </w:tcPr>
          <w:p>
            <w:pPr>
              <w:pStyle w:val="yTableNAm"/>
              <w:jc w:val="center"/>
            </w:pPr>
            <w:r>
              <w:t>6.951</w:t>
            </w:r>
          </w:p>
        </w:tc>
        <w:tc>
          <w:tcPr>
            <w:tcW w:w="2174" w:type="dxa"/>
          </w:tcPr>
          <w:p>
            <w:pPr>
              <w:pStyle w:val="yTableNAm"/>
              <w:jc w:val="center"/>
            </w:pPr>
            <w:r>
              <w:t>11.568</w:t>
            </w:r>
          </w:p>
        </w:tc>
      </w:tr>
      <w:tr>
        <w:tc>
          <w:tcPr>
            <w:tcW w:w="2173" w:type="dxa"/>
          </w:tcPr>
          <w:p>
            <w:pPr>
              <w:pStyle w:val="yTableNAm"/>
            </w:pPr>
            <w:r>
              <w:t>Williams</w:t>
            </w:r>
          </w:p>
        </w:tc>
        <w:tc>
          <w:tcPr>
            <w:tcW w:w="2173" w:type="dxa"/>
          </w:tcPr>
          <w:p>
            <w:pPr>
              <w:pStyle w:val="yTableNAm"/>
              <w:jc w:val="center"/>
            </w:pPr>
            <w:r>
              <w:t>12.000</w:t>
            </w:r>
          </w:p>
        </w:tc>
        <w:tc>
          <w:tcPr>
            <w:tcW w:w="2174" w:type="dxa"/>
          </w:tcPr>
          <w:p>
            <w:pPr>
              <w:pStyle w:val="yTableNAm"/>
              <w:jc w:val="center"/>
            </w:pPr>
            <w:r>
              <w:t>12.000</w:t>
            </w:r>
          </w:p>
        </w:tc>
      </w:tr>
      <w:tr>
        <w:tblPrEx>
          <w:tblCellMar>
            <w:left w:w="108" w:type="dxa"/>
            <w:right w:w="108" w:type="dxa"/>
          </w:tblCellMar>
        </w:tblPrEx>
        <w:tc>
          <w:tcPr>
            <w:tcW w:w="2173" w:type="dxa"/>
          </w:tcPr>
          <w:p>
            <w:pPr>
              <w:pStyle w:val="yTableNAm"/>
            </w:pPr>
            <w:r>
              <w:t>Wiluna</w:t>
            </w:r>
          </w:p>
        </w:tc>
        <w:tc>
          <w:tcPr>
            <w:tcW w:w="2173" w:type="dxa"/>
          </w:tcPr>
          <w:p>
            <w:pPr>
              <w:pStyle w:val="yTableNAm"/>
              <w:jc w:val="center"/>
            </w:pPr>
            <w:r>
              <w:t>12.000</w:t>
            </w:r>
          </w:p>
        </w:tc>
        <w:tc>
          <w:tcPr>
            <w:tcW w:w="2174" w:type="dxa"/>
          </w:tcPr>
          <w:p>
            <w:pPr>
              <w:pStyle w:val="yTableNAm"/>
              <w:jc w:val="center"/>
            </w:pPr>
            <w:r>
              <w:t>12.000</w:t>
            </w:r>
          </w:p>
        </w:tc>
      </w:tr>
      <w:tr>
        <w:tc>
          <w:tcPr>
            <w:tcW w:w="2173" w:type="dxa"/>
          </w:tcPr>
          <w:p>
            <w:pPr>
              <w:pStyle w:val="yTableNAm"/>
            </w:pPr>
            <w:r>
              <w:t>Wongan Hills</w:t>
            </w:r>
          </w:p>
        </w:tc>
        <w:tc>
          <w:tcPr>
            <w:tcW w:w="2173" w:type="dxa"/>
          </w:tcPr>
          <w:p>
            <w:pPr>
              <w:pStyle w:val="yTableNAm"/>
              <w:jc w:val="center"/>
            </w:pPr>
            <w:r>
              <w:t>8.555</w:t>
            </w:r>
          </w:p>
        </w:tc>
        <w:tc>
          <w:tcPr>
            <w:tcW w:w="2174" w:type="dxa"/>
          </w:tcPr>
          <w:p>
            <w:pPr>
              <w:pStyle w:val="yTableNAm"/>
              <w:jc w:val="center"/>
            </w:pPr>
            <w:r>
              <w:t>7.854</w:t>
            </w:r>
          </w:p>
        </w:tc>
      </w:tr>
      <w:tr>
        <w:tc>
          <w:tcPr>
            <w:tcW w:w="2173" w:type="dxa"/>
          </w:tcPr>
          <w:p>
            <w:pPr>
              <w:pStyle w:val="yTableNAm"/>
            </w:pPr>
            <w:r>
              <w:t>Wundowie</w:t>
            </w:r>
          </w:p>
        </w:tc>
        <w:tc>
          <w:tcPr>
            <w:tcW w:w="2173" w:type="dxa"/>
          </w:tcPr>
          <w:p>
            <w:pPr>
              <w:pStyle w:val="yTableNAm"/>
              <w:jc w:val="center"/>
            </w:pPr>
            <w:r>
              <w:t>9.233</w:t>
            </w:r>
          </w:p>
        </w:tc>
        <w:tc>
          <w:tcPr>
            <w:tcW w:w="2174" w:type="dxa"/>
          </w:tcPr>
          <w:p>
            <w:pPr>
              <w:pStyle w:val="yTableNAm"/>
              <w:jc w:val="center"/>
            </w:pPr>
            <w:r>
              <w:t>4.463</w:t>
            </w:r>
          </w:p>
        </w:tc>
      </w:tr>
      <w:tr>
        <w:tc>
          <w:tcPr>
            <w:tcW w:w="2173" w:type="dxa"/>
          </w:tcPr>
          <w:p>
            <w:pPr>
              <w:pStyle w:val="yTableNAm"/>
            </w:pPr>
            <w:r>
              <w:t>Wyalkatchem</w:t>
            </w:r>
          </w:p>
        </w:tc>
        <w:tc>
          <w:tcPr>
            <w:tcW w:w="2173" w:type="dxa"/>
          </w:tcPr>
          <w:p>
            <w:pPr>
              <w:pStyle w:val="yTableNAm"/>
              <w:jc w:val="center"/>
            </w:pPr>
            <w:r>
              <w:t>7.952</w:t>
            </w:r>
          </w:p>
        </w:tc>
        <w:tc>
          <w:tcPr>
            <w:tcW w:w="2174" w:type="dxa"/>
          </w:tcPr>
          <w:p>
            <w:pPr>
              <w:pStyle w:val="yTableNAm"/>
              <w:jc w:val="center"/>
            </w:pPr>
            <w:r>
              <w:t>12.000</w:t>
            </w:r>
          </w:p>
        </w:tc>
      </w:tr>
      <w:tr>
        <w:tc>
          <w:tcPr>
            <w:tcW w:w="2173" w:type="dxa"/>
          </w:tcPr>
          <w:p>
            <w:pPr>
              <w:pStyle w:val="yTableNAm"/>
            </w:pPr>
            <w:r>
              <w:t>Wyndham</w:t>
            </w:r>
          </w:p>
        </w:tc>
        <w:tc>
          <w:tcPr>
            <w:tcW w:w="2173" w:type="dxa"/>
          </w:tcPr>
          <w:p>
            <w:pPr>
              <w:pStyle w:val="yTableNAm"/>
              <w:jc w:val="center"/>
            </w:pPr>
            <w:r>
              <w:t>12.000</w:t>
            </w:r>
          </w:p>
        </w:tc>
        <w:tc>
          <w:tcPr>
            <w:tcW w:w="2174" w:type="dxa"/>
          </w:tcPr>
          <w:p>
            <w:pPr>
              <w:pStyle w:val="yTableNAm"/>
              <w:jc w:val="center"/>
            </w:pPr>
            <w:r>
              <w:t>12.000</w:t>
            </w:r>
          </w:p>
        </w:tc>
      </w:tr>
      <w:tr>
        <w:tc>
          <w:tcPr>
            <w:tcW w:w="2173" w:type="dxa"/>
            <w:tcBorders>
              <w:bottom w:val="single" w:sz="4" w:space="0" w:color="auto"/>
            </w:tcBorders>
          </w:tcPr>
          <w:p>
            <w:pPr>
              <w:pStyle w:val="yTableNAm"/>
            </w:pPr>
            <w:r>
              <w:t>York</w:t>
            </w:r>
          </w:p>
        </w:tc>
        <w:tc>
          <w:tcPr>
            <w:tcW w:w="2173" w:type="dxa"/>
            <w:tcBorders>
              <w:bottom w:val="single" w:sz="4" w:space="0" w:color="auto"/>
            </w:tcBorders>
          </w:tcPr>
          <w:p>
            <w:pPr>
              <w:pStyle w:val="yTableNAm"/>
              <w:jc w:val="center"/>
            </w:pPr>
            <w:r>
              <w:t>11.954</w:t>
            </w:r>
          </w:p>
        </w:tc>
        <w:tc>
          <w:tcPr>
            <w:tcW w:w="2174" w:type="dxa"/>
            <w:tcBorders>
              <w:bottom w:val="single" w:sz="4" w:space="0" w:color="auto"/>
            </w:tcBorders>
          </w:tcPr>
          <w:p>
            <w:pPr>
              <w:pStyle w:val="yTableNAm"/>
              <w:jc w:val="center"/>
            </w:pPr>
            <w:r>
              <w:t>8.011</w:t>
            </w:r>
          </w:p>
        </w:tc>
      </w:tr>
    </w:tbl>
    <w:p>
      <w:pPr>
        <w:pStyle w:val="yFootnotesection"/>
      </w:pPr>
      <w:r>
        <w:tab/>
        <w:t>[Division 2 inserted in Gazette 19 Jun 2009 p. 2347-52.]</w:t>
      </w:r>
    </w:p>
    <w:p>
      <w:pPr>
        <w:pStyle w:val="yHeading3"/>
      </w:pPr>
      <w:bookmarkStart w:id="549" w:name="_Toc233448423"/>
      <w:bookmarkStart w:id="550" w:name="_Toc233611702"/>
      <w:r>
        <w:rPr>
          <w:rStyle w:val="CharSDivNo"/>
        </w:rPr>
        <w:t>Division 3</w:t>
      </w:r>
      <w:r>
        <w:rPr>
          <w:b w:val="0"/>
        </w:rPr>
        <w:t> — </w:t>
      </w:r>
      <w:r>
        <w:rPr>
          <w:rStyle w:val="CharSDivText"/>
        </w:rPr>
        <w:t>Variable charges</w:t>
      </w:r>
      <w:bookmarkEnd w:id="549"/>
      <w:bookmarkEnd w:id="550"/>
    </w:p>
    <w:p>
      <w:pPr>
        <w:pStyle w:val="yFootnoteheading"/>
        <w:spacing w:after="120"/>
      </w:pPr>
      <w:r>
        <w:tab/>
        <w:t>[Heading inserted in Gazette 19 Jun 2009 p. 2352.]</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rPr>
                <w:b/>
                <w:bCs/>
              </w:rPr>
            </w:pPr>
            <w:r>
              <w:rPr>
                <w:rStyle w:val="CharSClsNo"/>
                <w:b/>
                <w:bCs/>
              </w:rPr>
              <w:t>11</w:t>
            </w:r>
            <w:r>
              <w:rPr>
                <w:b/>
                <w:bCs/>
              </w:rPr>
              <w:t>.</w:t>
            </w:r>
          </w:p>
        </w:tc>
        <w:tc>
          <w:tcPr>
            <w:tcW w:w="5812" w:type="dxa"/>
            <w:gridSpan w:val="2"/>
          </w:tcPr>
          <w:p>
            <w:pPr>
              <w:pStyle w:val="yTableNAm"/>
              <w:rPr>
                <w:b/>
                <w:bCs/>
                <w:spacing w:val="-1"/>
              </w:rPr>
            </w:pPr>
            <w:r>
              <w:rPr>
                <w:b/>
                <w:bCs/>
              </w:rPr>
              <w:t>Industrial waste discharged into a sewer of the Corporation pursuant to a permit</w:t>
            </w:r>
          </w:p>
        </w:tc>
      </w:tr>
      <w:tr>
        <w:tc>
          <w:tcPr>
            <w:tcW w:w="850" w:type="dxa"/>
          </w:tcPr>
          <w:p>
            <w:pPr>
              <w:pStyle w:val="yTableNAm"/>
              <w:rPr>
                <w:rStyle w:val="CharSClsNo"/>
              </w:rPr>
            </w:pPr>
          </w:p>
        </w:tc>
        <w:tc>
          <w:tcPr>
            <w:tcW w:w="4236" w:type="dxa"/>
          </w:tcPr>
          <w:p>
            <w:pPr>
              <w:pStyle w:val="yTableNAm"/>
              <w:rPr>
                <w:spacing w:val="-1"/>
              </w:rPr>
            </w:pPr>
            <w:r>
              <w:t>For industrial waste discharged into a sewer of the Corporation pursuant to a permit —</w:t>
            </w:r>
          </w:p>
        </w:tc>
        <w:tc>
          <w:tcPr>
            <w:tcW w:w="1576" w:type="dxa"/>
          </w:tcPr>
          <w:p>
            <w:pPr>
              <w:pStyle w:val="yTableNAm"/>
              <w:rPr>
                <w:spacing w:val="-1"/>
              </w:rPr>
            </w:pP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(a)</w:t>
            </w:r>
            <w:r>
              <w:tab/>
              <w:t>for volume ....................................</w:t>
            </w:r>
          </w:p>
        </w:tc>
        <w:tc>
          <w:tcPr>
            <w:tcW w:w="1576" w:type="dxa"/>
          </w:tcPr>
          <w:p>
            <w:pPr>
              <w:pStyle w:val="yTableNAm"/>
            </w:pPr>
            <w:r>
              <w:t>120.0 c/kL</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(b)</w:t>
            </w:r>
            <w:r>
              <w:tab/>
              <w:t xml:space="preserve">for B.O.D. — </w:t>
            </w:r>
          </w:p>
        </w:tc>
        <w:tc>
          <w:tcPr>
            <w:tcW w:w="1576"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896"/>
                <w:tab w:val="left" w:pos="1496"/>
              </w:tabs>
              <w:ind w:left="1496" w:hanging="1496"/>
            </w:pPr>
            <w:r>
              <w:tab/>
              <w:t>(i)</w:t>
            </w:r>
            <w:r>
              <w:tab/>
              <w:t>with a concentration of up to 5 kg per kL .....................</w:t>
            </w:r>
          </w:p>
        </w:tc>
        <w:tc>
          <w:tcPr>
            <w:tcW w:w="1576" w:type="dxa"/>
          </w:tcPr>
          <w:p>
            <w:pPr>
              <w:pStyle w:val="yTableNAm"/>
            </w:pPr>
            <w:r>
              <w:br/>
              <w:t>103.0 c/kg</w:t>
            </w:r>
          </w:p>
        </w:tc>
      </w:tr>
      <w:tr>
        <w:tc>
          <w:tcPr>
            <w:tcW w:w="850" w:type="dxa"/>
          </w:tcPr>
          <w:p>
            <w:pPr>
              <w:pStyle w:val="yTableNAm"/>
              <w:rPr>
                <w:rStyle w:val="CharSClsNo"/>
              </w:rPr>
            </w:pPr>
          </w:p>
        </w:tc>
        <w:tc>
          <w:tcPr>
            <w:tcW w:w="4236" w:type="dxa"/>
          </w:tcPr>
          <w:p>
            <w:pPr>
              <w:pStyle w:val="yTableNAm"/>
              <w:tabs>
                <w:tab w:val="clear" w:pos="567"/>
                <w:tab w:val="left" w:pos="896"/>
                <w:tab w:val="left" w:pos="1496"/>
              </w:tabs>
              <w:ind w:left="1496" w:hanging="1496"/>
            </w:pPr>
            <w:r>
              <w:tab/>
              <w:t>(ii)</w:t>
            </w:r>
            <w:r>
              <w:tab/>
              <w:t>with a concentration of over 5 kg per kL .................</w:t>
            </w:r>
          </w:p>
        </w:tc>
        <w:tc>
          <w:tcPr>
            <w:tcW w:w="1576" w:type="dxa"/>
          </w:tcPr>
          <w:p>
            <w:pPr>
              <w:pStyle w:val="yTableNAm"/>
            </w:pPr>
            <w:r>
              <w:br/>
              <w:t>208.0 c/kg</w:t>
            </w:r>
          </w:p>
        </w:tc>
      </w:tr>
      <w:tr>
        <w:tc>
          <w:tcPr>
            <w:tcW w:w="850" w:type="dxa"/>
          </w:tcPr>
          <w:p>
            <w:pPr>
              <w:pStyle w:val="yTableNAm"/>
              <w:rPr>
                <w:rStyle w:val="CharSClsNo"/>
              </w:rPr>
            </w:pPr>
          </w:p>
        </w:tc>
        <w:tc>
          <w:tcPr>
            <w:tcW w:w="4236" w:type="dxa"/>
          </w:tcPr>
          <w:p>
            <w:pPr>
              <w:pStyle w:val="yTableNAm"/>
              <w:tabs>
                <w:tab w:val="clear" w:pos="567"/>
                <w:tab w:val="left" w:pos="416"/>
                <w:tab w:val="left" w:pos="896"/>
              </w:tabs>
              <w:ind w:left="896" w:hanging="896"/>
            </w:pPr>
            <w:r>
              <w:tab/>
              <w:t>(c)</w:t>
            </w:r>
            <w:r>
              <w:tab/>
              <w:t xml:space="preserve">for suspended solids — </w:t>
            </w:r>
          </w:p>
        </w:tc>
        <w:tc>
          <w:tcPr>
            <w:tcW w:w="1576" w:type="dxa"/>
          </w:tcPr>
          <w:p>
            <w:pPr>
              <w:pStyle w:val="yTableNAm"/>
            </w:pPr>
          </w:p>
        </w:tc>
      </w:tr>
      <w:tr>
        <w:tc>
          <w:tcPr>
            <w:tcW w:w="850" w:type="dxa"/>
          </w:tcPr>
          <w:p>
            <w:pPr>
              <w:pStyle w:val="yTableNAm"/>
              <w:rPr>
                <w:rStyle w:val="CharSClsNo"/>
              </w:rPr>
            </w:pPr>
          </w:p>
        </w:tc>
        <w:tc>
          <w:tcPr>
            <w:tcW w:w="4236" w:type="dxa"/>
          </w:tcPr>
          <w:p>
            <w:pPr>
              <w:pStyle w:val="yTableNAm"/>
              <w:tabs>
                <w:tab w:val="clear" w:pos="567"/>
                <w:tab w:val="left" w:pos="896"/>
                <w:tab w:val="left" w:pos="1496"/>
              </w:tabs>
              <w:ind w:left="1496" w:hanging="1496"/>
            </w:pPr>
            <w:r>
              <w:tab/>
              <w:t>(i)</w:t>
            </w:r>
            <w:r>
              <w:tab/>
              <w:t>with a concentration of up to 2 kg per kL .....................</w:t>
            </w:r>
          </w:p>
        </w:tc>
        <w:tc>
          <w:tcPr>
            <w:tcW w:w="1576" w:type="dxa"/>
          </w:tcPr>
          <w:p>
            <w:pPr>
              <w:pStyle w:val="yTableNAm"/>
            </w:pPr>
            <w:r>
              <w:br/>
              <w:t>126.0</w:t>
            </w:r>
            <w:r>
              <w:rPr>
                <w:rStyle w:val="DraftersNotes"/>
              </w:rPr>
              <w:t xml:space="preserve"> </w:t>
            </w:r>
            <w:r>
              <w:t>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of over 2 kg per kL .................</w:t>
            </w:r>
          </w:p>
        </w:tc>
        <w:tc>
          <w:tcPr>
            <w:tcW w:w="1576" w:type="dxa"/>
          </w:tcPr>
          <w:p>
            <w:pPr>
              <w:pStyle w:val="yTableNAm"/>
              <w:rPr>
                <w:spacing w:val="-1"/>
              </w:rPr>
            </w:pPr>
            <w:r>
              <w:rPr>
                <w:spacing w:val="-1"/>
              </w:rPr>
              <w:br/>
              <w:t>252.0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(d)</w:t>
            </w:r>
            <w:r>
              <w:tab/>
              <w:t xml:space="preserve">for chemical oxygen demand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10 kg per kL ...................</w:t>
            </w:r>
          </w:p>
        </w:tc>
        <w:tc>
          <w:tcPr>
            <w:tcW w:w="1576" w:type="dxa"/>
          </w:tcPr>
          <w:p>
            <w:pPr>
              <w:pStyle w:val="yTableNAm"/>
              <w:rPr>
                <w:spacing w:val="-1"/>
              </w:rPr>
            </w:pPr>
            <w:r>
              <w:rPr>
                <w:spacing w:val="-1"/>
              </w:rPr>
              <w:br/>
              <w:t>42.0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of over 10 kg per kL ...............</w:t>
            </w:r>
          </w:p>
        </w:tc>
        <w:tc>
          <w:tcPr>
            <w:tcW w:w="1576" w:type="dxa"/>
          </w:tcPr>
          <w:p>
            <w:pPr>
              <w:pStyle w:val="yTableNAm"/>
              <w:rPr>
                <w:spacing w:val="-1"/>
              </w:rPr>
            </w:pPr>
            <w:r>
              <w:rPr>
                <w:spacing w:val="-1"/>
              </w:rPr>
              <w:br/>
              <w:t>85.0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(e)</w:t>
            </w:r>
            <w:r>
              <w:tab/>
              <w:t xml:space="preserve">for oil and grease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0.3 kg per kL …..............</w:t>
            </w:r>
          </w:p>
        </w:tc>
        <w:tc>
          <w:tcPr>
            <w:tcW w:w="1576" w:type="dxa"/>
          </w:tcPr>
          <w:p>
            <w:pPr>
              <w:pStyle w:val="yTableNAm"/>
              <w:rPr>
                <w:spacing w:val="-1"/>
              </w:rPr>
            </w:pPr>
            <w:r>
              <w:rPr>
                <w:spacing w:val="-1"/>
              </w:rPr>
              <w:br/>
              <w:t>99.0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0.3 kg per kL but not over 0.6 kg per kL ......................</w:t>
            </w:r>
          </w:p>
        </w:tc>
        <w:tc>
          <w:tcPr>
            <w:tcW w:w="1576" w:type="dxa"/>
          </w:tcPr>
          <w:p>
            <w:pPr>
              <w:pStyle w:val="yTableNAm"/>
              <w:rPr>
                <w:spacing w:val="-1"/>
              </w:rPr>
            </w:pPr>
            <w:r>
              <w:rPr>
                <w:spacing w:val="-1"/>
              </w:rPr>
              <w:br/>
            </w:r>
            <w:r>
              <w:rPr>
                <w:spacing w:val="-1"/>
              </w:rPr>
              <w:br/>
              <w:t>198.0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0.6 kg per kL ..............</w:t>
            </w:r>
          </w:p>
        </w:tc>
        <w:tc>
          <w:tcPr>
            <w:tcW w:w="1576" w:type="dxa"/>
          </w:tcPr>
          <w:p>
            <w:pPr>
              <w:pStyle w:val="yTableNAm"/>
              <w:rPr>
                <w:spacing w:val="-1"/>
              </w:rPr>
            </w:pPr>
            <w:r>
              <w:rPr>
                <w:spacing w:val="-1"/>
              </w:rPr>
              <w:br/>
              <w:t>396.0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(f)</w:t>
            </w:r>
            <w:r>
              <w:tab/>
              <w:t xml:space="preserve">for acidity (pH &lt; 6)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0.1 kg per kL ..................</w:t>
            </w:r>
          </w:p>
        </w:tc>
        <w:tc>
          <w:tcPr>
            <w:tcW w:w="1576" w:type="dxa"/>
          </w:tcPr>
          <w:p>
            <w:pPr>
              <w:pStyle w:val="yTableNAm"/>
              <w:rPr>
                <w:spacing w:val="-1"/>
              </w:rPr>
            </w:pPr>
            <w:r>
              <w:rPr>
                <w:spacing w:val="-1"/>
              </w:rPr>
              <w:br/>
              <w:t>36.0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0.1 kg per kL but not over 0.3 kg per kL ......................</w:t>
            </w:r>
          </w:p>
        </w:tc>
        <w:tc>
          <w:tcPr>
            <w:tcW w:w="1576" w:type="dxa"/>
          </w:tcPr>
          <w:p>
            <w:pPr>
              <w:pStyle w:val="yTableNAm"/>
              <w:rPr>
                <w:spacing w:val="-1"/>
              </w:rPr>
            </w:pPr>
            <w:r>
              <w:rPr>
                <w:spacing w:val="-1"/>
              </w:rPr>
              <w:br/>
            </w:r>
            <w:r>
              <w:rPr>
                <w:spacing w:val="-1"/>
              </w:rPr>
              <w:br/>
              <w:t>72.0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0.3 kg per kL ..............</w:t>
            </w:r>
          </w:p>
        </w:tc>
        <w:tc>
          <w:tcPr>
            <w:tcW w:w="1576" w:type="dxa"/>
          </w:tcPr>
          <w:p>
            <w:pPr>
              <w:pStyle w:val="yTableNAm"/>
              <w:rPr>
                <w:spacing w:val="-1"/>
              </w:rPr>
            </w:pPr>
            <w:r>
              <w:rPr>
                <w:spacing w:val="-1"/>
              </w:rPr>
              <w:br/>
              <w:t>145.0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(g)</w:t>
            </w:r>
            <w:r>
              <w:tab/>
              <w:t xml:space="preserve">for alkalinity (pH &gt; 10)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0.1 kg per kL ..................</w:t>
            </w:r>
          </w:p>
        </w:tc>
        <w:tc>
          <w:tcPr>
            <w:tcW w:w="1576" w:type="dxa"/>
          </w:tcPr>
          <w:p>
            <w:pPr>
              <w:pStyle w:val="yTableNAm"/>
              <w:rPr>
                <w:spacing w:val="-1"/>
              </w:rPr>
            </w:pPr>
            <w:r>
              <w:rPr>
                <w:spacing w:val="-1"/>
              </w:rPr>
              <w:br/>
              <w:t>13.0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0.1 kg per kL but not over 0.2 kg per kL ......................</w:t>
            </w:r>
          </w:p>
        </w:tc>
        <w:tc>
          <w:tcPr>
            <w:tcW w:w="1576" w:type="dxa"/>
          </w:tcPr>
          <w:p>
            <w:pPr>
              <w:pStyle w:val="yTableNAm"/>
              <w:rPr>
                <w:spacing w:val="-1"/>
              </w:rPr>
            </w:pPr>
            <w:r>
              <w:rPr>
                <w:spacing w:val="-1"/>
              </w:rPr>
              <w:br/>
            </w:r>
            <w:r>
              <w:rPr>
                <w:spacing w:val="-1"/>
              </w:rPr>
              <w:br/>
              <w:t>26.0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0.2 kg per kL ..............</w:t>
            </w:r>
          </w:p>
        </w:tc>
        <w:tc>
          <w:tcPr>
            <w:tcW w:w="1576" w:type="dxa"/>
          </w:tcPr>
          <w:p>
            <w:pPr>
              <w:pStyle w:val="yTableNAm"/>
              <w:rPr>
                <w:spacing w:val="-1"/>
              </w:rPr>
            </w:pPr>
            <w:r>
              <w:rPr>
                <w:spacing w:val="-1"/>
              </w:rPr>
              <w:br/>
              <w:t>52.0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(h)</w:t>
            </w:r>
            <w:r>
              <w:tab/>
              <w:t>for nitrogen ..................................</w:t>
            </w:r>
          </w:p>
        </w:tc>
        <w:tc>
          <w:tcPr>
            <w:tcW w:w="1576" w:type="dxa"/>
          </w:tcPr>
          <w:p>
            <w:pPr>
              <w:pStyle w:val="yTableNAm"/>
              <w:rPr>
                <w:spacing w:val="-1"/>
              </w:rPr>
            </w:pPr>
            <w:r>
              <w:rPr>
                <w:spacing w:val="-1"/>
              </w:rPr>
              <w:t>85.0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(i)</w:t>
            </w:r>
            <w:r>
              <w:tab/>
              <w:t>for phosphorus .............................</w:t>
            </w:r>
          </w:p>
        </w:tc>
        <w:tc>
          <w:tcPr>
            <w:tcW w:w="1576" w:type="dxa"/>
          </w:tcPr>
          <w:p>
            <w:pPr>
              <w:pStyle w:val="yTableNAm"/>
              <w:rPr>
                <w:spacing w:val="-1"/>
              </w:rPr>
            </w:pPr>
            <w:r>
              <w:rPr>
                <w:spacing w:val="-1"/>
              </w:rPr>
              <w:t>32.0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(j)</w:t>
            </w:r>
            <w:r>
              <w:tab/>
              <w:t xml:space="preserve">for sulphate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0.05 kg per kL ................</w:t>
            </w:r>
          </w:p>
        </w:tc>
        <w:tc>
          <w:tcPr>
            <w:tcW w:w="1576" w:type="dxa"/>
          </w:tcPr>
          <w:p>
            <w:pPr>
              <w:pStyle w:val="yTableNAm"/>
              <w:rPr>
                <w:spacing w:val="-1"/>
              </w:rPr>
            </w:pPr>
            <w:r>
              <w:rPr>
                <w:spacing w:val="-1"/>
              </w:rPr>
              <w:br/>
              <w:t>no charge</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of over 0.05 kg per kL ............</w:t>
            </w:r>
          </w:p>
        </w:tc>
        <w:tc>
          <w:tcPr>
            <w:tcW w:w="1576" w:type="dxa"/>
          </w:tcPr>
          <w:p>
            <w:pPr>
              <w:pStyle w:val="yTableNAm"/>
              <w:rPr>
                <w:spacing w:val="-1"/>
              </w:rPr>
            </w:pPr>
            <w:r>
              <w:rPr>
                <w:spacing w:val="-1"/>
              </w:rPr>
              <w:br/>
              <w:t>59.0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(k)</w:t>
            </w:r>
            <w:r>
              <w:tab/>
              <w:t xml:space="preserve">for total dissolved salts — </w:t>
            </w:r>
          </w:p>
        </w:tc>
        <w:tc>
          <w:tcPr>
            <w:tcW w:w="1576" w:type="dxa"/>
          </w:tcPr>
          <w:p>
            <w:pPr>
              <w:pStyle w:val="yTableNAm"/>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1 kg per kL .....................</w:t>
            </w:r>
          </w:p>
        </w:tc>
        <w:tc>
          <w:tcPr>
            <w:tcW w:w="1576" w:type="dxa"/>
          </w:tcPr>
          <w:p>
            <w:pPr>
              <w:pStyle w:val="yTableNAm"/>
              <w:rPr>
                <w:spacing w:val="-1"/>
              </w:rPr>
            </w:pPr>
            <w:r>
              <w:rPr>
                <w:spacing w:val="-1"/>
              </w:rPr>
              <w:br/>
              <w:t>no charge</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r>
            <w:r>
              <w:rPr>
                <w:spacing w:val="-1"/>
              </w:rPr>
              <w:t>with</w:t>
            </w:r>
            <w:r>
              <w:t xml:space="preserve"> a concentration over 1 kg per kL but not over 3 kg per kL .........................</w:t>
            </w:r>
          </w:p>
        </w:tc>
        <w:tc>
          <w:tcPr>
            <w:tcW w:w="1576" w:type="dxa"/>
          </w:tcPr>
          <w:p>
            <w:pPr>
              <w:pStyle w:val="yTableNAm"/>
              <w:rPr>
                <w:spacing w:val="-1"/>
              </w:rPr>
            </w:pPr>
            <w:r>
              <w:rPr>
                <w:spacing w:val="-1"/>
              </w:rPr>
              <w:br/>
            </w:r>
            <w:r>
              <w:rPr>
                <w:spacing w:val="-1"/>
              </w:rPr>
              <w:br/>
              <w:t>0.1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 xml:space="preserve">with a concentration over 3 kg per kL but not </w:t>
            </w:r>
            <w:r>
              <w:rPr>
                <w:spacing w:val="-1"/>
              </w:rPr>
              <w:t>over</w:t>
            </w:r>
            <w:r>
              <w:t xml:space="preserve"> 6 kg per kL .........................</w:t>
            </w:r>
          </w:p>
        </w:tc>
        <w:tc>
          <w:tcPr>
            <w:tcW w:w="1576" w:type="dxa"/>
          </w:tcPr>
          <w:p>
            <w:pPr>
              <w:pStyle w:val="yTableNAm"/>
              <w:rPr>
                <w:spacing w:val="-1"/>
              </w:rPr>
            </w:pPr>
            <w:r>
              <w:rPr>
                <w:spacing w:val="-1"/>
              </w:rPr>
              <w:br/>
            </w:r>
            <w:r>
              <w:rPr>
                <w:spacing w:val="-1"/>
              </w:rPr>
              <w:br/>
              <w:t>3.4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(iv)</w:t>
            </w:r>
            <w:r>
              <w:tab/>
              <w:t>with a concentration of over 6 kg per kL .................</w:t>
            </w:r>
          </w:p>
        </w:tc>
        <w:tc>
          <w:tcPr>
            <w:tcW w:w="1576" w:type="dxa"/>
          </w:tcPr>
          <w:p>
            <w:pPr>
              <w:pStyle w:val="yTableNAm"/>
              <w:rPr>
                <w:spacing w:val="-1"/>
              </w:rPr>
            </w:pPr>
            <w:r>
              <w:rPr>
                <w:spacing w:val="-1"/>
              </w:rPr>
              <w:br/>
              <w:t>11.8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(l)</w:t>
            </w:r>
            <w:r>
              <w:tab/>
              <w:t xml:space="preserve">for chromium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0.03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0.03 kg per day but not over 1 kg per day ...............</w:t>
            </w:r>
          </w:p>
        </w:tc>
        <w:tc>
          <w:tcPr>
            <w:tcW w:w="1576" w:type="dxa"/>
          </w:tcPr>
          <w:p>
            <w:pPr>
              <w:pStyle w:val="yTableNAm"/>
              <w:rPr>
                <w:spacing w:val="-1"/>
              </w:rPr>
            </w:pPr>
            <w:r>
              <w:rPr>
                <w:spacing w:val="-1"/>
              </w:rPr>
              <w:br/>
            </w:r>
            <w:r>
              <w:rPr>
                <w:spacing w:val="-1"/>
              </w:rPr>
              <w:br/>
              <w:t>1842.0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r>
            <w:r>
              <w:rPr>
                <w:spacing w:val="-1"/>
              </w:rPr>
              <w:t>with</w:t>
            </w:r>
            <w:r>
              <w:t xml:space="preserve"> a concentration of over 1 kg per day .......................</w:t>
            </w:r>
          </w:p>
        </w:tc>
        <w:tc>
          <w:tcPr>
            <w:tcW w:w="1576" w:type="dxa"/>
          </w:tcPr>
          <w:p>
            <w:pPr>
              <w:pStyle w:val="yTableNAm"/>
              <w:rPr>
                <w:spacing w:val="-1"/>
              </w:rPr>
            </w:pPr>
            <w:r>
              <w:rPr>
                <w:spacing w:val="-1"/>
              </w:rPr>
              <w:br/>
              <w:t>7368.0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(m)</w:t>
            </w:r>
            <w:r>
              <w:tab/>
              <w:t xml:space="preserve">for copper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0.03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0.03 kg per day but not over 0.12 kg per day ..........</w:t>
            </w:r>
          </w:p>
        </w:tc>
        <w:tc>
          <w:tcPr>
            <w:tcW w:w="1576" w:type="dxa"/>
          </w:tcPr>
          <w:p>
            <w:pPr>
              <w:pStyle w:val="yTableNAm"/>
              <w:rPr>
                <w:spacing w:val="-1"/>
              </w:rPr>
            </w:pPr>
            <w:r>
              <w:rPr>
                <w:spacing w:val="-1"/>
              </w:rPr>
              <w:br/>
            </w:r>
            <w:r>
              <w:rPr>
                <w:spacing w:val="-1"/>
              </w:rPr>
              <w:br/>
              <w:t>1842.0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0.12 kg per day ..........</w:t>
            </w:r>
          </w:p>
        </w:tc>
        <w:tc>
          <w:tcPr>
            <w:tcW w:w="1576" w:type="dxa"/>
          </w:tcPr>
          <w:p>
            <w:pPr>
              <w:pStyle w:val="yTableNAm"/>
              <w:rPr>
                <w:spacing w:val="-1"/>
              </w:rPr>
            </w:pPr>
            <w:r>
              <w:rPr>
                <w:spacing w:val="-1"/>
              </w:rPr>
              <w:br/>
              <w:t>7368.0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(n)</w:t>
            </w:r>
            <w:r>
              <w:tab/>
              <w:t xml:space="preserve">for lead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0.03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0.03 kg per day but not over 0.3 kg per day ............</w:t>
            </w:r>
          </w:p>
        </w:tc>
        <w:tc>
          <w:tcPr>
            <w:tcW w:w="1576" w:type="dxa"/>
          </w:tcPr>
          <w:p>
            <w:pPr>
              <w:pStyle w:val="yTableNAm"/>
              <w:rPr>
                <w:spacing w:val="-1"/>
              </w:rPr>
            </w:pPr>
            <w:r>
              <w:rPr>
                <w:spacing w:val="-1"/>
              </w:rPr>
              <w:br/>
            </w:r>
            <w:r>
              <w:rPr>
                <w:spacing w:val="-1"/>
              </w:rPr>
              <w:br/>
              <w:t>1842.0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0.3 kg per day ............</w:t>
            </w:r>
          </w:p>
        </w:tc>
        <w:tc>
          <w:tcPr>
            <w:tcW w:w="1576" w:type="dxa"/>
          </w:tcPr>
          <w:p>
            <w:pPr>
              <w:pStyle w:val="yTableNAm"/>
              <w:rPr>
                <w:spacing w:val="-1"/>
              </w:rPr>
            </w:pPr>
            <w:r>
              <w:rPr>
                <w:spacing w:val="-1"/>
              </w:rPr>
              <w:br/>
              <w:t>7368.0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(o)</w:t>
            </w:r>
            <w:r>
              <w:tab/>
              <w:t xml:space="preserve">for nickel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0.006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0.006 kg per day but not over 0.15 kg per day ..........</w:t>
            </w:r>
          </w:p>
        </w:tc>
        <w:tc>
          <w:tcPr>
            <w:tcW w:w="1576" w:type="dxa"/>
          </w:tcPr>
          <w:p>
            <w:pPr>
              <w:pStyle w:val="yTableNAm"/>
              <w:rPr>
                <w:spacing w:val="-1"/>
              </w:rPr>
            </w:pPr>
            <w:r>
              <w:rPr>
                <w:spacing w:val="-1"/>
              </w:rPr>
              <w:br/>
            </w:r>
            <w:r>
              <w:rPr>
                <w:spacing w:val="-1"/>
              </w:rPr>
              <w:br/>
              <w:t>1842.0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r>
            <w:r>
              <w:rPr>
                <w:spacing w:val="-1"/>
              </w:rPr>
              <w:t>with</w:t>
            </w:r>
            <w:r>
              <w:t xml:space="preserve"> a concentration of over 0.15 kg per day ..................</w:t>
            </w:r>
          </w:p>
        </w:tc>
        <w:tc>
          <w:tcPr>
            <w:tcW w:w="1576" w:type="dxa"/>
          </w:tcPr>
          <w:p>
            <w:pPr>
              <w:pStyle w:val="yTableNAm"/>
              <w:rPr>
                <w:spacing w:val="-1"/>
              </w:rPr>
            </w:pPr>
            <w:r>
              <w:rPr>
                <w:spacing w:val="-1"/>
              </w:rPr>
              <w:br/>
              <w:t>7368.0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(p)</w:t>
            </w:r>
            <w:r>
              <w:tab/>
              <w:t xml:space="preserve">for zinc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0.05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0.05 kg per day but not over 0.5 kg per day ............</w:t>
            </w:r>
          </w:p>
        </w:tc>
        <w:tc>
          <w:tcPr>
            <w:tcW w:w="1576" w:type="dxa"/>
          </w:tcPr>
          <w:p>
            <w:pPr>
              <w:pStyle w:val="yTableNAm"/>
              <w:rPr>
                <w:spacing w:val="-1"/>
              </w:rPr>
            </w:pPr>
            <w:r>
              <w:rPr>
                <w:spacing w:val="-1"/>
              </w:rPr>
              <w:br/>
            </w:r>
            <w:r>
              <w:rPr>
                <w:spacing w:val="-1"/>
              </w:rPr>
              <w:br/>
              <w:t>1842.0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0.5 kg per day ............</w:t>
            </w:r>
          </w:p>
        </w:tc>
        <w:tc>
          <w:tcPr>
            <w:tcW w:w="1576" w:type="dxa"/>
          </w:tcPr>
          <w:p>
            <w:pPr>
              <w:pStyle w:val="yTableNAm"/>
              <w:rPr>
                <w:spacing w:val="-1"/>
              </w:rPr>
            </w:pPr>
            <w:r>
              <w:rPr>
                <w:spacing w:val="-1"/>
              </w:rPr>
              <w:br/>
              <w:t>7368.0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(q)</w:t>
            </w:r>
            <w:r>
              <w:tab/>
              <w:t xml:space="preserve">for arsenic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0.001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0.001 kg per day but not over 0.04 kg per day ..........</w:t>
            </w:r>
          </w:p>
        </w:tc>
        <w:tc>
          <w:tcPr>
            <w:tcW w:w="1576" w:type="dxa"/>
          </w:tcPr>
          <w:p>
            <w:pPr>
              <w:pStyle w:val="yTableNAm"/>
              <w:rPr>
                <w:spacing w:val="-1"/>
              </w:rPr>
            </w:pPr>
            <w:r>
              <w:rPr>
                <w:spacing w:val="-1"/>
              </w:rPr>
              <w:br/>
            </w:r>
            <w:r>
              <w:rPr>
                <w:spacing w:val="-1"/>
              </w:rPr>
              <w:br/>
              <w:t>9210.0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0.04 kg per day ..........</w:t>
            </w:r>
          </w:p>
        </w:tc>
        <w:tc>
          <w:tcPr>
            <w:tcW w:w="1576" w:type="dxa"/>
          </w:tcPr>
          <w:p>
            <w:pPr>
              <w:pStyle w:val="yTableNAm"/>
              <w:rPr>
                <w:spacing w:val="-1"/>
              </w:rPr>
            </w:pPr>
            <w:r>
              <w:rPr>
                <w:spacing w:val="-1"/>
              </w:rPr>
              <w:br/>
              <w:t>92100.0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(r)</w:t>
            </w:r>
            <w:r>
              <w:tab/>
              <w:t xml:space="preserve">for cadmium — </w:t>
            </w:r>
          </w:p>
        </w:tc>
        <w:tc>
          <w:tcPr>
            <w:tcW w:w="1576" w:type="dxa"/>
          </w:tcPr>
          <w:p>
            <w:pPr>
              <w:pStyle w:val="yTableNAm"/>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0.001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0.001 kg per day but not over 0.015 kg per day ........</w:t>
            </w:r>
          </w:p>
        </w:tc>
        <w:tc>
          <w:tcPr>
            <w:tcW w:w="1576" w:type="dxa"/>
          </w:tcPr>
          <w:p>
            <w:pPr>
              <w:pStyle w:val="yTableNAm"/>
              <w:rPr>
                <w:spacing w:val="-1"/>
              </w:rPr>
            </w:pPr>
            <w:r>
              <w:rPr>
                <w:spacing w:val="-1"/>
              </w:rPr>
              <w:br/>
            </w:r>
            <w:r>
              <w:rPr>
                <w:spacing w:val="-1"/>
              </w:rPr>
              <w:br/>
              <w:t>9210.0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0.015 kg per day ................</w:t>
            </w:r>
          </w:p>
        </w:tc>
        <w:tc>
          <w:tcPr>
            <w:tcW w:w="1576" w:type="dxa"/>
          </w:tcPr>
          <w:p>
            <w:pPr>
              <w:pStyle w:val="yTableNAm"/>
              <w:rPr>
                <w:spacing w:val="-1"/>
              </w:rPr>
            </w:pPr>
            <w:r>
              <w:rPr>
                <w:spacing w:val="-1"/>
              </w:rPr>
              <w:br/>
              <w:t>92100.0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(s)</w:t>
            </w:r>
            <w:r>
              <w:tab/>
              <w:t xml:space="preserve">for molybdenum or selenium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 xml:space="preserve">with a concentration of up to 0.001 kg per </w:t>
            </w:r>
            <w:r>
              <w:rPr>
                <w:spacing w:val="-1"/>
              </w:rPr>
              <w:t>day</w:t>
            </w:r>
            <w:r>
              <w:t xml:space="preserve">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0.001 kg per day but not over 0.02 kg per day ..........</w:t>
            </w:r>
          </w:p>
        </w:tc>
        <w:tc>
          <w:tcPr>
            <w:tcW w:w="1576" w:type="dxa"/>
          </w:tcPr>
          <w:p>
            <w:pPr>
              <w:pStyle w:val="yTableNAm"/>
              <w:rPr>
                <w:spacing w:val="-1"/>
              </w:rPr>
            </w:pPr>
            <w:r>
              <w:rPr>
                <w:spacing w:val="-1"/>
              </w:rPr>
              <w:br/>
            </w:r>
            <w:r>
              <w:rPr>
                <w:spacing w:val="-1"/>
              </w:rPr>
              <w:br/>
              <w:t>9210.0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0.02 kg per day ..........</w:t>
            </w:r>
          </w:p>
        </w:tc>
        <w:tc>
          <w:tcPr>
            <w:tcW w:w="1576" w:type="dxa"/>
          </w:tcPr>
          <w:p>
            <w:pPr>
              <w:pStyle w:val="yTableNAm"/>
              <w:rPr>
                <w:spacing w:val="-1"/>
              </w:rPr>
            </w:pPr>
            <w:r>
              <w:rPr>
                <w:spacing w:val="-1"/>
              </w:rPr>
              <w:br/>
              <w:t>92100.0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(t)</w:t>
            </w:r>
            <w:r>
              <w:tab/>
              <w:t xml:space="preserve">for silver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r>
            <w:r>
              <w:rPr>
                <w:spacing w:val="-1"/>
              </w:rPr>
              <w:t>with</w:t>
            </w:r>
            <w:r>
              <w:t xml:space="preserve"> a concentration of up to 0.002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r>
            <w:r>
              <w:rPr>
                <w:spacing w:val="-1"/>
              </w:rPr>
              <w:t>with</w:t>
            </w:r>
            <w:r>
              <w:t xml:space="preserve"> a concentration over 0.002 kg per day but not over 0.01 kg per day ..........</w:t>
            </w:r>
          </w:p>
        </w:tc>
        <w:tc>
          <w:tcPr>
            <w:tcW w:w="1576" w:type="dxa"/>
          </w:tcPr>
          <w:p>
            <w:pPr>
              <w:pStyle w:val="yTableNAm"/>
              <w:rPr>
                <w:spacing w:val="-1"/>
              </w:rPr>
            </w:pPr>
            <w:r>
              <w:rPr>
                <w:spacing w:val="-1"/>
              </w:rPr>
              <w:br/>
            </w:r>
            <w:r>
              <w:rPr>
                <w:spacing w:val="-1"/>
              </w:rPr>
              <w:br/>
              <w:t>9210.0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0.01 kg per day ..........</w:t>
            </w:r>
          </w:p>
        </w:tc>
        <w:tc>
          <w:tcPr>
            <w:tcW w:w="1576" w:type="dxa"/>
          </w:tcPr>
          <w:p>
            <w:pPr>
              <w:pStyle w:val="yTableNAm"/>
              <w:rPr>
                <w:spacing w:val="-1"/>
              </w:rPr>
            </w:pPr>
            <w:r>
              <w:rPr>
                <w:spacing w:val="-1"/>
              </w:rPr>
              <w:br/>
              <w:t>92100.0 c/kg</w:t>
            </w:r>
          </w:p>
        </w:tc>
      </w:tr>
      <w:tr>
        <w:tc>
          <w:tcPr>
            <w:tcW w:w="850" w:type="dxa"/>
          </w:tcPr>
          <w:p>
            <w:pPr>
              <w:pStyle w:val="yTableNAm"/>
              <w:rPr>
                <w:rStyle w:val="CharSClsNo"/>
                <w:b/>
                <w:bCs/>
              </w:rPr>
            </w:pPr>
          </w:p>
        </w:tc>
        <w:tc>
          <w:tcPr>
            <w:tcW w:w="4236" w:type="dxa"/>
          </w:tcPr>
          <w:p>
            <w:pPr>
              <w:pStyle w:val="yTableNAm"/>
              <w:tabs>
                <w:tab w:val="clear" w:pos="567"/>
                <w:tab w:val="left" w:pos="416"/>
                <w:tab w:val="left" w:pos="896"/>
              </w:tabs>
              <w:ind w:left="896" w:hanging="896"/>
            </w:pPr>
            <w:r>
              <w:tab/>
              <w:t>(u)</w:t>
            </w:r>
            <w:r>
              <w:tab/>
              <w:t xml:space="preserve">for mercury — </w:t>
            </w:r>
          </w:p>
        </w:tc>
        <w:tc>
          <w:tcPr>
            <w:tcW w:w="1576" w:type="dxa"/>
          </w:tcPr>
          <w:p>
            <w:pPr>
              <w:pStyle w:val="yTableNAm"/>
              <w:rPr>
                <w:spacing w:val="-1"/>
              </w:rPr>
            </w:pP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w:t>
            </w:r>
            <w:r>
              <w:tab/>
              <w:t>with a concentration of up to 0.0001 kg per day ..........</w:t>
            </w:r>
          </w:p>
        </w:tc>
        <w:tc>
          <w:tcPr>
            <w:tcW w:w="1576" w:type="dxa"/>
          </w:tcPr>
          <w:p>
            <w:pPr>
              <w:pStyle w:val="yTableNAm"/>
              <w:rPr>
                <w:spacing w:val="-1"/>
              </w:rPr>
            </w:pPr>
            <w:r>
              <w:rPr>
                <w:spacing w:val="-1"/>
              </w:rPr>
              <w:br/>
              <w:t>921.0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w:t>
            </w:r>
            <w:r>
              <w:tab/>
              <w:t>with a concentration over 0.0001 kg per day but not over 0.001 kg per day ........</w:t>
            </w:r>
          </w:p>
        </w:tc>
        <w:tc>
          <w:tcPr>
            <w:tcW w:w="1576" w:type="dxa"/>
          </w:tcPr>
          <w:p>
            <w:pPr>
              <w:pStyle w:val="yTableNAm"/>
              <w:rPr>
                <w:spacing w:val="-1"/>
              </w:rPr>
            </w:pPr>
            <w:r>
              <w:rPr>
                <w:spacing w:val="-1"/>
              </w:rPr>
              <w:br/>
            </w:r>
            <w:r>
              <w:rPr>
                <w:spacing w:val="-1"/>
              </w:rPr>
              <w:br/>
              <w:t>92100.0 c/kg</w:t>
            </w:r>
          </w:p>
        </w:tc>
      </w:tr>
      <w:tr>
        <w:tc>
          <w:tcPr>
            <w:tcW w:w="850" w:type="dxa"/>
          </w:tcPr>
          <w:p>
            <w:pPr>
              <w:pStyle w:val="yTableNAm"/>
              <w:rPr>
                <w:rStyle w:val="CharSClsNo"/>
                <w:b/>
                <w:bCs/>
              </w:rPr>
            </w:pPr>
          </w:p>
        </w:tc>
        <w:tc>
          <w:tcPr>
            <w:tcW w:w="4236" w:type="dxa"/>
          </w:tcPr>
          <w:p>
            <w:pPr>
              <w:pStyle w:val="yTableNAm"/>
              <w:tabs>
                <w:tab w:val="clear" w:pos="567"/>
                <w:tab w:val="left" w:pos="896"/>
                <w:tab w:val="left" w:pos="1496"/>
              </w:tabs>
              <w:ind w:left="1496" w:hanging="1496"/>
            </w:pPr>
            <w:r>
              <w:tab/>
              <w:t>(iii)</w:t>
            </w:r>
            <w:r>
              <w:tab/>
              <w:t>with a concentration of over 0.001 kg per day ................</w:t>
            </w:r>
          </w:p>
        </w:tc>
        <w:tc>
          <w:tcPr>
            <w:tcW w:w="1576" w:type="dxa"/>
          </w:tcPr>
          <w:p>
            <w:pPr>
              <w:pStyle w:val="yTableNAm"/>
              <w:rPr>
                <w:spacing w:val="-1"/>
              </w:rPr>
            </w:pPr>
            <w:r>
              <w:rPr>
                <w:spacing w:val="-1"/>
              </w:rPr>
              <w:br/>
              <w:t>690750.0 c/kg</w:t>
            </w:r>
          </w:p>
        </w:tc>
      </w:tr>
      <w:tr>
        <w:trPr>
          <w:cantSplit/>
        </w:trPr>
        <w:tc>
          <w:tcPr>
            <w:tcW w:w="850" w:type="dxa"/>
          </w:tcPr>
          <w:p>
            <w:pPr>
              <w:pStyle w:val="yTableNAm"/>
              <w:rPr>
                <w:rStyle w:val="CharSClsNo"/>
                <w:b/>
                <w:bCs/>
              </w:rPr>
            </w:pPr>
            <w:r>
              <w:rPr>
                <w:rStyle w:val="CharSClsNo"/>
                <w:b/>
                <w:bCs/>
              </w:rPr>
              <w:t>12</w:t>
            </w:r>
            <w:r>
              <w:rPr>
                <w:b/>
                <w:bCs/>
              </w:rPr>
              <w:t>.</w:t>
            </w:r>
          </w:p>
        </w:tc>
        <w:tc>
          <w:tcPr>
            <w:tcW w:w="5812" w:type="dxa"/>
            <w:gridSpan w:val="2"/>
          </w:tcPr>
          <w:p>
            <w:pPr>
              <w:pStyle w:val="yTableNAm"/>
              <w:rPr>
                <w:b/>
                <w:bCs/>
                <w:spacing w:val="-1"/>
              </w:rPr>
            </w:pPr>
            <w:r>
              <w:rPr>
                <w:b/>
                <w:bCs/>
              </w:rPr>
              <w:t>Effluent discharged from a septic tank effluent pumping system into a sewer of the Corporation</w:t>
            </w:r>
          </w:p>
        </w:tc>
      </w:tr>
      <w:tr>
        <w:tc>
          <w:tcPr>
            <w:tcW w:w="850" w:type="dxa"/>
          </w:tcPr>
          <w:p>
            <w:pPr>
              <w:pStyle w:val="yTableNAm"/>
              <w:rPr>
                <w:rStyle w:val="CharSClsNo"/>
                <w:b/>
                <w:bCs/>
              </w:rPr>
            </w:pPr>
          </w:p>
        </w:tc>
        <w:tc>
          <w:tcPr>
            <w:tcW w:w="4236" w:type="dxa"/>
          </w:tcPr>
          <w:p>
            <w:pPr>
              <w:pStyle w:val="yTableNAm"/>
            </w:pPr>
            <w:r>
              <w:t>For effluent discharged from a septic tank effluent pumping system into a sewer of the Corporation ..................................................</w:t>
            </w:r>
          </w:p>
        </w:tc>
        <w:tc>
          <w:tcPr>
            <w:tcW w:w="1576" w:type="dxa"/>
          </w:tcPr>
          <w:p>
            <w:pPr>
              <w:pStyle w:val="yTableNAm"/>
              <w:rPr>
                <w:spacing w:val="-1"/>
              </w:rPr>
            </w:pPr>
            <w:r>
              <w:rPr>
                <w:spacing w:val="-1"/>
              </w:rPr>
              <w:br/>
            </w:r>
            <w:r>
              <w:rPr>
                <w:spacing w:val="-1"/>
              </w:rPr>
              <w:br/>
              <w:t>137.4 c/kL</w:t>
            </w:r>
          </w:p>
        </w:tc>
      </w:tr>
    </w:tbl>
    <w:p>
      <w:pPr>
        <w:pStyle w:val="yFootnotesection"/>
      </w:pPr>
      <w:r>
        <w:tab/>
        <w:t>[Division 3 inserted in Gazette 19 Jun 2009 p. 2352-6.]</w:t>
      </w:r>
    </w:p>
    <w:p>
      <w:pPr>
        <w:pStyle w:val="yHeading3"/>
      </w:pPr>
      <w:bookmarkStart w:id="551" w:name="_Toc233448424"/>
      <w:bookmarkStart w:id="552" w:name="_Toc233611703"/>
      <w:r>
        <w:rPr>
          <w:rStyle w:val="CharSDivNo"/>
        </w:rPr>
        <w:t>Division 4</w:t>
      </w:r>
      <w:r>
        <w:rPr>
          <w:b w:val="0"/>
        </w:rPr>
        <w:t> — </w:t>
      </w:r>
      <w:r>
        <w:rPr>
          <w:rStyle w:val="CharSDivText"/>
        </w:rPr>
        <w:t>Metropolitan combined charges</w:t>
      </w:r>
      <w:bookmarkEnd w:id="551"/>
      <w:bookmarkEnd w:id="552"/>
    </w:p>
    <w:p>
      <w:pPr>
        <w:pStyle w:val="yFootnoteheading"/>
        <w:spacing w:after="120"/>
      </w:pPr>
      <w:r>
        <w:tab/>
        <w:t>[Heading inserted in Gazette 19 Jun 2009 p. 2356.]</w:t>
      </w:r>
    </w:p>
    <w:p>
      <w:pPr>
        <w:pStyle w:val="yHeading5"/>
      </w:pPr>
      <w:bookmarkStart w:id="553" w:name="_Toc233611704"/>
      <w:r>
        <w:t>13.</w:t>
      </w:r>
      <w:r>
        <w:tab/>
        <w:t>Metropolitan non-residential (other than vacant land)</w:t>
      </w:r>
      <w:bookmarkEnd w:id="553"/>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2008/2009 year;</w:t>
      </w:r>
    </w:p>
    <w:p>
      <w:pPr>
        <w:pStyle w:val="yIndentI"/>
      </w:pPr>
      <w:r>
        <w:rPr>
          <w:b/>
        </w:rPr>
        <w:tab/>
        <w:t>S</w:t>
      </w:r>
      <w:r>
        <w:t xml:space="preserve"> =</w:t>
      </w:r>
      <w:r>
        <w:tab/>
        <w:t>1.142;</w:t>
      </w:r>
    </w:p>
    <w:p>
      <w:pPr>
        <w:pStyle w:val="yIndentI"/>
      </w:pPr>
      <w:r>
        <w:rPr>
          <w:b/>
        </w:rPr>
        <w:tab/>
        <w:t>N</w:t>
      </w:r>
      <w:r>
        <w:t xml:space="preserve"> =</w:t>
      </w:r>
      <w:r>
        <w:tab/>
        <w:t>the discharge volume for the 2009/2010 year;</w:t>
      </w:r>
    </w:p>
    <w:p>
      <w:pPr>
        <w:pStyle w:val="yIndentI"/>
      </w:pPr>
      <w:r>
        <w:rPr>
          <w:b/>
        </w:rPr>
        <w:tab/>
        <w:t>W</w:t>
      </w:r>
      <w:r>
        <w:t xml:space="preserve"> =</w:t>
      </w:r>
      <w:r>
        <w:tab/>
        <w:t xml:space="preserve">the </w:t>
      </w:r>
      <w:r>
        <w:rPr>
          <w:bCs/>
        </w:rPr>
        <w:t>discharge</w:t>
      </w:r>
      <w:r>
        <w:t xml:space="preserve"> volume for the 2008/2009 year;</w:t>
      </w:r>
    </w:p>
    <w:p>
      <w:pPr>
        <w:pStyle w:val="yIndentI"/>
      </w:pPr>
      <w:r>
        <w:rPr>
          <w:b/>
        </w:rPr>
        <w:tab/>
        <w:t>I</w:t>
      </w:r>
      <w:r>
        <w:t xml:space="preserve"> =</w:t>
      </w:r>
      <w:r>
        <w:tab/>
        <w:t>2.328.</w:t>
      </w:r>
    </w:p>
    <w:p>
      <w:pPr>
        <w:pStyle w:val="yHeading5"/>
      </w:pPr>
      <w:bookmarkStart w:id="554" w:name="_Toc233611705"/>
      <w:r>
        <w:t>14.</w:t>
      </w:r>
      <w:r>
        <w:tab/>
        <w:t>Metropolitan Government trading organisation and non</w:t>
      </w:r>
      <w:r>
        <w:noBreakHyphen/>
        <w:t>commercial Government property</w:t>
      </w:r>
      <w:bookmarkEnd w:id="554"/>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2009/2010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555" w:name="_Toc233611706"/>
      <w:r>
        <w:t>15.</w:t>
      </w:r>
      <w:r>
        <w:tab/>
        <w:t>Metropolitan non strata-titled caravan park with long</w:t>
      </w:r>
      <w:r>
        <w:noBreakHyphen/>
        <w:t>term residential caravan bays</w:t>
      </w:r>
      <w:bookmarkEnd w:id="555"/>
    </w:p>
    <w:p>
      <w:pPr>
        <w:pStyle w:val="ySubsection"/>
      </w:pPr>
      <w:r>
        <w:tab/>
      </w:r>
      <w:r>
        <w:tab/>
        <w:t xml:space="preserve">In respect of a caravan park in the metropolitan area — </w:t>
      </w:r>
    </w:p>
    <w:p>
      <w:pPr>
        <w:pStyle w:val="yIndenta"/>
      </w:pPr>
      <w:r>
        <w:tab/>
        <w:t>(a)</w:t>
      </w:r>
      <w:r>
        <w:tab/>
        <w:t>not consisting of strata-titled caravan bays referred to in item 3; and</w:t>
      </w:r>
    </w:p>
    <w:p>
      <w:pPr>
        <w:pStyle w:val="yIndenta"/>
      </w:pPr>
      <w:r>
        <w:tab/>
        <w:t>(b)</w:t>
      </w:r>
      <w:r>
        <w:tab/>
        <w:t xml:space="preserve">having long-term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tab/>
      </w:r>
      <w:r>
        <w:rPr>
          <w:b/>
          <w:bCs/>
        </w:rPr>
        <w:t>AA</w:t>
      </w:r>
      <w:r>
        <w:t xml:space="preserve"> =</w:t>
      </w:r>
      <w:r>
        <w:tab/>
        <w:t>charge of $209.10 for each long-term residential caravan bay;</w:t>
      </w:r>
    </w:p>
    <w:p>
      <w:pPr>
        <w:pStyle w:val="yIndenti0"/>
      </w:pPr>
      <w:r>
        <w:rPr>
          <w:b/>
          <w:bCs/>
        </w:rPr>
        <w:tab/>
        <w:t>AB</w:t>
      </w:r>
      <w:r>
        <w:t xml:space="preserve"> =</w:t>
      </w:r>
      <w:r>
        <w:tab/>
        <w:t xml:space="preserve">the charge for any part of the caravan park not comprised in long-term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2009/2010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2008/2009 year;</w:t>
      </w:r>
    </w:p>
    <w:p>
      <w:pPr>
        <w:pStyle w:val="yIndentA0"/>
        <w:rPr>
          <w:b/>
        </w:rPr>
      </w:pPr>
      <w:r>
        <w:rPr>
          <w:b/>
        </w:rPr>
        <w:tab/>
        <w:t>S =</w:t>
      </w:r>
      <w:r>
        <w:rPr>
          <w:b/>
        </w:rPr>
        <w:tab/>
      </w:r>
      <w:r>
        <w:t>1.142;</w:t>
      </w:r>
    </w:p>
    <w:p>
      <w:pPr>
        <w:pStyle w:val="yIndentI"/>
      </w:pPr>
      <w:r>
        <w:rPr>
          <w:b/>
        </w:rPr>
        <w:tab/>
        <w:t>N</w:t>
      </w:r>
      <w:r>
        <w:rPr>
          <w:bCs/>
        </w:rPr>
        <w:t xml:space="preserve"> </w:t>
      </w:r>
      <w:r>
        <w:t>=</w:t>
      </w:r>
      <w:r>
        <w:tab/>
        <w:t>the discharge volume for the 2009/2010 year;</w:t>
      </w:r>
    </w:p>
    <w:p>
      <w:pPr>
        <w:pStyle w:val="yIndentI"/>
      </w:pPr>
      <w:r>
        <w:tab/>
      </w:r>
      <w:r>
        <w:rPr>
          <w:b/>
          <w:bCs/>
        </w:rPr>
        <w:t>W</w:t>
      </w:r>
      <w:r>
        <w:t xml:space="preserve"> =</w:t>
      </w:r>
      <w:r>
        <w:tab/>
        <w:t>the discharge volume for the 2008/2009 year;</w:t>
      </w:r>
    </w:p>
    <w:p>
      <w:pPr>
        <w:pStyle w:val="yIndentI"/>
      </w:pPr>
      <w:r>
        <w:tab/>
      </w:r>
      <w:r>
        <w:rPr>
          <w:b/>
          <w:bCs/>
        </w:rPr>
        <w:t>I</w:t>
      </w:r>
      <w:r>
        <w:t xml:space="preserve"> =</w:t>
      </w:r>
      <w:r>
        <w:tab/>
        <w:t>2.328.</w:t>
      </w:r>
    </w:p>
    <w:p>
      <w:pPr>
        <w:pStyle w:val="yHeading5"/>
      </w:pPr>
      <w:bookmarkStart w:id="556" w:name="_Toc233611707"/>
      <w:r>
        <w:t>16.</w:t>
      </w:r>
      <w:r>
        <w:tab/>
        <w:t>Metropolitan nursing home</w:t>
      </w:r>
      <w:bookmarkEnd w:id="556"/>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$114.60;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2008/2009 year; </w:t>
      </w:r>
    </w:p>
    <w:p>
      <w:pPr>
        <w:pStyle w:val="yIndenti0"/>
      </w:pPr>
      <w:r>
        <w:rPr>
          <w:b/>
        </w:rPr>
        <w:tab/>
        <w:t>S</w:t>
      </w:r>
      <w:r>
        <w:t xml:space="preserve"> =</w:t>
      </w:r>
      <w:r>
        <w:tab/>
        <w:t>1.142.</w:t>
      </w:r>
    </w:p>
    <w:p>
      <w:pPr>
        <w:pStyle w:val="yHeading5"/>
      </w:pPr>
      <w:bookmarkStart w:id="557" w:name="_Toc233611708"/>
      <w:r>
        <w:t>17.</w:t>
      </w:r>
      <w:r>
        <w:tab/>
        <w:t>Certain metropolitan strata-titled units</w:t>
      </w:r>
      <w:bookmarkEnd w:id="557"/>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$393.70;</w:t>
      </w:r>
    </w:p>
    <w:p>
      <w:pPr>
        <w:pStyle w:val="yIndenta"/>
      </w:pPr>
      <w:r>
        <w:rPr>
          <w:b/>
        </w:rPr>
        <w:tab/>
        <w:t>Q</w:t>
      </w:r>
      <w:r>
        <w:t xml:space="preserve"> =</w:t>
      </w:r>
      <w:r>
        <w:tab/>
        <w:t>the quantity charge calculated in accordance with the formula in item 19.</w:t>
      </w:r>
    </w:p>
    <w:p>
      <w:pPr>
        <w:pStyle w:val="yFootnotesection"/>
      </w:pPr>
      <w:r>
        <w:tab/>
        <w:t>[Division 4 inserted in Gazette 19 Jun 2009 p. 2356-61.]</w:t>
      </w:r>
    </w:p>
    <w:p>
      <w:pPr>
        <w:pStyle w:val="yHeading3"/>
      </w:pPr>
      <w:bookmarkStart w:id="558" w:name="_Toc233448430"/>
      <w:bookmarkStart w:id="559" w:name="_Toc233611709"/>
      <w:r>
        <w:rPr>
          <w:rStyle w:val="CharSDivNo"/>
        </w:rPr>
        <w:t>Division 5</w:t>
      </w:r>
      <w:r>
        <w:rPr>
          <w:b w:val="0"/>
        </w:rPr>
        <w:t> — </w:t>
      </w:r>
      <w:r>
        <w:rPr>
          <w:rStyle w:val="CharSDivText"/>
        </w:rPr>
        <w:t>Computation of combined metropolitan charges</w:t>
      </w:r>
      <w:bookmarkEnd w:id="558"/>
      <w:bookmarkEnd w:id="559"/>
    </w:p>
    <w:p>
      <w:pPr>
        <w:pStyle w:val="yFootnoteheading"/>
        <w:spacing w:after="120"/>
      </w:pPr>
      <w:r>
        <w:tab/>
        <w:t>[Heading inserted in Gazette 19 Jun 2009 p. 2361.]</w:t>
      </w:r>
    </w:p>
    <w:p>
      <w:pPr>
        <w:pStyle w:val="yHeading5"/>
      </w:pPr>
      <w:bookmarkStart w:id="560" w:name="_Toc233611710"/>
      <w:r>
        <w:t>18.</w:t>
      </w:r>
      <w:r>
        <w:tab/>
        <w:t>Formula for annual charge</w:t>
      </w:r>
      <w:bookmarkEnd w:id="560"/>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2008/2009 year;</w:t>
      </w:r>
    </w:p>
    <w:p>
      <w:pPr>
        <w:pStyle w:val="yIndenta"/>
      </w:pPr>
      <w:r>
        <w:tab/>
      </w:r>
      <w:r>
        <w:rPr>
          <w:b/>
        </w:rPr>
        <w:t>B</w:t>
      </w:r>
      <w:r>
        <w:t xml:space="preserve"> =</w:t>
      </w:r>
      <w:r>
        <w:tab/>
        <w:t>1.142;</w:t>
      </w:r>
    </w:p>
    <w:p>
      <w:pPr>
        <w:pStyle w:val="yIndenta"/>
      </w:pPr>
      <w:r>
        <w:tab/>
      </w:r>
      <w:r>
        <w:rPr>
          <w:b/>
        </w:rPr>
        <w:t>C</w:t>
      </w:r>
      <w:r>
        <w:t xml:space="preserve"> =</w:t>
      </w:r>
      <w:r>
        <w:tab/>
        <w:t>the charge payable for the relevant number of major fixtures for the 2009/2010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2009/2010 year for the relevant number of major fixtures as set out in the Table to this item.</w:t>
      </w:r>
    </w:p>
    <w:p>
      <w:pPr>
        <w:pStyle w:val="yTHeadingNAm"/>
      </w:pPr>
      <w:r>
        <w:t>Table of major fixture-based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633.40</w:t>
            </w:r>
          </w:p>
        </w:tc>
      </w:tr>
      <w:tr>
        <w:tc>
          <w:tcPr>
            <w:tcW w:w="2268" w:type="dxa"/>
          </w:tcPr>
          <w:p>
            <w:pPr>
              <w:pStyle w:val="yTableNAm"/>
              <w:jc w:val="center"/>
            </w:pPr>
            <w:r>
              <w:t>2</w:t>
            </w:r>
          </w:p>
        </w:tc>
        <w:tc>
          <w:tcPr>
            <w:tcW w:w="2268" w:type="dxa"/>
          </w:tcPr>
          <w:p>
            <w:pPr>
              <w:pStyle w:val="yTableNAm"/>
              <w:jc w:val="center"/>
            </w:pPr>
            <w:r>
              <w:t>271.10</w:t>
            </w:r>
          </w:p>
        </w:tc>
      </w:tr>
      <w:tr>
        <w:tc>
          <w:tcPr>
            <w:tcW w:w="2268" w:type="dxa"/>
          </w:tcPr>
          <w:p>
            <w:pPr>
              <w:pStyle w:val="yTableNAm"/>
              <w:jc w:val="center"/>
            </w:pPr>
            <w:r>
              <w:t>3</w:t>
            </w:r>
          </w:p>
        </w:tc>
        <w:tc>
          <w:tcPr>
            <w:tcW w:w="2268" w:type="dxa"/>
          </w:tcPr>
          <w:p>
            <w:pPr>
              <w:pStyle w:val="yTableNAm"/>
              <w:jc w:val="center"/>
            </w:pPr>
            <w:r>
              <w:t>362.10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393.70</w:t>
            </w:r>
          </w:p>
        </w:tc>
      </w:tr>
    </w:tbl>
    <w:p>
      <w:pPr>
        <w:pStyle w:val="yHeading5"/>
      </w:pPr>
      <w:bookmarkStart w:id="561" w:name="_Toc233611711"/>
      <w:r>
        <w:t>19.</w:t>
      </w:r>
      <w:r>
        <w:tab/>
        <w:t>Formula for quantity charge</w:t>
      </w:r>
      <w:bookmarkEnd w:id="561"/>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2009/2010 year;</w:t>
      </w:r>
    </w:p>
    <w:p>
      <w:pPr>
        <w:pStyle w:val="yIndenta"/>
      </w:pPr>
      <w:r>
        <w:rPr>
          <w:b/>
        </w:rPr>
        <w:tab/>
        <w:t>G</w:t>
      </w:r>
      <w:r>
        <w:t xml:space="preserve"> =</w:t>
      </w:r>
      <w:r>
        <w:tab/>
        <w:t>the discharge factor set for the property for the 2009/2010 year;</w:t>
      </w:r>
    </w:p>
    <w:p>
      <w:pPr>
        <w:pStyle w:val="yIndenta"/>
      </w:pPr>
      <w:r>
        <w:rPr>
          <w:b/>
        </w:rPr>
        <w:tab/>
        <w:t>H</w:t>
      </w:r>
      <w:r>
        <w:t xml:space="preserve"> =</w:t>
      </w:r>
      <w:r>
        <w:tab/>
        <w:t>the discharge allowance for the 2009/2010 year calculated in accordance with item 20;</w:t>
      </w:r>
    </w:p>
    <w:p>
      <w:pPr>
        <w:pStyle w:val="yIndenta"/>
      </w:pPr>
      <w:r>
        <w:rPr>
          <w:b/>
        </w:rPr>
        <w:tab/>
        <w:t>I</w:t>
      </w:r>
      <w:r>
        <w:t xml:space="preserve"> =</w:t>
      </w:r>
      <w:r>
        <w:tab/>
        <w:t>2.328.</w:t>
      </w:r>
    </w:p>
    <w:p>
      <w:pPr>
        <w:pStyle w:val="yHeading5"/>
      </w:pPr>
      <w:bookmarkStart w:id="562" w:name="_Toc233611712"/>
      <w:r>
        <w:t>20.</w:t>
      </w:r>
      <w:r>
        <w:tab/>
        <w:t>Discharge allowance</w:t>
      </w:r>
      <w:bookmarkEnd w:id="562"/>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19 Jun 2009 p. 2361-3.]</w:t>
      </w:r>
    </w:p>
    <w:p>
      <w:pPr>
        <w:pStyle w:val="yHeading3"/>
      </w:pPr>
      <w:bookmarkStart w:id="563" w:name="_Toc233448434"/>
      <w:bookmarkStart w:id="564" w:name="_Toc233611713"/>
      <w:r>
        <w:rPr>
          <w:rStyle w:val="CharSDivNo"/>
        </w:rPr>
        <w:t>Division 6</w:t>
      </w:r>
      <w:r>
        <w:rPr>
          <w:b w:val="0"/>
        </w:rPr>
        <w:t> — </w:t>
      </w:r>
      <w:r>
        <w:rPr>
          <w:rStyle w:val="CharSDivText"/>
        </w:rPr>
        <w:t>Service charges for industrial waste</w:t>
      </w:r>
      <w:bookmarkEnd w:id="563"/>
      <w:bookmarkEnd w:id="564"/>
    </w:p>
    <w:p>
      <w:pPr>
        <w:pStyle w:val="yFootnoteheading"/>
        <w:spacing w:after="120"/>
      </w:pPr>
      <w:r>
        <w:tab/>
        <w:t>[Heading inserted in Gazette 19 Jun 2009 p. 2363.]</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rStyle w:val="CharSClsNo"/>
                <w:b/>
                <w:bCs/>
              </w:rPr>
            </w:pPr>
            <w:r>
              <w:rPr>
                <w:rStyle w:val="CharSClsNo"/>
                <w:b/>
                <w:bCs/>
              </w:rPr>
              <w:t>21.</w:t>
            </w:r>
          </w:p>
        </w:tc>
        <w:tc>
          <w:tcPr>
            <w:tcW w:w="5670" w:type="dxa"/>
            <w:gridSpan w:val="4"/>
          </w:tcPr>
          <w:p>
            <w:pPr>
              <w:pStyle w:val="yTableNAm"/>
              <w:rPr>
                <w:b/>
                <w:bCs/>
                <w:spacing w:val="-1"/>
              </w:rPr>
            </w:pPr>
            <w:r>
              <w:rPr>
                <w:b/>
                <w:bCs/>
              </w:rPr>
              <w:t>Inspection — routine programme</w:t>
            </w:r>
          </w:p>
        </w:tc>
      </w:tr>
      <w:tr>
        <w:tc>
          <w:tcPr>
            <w:tcW w:w="850" w:type="dxa"/>
          </w:tcPr>
          <w:p>
            <w:pPr>
              <w:pStyle w:val="yTableNAm"/>
              <w:rPr>
                <w:rStyle w:val="CharSClsNo"/>
                <w:b/>
                <w:bCs/>
              </w:rPr>
            </w:pPr>
          </w:p>
        </w:tc>
        <w:tc>
          <w:tcPr>
            <w:tcW w:w="4226" w:type="dxa"/>
            <w:gridSpan w:val="3"/>
          </w:tcPr>
          <w:p>
            <w:pPr>
              <w:pStyle w:val="yTableNAm"/>
            </w:pPr>
            <w:r>
              <w:t>For an inspection for a routine programme ..</w:t>
            </w:r>
          </w:p>
        </w:tc>
        <w:tc>
          <w:tcPr>
            <w:tcW w:w="1444" w:type="dxa"/>
          </w:tcPr>
          <w:p>
            <w:pPr>
              <w:pStyle w:val="yTableNAm"/>
              <w:rPr>
                <w:spacing w:val="-1"/>
              </w:rPr>
            </w:pPr>
            <w:r>
              <w:rPr>
                <w:spacing w:val="-1"/>
              </w:rPr>
              <w:t>$121.00/hour</w:t>
            </w:r>
          </w:p>
        </w:tc>
      </w:tr>
      <w:tr>
        <w:tc>
          <w:tcPr>
            <w:tcW w:w="850" w:type="dxa"/>
          </w:tcPr>
          <w:p>
            <w:pPr>
              <w:pStyle w:val="yTableNAm"/>
              <w:rPr>
                <w:rStyle w:val="CharSClsNo"/>
                <w:b/>
                <w:bCs/>
              </w:rPr>
            </w:pPr>
            <w:r>
              <w:rPr>
                <w:rStyle w:val="CharSClsNo"/>
                <w:b/>
                <w:bCs/>
              </w:rPr>
              <w:t>22</w:t>
            </w:r>
            <w:r>
              <w:rPr>
                <w:b/>
                <w:bCs/>
                <w:snapToGrid w:val="0"/>
              </w:rPr>
              <w:t>.</w:t>
            </w:r>
          </w:p>
        </w:tc>
        <w:tc>
          <w:tcPr>
            <w:tcW w:w="4226" w:type="dxa"/>
            <w:gridSpan w:val="3"/>
          </w:tcPr>
          <w:p>
            <w:pPr>
              <w:pStyle w:val="yTableNAm"/>
              <w:rPr>
                <w:b/>
                <w:bCs/>
              </w:rPr>
            </w:pPr>
            <w:r>
              <w:rPr>
                <w:b/>
                <w:bCs/>
                <w:snapToGrid w:val="0"/>
              </w:rPr>
              <w:t>Meter reading — routine programme</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pPr>
            <w:r>
              <w:t>For each meter reading for a routine programme ...................................................</w:t>
            </w:r>
          </w:p>
        </w:tc>
        <w:tc>
          <w:tcPr>
            <w:tcW w:w="1444" w:type="dxa"/>
          </w:tcPr>
          <w:p>
            <w:pPr>
              <w:pStyle w:val="yTableNAm"/>
              <w:rPr>
                <w:spacing w:val="-1"/>
              </w:rPr>
            </w:pPr>
            <w:r>
              <w:rPr>
                <w:spacing w:val="-1"/>
              </w:rPr>
              <w:br/>
              <w:t>$22.10</w:t>
            </w:r>
          </w:p>
        </w:tc>
      </w:tr>
      <w:tr>
        <w:tc>
          <w:tcPr>
            <w:tcW w:w="850" w:type="dxa"/>
          </w:tcPr>
          <w:p>
            <w:pPr>
              <w:pStyle w:val="yTableNAm"/>
              <w:rPr>
                <w:rStyle w:val="CharSClsNo"/>
                <w:b/>
                <w:bCs/>
              </w:rPr>
            </w:pPr>
            <w:r>
              <w:rPr>
                <w:rStyle w:val="CharSClsNo"/>
                <w:b/>
                <w:bCs/>
              </w:rPr>
              <w:t>23</w:t>
            </w:r>
            <w:r>
              <w:rPr>
                <w:b/>
                <w:bCs/>
                <w:snapToGrid w:val="0"/>
              </w:rPr>
              <w:t>.</w:t>
            </w:r>
          </w:p>
        </w:tc>
        <w:tc>
          <w:tcPr>
            <w:tcW w:w="4226" w:type="dxa"/>
            <w:gridSpan w:val="3"/>
          </w:tcPr>
          <w:p>
            <w:pPr>
              <w:pStyle w:val="yTableNAm"/>
              <w:rPr>
                <w:b/>
                <w:bCs/>
              </w:rPr>
            </w:pPr>
            <w:r>
              <w:rPr>
                <w:b/>
                <w:bCs/>
                <w:snapToGrid w:val="0"/>
              </w:rPr>
              <w:t>Grab samples — routine programme</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2"/>
              </w:rPr>
            </w:pPr>
            <w:r>
              <w:t>For each grab sample for a routine programme ...................................................</w:t>
            </w:r>
          </w:p>
        </w:tc>
        <w:tc>
          <w:tcPr>
            <w:tcW w:w="1444" w:type="dxa"/>
          </w:tcPr>
          <w:p>
            <w:pPr>
              <w:pStyle w:val="yTableNAm"/>
              <w:rPr>
                <w:spacing w:val="-1"/>
              </w:rPr>
            </w:pPr>
            <w:r>
              <w:rPr>
                <w:spacing w:val="-1"/>
              </w:rPr>
              <w:br/>
              <w:t>$257.40</w:t>
            </w:r>
          </w:p>
        </w:tc>
      </w:tr>
      <w:tr>
        <w:tc>
          <w:tcPr>
            <w:tcW w:w="850" w:type="dxa"/>
          </w:tcPr>
          <w:p>
            <w:pPr>
              <w:pStyle w:val="yTableNAm"/>
              <w:rPr>
                <w:rStyle w:val="CharSClsNo"/>
                <w:b/>
                <w:bCs/>
              </w:rPr>
            </w:pPr>
            <w:r>
              <w:rPr>
                <w:rStyle w:val="CharSClsNo"/>
                <w:b/>
                <w:bCs/>
              </w:rPr>
              <w:t>24.</w:t>
            </w:r>
          </w:p>
        </w:tc>
        <w:tc>
          <w:tcPr>
            <w:tcW w:w="4226" w:type="dxa"/>
            <w:gridSpan w:val="3"/>
          </w:tcPr>
          <w:p>
            <w:pPr>
              <w:pStyle w:val="yTableNAm"/>
              <w:rPr>
                <w:b/>
                <w:bCs/>
              </w:rPr>
            </w:pPr>
            <w:r>
              <w:rPr>
                <w:b/>
                <w:bCs/>
                <w:snapToGrid w:val="0"/>
              </w:rPr>
              <w:t xml:space="preserve">Composite samples — </w:t>
            </w:r>
            <w:r>
              <w:rPr>
                <w:b/>
                <w:bCs/>
                <w:spacing w:val="-1"/>
              </w:rPr>
              <w:t>routine programme</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For each </w:t>
            </w:r>
            <w:r>
              <w:t>composite sample</w:t>
            </w:r>
            <w:r>
              <w:rPr>
                <w:spacing w:val="-1"/>
              </w:rPr>
              <w:t xml:space="preserve"> for a routine </w:t>
            </w:r>
            <w:r>
              <w:t>programme</w:t>
            </w:r>
            <w:r>
              <w:rPr>
                <w:spacing w:val="-1"/>
              </w:rPr>
              <w:t xml:space="preserve"> ......................................................</w:t>
            </w:r>
          </w:p>
        </w:tc>
        <w:tc>
          <w:tcPr>
            <w:tcW w:w="1444" w:type="dxa"/>
          </w:tcPr>
          <w:p>
            <w:pPr>
              <w:pStyle w:val="yTableNAm"/>
              <w:rPr>
                <w:spacing w:val="-1"/>
              </w:rPr>
            </w:pPr>
            <w:r>
              <w:rPr>
                <w:spacing w:val="-1"/>
              </w:rPr>
              <w:br/>
              <w:t>$603.90</w:t>
            </w:r>
          </w:p>
        </w:tc>
      </w:tr>
      <w:tr>
        <w:tc>
          <w:tcPr>
            <w:tcW w:w="850" w:type="dxa"/>
          </w:tcPr>
          <w:p>
            <w:pPr>
              <w:pStyle w:val="yTableNAm"/>
              <w:rPr>
                <w:b/>
                <w:bCs/>
              </w:rPr>
            </w:pPr>
            <w:r>
              <w:rPr>
                <w:b/>
                <w:bCs/>
              </w:rPr>
              <w:t>25.</w:t>
            </w:r>
          </w:p>
        </w:tc>
        <w:tc>
          <w:tcPr>
            <w:tcW w:w="4226" w:type="dxa"/>
            <w:gridSpan w:val="3"/>
          </w:tcPr>
          <w:p>
            <w:pPr>
              <w:pStyle w:val="yTableNAm"/>
              <w:rPr>
                <w:b/>
                <w:bCs/>
              </w:rPr>
            </w:pPr>
            <w:r>
              <w:rPr>
                <w:b/>
                <w:bCs/>
              </w:rPr>
              <w:t>Establishment charge — 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Establishment charge </w:t>
            </w:r>
            <w:r>
              <w:rPr>
                <w:spacing w:val="-12"/>
              </w:rPr>
              <w:t>for</w:t>
            </w:r>
            <w:r>
              <w:rPr>
                <w:spacing w:val="-1"/>
              </w:rPr>
              <w:t xml:space="preserve"> an </w:t>
            </w:r>
            <w:r>
              <w:t>unscheduled</w:t>
            </w:r>
            <w:r>
              <w:rPr>
                <w:spacing w:val="-1"/>
              </w:rPr>
              <w:t xml:space="preserve"> visit </w:t>
            </w:r>
          </w:p>
        </w:tc>
        <w:tc>
          <w:tcPr>
            <w:tcW w:w="1444" w:type="dxa"/>
          </w:tcPr>
          <w:p>
            <w:pPr>
              <w:pStyle w:val="yTableNAm"/>
              <w:rPr>
                <w:spacing w:val="-1"/>
              </w:rPr>
            </w:pPr>
            <w:r>
              <w:rPr>
                <w:spacing w:val="-1"/>
              </w:rPr>
              <w:t>$110.00/hour</w:t>
            </w:r>
          </w:p>
        </w:tc>
      </w:tr>
      <w:tr>
        <w:tc>
          <w:tcPr>
            <w:tcW w:w="850" w:type="dxa"/>
          </w:tcPr>
          <w:p>
            <w:pPr>
              <w:pStyle w:val="yTableNAm"/>
              <w:rPr>
                <w:rStyle w:val="CharSClsNo"/>
                <w:b/>
                <w:bCs/>
              </w:rPr>
            </w:pPr>
            <w:r>
              <w:rPr>
                <w:rStyle w:val="CharSClsNo"/>
                <w:b/>
                <w:bCs/>
              </w:rPr>
              <w:t>26</w:t>
            </w:r>
            <w:r>
              <w:rPr>
                <w:b/>
                <w:bCs/>
                <w:snapToGrid w:val="0"/>
              </w:rPr>
              <w:t>.</w:t>
            </w:r>
          </w:p>
        </w:tc>
        <w:tc>
          <w:tcPr>
            <w:tcW w:w="4226" w:type="dxa"/>
            <w:gridSpan w:val="3"/>
          </w:tcPr>
          <w:p>
            <w:pPr>
              <w:pStyle w:val="yTableNAm"/>
              <w:rPr>
                <w:b/>
                <w:bCs/>
                <w:spacing w:val="-1"/>
              </w:rPr>
            </w:pPr>
            <w:r>
              <w:rPr>
                <w:b/>
                <w:bCs/>
                <w:snapToGrid w:val="0"/>
              </w:rPr>
              <w:t xml:space="preserve">Product evaluation — </w:t>
            </w:r>
            <w:r>
              <w:rPr>
                <w:b/>
                <w:bCs/>
                <w:spacing w:val="-1"/>
              </w:rPr>
              <w:t>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Product evaluation for an unscheduled visit ...</w:t>
            </w:r>
          </w:p>
        </w:tc>
        <w:tc>
          <w:tcPr>
            <w:tcW w:w="1444" w:type="dxa"/>
          </w:tcPr>
          <w:p>
            <w:pPr>
              <w:pStyle w:val="yTableNAm"/>
              <w:rPr>
                <w:spacing w:val="-1"/>
              </w:rPr>
            </w:pPr>
            <w:r>
              <w:rPr>
                <w:spacing w:val="-1"/>
              </w:rPr>
              <w:t>$138.00/hour</w:t>
            </w:r>
          </w:p>
        </w:tc>
      </w:tr>
      <w:tr>
        <w:tc>
          <w:tcPr>
            <w:tcW w:w="850" w:type="dxa"/>
          </w:tcPr>
          <w:p>
            <w:pPr>
              <w:pStyle w:val="yTableNAm"/>
              <w:rPr>
                <w:rStyle w:val="CharSClsNo"/>
                <w:b/>
                <w:bCs/>
              </w:rPr>
            </w:pPr>
            <w:r>
              <w:rPr>
                <w:rStyle w:val="CharSClsNo"/>
                <w:b/>
                <w:bCs/>
              </w:rPr>
              <w:t>27</w:t>
            </w:r>
            <w:r>
              <w:rPr>
                <w:b/>
                <w:bCs/>
                <w:snapToGrid w:val="0"/>
              </w:rPr>
              <w:t>.</w:t>
            </w:r>
          </w:p>
        </w:tc>
        <w:tc>
          <w:tcPr>
            <w:tcW w:w="4226" w:type="dxa"/>
            <w:gridSpan w:val="3"/>
          </w:tcPr>
          <w:p>
            <w:pPr>
              <w:pStyle w:val="yTableNAm"/>
              <w:rPr>
                <w:b/>
                <w:bCs/>
                <w:spacing w:val="-1"/>
              </w:rPr>
            </w:pPr>
            <w:r>
              <w:rPr>
                <w:b/>
                <w:bCs/>
                <w:snapToGrid w:val="0"/>
              </w:rPr>
              <w:t xml:space="preserve">Grab samples — </w:t>
            </w:r>
            <w:r>
              <w:rPr>
                <w:b/>
                <w:bCs/>
                <w:spacing w:val="-1"/>
              </w:rPr>
              <w:t>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 xml:space="preserve">For each grab sample for an unscheduled visit </w:t>
            </w:r>
          </w:p>
        </w:tc>
        <w:tc>
          <w:tcPr>
            <w:tcW w:w="1444" w:type="dxa"/>
          </w:tcPr>
          <w:p>
            <w:pPr>
              <w:pStyle w:val="yTableNAm"/>
              <w:rPr>
                <w:spacing w:val="-1"/>
              </w:rPr>
            </w:pPr>
            <w:r>
              <w:rPr>
                <w:spacing w:val="-1"/>
              </w:rPr>
              <w:t>At cost</w:t>
            </w:r>
          </w:p>
        </w:tc>
      </w:tr>
      <w:tr>
        <w:tc>
          <w:tcPr>
            <w:tcW w:w="850" w:type="dxa"/>
          </w:tcPr>
          <w:p>
            <w:pPr>
              <w:pStyle w:val="yTableNAm"/>
              <w:rPr>
                <w:rStyle w:val="CharSClsNo"/>
                <w:b/>
                <w:bCs/>
              </w:rPr>
            </w:pPr>
            <w:r>
              <w:rPr>
                <w:rStyle w:val="CharSClsNo"/>
                <w:b/>
                <w:bCs/>
              </w:rPr>
              <w:t>28</w:t>
            </w:r>
            <w:r>
              <w:rPr>
                <w:b/>
                <w:bCs/>
                <w:snapToGrid w:val="0"/>
              </w:rPr>
              <w:t>.</w:t>
            </w:r>
          </w:p>
        </w:tc>
        <w:tc>
          <w:tcPr>
            <w:tcW w:w="4226" w:type="dxa"/>
            <w:gridSpan w:val="3"/>
          </w:tcPr>
          <w:p>
            <w:pPr>
              <w:pStyle w:val="yTableNAm"/>
              <w:rPr>
                <w:b/>
                <w:bCs/>
                <w:spacing w:val="-1"/>
              </w:rPr>
            </w:pPr>
            <w:r>
              <w:rPr>
                <w:b/>
                <w:bCs/>
                <w:snapToGrid w:val="0"/>
              </w:rPr>
              <w:t xml:space="preserve">Composite samples — </w:t>
            </w:r>
            <w:r>
              <w:rPr>
                <w:b/>
                <w:bCs/>
                <w:spacing w:val="-1"/>
              </w:rPr>
              <w:t>unscheduled visit</w:t>
            </w:r>
          </w:p>
        </w:tc>
        <w:tc>
          <w:tcPr>
            <w:tcW w:w="1444" w:type="dxa"/>
          </w:tcPr>
          <w:p>
            <w:pPr>
              <w:pStyle w:val="yTableNAm"/>
              <w:rPr>
                <w:b/>
                <w:bCs/>
                <w:spacing w:val="-1"/>
              </w:rPr>
            </w:pPr>
          </w:p>
        </w:tc>
      </w:tr>
      <w:tr>
        <w:tc>
          <w:tcPr>
            <w:tcW w:w="850" w:type="dxa"/>
          </w:tcPr>
          <w:p>
            <w:pPr>
              <w:pStyle w:val="yTableNAm"/>
              <w:rPr>
                <w:rStyle w:val="CharSClsNo"/>
                <w:b/>
                <w:bCs/>
              </w:rPr>
            </w:pPr>
          </w:p>
        </w:tc>
        <w:tc>
          <w:tcPr>
            <w:tcW w:w="4226" w:type="dxa"/>
            <w:gridSpan w:val="3"/>
          </w:tcPr>
          <w:p>
            <w:pPr>
              <w:pStyle w:val="yTableNAm"/>
              <w:rPr>
                <w:spacing w:val="-1"/>
              </w:rPr>
            </w:pPr>
            <w:r>
              <w:rPr>
                <w:spacing w:val="-1"/>
              </w:rPr>
              <w:t>For each composite sample for an unscheduled visit .............................................</w:t>
            </w:r>
          </w:p>
        </w:tc>
        <w:tc>
          <w:tcPr>
            <w:tcW w:w="1444" w:type="dxa"/>
          </w:tcPr>
          <w:p>
            <w:pPr>
              <w:pStyle w:val="yTableNAm"/>
              <w:rPr>
                <w:spacing w:val="-1"/>
              </w:rPr>
            </w:pPr>
            <w:r>
              <w:rPr>
                <w:spacing w:val="-1"/>
              </w:rPr>
              <w:br/>
              <w:t>At cost</w:t>
            </w:r>
          </w:p>
        </w:tc>
      </w:tr>
      <w:tr>
        <w:trPr>
          <w:cantSplit/>
        </w:trPr>
        <w:tc>
          <w:tcPr>
            <w:tcW w:w="850" w:type="dxa"/>
          </w:tcPr>
          <w:p>
            <w:pPr>
              <w:pStyle w:val="yTableNAm"/>
              <w:rPr>
                <w:rStyle w:val="CharSClsNo"/>
                <w:b/>
                <w:bCs/>
              </w:rPr>
            </w:pPr>
            <w:r>
              <w:rPr>
                <w:rStyle w:val="CharSClsNo"/>
                <w:b/>
                <w:bCs/>
              </w:rPr>
              <w:t>29</w:t>
            </w:r>
            <w:r>
              <w:rPr>
                <w:b/>
                <w:bCs/>
                <w:snapToGrid w:val="0"/>
              </w:rPr>
              <w:t>.</w:t>
            </w:r>
          </w:p>
        </w:tc>
        <w:tc>
          <w:tcPr>
            <w:tcW w:w="5670" w:type="dxa"/>
            <w:gridSpan w:val="4"/>
          </w:tcPr>
          <w:p>
            <w:pPr>
              <w:pStyle w:val="yTableNAm"/>
              <w:rPr>
                <w:b/>
                <w:bCs/>
                <w:spacing w:val="-1"/>
              </w:rPr>
            </w:pPr>
            <w:r>
              <w:rPr>
                <w:b/>
                <w:bCs/>
                <w:snapToGrid w:val="0"/>
              </w:rPr>
              <w:t>Non</w:t>
            </w:r>
            <w:r>
              <w:rPr>
                <w:b/>
                <w:bCs/>
                <w:snapToGrid w:val="0"/>
              </w:rPr>
              <w:noBreakHyphen/>
              <w:t xml:space="preserve">permit </w:t>
            </w:r>
            <w:r>
              <w:rPr>
                <w:b/>
                <w:bCs/>
                <w:spacing w:val="-1"/>
              </w:rPr>
              <w:t>holders</w:t>
            </w:r>
            <w:r>
              <w:rPr>
                <w:b/>
                <w:bCs/>
                <w:snapToGrid w:val="0"/>
              </w:rPr>
              <w:t xml:space="preserve"> discharging industrial waste</w:t>
            </w:r>
          </w:p>
        </w:tc>
      </w:tr>
      <w:tr>
        <w:tc>
          <w:tcPr>
            <w:tcW w:w="850" w:type="dxa"/>
          </w:tcPr>
          <w:p>
            <w:pPr>
              <w:pStyle w:val="yTableNAm"/>
              <w:rPr>
                <w:rStyle w:val="CharSClsNo"/>
                <w:b/>
                <w:bCs/>
              </w:rPr>
            </w:pPr>
          </w:p>
        </w:tc>
        <w:tc>
          <w:tcPr>
            <w:tcW w:w="4212" w:type="dxa"/>
            <w:gridSpan w:val="2"/>
          </w:tcPr>
          <w:p>
            <w:pPr>
              <w:pStyle w:val="yTableNAm"/>
              <w:rPr>
                <w:spacing w:val="-1"/>
              </w:rPr>
            </w:pPr>
            <w:r>
              <w:rPr>
                <w:spacing w:val="-1"/>
              </w:rPr>
              <w:t>For a one</w:t>
            </w:r>
            <w:r>
              <w:rPr>
                <w:spacing w:val="-1"/>
              </w:rPr>
              <w:noBreakHyphen/>
              <w:t>off discharge of industrial waste by a person who does not hold an industrial waste permit ....................................................</w:t>
            </w:r>
          </w:p>
        </w:tc>
        <w:tc>
          <w:tcPr>
            <w:tcW w:w="1458" w:type="dxa"/>
            <w:gridSpan w:val="2"/>
          </w:tcPr>
          <w:p>
            <w:pPr>
              <w:pStyle w:val="yTableNAm"/>
              <w:rPr>
                <w:spacing w:val="-1"/>
              </w:rPr>
            </w:pPr>
            <w:r>
              <w:rPr>
                <w:spacing w:val="-1"/>
              </w:rPr>
              <w:br/>
            </w:r>
            <w:r>
              <w:rPr>
                <w:spacing w:val="-1"/>
              </w:rPr>
              <w:br/>
              <w:t>$110.00/hour</w:t>
            </w:r>
          </w:p>
        </w:tc>
      </w:tr>
      <w:tr>
        <w:trPr>
          <w:cantSplit/>
        </w:trPr>
        <w:tc>
          <w:tcPr>
            <w:tcW w:w="850" w:type="dxa"/>
          </w:tcPr>
          <w:p>
            <w:pPr>
              <w:pStyle w:val="yTableNAm"/>
              <w:rPr>
                <w:rStyle w:val="CharSClsNo"/>
                <w:b/>
                <w:bCs/>
              </w:rPr>
            </w:pPr>
            <w:r>
              <w:rPr>
                <w:rStyle w:val="CharSClsNo"/>
                <w:b/>
                <w:bCs/>
              </w:rPr>
              <w:t>30</w:t>
            </w:r>
            <w:r>
              <w:rPr>
                <w:b/>
                <w:bCs/>
                <w:snapToGrid w:val="0"/>
              </w:rPr>
              <w:t>.</w:t>
            </w:r>
          </w:p>
        </w:tc>
        <w:tc>
          <w:tcPr>
            <w:tcW w:w="5670" w:type="dxa"/>
            <w:gridSpan w:val="4"/>
          </w:tcPr>
          <w:p>
            <w:pPr>
              <w:pStyle w:val="yTableNAm"/>
              <w:rPr>
                <w:b/>
                <w:bCs/>
                <w:spacing w:val="-1"/>
              </w:rPr>
            </w:pPr>
            <w:r>
              <w:rPr>
                <w:b/>
                <w:bCs/>
                <w:snapToGrid w:val="0"/>
              </w:rPr>
              <w:t>Discharging industrial waste from an open area</w:t>
            </w:r>
          </w:p>
        </w:tc>
      </w:tr>
      <w:tr>
        <w:tc>
          <w:tcPr>
            <w:tcW w:w="850" w:type="dxa"/>
          </w:tcPr>
          <w:p>
            <w:pPr>
              <w:pStyle w:val="yTableNAm"/>
              <w:rPr>
                <w:rStyle w:val="CharSClsNo"/>
                <w:b/>
                <w:bCs/>
              </w:rPr>
            </w:pPr>
          </w:p>
        </w:tc>
        <w:tc>
          <w:tcPr>
            <w:tcW w:w="4198" w:type="dxa"/>
          </w:tcPr>
          <w:p>
            <w:pPr>
              <w:pStyle w:val="yTableNAm"/>
              <w:rPr>
                <w:spacing w:val="-1"/>
              </w:rPr>
            </w:pPr>
            <w:r>
              <w:rPr>
                <w:spacing w:val="-1"/>
              </w:rPr>
              <w:t>For discharging industrial waste from an open area .........................................................</w:t>
            </w:r>
          </w:p>
        </w:tc>
        <w:tc>
          <w:tcPr>
            <w:tcW w:w="1472" w:type="dxa"/>
            <w:gridSpan w:val="3"/>
          </w:tcPr>
          <w:p>
            <w:pPr>
              <w:pStyle w:val="yTableNAm"/>
              <w:rPr>
                <w:spacing w:val="-1"/>
              </w:rPr>
            </w:pPr>
            <w:r>
              <w:rPr>
                <w:spacing w:val="-1"/>
              </w:rPr>
              <w:br/>
              <w:t>$1.30/square metre</w:t>
            </w:r>
          </w:p>
        </w:tc>
      </w:tr>
    </w:tbl>
    <w:p>
      <w:pPr>
        <w:pStyle w:val="yFootnotesection"/>
      </w:pPr>
      <w:r>
        <w:tab/>
        <w:t>[Division 6 inserted in Gazette 19 Jun 2009 p. 2363-4.]</w:t>
      </w:r>
    </w:p>
    <w:p>
      <w:pPr>
        <w:pStyle w:val="yHeading3"/>
      </w:pPr>
      <w:bookmarkStart w:id="565" w:name="_Toc233448435"/>
      <w:bookmarkStart w:id="566" w:name="_Toc233611714"/>
      <w:r>
        <w:rPr>
          <w:rStyle w:val="CharSDivNo"/>
        </w:rPr>
        <w:t>Division 7</w:t>
      </w:r>
      <w:r>
        <w:rPr>
          <w:b w:val="0"/>
        </w:rPr>
        <w:t> — </w:t>
      </w:r>
      <w:r>
        <w:rPr>
          <w:rStyle w:val="CharSDivText"/>
        </w:rPr>
        <w:t>Combined charges for country non</w:t>
      </w:r>
      <w:r>
        <w:rPr>
          <w:rStyle w:val="CharSDivText"/>
        </w:rPr>
        <w:noBreakHyphen/>
        <w:t>residential or commercial residential</w:t>
      </w:r>
      <w:bookmarkEnd w:id="565"/>
      <w:bookmarkEnd w:id="566"/>
    </w:p>
    <w:p>
      <w:pPr>
        <w:pStyle w:val="yFootnoteheading"/>
        <w:spacing w:after="120"/>
      </w:pPr>
      <w:r>
        <w:tab/>
        <w:t>[Heading inserted in Gazette 19 Jun 2009 p. 2364.]</w:t>
      </w:r>
    </w:p>
    <w:p>
      <w:pPr>
        <w:pStyle w:val="yHeading5"/>
      </w:pPr>
      <w:bookmarkStart w:id="567" w:name="_Toc233611715"/>
      <w:r>
        <w:t>31.</w:t>
      </w:r>
      <w:r>
        <w:tab/>
        <w:t>Country non-residential or commercial residential</w:t>
      </w:r>
      <w:bookmarkEnd w:id="567"/>
    </w:p>
    <w:p>
      <w:pPr>
        <w:pStyle w:val="ySubsection"/>
      </w:pPr>
      <w:r>
        <w:tab/>
      </w:r>
      <w:r>
        <w:tab/>
        <w:t>In respect of land in a country sewerage area that is classified as country non-residential or commercial residential property and is not referred to in item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2009/2010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2.328.</w:t>
      </w:r>
    </w:p>
    <w:p>
      <w:pPr>
        <w:pStyle w:val="yHeading5"/>
      </w:pPr>
      <w:bookmarkStart w:id="568" w:name="_Toc233611716"/>
      <w:r>
        <w:t>32.</w:t>
      </w:r>
      <w:r>
        <w:tab/>
        <w:t>Country non strata-titled caravan park with long-term residential caravan bays</w:t>
      </w:r>
      <w:bookmarkEnd w:id="568"/>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 xml:space="preserve">a charge of $209.10 for each long-term residential caravan bay; </w:t>
      </w:r>
    </w:p>
    <w:p>
      <w:pPr>
        <w:pStyle w:val="yIndenta"/>
      </w:pPr>
      <w:r>
        <w:rPr>
          <w:b/>
        </w:rPr>
        <w:tab/>
        <w:t>AB</w:t>
      </w:r>
      <w:r>
        <w:t xml:space="preserve"> =</w:t>
      </w:r>
      <w:r>
        <w:tab/>
        <w:t xml:space="preserve">the charge for any part of the caravan park not comprised in long-term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2009/2010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2009/2010 year;</w:t>
      </w:r>
    </w:p>
    <w:p>
      <w:pPr>
        <w:pStyle w:val="yIndenti0"/>
      </w:pPr>
      <w:r>
        <w:rPr>
          <w:b/>
        </w:rPr>
        <w:tab/>
        <w:t>W =</w:t>
      </w:r>
      <w:r>
        <w:rPr>
          <w:b/>
        </w:rPr>
        <w:tab/>
      </w:r>
      <w:r>
        <w:t>the discharge volume for the last available consumption year;</w:t>
      </w:r>
    </w:p>
    <w:p>
      <w:pPr>
        <w:pStyle w:val="yIndenti0"/>
      </w:pPr>
      <w:r>
        <w:rPr>
          <w:b/>
        </w:rPr>
        <w:tab/>
        <w:t>I =</w:t>
      </w:r>
      <w:r>
        <w:rPr>
          <w:b/>
        </w:rPr>
        <w:tab/>
      </w:r>
      <w:r>
        <w:t>2.328.</w:t>
      </w:r>
    </w:p>
    <w:p>
      <w:pPr>
        <w:pStyle w:val="yHeading5"/>
      </w:pPr>
      <w:bookmarkStart w:id="569" w:name="_Toc233611717"/>
      <w:r>
        <w:t>33.</w:t>
      </w:r>
      <w:r>
        <w:tab/>
        <w:t>Country nursing home</w:t>
      </w:r>
      <w:bookmarkEnd w:id="569"/>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$114.60;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570" w:name="_Toc233611718"/>
      <w:r>
        <w:t>34.</w:t>
      </w:r>
      <w:r>
        <w:tab/>
        <w:t>Certain country strata-titled units</w:t>
      </w:r>
      <w:bookmarkEnd w:id="570"/>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$393.70;</w:t>
      </w:r>
    </w:p>
    <w:p>
      <w:pPr>
        <w:pStyle w:val="yIndenta"/>
      </w:pPr>
      <w:r>
        <w:rPr>
          <w:b/>
        </w:rPr>
        <w:tab/>
        <w:t>Q</w:t>
      </w:r>
      <w:r>
        <w:t xml:space="preserve"> =</w:t>
      </w:r>
      <w:r>
        <w:tab/>
        <w:t>the quantity charge calculated in accordance with the formula in item 37.</w:t>
      </w:r>
    </w:p>
    <w:p>
      <w:pPr>
        <w:pStyle w:val="yHeading5"/>
      </w:pPr>
      <w:bookmarkStart w:id="571" w:name="_Toc233611719"/>
      <w:r>
        <w:t>35.</w:t>
      </w:r>
      <w:r>
        <w:tab/>
        <w:t>Limit on increase</w:t>
      </w:r>
      <w:bookmarkEnd w:id="571"/>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2008/2009 year;</w:t>
      </w:r>
    </w:p>
    <w:p>
      <w:pPr>
        <w:pStyle w:val="yIndenta"/>
      </w:pPr>
      <w:r>
        <w:rPr>
          <w:b/>
        </w:rPr>
        <w:tab/>
        <w:t>S</w:t>
      </w:r>
      <w:r>
        <w:t xml:space="preserve"> =</w:t>
      </w:r>
      <w:r>
        <w:tab/>
        <w:t>1.142;</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19 Jun 2009 p. 2364-8.]</w:t>
      </w:r>
    </w:p>
    <w:p>
      <w:pPr>
        <w:pStyle w:val="yHeading3"/>
      </w:pPr>
      <w:bookmarkStart w:id="572" w:name="_Toc233448441"/>
      <w:bookmarkStart w:id="573" w:name="_Toc233611720"/>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572"/>
      <w:bookmarkEnd w:id="573"/>
    </w:p>
    <w:p>
      <w:pPr>
        <w:pStyle w:val="yFootnoteheading"/>
        <w:spacing w:after="120"/>
      </w:pPr>
      <w:r>
        <w:tab/>
        <w:t>[Heading inserted in Gazette 19 Jun 2009 p. 2368.]</w:t>
      </w:r>
    </w:p>
    <w:p>
      <w:pPr>
        <w:pStyle w:val="yHeading5"/>
      </w:pPr>
      <w:bookmarkStart w:id="574" w:name="_Toc233611721"/>
      <w:r>
        <w:t>36.</w:t>
      </w:r>
      <w:r>
        <w:tab/>
        <w:t>Formula for annual charge</w:t>
      </w:r>
      <w:bookmarkEnd w:id="574"/>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2008/2009 year;</w:t>
      </w:r>
    </w:p>
    <w:p>
      <w:pPr>
        <w:pStyle w:val="yIndenta"/>
      </w:pPr>
      <w:r>
        <w:rPr>
          <w:b/>
        </w:rPr>
        <w:tab/>
        <w:t>C</w:t>
      </w:r>
      <w:r>
        <w:t xml:space="preserve"> =</w:t>
      </w:r>
      <w:r>
        <w:tab/>
        <w:t>the charge payable for the relevant number of major fixtures for the 2009/2010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2009/2010 year for the relevant number of major fixtures as set out in the Table to this item.</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rPr>
        <w:tc>
          <w:tcPr>
            <w:tcW w:w="5922" w:type="dxa"/>
            <w:gridSpan w:val="2"/>
          </w:tcPr>
          <w:p>
            <w:pPr>
              <w:pStyle w:val="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rPr>
        <w:tc>
          <w:tcPr>
            <w:tcW w:w="2961" w:type="dxa"/>
            <w:tcBorders>
              <w:top w:val="single" w:sz="4" w:space="0" w:color="auto"/>
              <w:bottom w:val="single" w:sz="4" w:space="0" w:color="auto"/>
            </w:tcBorders>
            <w:vAlign w:val="center"/>
          </w:tcPr>
          <w:p>
            <w:pPr>
              <w:pStyle w:val="yTableNAm"/>
              <w:jc w:val="center"/>
              <w:rPr>
                <w:b/>
                <w:bCs/>
              </w:rPr>
            </w:pPr>
            <w:r>
              <w:rPr>
                <w:b/>
                <w:bCs/>
              </w:rPr>
              <w:t>No. of fixtures</w:t>
            </w:r>
          </w:p>
        </w:tc>
        <w:tc>
          <w:tcPr>
            <w:tcW w:w="2961" w:type="dxa"/>
            <w:tcBorders>
              <w:top w:val="single" w:sz="4" w:space="0" w:color="auto"/>
              <w:bottom w:val="single" w:sz="4" w:space="0" w:color="auto"/>
            </w:tcBorders>
          </w:tcPr>
          <w:p>
            <w:pPr>
              <w:pStyle w:val="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yTableNAm"/>
              <w:jc w:val="center"/>
            </w:pPr>
            <w:r>
              <w:t>1</w:t>
            </w:r>
          </w:p>
        </w:tc>
        <w:tc>
          <w:tcPr>
            <w:tcW w:w="2961" w:type="dxa"/>
          </w:tcPr>
          <w:p>
            <w:pPr>
              <w:pStyle w:val="yTableNAm"/>
              <w:jc w:val="center"/>
            </w:pPr>
            <w:r>
              <w:t>633.40</w:t>
            </w:r>
          </w:p>
        </w:tc>
      </w:tr>
      <w:tr>
        <w:tblPrEx>
          <w:tblCellMar>
            <w:left w:w="28" w:type="dxa"/>
            <w:right w:w="28" w:type="dxa"/>
          </w:tblCellMar>
        </w:tblPrEx>
        <w:trPr>
          <w:cantSplit/>
        </w:trPr>
        <w:tc>
          <w:tcPr>
            <w:tcW w:w="2961" w:type="dxa"/>
          </w:tcPr>
          <w:p>
            <w:pPr>
              <w:pStyle w:val="yTableNAm"/>
              <w:jc w:val="center"/>
            </w:pPr>
            <w:r>
              <w:t>2</w:t>
            </w:r>
          </w:p>
        </w:tc>
        <w:tc>
          <w:tcPr>
            <w:tcW w:w="2961" w:type="dxa"/>
          </w:tcPr>
          <w:p>
            <w:pPr>
              <w:pStyle w:val="yTableNAm"/>
              <w:jc w:val="center"/>
            </w:pPr>
            <w:r>
              <w:t>271.10</w:t>
            </w:r>
          </w:p>
        </w:tc>
      </w:tr>
      <w:tr>
        <w:tblPrEx>
          <w:tblCellMar>
            <w:left w:w="28" w:type="dxa"/>
            <w:right w:w="28" w:type="dxa"/>
          </w:tblCellMar>
        </w:tblPrEx>
        <w:trPr>
          <w:cantSplit/>
        </w:trPr>
        <w:tc>
          <w:tcPr>
            <w:tcW w:w="2961" w:type="dxa"/>
          </w:tcPr>
          <w:p>
            <w:pPr>
              <w:pStyle w:val="yTableNAm"/>
              <w:jc w:val="center"/>
            </w:pPr>
            <w:r>
              <w:t>3</w:t>
            </w:r>
          </w:p>
        </w:tc>
        <w:tc>
          <w:tcPr>
            <w:tcW w:w="2961" w:type="dxa"/>
          </w:tcPr>
          <w:p>
            <w:pPr>
              <w:pStyle w:val="yTableNAm"/>
              <w:jc w:val="center"/>
            </w:pPr>
            <w:r>
              <w:t>362.10</w:t>
            </w:r>
          </w:p>
        </w:tc>
      </w:tr>
      <w:tr>
        <w:tblPrEx>
          <w:tblCellMar>
            <w:left w:w="28" w:type="dxa"/>
            <w:right w:w="28" w:type="dxa"/>
          </w:tblCellMar>
        </w:tblPrEx>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tcPr>
          <w:p>
            <w:pPr>
              <w:pStyle w:val="yTableNAm"/>
              <w:jc w:val="center"/>
            </w:pPr>
            <w:r>
              <w:t>393.70</w:t>
            </w:r>
          </w:p>
        </w:tc>
      </w:tr>
    </w:tbl>
    <w:p>
      <w:pPr>
        <w:pStyle w:val="yHeading5"/>
      </w:pPr>
      <w:bookmarkStart w:id="575" w:name="_Toc233611722"/>
      <w:r>
        <w:t>37.</w:t>
      </w:r>
      <w:r>
        <w:tab/>
        <w:t>Formula for quantity charge</w:t>
      </w:r>
      <w:bookmarkEnd w:id="575"/>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2009/2010 year;</w:t>
      </w:r>
    </w:p>
    <w:p>
      <w:pPr>
        <w:pStyle w:val="yIndenta"/>
      </w:pPr>
      <w:r>
        <w:rPr>
          <w:b/>
        </w:rPr>
        <w:tab/>
        <w:t>G</w:t>
      </w:r>
      <w:r>
        <w:t xml:space="preserve"> =</w:t>
      </w:r>
      <w:r>
        <w:tab/>
        <w:t>the discharge factor set for the property for the 2009/2010 year;</w:t>
      </w:r>
    </w:p>
    <w:p>
      <w:pPr>
        <w:pStyle w:val="yIndenta"/>
      </w:pPr>
      <w:r>
        <w:rPr>
          <w:b/>
        </w:rPr>
        <w:tab/>
        <w:t>H</w:t>
      </w:r>
      <w:r>
        <w:t xml:space="preserve"> =</w:t>
      </w:r>
      <w:r>
        <w:tab/>
        <w:t>the discharge allowance for the 2009/2010 year calculated in accordance with item 38;</w:t>
      </w:r>
    </w:p>
    <w:p>
      <w:pPr>
        <w:pStyle w:val="yIndenta"/>
      </w:pPr>
      <w:r>
        <w:rPr>
          <w:b/>
        </w:rPr>
        <w:tab/>
        <w:t>I</w:t>
      </w:r>
      <w:r>
        <w:t xml:space="preserve"> =</w:t>
      </w:r>
      <w:r>
        <w:tab/>
        <w:t>2.328,</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576" w:name="_Toc233611723"/>
      <w:r>
        <w:t>38.</w:t>
      </w:r>
      <w:r>
        <w:tab/>
        <w:t>Discharge allowance</w:t>
      </w:r>
      <w:bookmarkEnd w:id="576"/>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2009/2010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2009/2010 year as set out in the Table to item 36; </w:t>
      </w:r>
    </w:p>
    <w:p>
      <w:pPr>
        <w:pStyle w:val="yIndenti0"/>
      </w:pPr>
      <w:r>
        <w:rPr>
          <w:b/>
        </w:rPr>
        <w:tab/>
        <w:t>K</w:t>
      </w:r>
      <w:r>
        <w:t xml:space="preserve"> =</w:t>
      </w:r>
      <w:r>
        <w:tab/>
        <w:t>2.328;</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19 Jun 2009 p. 2368-71.]</w:t>
      </w:r>
    </w:p>
    <w:p>
      <w:pPr>
        <w:pStyle w:val="yScheduleHeading"/>
      </w:pPr>
      <w:bookmarkStart w:id="577" w:name="_Toc233448448"/>
      <w:bookmarkStart w:id="578" w:name="_Toc233611724"/>
      <w:bookmarkStart w:id="579" w:name="_Toc202506081"/>
      <w:bookmarkStart w:id="580" w:name="_Toc202672813"/>
      <w:bookmarkStart w:id="581" w:name="_Toc202691791"/>
      <w:bookmarkStart w:id="582" w:name="_Toc170879127"/>
      <w:bookmarkStart w:id="583" w:name="_Toc170894775"/>
      <w:bookmarkStart w:id="584" w:name="_Toc175712741"/>
      <w:bookmarkStart w:id="585" w:name="_Toc175970682"/>
      <w:bookmarkStart w:id="586" w:name="_Toc176335401"/>
      <w:bookmarkStart w:id="587" w:name="_Toc176338976"/>
      <w:bookmarkStart w:id="588" w:name="_Toc178743001"/>
      <w:bookmarkStart w:id="589" w:name="_Toc179363424"/>
      <w:bookmarkStart w:id="590" w:name="_Toc179604493"/>
      <w:bookmarkStart w:id="591" w:name="_Toc180204686"/>
      <w:bookmarkStart w:id="592" w:name="_Toc180204902"/>
      <w:bookmarkStart w:id="593" w:name="_Toc185844647"/>
      <w:bookmarkStart w:id="594" w:name="_Toc185845267"/>
      <w:bookmarkStart w:id="595" w:name="_Toc185927232"/>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SchNo"/>
        </w:rPr>
        <w:t>Schedule 4</w:t>
      </w:r>
      <w:r>
        <w:rPr>
          <w:rStyle w:val="CharSDivNo"/>
        </w:rPr>
        <w:t> </w:t>
      </w:r>
      <w:r>
        <w:t>—</w:t>
      </w:r>
      <w:r>
        <w:rPr>
          <w:rStyle w:val="CharSDivText"/>
        </w:rPr>
        <w:t> </w:t>
      </w:r>
      <w:r>
        <w:rPr>
          <w:rStyle w:val="CharSchText"/>
        </w:rPr>
        <w:t>Charges for drainage for 2009/2010</w:t>
      </w:r>
      <w:bookmarkEnd w:id="577"/>
      <w:bookmarkEnd w:id="578"/>
    </w:p>
    <w:p>
      <w:pPr>
        <w:pStyle w:val="yShoulderClause"/>
      </w:pPr>
      <w:r>
        <w:t>[bl. 27]</w:t>
      </w:r>
    </w:p>
    <w:p>
      <w:pPr>
        <w:pStyle w:val="yFootnoteheading"/>
      </w:pPr>
      <w:r>
        <w:tab/>
        <w:t>[Heading inserted in Gazette 19 Jun 2009 p. 2371.]</w:t>
      </w:r>
    </w:p>
    <w:p>
      <w:pPr>
        <w:pStyle w:val="yHeading3"/>
      </w:pPr>
      <w:bookmarkStart w:id="596" w:name="_Toc233448449"/>
      <w:bookmarkStart w:id="597" w:name="_Toc233611725"/>
      <w:r>
        <w:rPr>
          <w:rStyle w:val="CharSDivNo"/>
        </w:rPr>
        <w:t>Division 1</w:t>
      </w:r>
      <w:r>
        <w:rPr>
          <w:b w:val="0"/>
        </w:rPr>
        <w:t> — </w:t>
      </w:r>
      <w:r>
        <w:rPr>
          <w:rStyle w:val="CharSDivText"/>
        </w:rPr>
        <w:t>Fixed charges</w:t>
      </w:r>
      <w:bookmarkEnd w:id="596"/>
      <w:bookmarkEnd w:id="597"/>
    </w:p>
    <w:p>
      <w:pPr>
        <w:pStyle w:val="yFootnoteheading"/>
        <w:spacing w:after="120"/>
      </w:pPr>
      <w:r>
        <w:tab/>
        <w:t>[Heading inserted in Gazette 19 Jun 2009 p. 2371.]</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bCs/>
              </w:rPr>
            </w:pPr>
            <w:r>
              <w:rPr>
                <w:rStyle w:val="CharSClsNo"/>
                <w:b/>
                <w:bCs/>
              </w:rPr>
              <w:t>1</w:t>
            </w:r>
            <w:r>
              <w:rPr>
                <w:b/>
                <w:bCs/>
              </w:rPr>
              <w:t>.</w:t>
            </w:r>
          </w:p>
        </w:tc>
        <w:tc>
          <w:tcPr>
            <w:tcW w:w="5670" w:type="dxa"/>
            <w:gridSpan w:val="2"/>
          </w:tcPr>
          <w:p>
            <w:pPr>
              <w:pStyle w:val="yTableNAm"/>
              <w:rPr>
                <w:b/>
                <w:bCs/>
              </w:rPr>
            </w:pPr>
            <w:r>
              <w:rPr>
                <w:b/>
                <w:bCs/>
              </w:rPr>
              <w:t>Strata</w:t>
            </w:r>
            <w:r>
              <w:rPr>
                <w:b/>
                <w:bCs/>
              </w:rPr>
              <w:noBreakHyphen/>
              <w:t>titled caravan bay</w:t>
            </w:r>
          </w:p>
        </w:tc>
      </w:tr>
      <w:tr>
        <w:tc>
          <w:tcPr>
            <w:tcW w:w="850" w:type="dxa"/>
          </w:tcPr>
          <w:p>
            <w:pPr>
              <w:pStyle w:val="yTableNAm"/>
            </w:pPr>
          </w:p>
        </w:tc>
        <w:tc>
          <w:tcPr>
            <w:tcW w:w="4235" w:type="dxa"/>
          </w:tcPr>
          <w:p>
            <w:pPr>
              <w:pStyle w:val="yTableNAm"/>
              <w:rPr>
                <w:rFonts w:ascii="Times" w:hAnsi="Times"/>
              </w:rPr>
            </w:pPr>
            <w:r>
              <w:rPr>
                <w:rFonts w:ascii="Times" w:hAnsi="Times"/>
              </w:rPr>
              <w:t xml:space="preserve">In respect of each residential property being a single caravan bay that is a lot within the meaning of the </w:t>
            </w:r>
            <w:r>
              <w:rPr>
                <w:rFonts w:ascii="Times" w:hAnsi="Times"/>
                <w:i/>
              </w:rPr>
              <w:t>Strata Titles Act 1985</w:t>
            </w:r>
            <w:r>
              <w:rPr>
                <w:rFonts w:ascii="Times" w:hAnsi="Times"/>
              </w:rPr>
              <w:t xml:space="preserve"> ............</w:t>
            </w:r>
          </w:p>
        </w:tc>
        <w:tc>
          <w:tcPr>
            <w:tcW w:w="1435" w:type="dxa"/>
          </w:tcPr>
          <w:p>
            <w:pPr>
              <w:pStyle w:val="yTableNAm"/>
              <w:rPr>
                <w:sz w:val="20"/>
              </w:rPr>
            </w:pPr>
            <w:r>
              <w:br/>
            </w:r>
            <w:r>
              <w:br/>
              <w:t>$20.20</w:t>
            </w:r>
          </w:p>
        </w:tc>
      </w:tr>
      <w:tr>
        <w:trPr>
          <w:cantSplit/>
        </w:trPr>
        <w:tc>
          <w:tcPr>
            <w:tcW w:w="850" w:type="dxa"/>
          </w:tcPr>
          <w:p>
            <w:pPr>
              <w:pStyle w:val="yTableNAm"/>
            </w:pPr>
            <w:r>
              <w:t>2.</w:t>
            </w:r>
          </w:p>
        </w:tc>
        <w:tc>
          <w:tcPr>
            <w:tcW w:w="5670" w:type="dxa"/>
            <w:gridSpan w:val="2"/>
          </w:tcPr>
          <w:p>
            <w:pPr>
              <w:pStyle w:val="yTableNAm"/>
            </w:pPr>
            <w:r>
              <w:t>Strata</w:t>
            </w:r>
            <w:r>
              <w:noBreakHyphen/>
              <w:t>titled storage unit and strata</w:t>
            </w:r>
            <w:r>
              <w:noBreakHyphen/>
              <w:t>titled parking bay</w:t>
            </w:r>
          </w:p>
        </w:tc>
      </w:tr>
      <w:tr>
        <w:tc>
          <w:tcPr>
            <w:tcW w:w="850" w:type="dxa"/>
          </w:tcPr>
          <w:p>
            <w:pPr>
              <w:pStyle w:val="yTableNAm"/>
            </w:pPr>
          </w:p>
        </w:tc>
        <w:tc>
          <w:tcPr>
            <w:tcW w:w="4235" w:type="dxa"/>
          </w:tcPr>
          <w:p>
            <w:pPr>
              <w:pStyle w:val="yTableNAm"/>
              <w:rPr>
                <w:rFonts w:ascii="Times" w:hAnsi="Times"/>
                <w:iCs/>
              </w:rPr>
            </w:pPr>
            <w:r>
              <w:rPr>
                <w:rFonts w:ascii="Times" w:hAnsi="Times"/>
              </w:rPr>
              <w:t xml:space="preserve">In respect of land comprised in a unit used for storage purposes or as a parking bay that is a lot within the meaning of the </w:t>
            </w:r>
            <w:r>
              <w:rPr>
                <w:rFonts w:ascii="Times" w:hAnsi="Times"/>
                <w:i/>
              </w:rPr>
              <w:t>Strata Titles Act 1985 ...............................................</w:t>
            </w:r>
          </w:p>
        </w:tc>
        <w:tc>
          <w:tcPr>
            <w:tcW w:w="1435" w:type="dxa"/>
          </w:tcPr>
          <w:p>
            <w:pPr>
              <w:pStyle w:val="yTableNAm"/>
            </w:pPr>
            <w:r>
              <w:br/>
            </w:r>
            <w:r>
              <w:br/>
            </w:r>
            <w:r>
              <w:br/>
              <w:t>$8.30</w:t>
            </w:r>
          </w:p>
        </w:tc>
      </w:tr>
    </w:tbl>
    <w:p>
      <w:pPr>
        <w:pStyle w:val="yFootnotesection"/>
      </w:pPr>
      <w:r>
        <w:tab/>
        <w:t>[Division 1 inserted in Gazette 19 Jun 2009 p. 2371.]</w:t>
      </w:r>
    </w:p>
    <w:p>
      <w:pPr>
        <w:pStyle w:val="yHeading3"/>
      </w:pPr>
      <w:bookmarkStart w:id="598" w:name="_Toc233448450"/>
      <w:bookmarkStart w:id="599" w:name="_Toc233611726"/>
      <w:r>
        <w:rPr>
          <w:rStyle w:val="CharSDivNo"/>
        </w:rPr>
        <w:t>Division 2</w:t>
      </w:r>
      <w:r>
        <w:rPr>
          <w:b w:val="0"/>
        </w:rPr>
        <w:t> — </w:t>
      </w:r>
      <w:r>
        <w:rPr>
          <w:rStyle w:val="CharSDivText"/>
        </w:rPr>
        <w:t>Charges by way of rate</w:t>
      </w:r>
      <w:bookmarkEnd w:id="598"/>
      <w:bookmarkEnd w:id="599"/>
    </w:p>
    <w:p>
      <w:pPr>
        <w:pStyle w:val="yFootnoteheading"/>
        <w:spacing w:after="120"/>
      </w:pPr>
      <w:r>
        <w:tab/>
        <w:t>[Heading inserted in Gazette 19 Jun 2009 p. 2371.]</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zyTableNAm"/>
              <w:rPr>
                <w:rFonts w:ascii="Times" w:hAnsi="Times"/>
                <w:b/>
                <w:bCs/>
              </w:rPr>
            </w:pPr>
            <w:r>
              <w:rPr>
                <w:rStyle w:val="CharSClsNo"/>
                <w:rFonts w:ascii="Times" w:hAnsi="Times"/>
                <w:b/>
                <w:bCs/>
              </w:rPr>
              <w:t>3</w:t>
            </w:r>
            <w:r>
              <w:rPr>
                <w:rFonts w:ascii="Times" w:hAnsi="Times"/>
                <w:b/>
                <w:bCs/>
              </w:rPr>
              <w:t>.</w:t>
            </w:r>
          </w:p>
        </w:tc>
        <w:tc>
          <w:tcPr>
            <w:tcW w:w="5670" w:type="dxa"/>
            <w:gridSpan w:val="2"/>
          </w:tcPr>
          <w:p>
            <w:pPr>
              <w:pStyle w:val="zyTableNAm"/>
              <w:rPr>
                <w:rFonts w:ascii="Times" w:hAnsi="Times"/>
                <w:b/>
                <w:bCs/>
              </w:rPr>
            </w:pPr>
            <w:r>
              <w:rPr>
                <w:rFonts w:ascii="Times" w:hAnsi="Times"/>
                <w:b/>
                <w:bCs/>
              </w:rPr>
              <w:t>Land in a drainage area as referred to in by</w:t>
            </w:r>
            <w:r>
              <w:rPr>
                <w:rFonts w:ascii="Times" w:hAnsi="Times"/>
                <w:b/>
                <w:bCs/>
              </w:rPr>
              <w:noBreakHyphen/>
              <w:t>law 27 classified as residential or semi</w:t>
            </w:r>
            <w:r>
              <w:rPr>
                <w:rFonts w:ascii="Times" w:hAnsi="Times"/>
                <w:b/>
                <w:bCs/>
              </w:rPr>
              <w:noBreakHyphen/>
              <w:t>rural residential</w:t>
            </w:r>
          </w:p>
        </w:tc>
      </w:tr>
      <w:tr>
        <w:tc>
          <w:tcPr>
            <w:tcW w:w="850" w:type="dxa"/>
          </w:tcPr>
          <w:p>
            <w:pPr>
              <w:pStyle w:val="zyTableNAm"/>
            </w:pPr>
          </w:p>
        </w:tc>
        <w:tc>
          <w:tcPr>
            <w:tcW w:w="4236" w:type="dxa"/>
          </w:tcPr>
          <w:p>
            <w:pPr>
              <w:pStyle w:val="zyTableNAm"/>
              <w:rPr>
                <w:rFonts w:ascii="Times" w:hAnsi="Times"/>
              </w:rPr>
            </w:pPr>
            <w:r>
              <w:rPr>
                <w:rFonts w:ascii="Times" w:hAnsi="Times"/>
              </w:rPr>
              <w:t>In respect of all land in a drainage area as referred to in by</w:t>
            </w:r>
            <w:r>
              <w:rPr>
                <w:rFonts w:ascii="Times" w:hAnsi="Times"/>
              </w:rPr>
              <w:noBreakHyphen/>
              <w:t>law 27 that is classified as residential or semi</w:t>
            </w:r>
            <w:r>
              <w:rPr>
                <w:rFonts w:ascii="Times" w:hAnsi="Times"/>
              </w:rPr>
              <w:noBreakHyphen/>
              <w:t>rural residential land ........</w:t>
            </w:r>
          </w:p>
        </w:tc>
        <w:tc>
          <w:tcPr>
            <w:tcW w:w="1434" w:type="dxa"/>
          </w:tcPr>
          <w:p>
            <w:pPr>
              <w:pStyle w:val="zyTableNAm"/>
              <w:tabs>
                <w:tab w:val="clear" w:pos="567"/>
                <w:tab w:val="left" w:pos="194"/>
              </w:tabs>
              <w:rPr>
                <w:rFonts w:ascii="Times" w:hAnsi="Times"/>
              </w:rPr>
            </w:pPr>
            <w:r>
              <w:rPr>
                <w:rFonts w:ascii="Times" w:hAnsi="Times"/>
              </w:rPr>
              <w:br/>
            </w:r>
            <w:r>
              <w:rPr>
                <w:rFonts w:ascii="Times" w:hAnsi="Times"/>
              </w:rPr>
              <w:br/>
              <w:t>0.529 cents/$ of GRV</w:t>
            </w:r>
          </w:p>
        </w:tc>
      </w:tr>
      <w:tr>
        <w:tc>
          <w:tcPr>
            <w:tcW w:w="850" w:type="dxa"/>
          </w:tcPr>
          <w:p>
            <w:pPr>
              <w:pStyle w:val="zyTableNAm"/>
            </w:pPr>
          </w:p>
        </w:tc>
        <w:tc>
          <w:tcPr>
            <w:tcW w:w="4236" w:type="dxa"/>
          </w:tcPr>
          <w:p>
            <w:pPr>
              <w:pStyle w:val="zyTableNAm"/>
              <w:rPr>
                <w:rFonts w:ascii="Times" w:hAnsi="Times"/>
              </w:rPr>
            </w:pPr>
            <w:r>
              <w:rPr>
                <w:rFonts w:ascii="Times" w:hAnsi="Times"/>
              </w:rPr>
              <w:t>subject to a minimum in respect of any land the subject of a separate assessment of ..........</w:t>
            </w:r>
          </w:p>
        </w:tc>
        <w:tc>
          <w:tcPr>
            <w:tcW w:w="1434" w:type="dxa"/>
          </w:tcPr>
          <w:p>
            <w:pPr>
              <w:pStyle w:val="zyTableNAm"/>
              <w:tabs>
                <w:tab w:val="clear" w:pos="567"/>
                <w:tab w:val="left" w:pos="194"/>
              </w:tabs>
              <w:rPr>
                <w:rFonts w:ascii="Times" w:hAnsi="Times"/>
              </w:rPr>
            </w:pPr>
            <w:r>
              <w:rPr>
                <w:rFonts w:ascii="Times" w:hAnsi="Times"/>
              </w:rPr>
              <w:br/>
              <w:t>$67.30</w:t>
            </w:r>
          </w:p>
        </w:tc>
      </w:tr>
      <w:tr>
        <w:trPr>
          <w:cantSplit/>
        </w:trPr>
        <w:tc>
          <w:tcPr>
            <w:tcW w:w="850" w:type="dxa"/>
          </w:tcPr>
          <w:p>
            <w:pPr>
              <w:pStyle w:val="zyTableNAm"/>
              <w:keepNext/>
              <w:keepLines/>
              <w:rPr>
                <w:rFonts w:ascii="Times" w:hAnsi="Times"/>
                <w:b/>
                <w:bCs/>
              </w:rPr>
            </w:pPr>
            <w:r>
              <w:rPr>
                <w:rStyle w:val="CharSClsNo"/>
                <w:rFonts w:ascii="Times" w:hAnsi="Times"/>
                <w:b/>
                <w:bCs/>
              </w:rPr>
              <w:t>4</w:t>
            </w:r>
            <w:r>
              <w:rPr>
                <w:rFonts w:ascii="Times" w:hAnsi="Times"/>
                <w:b/>
                <w:bCs/>
              </w:rPr>
              <w:t>.</w:t>
            </w:r>
          </w:p>
        </w:tc>
        <w:tc>
          <w:tcPr>
            <w:tcW w:w="5670" w:type="dxa"/>
            <w:gridSpan w:val="2"/>
          </w:tcPr>
          <w:p>
            <w:pPr>
              <w:pStyle w:val="zyTableNAm"/>
              <w:keepNext/>
              <w:keepLines/>
              <w:rPr>
                <w:rFonts w:ascii="Times" w:hAnsi="Times"/>
                <w:b/>
                <w:bCs/>
              </w:rPr>
            </w:pPr>
            <w:r>
              <w:rPr>
                <w:rFonts w:ascii="Times" w:hAnsi="Times"/>
                <w:b/>
                <w:bCs/>
              </w:rPr>
              <w:t>Land in a drainage area classified as vacant land</w:t>
            </w:r>
          </w:p>
        </w:tc>
      </w:tr>
      <w:tr>
        <w:tc>
          <w:tcPr>
            <w:tcW w:w="850" w:type="dxa"/>
          </w:tcPr>
          <w:p>
            <w:pPr>
              <w:pStyle w:val="zyTableNAm"/>
              <w:keepNext/>
              <w:keepLines/>
              <w:rPr>
                <w:rStyle w:val="CharSClsNo"/>
              </w:rPr>
            </w:pPr>
          </w:p>
        </w:tc>
        <w:tc>
          <w:tcPr>
            <w:tcW w:w="4236" w:type="dxa"/>
          </w:tcPr>
          <w:p>
            <w:pPr>
              <w:pStyle w:val="zyTableNAm"/>
              <w:keepNext/>
              <w:keepLines/>
              <w:rPr>
                <w:rFonts w:ascii="Times" w:hAnsi="Times"/>
              </w:rPr>
            </w:pPr>
            <w:r>
              <w:rPr>
                <w:rFonts w:ascii="Times" w:hAnsi="Times"/>
              </w:rPr>
              <w:t>In respect of all land in a drainage area classified as vacant land .................................</w:t>
            </w:r>
          </w:p>
        </w:tc>
        <w:tc>
          <w:tcPr>
            <w:tcW w:w="1434" w:type="dxa"/>
          </w:tcPr>
          <w:p>
            <w:pPr>
              <w:pStyle w:val="zyTableNAm"/>
              <w:keepNext/>
              <w:keepLines/>
              <w:tabs>
                <w:tab w:val="clear" w:pos="567"/>
                <w:tab w:val="left" w:pos="194"/>
              </w:tabs>
              <w:rPr>
                <w:rFonts w:ascii="Times" w:hAnsi="Times"/>
                <w:sz w:val="20"/>
              </w:rPr>
            </w:pPr>
            <w:r>
              <w:rPr>
                <w:rFonts w:ascii="Times" w:hAnsi="Times"/>
              </w:rPr>
              <w:br/>
              <w:t>0.406 cents/$ of GRV</w:t>
            </w:r>
          </w:p>
        </w:tc>
      </w:tr>
      <w:tr>
        <w:tc>
          <w:tcPr>
            <w:tcW w:w="850" w:type="dxa"/>
          </w:tcPr>
          <w:p>
            <w:pPr>
              <w:pStyle w:val="zyTableNAm"/>
              <w:keepNext/>
              <w:keepLines/>
              <w:rPr>
                <w:rStyle w:val="CharSClsNo"/>
              </w:rPr>
            </w:pPr>
          </w:p>
        </w:tc>
        <w:tc>
          <w:tcPr>
            <w:tcW w:w="4236" w:type="dxa"/>
          </w:tcPr>
          <w:p>
            <w:pPr>
              <w:pStyle w:val="zyTableNAm"/>
              <w:keepNext/>
              <w:keepLines/>
              <w:rPr>
                <w:rFonts w:ascii="Times" w:hAnsi="Times"/>
              </w:rPr>
            </w:pPr>
            <w:r>
              <w:rPr>
                <w:rFonts w:ascii="Times" w:hAnsi="Times"/>
              </w:rPr>
              <w:t>subject to a minimum in respect of any land the subject of a separate assessment of ..........</w:t>
            </w:r>
          </w:p>
        </w:tc>
        <w:tc>
          <w:tcPr>
            <w:tcW w:w="1434" w:type="dxa"/>
          </w:tcPr>
          <w:p>
            <w:pPr>
              <w:pStyle w:val="zyTableNAm"/>
              <w:keepNext/>
              <w:keepLines/>
              <w:tabs>
                <w:tab w:val="clear" w:pos="567"/>
                <w:tab w:val="left" w:pos="194"/>
              </w:tabs>
              <w:rPr>
                <w:rFonts w:ascii="Times" w:hAnsi="Times"/>
                <w:sz w:val="20"/>
              </w:rPr>
            </w:pPr>
            <w:r>
              <w:rPr>
                <w:rFonts w:ascii="Times" w:hAnsi="Times"/>
              </w:rPr>
              <w:br/>
              <w:t>$67.30</w:t>
            </w:r>
          </w:p>
        </w:tc>
      </w:tr>
      <w:tr>
        <w:trPr>
          <w:cantSplit/>
        </w:trPr>
        <w:tc>
          <w:tcPr>
            <w:tcW w:w="850" w:type="dxa"/>
          </w:tcPr>
          <w:p>
            <w:pPr>
              <w:pStyle w:val="zyTableNAm"/>
              <w:rPr>
                <w:rStyle w:val="CharSClsNo"/>
                <w:b/>
                <w:bCs/>
              </w:rPr>
            </w:pPr>
            <w:r>
              <w:rPr>
                <w:rStyle w:val="CharSClsNo"/>
                <w:b/>
                <w:bCs/>
              </w:rPr>
              <w:t>5</w:t>
            </w:r>
            <w:r>
              <w:rPr>
                <w:b/>
                <w:bCs/>
              </w:rPr>
              <w:t>.</w:t>
            </w:r>
          </w:p>
        </w:tc>
        <w:tc>
          <w:tcPr>
            <w:tcW w:w="5670" w:type="dxa"/>
            <w:gridSpan w:val="2"/>
          </w:tcPr>
          <w:p>
            <w:pPr>
              <w:pStyle w:val="zyTableNAm"/>
              <w:rPr>
                <w:rFonts w:ascii="Times" w:hAnsi="Times"/>
                <w:b/>
                <w:bCs/>
              </w:rPr>
            </w:pPr>
            <w:r>
              <w:rPr>
                <w:rFonts w:ascii="Times" w:hAnsi="Times"/>
                <w:b/>
                <w:bCs/>
              </w:rPr>
              <w:t>Land in a drainage area as referred to in by</w:t>
            </w:r>
            <w:r>
              <w:rPr>
                <w:rFonts w:ascii="Times" w:hAnsi="Times"/>
                <w:b/>
                <w:bCs/>
              </w:rPr>
              <w:noBreakHyphen/>
              <w:t>law 27 other than land to which item 1, 2, 3 or 4 applies</w:t>
            </w:r>
          </w:p>
        </w:tc>
      </w:tr>
      <w:tr>
        <w:tc>
          <w:tcPr>
            <w:tcW w:w="850" w:type="dxa"/>
          </w:tcPr>
          <w:p>
            <w:pPr>
              <w:pStyle w:val="zyTableNAm"/>
              <w:rPr>
                <w:rStyle w:val="CharSClsNo"/>
              </w:rPr>
            </w:pPr>
          </w:p>
        </w:tc>
        <w:tc>
          <w:tcPr>
            <w:tcW w:w="4236" w:type="dxa"/>
          </w:tcPr>
          <w:p>
            <w:pPr>
              <w:pStyle w:val="zyTableNAm"/>
              <w:rPr>
                <w:rFonts w:ascii="Times" w:hAnsi="Times"/>
              </w:rPr>
            </w:pPr>
            <w:r>
              <w:rPr>
                <w:rFonts w:ascii="Times" w:hAnsi="Times"/>
              </w:rPr>
              <w:t>In respect of all land in a drainage area as referred to in by</w:t>
            </w:r>
            <w:r>
              <w:rPr>
                <w:rFonts w:ascii="Times" w:hAnsi="Times"/>
              </w:rPr>
              <w:noBreakHyphen/>
              <w:t>law 27 other than land to which item 1, 2, 3 or 4 applies .......................</w:t>
            </w:r>
          </w:p>
        </w:tc>
        <w:tc>
          <w:tcPr>
            <w:tcW w:w="1434" w:type="dxa"/>
          </w:tcPr>
          <w:p>
            <w:pPr>
              <w:pStyle w:val="zyTableNAm"/>
              <w:tabs>
                <w:tab w:val="clear" w:pos="567"/>
                <w:tab w:val="left" w:pos="194"/>
              </w:tabs>
              <w:rPr>
                <w:rFonts w:ascii="Times" w:hAnsi="Times"/>
                <w:sz w:val="20"/>
              </w:rPr>
            </w:pPr>
            <w:r>
              <w:rPr>
                <w:rFonts w:ascii="Times" w:hAnsi="Times"/>
              </w:rPr>
              <w:br/>
            </w:r>
            <w:r>
              <w:rPr>
                <w:rFonts w:ascii="Times" w:hAnsi="Times"/>
              </w:rPr>
              <w:br/>
              <w:t>0.631 cents/$ of GRV</w:t>
            </w:r>
          </w:p>
        </w:tc>
      </w:tr>
      <w:tr>
        <w:tc>
          <w:tcPr>
            <w:tcW w:w="850" w:type="dxa"/>
          </w:tcPr>
          <w:p>
            <w:pPr>
              <w:pStyle w:val="zyTableNAm"/>
              <w:rPr>
                <w:rStyle w:val="CharSClsNo"/>
                <w:rFonts w:ascii="Times" w:hAnsi="Times"/>
              </w:rPr>
            </w:pPr>
          </w:p>
        </w:tc>
        <w:tc>
          <w:tcPr>
            <w:tcW w:w="4236" w:type="dxa"/>
          </w:tcPr>
          <w:p>
            <w:pPr>
              <w:pStyle w:val="zyTableNAm"/>
              <w:rPr>
                <w:rFonts w:ascii="Times" w:hAnsi="Times"/>
              </w:rPr>
            </w:pPr>
            <w:r>
              <w:rPr>
                <w:rFonts w:ascii="Times" w:hAnsi="Times"/>
              </w:rPr>
              <w:t>subject to a minimum in respect of any land the subject of a separate assessment of ..........</w:t>
            </w:r>
          </w:p>
        </w:tc>
        <w:tc>
          <w:tcPr>
            <w:tcW w:w="1434" w:type="dxa"/>
          </w:tcPr>
          <w:p>
            <w:pPr>
              <w:pStyle w:val="zyTableNAm"/>
              <w:tabs>
                <w:tab w:val="clear" w:pos="567"/>
                <w:tab w:val="left" w:pos="194"/>
              </w:tabs>
              <w:rPr>
                <w:rFonts w:ascii="Times" w:hAnsi="Times"/>
                <w:sz w:val="20"/>
              </w:rPr>
            </w:pPr>
            <w:r>
              <w:rPr>
                <w:rFonts w:ascii="Times" w:hAnsi="Times"/>
              </w:rPr>
              <w:br/>
              <w:t>$67.30</w:t>
            </w:r>
          </w:p>
        </w:tc>
      </w:tr>
    </w:tbl>
    <w:p>
      <w:pPr>
        <w:pStyle w:val="yFootnotesection"/>
      </w:pPr>
      <w:r>
        <w:tab/>
        <w:t>[Division 2 inserted in Gazette 19 Jun 2009 p. 2371-2.]</w:t>
      </w:r>
    </w:p>
    <w:p>
      <w:pPr>
        <w:pStyle w:val="yScheduleHeading"/>
      </w:pPr>
      <w:bookmarkStart w:id="600" w:name="_Toc233448452"/>
      <w:bookmarkStart w:id="601" w:name="_Toc233611727"/>
      <w:bookmarkStart w:id="602" w:name="_Toc202506083"/>
      <w:bookmarkStart w:id="603" w:name="_Toc202672815"/>
      <w:bookmarkStart w:id="604" w:name="_Toc202691792"/>
      <w:bookmarkEnd w:id="579"/>
      <w:bookmarkEnd w:id="580"/>
      <w:bookmarkEnd w:id="581"/>
      <w:r>
        <w:rPr>
          <w:rStyle w:val="CharSchNo"/>
        </w:rPr>
        <w:t>Schedule 5</w:t>
      </w:r>
      <w:r>
        <w:rPr>
          <w:rStyle w:val="CharSDivNo"/>
        </w:rPr>
        <w:t> </w:t>
      </w:r>
      <w:r>
        <w:t>—</w:t>
      </w:r>
      <w:r>
        <w:rPr>
          <w:rStyle w:val="CharSDivText"/>
        </w:rPr>
        <w:t> </w:t>
      </w:r>
      <w:r>
        <w:rPr>
          <w:rStyle w:val="CharSchText"/>
        </w:rPr>
        <w:t>Charges for irrigation for 2009/2010</w:t>
      </w:r>
      <w:bookmarkEnd w:id="600"/>
      <w:bookmarkEnd w:id="601"/>
    </w:p>
    <w:p>
      <w:pPr>
        <w:pStyle w:val="yShoulderClause"/>
      </w:pPr>
      <w:r>
        <w:t>[bl. 31]</w:t>
      </w:r>
    </w:p>
    <w:p>
      <w:pPr>
        <w:pStyle w:val="yFootnoteheading"/>
        <w:spacing w:after="120"/>
      </w:pPr>
      <w:r>
        <w:tab/>
        <w:t>[Heading inserted in Gazette 19 Jun 2009 p. 2371.]</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rStyle w:val="CharSClsNo"/>
                <w:rFonts w:ascii="Times" w:hAnsi="Times"/>
                <w:b/>
                <w:bCs/>
              </w:rPr>
            </w:pPr>
            <w:r>
              <w:rPr>
                <w:rStyle w:val="CharSClsNo"/>
                <w:rFonts w:ascii="Times" w:hAnsi="Times"/>
                <w:b/>
                <w:bCs/>
              </w:rPr>
              <w:t>1.</w:t>
            </w:r>
          </w:p>
        </w:tc>
        <w:tc>
          <w:tcPr>
            <w:tcW w:w="5670" w:type="dxa"/>
            <w:gridSpan w:val="2"/>
          </w:tcPr>
          <w:p>
            <w:pPr>
              <w:pStyle w:val="yTableNAm"/>
              <w:rPr>
                <w:b/>
                <w:bCs/>
              </w:rPr>
            </w:pPr>
            <w:r>
              <w:rPr>
                <w:b/>
                <w:bCs/>
              </w:rPr>
              <w:t>Ord Irrigation District</w:t>
            </w:r>
          </w:p>
        </w:tc>
      </w:tr>
      <w:tr>
        <w:tc>
          <w:tcPr>
            <w:tcW w:w="850" w:type="dxa"/>
          </w:tcPr>
          <w:p>
            <w:pPr>
              <w:pStyle w:val="yTableNAm"/>
              <w:rPr>
                <w:rStyle w:val="CharSClsNo"/>
                <w:rFonts w:ascii="Times" w:hAnsi="Times"/>
              </w:rPr>
            </w:pPr>
          </w:p>
        </w:tc>
        <w:tc>
          <w:tcPr>
            <w:tcW w:w="4235"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rPr>
                <w:sz w:val="20"/>
              </w:rPr>
            </w:pPr>
          </w:p>
        </w:tc>
      </w:tr>
      <w:tr>
        <w:tc>
          <w:tcPr>
            <w:tcW w:w="850" w:type="dxa"/>
          </w:tcPr>
          <w:p>
            <w:pPr>
              <w:pStyle w:val="yTableNAm"/>
              <w:rPr>
                <w:rStyle w:val="CharSClsNo"/>
                <w:rFonts w:ascii="Times" w:hAnsi="Times"/>
              </w:rPr>
            </w:pPr>
          </w:p>
        </w:tc>
        <w:tc>
          <w:tcPr>
            <w:tcW w:w="4235" w:type="dxa"/>
          </w:tcPr>
          <w:p>
            <w:pPr>
              <w:pStyle w:val="yTableNAm"/>
              <w:tabs>
                <w:tab w:val="clear" w:pos="567"/>
                <w:tab w:val="left" w:pos="416"/>
                <w:tab w:val="left" w:pos="896"/>
              </w:tabs>
              <w:ind w:left="896" w:hanging="896"/>
            </w:pPr>
            <w:r>
              <w:tab/>
              <w:t>(a)</w:t>
            </w:r>
            <w:r>
              <w:tab/>
              <w:t>where the supply is assured ..........</w:t>
            </w:r>
          </w:p>
        </w:tc>
        <w:tc>
          <w:tcPr>
            <w:tcW w:w="1435" w:type="dxa"/>
          </w:tcPr>
          <w:p>
            <w:pPr>
              <w:pStyle w:val="yTableNAm"/>
            </w:pPr>
            <w:r>
              <w:t>$127.50</w:t>
            </w:r>
          </w:p>
        </w:tc>
      </w:tr>
      <w:tr>
        <w:tc>
          <w:tcPr>
            <w:tcW w:w="850" w:type="dxa"/>
          </w:tcPr>
          <w:p>
            <w:pPr>
              <w:pStyle w:val="yTableNAm"/>
              <w:rPr>
                <w:rStyle w:val="CharSClsNo"/>
                <w:rFonts w:ascii="Times" w:hAnsi="Times"/>
              </w:rPr>
            </w:pPr>
          </w:p>
        </w:tc>
        <w:tc>
          <w:tcPr>
            <w:tcW w:w="4235" w:type="dxa"/>
          </w:tcPr>
          <w:p>
            <w:pPr>
              <w:pStyle w:val="yTableNAm"/>
              <w:tabs>
                <w:tab w:val="clear" w:pos="567"/>
                <w:tab w:val="left" w:pos="416"/>
                <w:tab w:val="left" w:pos="896"/>
              </w:tabs>
              <w:ind w:left="896" w:hanging="896"/>
            </w:pPr>
            <w:r>
              <w:tab/>
              <w:t>(b)</w:t>
            </w:r>
            <w:r>
              <w:tab/>
              <w:t>where the supply is not assured .....</w:t>
            </w:r>
          </w:p>
        </w:tc>
        <w:tc>
          <w:tcPr>
            <w:tcW w:w="1435" w:type="dxa"/>
          </w:tcPr>
          <w:p>
            <w:pPr>
              <w:pStyle w:val="yTableNAm"/>
            </w:pPr>
            <w:r>
              <w:t>$96.50</w:t>
            </w:r>
          </w:p>
        </w:tc>
      </w:tr>
    </w:tbl>
    <w:p>
      <w:pPr>
        <w:pStyle w:val="yFootnotesection"/>
      </w:pPr>
      <w:r>
        <w:tab/>
        <w:t>[Schedule 5 inserted in Gazette 19 Jun 2009 p. 2372.]</w:t>
      </w:r>
    </w:p>
    <w:p>
      <w:pPr>
        <w:pStyle w:val="yScheduleHeading"/>
        <w:outlineLvl w:val="0"/>
      </w:pPr>
      <w:bookmarkStart w:id="605" w:name="_Toc233448453"/>
      <w:bookmarkStart w:id="606" w:name="_Toc233611728"/>
      <w:r>
        <w:rPr>
          <w:rStyle w:val="CharSchNo"/>
        </w:rPr>
        <w:t>Schedule 6</w:t>
      </w:r>
      <w:r>
        <w:t xml:space="preserve"> — </w:t>
      </w:r>
      <w:r>
        <w:rPr>
          <w:rStyle w:val="CharSchText"/>
        </w:rPr>
        <w:t>Formula for calculating AGRV</w:t>
      </w:r>
      <w:bookmarkEnd w:id="474"/>
      <w:bookmarkEnd w:id="475"/>
      <w:bookmarkEnd w:id="476"/>
      <w:bookmarkEnd w:id="477"/>
      <w:bookmarkEnd w:id="478"/>
      <w:bookmarkEnd w:id="479"/>
      <w:bookmarkEnd w:id="539"/>
      <w:bookmarkEnd w:id="540"/>
      <w:bookmarkEnd w:id="541"/>
      <w:bookmarkEnd w:id="542"/>
      <w:bookmarkEnd w:id="543"/>
      <w:bookmarkEnd w:id="544"/>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602"/>
      <w:bookmarkEnd w:id="603"/>
      <w:bookmarkEnd w:id="604"/>
      <w:bookmarkEnd w:id="605"/>
      <w:bookmarkEnd w:id="606"/>
    </w:p>
    <w:p>
      <w:pPr>
        <w:pStyle w:val="yShoulderClause"/>
      </w:pPr>
      <w:r>
        <w:t>[bl. 14(2) and 24(2)]</w:t>
      </w:r>
    </w:p>
    <w:p>
      <w:pPr>
        <w:pStyle w:val="yFootnotesection"/>
      </w:pPr>
      <w:bookmarkStart w:id="607" w:name="_Toc17278766"/>
      <w:r>
        <w:tab/>
        <w:t>[Heading inserted in Gazette 29 Jun 2001 p. 3224.]</w:t>
      </w:r>
    </w:p>
    <w:p>
      <w:pPr>
        <w:pStyle w:val="yHeading5"/>
        <w:outlineLvl w:val="9"/>
      </w:pPr>
      <w:bookmarkStart w:id="608" w:name="_Toc180204903"/>
      <w:bookmarkStart w:id="609" w:name="_Toc233611729"/>
      <w:r>
        <w:t>1.</w:t>
      </w:r>
      <w:r>
        <w:tab/>
      </w:r>
      <w:bookmarkEnd w:id="607"/>
      <w:r>
        <w:t>Term used in this Schedule</w:t>
      </w:r>
      <w:bookmarkEnd w:id="608"/>
      <w:bookmarkEnd w:id="609"/>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outlineLvl w:val="9"/>
      </w:pPr>
      <w:bookmarkStart w:id="610" w:name="_Toc17278767"/>
      <w:bookmarkStart w:id="611" w:name="_Toc180204904"/>
      <w:bookmarkStart w:id="612" w:name="_Toc233611730"/>
      <w:r>
        <w:t>2.</w:t>
      </w:r>
      <w:r>
        <w:tab/>
        <w:t>Formula for calculating AGRV</w:t>
      </w:r>
      <w:bookmarkEnd w:id="610"/>
      <w:bookmarkEnd w:id="611"/>
      <w:bookmarkEnd w:id="612"/>
    </w:p>
    <w:p>
      <w:pPr>
        <w:pStyle w:val="ySubsection"/>
      </w:pPr>
      <w:r>
        <w:tab/>
      </w:r>
      <w:r>
        <w:tab/>
        <w:t>If the relevant general valuation was conducted in the previous year, then —</w:t>
      </w:r>
    </w:p>
    <w:p>
      <w:pPr>
        <w:pStyle w:val="yTable"/>
        <w:tabs>
          <w:tab w:val="left" w:pos="840"/>
        </w:tabs>
        <w:outlineLvl w:val="0"/>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outlineLvl w:val="0"/>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613" w:name="_Toc233448457"/>
      <w:bookmarkStart w:id="614" w:name="_Toc233611731"/>
      <w:bookmarkStart w:id="615" w:name="_Toc202506101"/>
      <w:bookmarkStart w:id="616" w:name="_Toc202672833"/>
      <w:bookmarkStart w:id="617" w:name="_Toc202691796"/>
      <w:bookmarkStart w:id="618" w:name="_Toc139771109"/>
      <w:bookmarkStart w:id="619" w:name="_Toc139771487"/>
      <w:bookmarkStart w:id="620" w:name="_Toc151191702"/>
      <w:bookmarkStart w:id="621" w:name="_Toc151260595"/>
      <w:bookmarkStart w:id="622" w:name="_Toc164158702"/>
      <w:bookmarkStart w:id="623" w:name="_Toc164221074"/>
      <w:r>
        <w:rPr>
          <w:rStyle w:val="CharSchNo"/>
        </w:rPr>
        <w:t>Schedule 7</w:t>
      </w:r>
      <w:r>
        <w:rPr>
          <w:rStyle w:val="CharSDivNo"/>
        </w:rPr>
        <w:t> </w:t>
      </w:r>
      <w:r>
        <w:t>—</w:t>
      </w:r>
      <w:r>
        <w:rPr>
          <w:rStyle w:val="CharSDivText"/>
        </w:rPr>
        <w:t> </w:t>
      </w:r>
      <w:r>
        <w:rPr>
          <w:rStyle w:val="CharSchText"/>
        </w:rPr>
        <w:t>Discounts and additional charges</w:t>
      </w:r>
      <w:bookmarkEnd w:id="613"/>
      <w:bookmarkEnd w:id="614"/>
    </w:p>
    <w:p>
      <w:pPr>
        <w:pStyle w:val="yShoulderClause"/>
      </w:pPr>
      <w:r>
        <w:t>[bl. 7, 8, 8A and 9]</w:t>
      </w:r>
    </w:p>
    <w:p>
      <w:pPr>
        <w:pStyle w:val="yFootnoteheading"/>
        <w:spacing w:after="120"/>
      </w:pPr>
      <w:r>
        <w:tab/>
        <w:t>[Heading inserted in Gazette 19 Jun 2009 p. 2373.]</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rStyle w:val="CharSClsNo"/>
                <w:b/>
                <w:bCs/>
              </w:rPr>
            </w:pPr>
            <w:r>
              <w:rPr>
                <w:rStyle w:val="CharSClsNo"/>
                <w:b/>
                <w:bCs/>
              </w:rPr>
              <w:t>1.</w:t>
            </w:r>
          </w:p>
        </w:tc>
        <w:tc>
          <w:tcPr>
            <w:tcW w:w="5670" w:type="dxa"/>
            <w:gridSpan w:val="2"/>
          </w:tcPr>
          <w:p>
            <w:pPr>
              <w:pStyle w:val="yTableNAm"/>
              <w:rPr>
                <w:b/>
                <w:bCs/>
              </w:rPr>
            </w:pPr>
            <w:r>
              <w:rPr>
                <w:b/>
                <w:bCs/>
              </w:rPr>
              <w:t>Discount</w:t>
            </w:r>
          </w:p>
        </w:tc>
      </w:tr>
      <w:tr>
        <w:tc>
          <w:tcPr>
            <w:tcW w:w="850" w:type="dxa"/>
          </w:tcPr>
          <w:p>
            <w:pPr>
              <w:pStyle w:val="yTableNAm"/>
              <w:rPr>
                <w:rStyle w:val="CharSClsNo"/>
              </w:rPr>
            </w:pPr>
          </w:p>
        </w:tc>
        <w:tc>
          <w:tcPr>
            <w:tcW w:w="4235" w:type="dxa"/>
          </w:tcPr>
          <w:p>
            <w:pPr>
              <w:pStyle w:val="yTableNAm"/>
            </w:pPr>
            <w:r>
              <w:t>By</w:t>
            </w:r>
            <w:r>
              <w:noBreakHyphen/>
              <w:t>law 7(4)(a)(i) ............................................</w:t>
            </w:r>
          </w:p>
        </w:tc>
        <w:tc>
          <w:tcPr>
            <w:tcW w:w="1435" w:type="dxa"/>
          </w:tcPr>
          <w:p>
            <w:pPr>
              <w:pStyle w:val="yTableNAm"/>
            </w:pPr>
            <w:r>
              <w:t>$1.50</w:t>
            </w:r>
          </w:p>
        </w:tc>
      </w:tr>
      <w:tr>
        <w:tc>
          <w:tcPr>
            <w:tcW w:w="850" w:type="dxa"/>
          </w:tcPr>
          <w:p>
            <w:pPr>
              <w:pStyle w:val="yTableNAm"/>
              <w:rPr>
                <w:rStyle w:val="CharSClsNo"/>
                <w:b/>
                <w:bCs/>
              </w:rPr>
            </w:pPr>
            <w:r>
              <w:rPr>
                <w:b/>
                <w:bCs/>
              </w:rPr>
              <w:t>2.</w:t>
            </w:r>
          </w:p>
        </w:tc>
        <w:tc>
          <w:tcPr>
            <w:tcW w:w="4235" w:type="dxa"/>
          </w:tcPr>
          <w:p>
            <w:pPr>
              <w:pStyle w:val="yTableNAm"/>
              <w:rPr>
                <w:b/>
                <w:bCs/>
              </w:rPr>
            </w:pPr>
            <w:r>
              <w:rPr>
                <w:b/>
                <w:bCs/>
              </w:rPr>
              <w:t>Additional charges</w:t>
            </w:r>
          </w:p>
        </w:tc>
        <w:tc>
          <w:tcPr>
            <w:tcW w:w="1435" w:type="dxa"/>
          </w:tcPr>
          <w:p>
            <w:pPr>
              <w:pStyle w:val="yTableNAm"/>
              <w:rPr>
                <w:b/>
                <w:bCs/>
              </w:rPr>
            </w:pPr>
          </w:p>
        </w:tc>
      </w:tr>
      <w:tr>
        <w:tc>
          <w:tcPr>
            <w:tcW w:w="850" w:type="dxa"/>
          </w:tcPr>
          <w:p>
            <w:pPr>
              <w:pStyle w:val="yTableNAm"/>
              <w:rPr>
                <w:rStyle w:val="CharSClsNo"/>
              </w:rPr>
            </w:pPr>
          </w:p>
        </w:tc>
        <w:tc>
          <w:tcPr>
            <w:tcW w:w="4235" w:type="dxa"/>
          </w:tcPr>
          <w:p>
            <w:pPr>
              <w:pStyle w:val="yTableNAm"/>
            </w:pPr>
            <w:r>
              <w:t>By</w:t>
            </w:r>
            <w:r>
              <w:noBreakHyphen/>
              <w:t>law 7(4)(b)(i) ............................................</w:t>
            </w:r>
          </w:p>
        </w:tc>
        <w:tc>
          <w:tcPr>
            <w:tcW w:w="1435" w:type="dxa"/>
          </w:tcPr>
          <w:p>
            <w:pPr>
              <w:pStyle w:val="yTableNAm"/>
            </w:pPr>
            <w:r>
              <w:t>$3.00</w:t>
            </w:r>
          </w:p>
        </w:tc>
      </w:tr>
      <w:tr>
        <w:tc>
          <w:tcPr>
            <w:tcW w:w="850" w:type="dxa"/>
          </w:tcPr>
          <w:p>
            <w:pPr>
              <w:pStyle w:val="yTableNAm"/>
              <w:rPr>
                <w:rStyle w:val="CharSClsNo"/>
                <w:b/>
                <w:bCs/>
              </w:rPr>
            </w:pPr>
            <w:r>
              <w:rPr>
                <w:b/>
                <w:bCs/>
              </w:rPr>
              <w:t>3.</w:t>
            </w:r>
          </w:p>
        </w:tc>
        <w:tc>
          <w:tcPr>
            <w:tcW w:w="4235" w:type="dxa"/>
          </w:tcPr>
          <w:p>
            <w:pPr>
              <w:pStyle w:val="yTableNAm"/>
              <w:rPr>
                <w:b/>
                <w:bCs/>
              </w:rPr>
            </w:pPr>
            <w:r>
              <w:rPr>
                <w:b/>
                <w:bCs/>
              </w:rPr>
              <w:t>Rates of interest</w:t>
            </w:r>
          </w:p>
        </w:tc>
        <w:tc>
          <w:tcPr>
            <w:tcW w:w="1435" w:type="dxa"/>
          </w:tcPr>
          <w:p>
            <w:pPr>
              <w:pStyle w:val="yTableNAm"/>
              <w:rPr>
                <w:b/>
                <w:bCs/>
              </w:rPr>
            </w:pPr>
          </w:p>
        </w:tc>
      </w:tr>
      <w:tr>
        <w:tc>
          <w:tcPr>
            <w:tcW w:w="850" w:type="dxa"/>
          </w:tcPr>
          <w:p>
            <w:pPr>
              <w:pStyle w:val="yTableNAm"/>
              <w:rPr>
                <w:rStyle w:val="CharSClsNo"/>
              </w:rPr>
            </w:pPr>
          </w:p>
        </w:tc>
        <w:tc>
          <w:tcPr>
            <w:tcW w:w="4235" w:type="dxa"/>
          </w:tcPr>
          <w:p>
            <w:pPr>
              <w:pStyle w:val="yTableNAm"/>
            </w:pPr>
            <w:r>
              <w:t>By</w:t>
            </w:r>
            <w:r>
              <w:noBreakHyphen/>
              <w:t>law 7(4)(a)(ii) ...........................................</w:t>
            </w:r>
          </w:p>
        </w:tc>
        <w:tc>
          <w:tcPr>
            <w:tcW w:w="1435" w:type="dxa"/>
          </w:tcPr>
          <w:p>
            <w:pPr>
              <w:pStyle w:val="yTableNAm"/>
            </w:pPr>
            <w:r>
              <w:t>2.46% per annum</w:t>
            </w:r>
          </w:p>
        </w:tc>
      </w:tr>
      <w:tr>
        <w:tc>
          <w:tcPr>
            <w:tcW w:w="850" w:type="dxa"/>
          </w:tcPr>
          <w:p>
            <w:pPr>
              <w:pStyle w:val="yTableNAm"/>
              <w:rPr>
                <w:rStyle w:val="CharSClsNo"/>
              </w:rPr>
            </w:pPr>
          </w:p>
        </w:tc>
        <w:tc>
          <w:tcPr>
            <w:tcW w:w="4235" w:type="dxa"/>
          </w:tcPr>
          <w:p>
            <w:pPr>
              <w:pStyle w:val="yTableNAm"/>
            </w:pPr>
            <w:r>
              <w:t>By</w:t>
            </w:r>
            <w:r>
              <w:noBreakHyphen/>
              <w:t>law 7(4)(b)(ii) ...........................................</w:t>
            </w:r>
          </w:p>
        </w:tc>
        <w:tc>
          <w:tcPr>
            <w:tcW w:w="1435" w:type="dxa"/>
          </w:tcPr>
          <w:p>
            <w:pPr>
              <w:pStyle w:val="yTableNAm"/>
            </w:pPr>
            <w:r>
              <w:t>3.46% per annum</w:t>
            </w:r>
          </w:p>
        </w:tc>
      </w:tr>
      <w:tr>
        <w:tc>
          <w:tcPr>
            <w:tcW w:w="850" w:type="dxa"/>
          </w:tcPr>
          <w:p>
            <w:pPr>
              <w:pStyle w:val="yTableNAm"/>
              <w:rPr>
                <w:rStyle w:val="CharSClsNo"/>
                <w:b/>
                <w:bCs/>
              </w:rPr>
            </w:pPr>
            <w:r>
              <w:rPr>
                <w:b/>
                <w:bCs/>
              </w:rPr>
              <w:t>4.</w:t>
            </w:r>
          </w:p>
        </w:tc>
        <w:tc>
          <w:tcPr>
            <w:tcW w:w="4235" w:type="dxa"/>
          </w:tcPr>
          <w:p>
            <w:pPr>
              <w:pStyle w:val="yTableNAm"/>
              <w:rPr>
                <w:b/>
                <w:bCs/>
              </w:rPr>
            </w:pPr>
            <w:r>
              <w:rPr>
                <w:b/>
                <w:bCs/>
              </w:rPr>
              <w:t>Concession (by</w:t>
            </w:r>
            <w:r>
              <w:rPr>
                <w:b/>
                <w:bCs/>
              </w:rPr>
              <w:noBreakHyphen/>
              <w:t>law 8A(2))</w:t>
            </w:r>
          </w:p>
        </w:tc>
        <w:tc>
          <w:tcPr>
            <w:tcW w:w="1435" w:type="dxa"/>
          </w:tcPr>
          <w:p>
            <w:pPr>
              <w:pStyle w:val="yTableNAm"/>
              <w:rPr>
                <w:b/>
                <w:bCs/>
              </w:rPr>
            </w:pPr>
          </w:p>
        </w:tc>
      </w:tr>
      <w:tr>
        <w:tc>
          <w:tcPr>
            <w:tcW w:w="850" w:type="dxa"/>
          </w:tcPr>
          <w:p>
            <w:pPr>
              <w:pStyle w:val="yTableNAm"/>
            </w:pPr>
          </w:p>
        </w:tc>
        <w:tc>
          <w:tcPr>
            <w:tcW w:w="4235" w:type="dxa"/>
          </w:tcPr>
          <w:p>
            <w:pPr>
              <w:pStyle w:val="yTableNAm"/>
            </w:pPr>
            <w:r>
              <w:t>Charge for water supply .................................</w:t>
            </w:r>
          </w:p>
        </w:tc>
        <w:tc>
          <w:tcPr>
            <w:tcW w:w="1435" w:type="dxa"/>
          </w:tcPr>
          <w:p>
            <w:pPr>
              <w:pStyle w:val="yTableNAm"/>
            </w:pPr>
            <w:r>
              <w:t>$82.30</w:t>
            </w:r>
          </w:p>
        </w:tc>
      </w:tr>
      <w:tr>
        <w:tc>
          <w:tcPr>
            <w:tcW w:w="850" w:type="dxa"/>
          </w:tcPr>
          <w:p>
            <w:pPr>
              <w:pStyle w:val="yTableNAm"/>
            </w:pPr>
          </w:p>
        </w:tc>
        <w:tc>
          <w:tcPr>
            <w:tcW w:w="4235" w:type="dxa"/>
          </w:tcPr>
          <w:p>
            <w:pPr>
              <w:pStyle w:val="yTableNAm"/>
            </w:pPr>
            <w:r>
              <w:t>Charge for sewerage ......................................</w:t>
            </w:r>
          </w:p>
        </w:tc>
        <w:tc>
          <w:tcPr>
            <w:tcW w:w="1435" w:type="dxa"/>
          </w:tcPr>
          <w:p>
            <w:pPr>
              <w:pStyle w:val="yTableNAm"/>
            </w:pPr>
            <w:r>
              <w:t>$162.75</w:t>
            </w:r>
          </w:p>
        </w:tc>
      </w:tr>
      <w:tr>
        <w:tc>
          <w:tcPr>
            <w:tcW w:w="850" w:type="dxa"/>
          </w:tcPr>
          <w:p>
            <w:pPr>
              <w:pStyle w:val="yTableNAm"/>
            </w:pPr>
          </w:p>
        </w:tc>
        <w:tc>
          <w:tcPr>
            <w:tcW w:w="4235" w:type="dxa"/>
          </w:tcPr>
          <w:p>
            <w:pPr>
              <w:pStyle w:val="yTableNAm"/>
            </w:pPr>
            <w:r>
              <w:t>Charge for drainage ........................................</w:t>
            </w:r>
          </w:p>
        </w:tc>
        <w:tc>
          <w:tcPr>
            <w:tcW w:w="1435" w:type="dxa"/>
          </w:tcPr>
          <w:p>
            <w:pPr>
              <w:pStyle w:val="yTableNAm"/>
            </w:pPr>
            <w:r>
              <w:t>$17.55</w:t>
            </w:r>
          </w:p>
        </w:tc>
      </w:tr>
      <w:tr>
        <w:tc>
          <w:tcPr>
            <w:tcW w:w="850" w:type="dxa"/>
          </w:tcPr>
          <w:p>
            <w:pPr>
              <w:pStyle w:val="yTableNAm"/>
              <w:rPr>
                <w:b/>
                <w:bCs/>
              </w:rPr>
            </w:pPr>
            <w:r>
              <w:rPr>
                <w:b/>
                <w:bCs/>
              </w:rPr>
              <w:t>5.</w:t>
            </w:r>
          </w:p>
        </w:tc>
        <w:tc>
          <w:tcPr>
            <w:tcW w:w="4235" w:type="dxa"/>
          </w:tcPr>
          <w:p>
            <w:pPr>
              <w:pStyle w:val="yTableNAm"/>
              <w:rPr>
                <w:b/>
                <w:bCs/>
              </w:rPr>
            </w:pPr>
            <w:r>
              <w:rPr>
                <w:b/>
                <w:bCs/>
              </w:rPr>
              <w:t>Interest on overdue amounts (by</w:t>
            </w:r>
            <w:r>
              <w:rPr>
                <w:b/>
                <w:bCs/>
              </w:rPr>
              <w:noBreakHyphen/>
              <w:t>law 9)</w:t>
            </w:r>
          </w:p>
        </w:tc>
        <w:tc>
          <w:tcPr>
            <w:tcW w:w="1435" w:type="dxa"/>
          </w:tcPr>
          <w:p>
            <w:pPr>
              <w:pStyle w:val="yTableNAm"/>
              <w:rPr>
                <w:b/>
                <w:bCs/>
              </w:rPr>
            </w:pPr>
          </w:p>
        </w:tc>
      </w:tr>
      <w:tr>
        <w:tc>
          <w:tcPr>
            <w:tcW w:w="850" w:type="dxa"/>
          </w:tcPr>
          <w:p>
            <w:pPr>
              <w:pStyle w:val="yTableNAm"/>
            </w:pPr>
          </w:p>
        </w:tc>
        <w:tc>
          <w:tcPr>
            <w:tcW w:w="4235" w:type="dxa"/>
          </w:tcPr>
          <w:p>
            <w:pPr>
              <w:pStyle w:val="yTableNAm"/>
            </w:pPr>
            <w:r>
              <w:t>Interest on overdue amounts (by</w:t>
            </w:r>
            <w:r>
              <w:noBreakHyphen/>
              <w:t>law 9) ........</w:t>
            </w:r>
          </w:p>
        </w:tc>
        <w:tc>
          <w:tcPr>
            <w:tcW w:w="1435" w:type="dxa"/>
          </w:tcPr>
          <w:p>
            <w:pPr>
              <w:pStyle w:val="yTableNAm"/>
            </w:pPr>
            <w:r>
              <w:t>14.51% per annum</w:t>
            </w:r>
          </w:p>
        </w:tc>
      </w:tr>
    </w:tbl>
    <w:p>
      <w:pPr>
        <w:pStyle w:val="yFootnotesection"/>
      </w:pPr>
      <w:r>
        <w:tab/>
        <w:t>[Schedule 7 inserted in Gazette 19 Jun 2009 p. 2373.]</w:t>
      </w:r>
    </w:p>
    <w:p>
      <w:pPr>
        <w:pStyle w:val="yScheduleHeading"/>
      </w:pPr>
      <w:bookmarkStart w:id="624" w:name="_Toc233448460"/>
      <w:bookmarkStart w:id="625" w:name="_Toc233611732"/>
      <w:bookmarkEnd w:id="615"/>
      <w:bookmarkEnd w:id="616"/>
      <w:bookmarkEnd w:id="617"/>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624"/>
      <w:bookmarkEnd w:id="625"/>
    </w:p>
    <w:p>
      <w:pPr>
        <w:pStyle w:val="yShoulderClause"/>
      </w:pPr>
      <w:r>
        <w:t>[bl. 8B]</w:t>
      </w:r>
    </w:p>
    <w:p>
      <w:pPr>
        <w:pStyle w:val="yFootnoteheading"/>
        <w:spacing w:after="120"/>
      </w:pPr>
      <w:r>
        <w:tab/>
        <w:t>[Heading inserted in Gazette 19 Jun 2009 p. 2373.]</w:t>
      </w:r>
    </w:p>
    <w:p>
      <w:pPr>
        <w:pStyle w:val="yHeading5"/>
      </w:pPr>
      <w:bookmarkStart w:id="626" w:name="_Toc233611733"/>
      <w:r>
        <w:t>1.</w:t>
      </w:r>
      <w:r>
        <w:tab/>
        <w:t>Annual charge (based on meter size)</w:t>
      </w:r>
      <w:bookmarkEnd w:id="626"/>
    </w:p>
    <w:p>
      <w:pPr>
        <w:pStyle w:val="ySubsection"/>
      </w:pPr>
    </w:p>
    <w:tbl>
      <w:tblPr>
        <w:tblW w:w="0" w:type="auto"/>
        <w:tblInd w:w="1166" w:type="dxa"/>
        <w:tblLayout w:type="fixed"/>
        <w:tblCellMar>
          <w:left w:w="284" w:type="dxa"/>
          <w:right w:w="284" w:type="dxa"/>
        </w:tblCellMar>
        <w:tblLook w:val="0000" w:firstRow="0" w:lastRow="0" w:firstColumn="0" w:lastColumn="0" w:noHBand="0" w:noVBand="0"/>
      </w:tblPr>
      <w:tblGrid>
        <w:gridCol w:w="3032"/>
        <w:gridCol w:w="3032"/>
      </w:tblGrid>
      <w:tr>
        <w:trPr>
          <w:cantSplit/>
          <w:tblHeader/>
        </w:trPr>
        <w:tc>
          <w:tcPr>
            <w:tcW w:w="3032"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32"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trPr>
        <w:tc>
          <w:tcPr>
            <w:tcW w:w="3032" w:type="dxa"/>
          </w:tcPr>
          <w:p>
            <w:pPr>
              <w:pStyle w:val="yTableNAm"/>
              <w:jc w:val="center"/>
              <w:rPr>
                <w:spacing w:val="-2"/>
              </w:rPr>
            </w:pPr>
            <w:r>
              <w:rPr>
                <w:spacing w:val="-2"/>
              </w:rPr>
              <w:t>20 or less</w:t>
            </w:r>
          </w:p>
        </w:tc>
        <w:tc>
          <w:tcPr>
            <w:tcW w:w="3032" w:type="dxa"/>
          </w:tcPr>
          <w:p>
            <w:pPr>
              <w:pStyle w:val="yTableNAm"/>
              <w:jc w:val="center"/>
              <w:rPr>
                <w:spacing w:val="-2"/>
              </w:rPr>
            </w:pPr>
            <w:r>
              <w:rPr>
                <w:spacing w:val="-2"/>
              </w:rPr>
              <w:t>463.80</w:t>
            </w:r>
          </w:p>
        </w:tc>
      </w:tr>
      <w:tr>
        <w:trPr>
          <w:cantSplit/>
        </w:trPr>
        <w:tc>
          <w:tcPr>
            <w:tcW w:w="3032" w:type="dxa"/>
          </w:tcPr>
          <w:p>
            <w:pPr>
              <w:pStyle w:val="yTableNAm"/>
              <w:jc w:val="center"/>
              <w:rPr>
                <w:spacing w:val="-2"/>
              </w:rPr>
            </w:pPr>
            <w:r>
              <w:rPr>
                <w:spacing w:val="-2"/>
              </w:rPr>
              <w:t>25</w:t>
            </w:r>
          </w:p>
        </w:tc>
        <w:tc>
          <w:tcPr>
            <w:tcW w:w="3032" w:type="dxa"/>
          </w:tcPr>
          <w:p>
            <w:pPr>
              <w:pStyle w:val="yTableNAm"/>
              <w:jc w:val="center"/>
              <w:rPr>
                <w:spacing w:val="-2"/>
              </w:rPr>
            </w:pPr>
            <w:r>
              <w:rPr>
                <w:spacing w:val="-2"/>
              </w:rPr>
              <w:t>724.80</w:t>
            </w:r>
          </w:p>
        </w:tc>
      </w:tr>
      <w:tr>
        <w:trPr>
          <w:cantSplit/>
        </w:trPr>
        <w:tc>
          <w:tcPr>
            <w:tcW w:w="3032" w:type="dxa"/>
          </w:tcPr>
          <w:p>
            <w:pPr>
              <w:pStyle w:val="yTableNAm"/>
              <w:jc w:val="center"/>
              <w:rPr>
                <w:spacing w:val="-2"/>
              </w:rPr>
            </w:pPr>
            <w:r>
              <w:rPr>
                <w:spacing w:val="-2"/>
              </w:rPr>
              <w:t>30</w:t>
            </w:r>
          </w:p>
        </w:tc>
        <w:tc>
          <w:tcPr>
            <w:tcW w:w="3032" w:type="dxa"/>
          </w:tcPr>
          <w:p>
            <w:pPr>
              <w:pStyle w:val="yTableNAm"/>
              <w:jc w:val="center"/>
              <w:rPr>
                <w:spacing w:val="-2"/>
              </w:rPr>
            </w:pPr>
            <w:r>
              <w:rPr>
                <w:spacing w:val="-2"/>
              </w:rPr>
              <w:t>1 044.00</w:t>
            </w:r>
          </w:p>
        </w:tc>
      </w:tr>
      <w:tr>
        <w:trPr>
          <w:cantSplit/>
        </w:trPr>
        <w:tc>
          <w:tcPr>
            <w:tcW w:w="3032" w:type="dxa"/>
          </w:tcPr>
          <w:p>
            <w:pPr>
              <w:pStyle w:val="yTableNAm"/>
              <w:jc w:val="center"/>
              <w:rPr>
                <w:spacing w:val="-2"/>
              </w:rPr>
            </w:pPr>
            <w:r>
              <w:rPr>
                <w:spacing w:val="-2"/>
              </w:rPr>
              <w:t>40</w:t>
            </w:r>
          </w:p>
        </w:tc>
        <w:tc>
          <w:tcPr>
            <w:tcW w:w="3032" w:type="dxa"/>
          </w:tcPr>
          <w:p>
            <w:pPr>
              <w:pStyle w:val="yTableNAm"/>
              <w:jc w:val="center"/>
              <w:rPr>
                <w:spacing w:val="-2"/>
              </w:rPr>
            </w:pPr>
            <w:r>
              <w:rPr>
                <w:spacing w:val="-2"/>
              </w:rPr>
              <w:t>1 855.00</w:t>
            </w:r>
          </w:p>
        </w:tc>
      </w:tr>
      <w:tr>
        <w:trPr>
          <w:cantSplit/>
        </w:trPr>
        <w:tc>
          <w:tcPr>
            <w:tcW w:w="3032" w:type="dxa"/>
          </w:tcPr>
          <w:p>
            <w:pPr>
              <w:pStyle w:val="yTableNAm"/>
              <w:jc w:val="center"/>
              <w:rPr>
                <w:spacing w:val="-2"/>
              </w:rPr>
            </w:pPr>
            <w:r>
              <w:rPr>
                <w:spacing w:val="-2"/>
              </w:rPr>
              <w:t>50</w:t>
            </w:r>
          </w:p>
        </w:tc>
        <w:tc>
          <w:tcPr>
            <w:tcW w:w="3032" w:type="dxa"/>
          </w:tcPr>
          <w:p>
            <w:pPr>
              <w:pStyle w:val="yTableNAm"/>
              <w:jc w:val="center"/>
              <w:rPr>
                <w:spacing w:val="-2"/>
              </w:rPr>
            </w:pPr>
            <w:r>
              <w:rPr>
                <w:spacing w:val="-2"/>
              </w:rPr>
              <w:t>2 899.00</w:t>
            </w:r>
          </w:p>
        </w:tc>
      </w:tr>
      <w:tr>
        <w:trPr>
          <w:cantSplit/>
        </w:trPr>
        <w:tc>
          <w:tcPr>
            <w:tcW w:w="3032" w:type="dxa"/>
          </w:tcPr>
          <w:p>
            <w:pPr>
              <w:pStyle w:val="yTableNAm"/>
              <w:jc w:val="center"/>
              <w:rPr>
                <w:spacing w:val="-2"/>
              </w:rPr>
            </w:pPr>
            <w:r>
              <w:rPr>
                <w:spacing w:val="-2"/>
              </w:rPr>
              <w:t>70</w:t>
            </w:r>
          </w:p>
        </w:tc>
        <w:tc>
          <w:tcPr>
            <w:tcW w:w="3032" w:type="dxa"/>
          </w:tcPr>
          <w:p>
            <w:pPr>
              <w:pStyle w:val="yTableNAm"/>
              <w:jc w:val="center"/>
              <w:rPr>
                <w:spacing w:val="-2"/>
              </w:rPr>
            </w:pPr>
            <w:r>
              <w:rPr>
                <w:spacing w:val="-2"/>
              </w:rPr>
              <w:t>7 422.00</w:t>
            </w:r>
          </w:p>
        </w:tc>
      </w:tr>
      <w:tr>
        <w:trPr>
          <w:cantSplit/>
        </w:trPr>
        <w:tc>
          <w:tcPr>
            <w:tcW w:w="3032" w:type="dxa"/>
          </w:tcPr>
          <w:p>
            <w:pPr>
              <w:pStyle w:val="yTableNAm"/>
              <w:jc w:val="center"/>
              <w:rPr>
                <w:spacing w:val="-2"/>
              </w:rPr>
            </w:pPr>
            <w:r>
              <w:rPr>
                <w:spacing w:val="-2"/>
              </w:rPr>
              <w:t>75</w:t>
            </w:r>
          </w:p>
        </w:tc>
        <w:tc>
          <w:tcPr>
            <w:tcW w:w="3032" w:type="dxa"/>
          </w:tcPr>
          <w:p>
            <w:pPr>
              <w:pStyle w:val="yTableNAm"/>
              <w:jc w:val="center"/>
              <w:rPr>
                <w:spacing w:val="-2"/>
              </w:rPr>
            </w:pPr>
            <w:r>
              <w:rPr>
                <w:spacing w:val="-2"/>
              </w:rPr>
              <w:t>7 422.00</w:t>
            </w:r>
          </w:p>
        </w:tc>
      </w:tr>
      <w:tr>
        <w:trPr>
          <w:cantSplit/>
        </w:trPr>
        <w:tc>
          <w:tcPr>
            <w:tcW w:w="3032" w:type="dxa"/>
          </w:tcPr>
          <w:p>
            <w:pPr>
              <w:pStyle w:val="yTableNAm"/>
              <w:jc w:val="center"/>
              <w:rPr>
                <w:spacing w:val="-2"/>
              </w:rPr>
            </w:pPr>
            <w:r>
              <w:rPr>
                <w:spacing w:val="-2"/>
              </w:rPr>
              <w:t>80</w:t>
            </w:r>
          </w:p>
        </w:tc>
        <w:tc>
          <w:tcPr>
            <w:tcW w:w="3032" w:type="dxa"/>
          </w:tcPr>
          <w:p>
            <w:pPr>
              <w:pStyle w:val="yTableNAm"/>
              <w:jc w:val="center"/>
              <w:rPr>
                <w:spacing w:val="-2"/>
              </w:rPr>
            </w:pPr>
            <w:r>
              <w:rPr>
                <w:spacing w:val="-2"/>
              </w:rPr>
              <w:t>7 422.00</w:t>
            </w:r>
          </w:p>
        </w:tc>
      </w:tr>
      <w:tr>
        <w:trPr>
          <w:cantSplit/>
        </w:trPr>
        <w:tc>
          <w:tcPr>
            <w:tcW w:w="3032" w:type="dxa"/>
          </w:tcPr>
          <w:p>
            <w:pPr>
              <w:pStyle w:val="yTableNAm"/>
              <w:jc w:val="center"/>
              <w:rPr>
                <w:spacing w:val="-2"/>
              </w:rPr>
            </w:pPr>
            <w:r>
              <w:rPr>
                <w:spacing w:val="-2"/>
              </w:rPr>
              <w:t>100</w:t>
            </w:r>
          </w:p>
        </w:tc>
        <w:tc>
          <w:tcPr>
            <w:tcW w:w="3032" w:type="dxa"/>
          </w:tcPr>
          <w:p>
            <w:pPr>
              <w:pStyle w:val="yTableNAm"/>
              <w:jc w:val="center"/>
              <w:rPr>
                <w:spacing w:val="-2"/>
              </w:rPr>
            </w:pPr>
            <w:r>
              <w:rPr>
                <w:spacing w:val="-2"/>
              </w:rPr>
              <w:t>11 596.00</w:t>
            </w:r>
          </w:p>
        </w:tc>
      </w:tr>
      <w:tr>
        <w:trPr>
          <w:cantSplit/>
        </w:trPr>
        <w:tc>
          <w:tcPr>
            <w:tcW w:w="3032" w:type="dxa"/>
          </w:tcPr>
          <w:p>
            <w:pPr>
              <w:pStyle w:val="yTableNAm"/>
              <w:jc w:val="center"/>
              <w:rPr>
                <w:spacing w:val="-2"/>
              </w:rPr>
            </w:pPr>
            <w:r>
              <w:rPr>
                <w:spacing w:val="-2"/>
              </w:rPr>
              <w:t>140</w:t>
            </w:r>
          </w:p>
        </w:tc>
        <w:tc>
          <w:tcPr>
            <w:tcW w:w="3032" w:type="dxa"/>
          </w:tcPr>
          <w:p>
            <w:pPr>
              <w:pStyle w:val="yTableNAm"/>
              <w:jc w:val="center"/>
              <w:rPr>
                <w:spacing w:val="-2"/>
              </w:rPr>
            </w:pPr>
            <w:r>
              <w:rPr>
                <w:spacing w:val="-2"/>
              </w:rPr>
              <w:t>26 091.00</w:t>
            </w:r>
          </w:p>
        </w:tc>
      </w:tr>
      <w:tr>
        <w:trPr>
          <w:cantSplit/>
        </w:trPr>
        <w:tc>
          <w:tcPr>
            <w:tcW w:w="3032" w:type="dxa"/>
          </w:tcPr>
          <w:p>
            <w:pPr>
              <w:pStyle w:val="yTableNAm"/>
              <w:jc w:val="center"/>
              <w:rPr>
                <w:spacing w:val="-2"/>
              </w:rPr>
            </w:pPr>
            <w:r>
              <w:rPr>
                <w:spacing w:val="-2"/>
              </w:rPr>
              <w:t>150</w:t>
            </w:r>
          </w:p>
        </w:tc>
        <w:tc>
          <w:tcPr>
            <w:tcW w:w="3032" w:type="dxa"/>
          </w:tcPr>
          <w:p>
            <w:pPr>
              <w:pStyle w:val="yTableNAm"/>
              <w:jc w:val="center"/>
              <w:rPr>
                <w:spacing w:val="-2"/>
              </w:rPr>
            </w:pPr>
            <w:r>
              <w:rPr>
                <w:spacing w:val="-2"/>
              </w:rPr>
              <w:t>26 091.00</w:t>
            </w:r>
          </w:p>
        </w:tc>
      </w:tr>
      <w:tr>
        <w:trPr>
          <w:cantSplit/>
        </w:trPr>
        <w:tc>
          <w:tcPr>
            <w:tcW w:w="3032" w:type="dxa"/>
          </w:tcPr>
          <w:p>
            <w:pPr>
              <w:pStyle w:val="yTableNAm"/>
              <w:jc w:val="center"/>
              <w:rPr>
                <w:spacing w:val="-2"/>
              </w:rPr>
            </w:pPr>
            <w:r>
              <w:rPr>
                <w:spacing w:val="-2"/>
              </w:rPr>
              <w:t>200</w:t>
            </w:r>
          </w:p>
        </w:tc>
        <w:tc>
          <w:tcPr>
            <w:tcW w:w="3032" w:type="dxa"/>
          </w:tcPr>
          <w:p>
            <w:pPr>
              <w:pStyle w:val="yTableNAm"/>
              <w:jc w:val="center"/>
              <w:rPr>
                <w:spacing w:val="-2"/>
              </w:rPr>
            </w:pPr>
            <w:r>
              <w:rPr>
                <w:spacing w:val="-2"/>
              </w:rPr>
              <w:t>46 385.00</w:t>
            </w:r>
          </w:p>
        </w:tc>
      </w:tr>
      <w:tr>
        <w:trPr>
          <w:cantSplit/>
        </w:trPr>
        <w:tc>
          <w:tcPr>
            <w:tcW w:w="3032" w:type="dxa"/>
          </w:tcPr>
          <w:p>
            <w:pPr>
              <w:pStyle w:val="yTableNAm"/>
              <w:jc w:val="center"/>
              <w:rPr>
                <w:spacing w:val="-2"/>
              </w:rPr>
            </w:pPr>
            <w:r>
              <w:rPr>
                <w:spacing w:val="-2"/>
              </w:rPr>
              <w:t>250</w:t>
            </w:r>
          </w:p>
        </w:tc>
        <w:tc>
          <w:tcPr>
            <w:tcW w:w="3032" w:type="dxa"/>
          </w:tcPr>
          <w:p>
            <w:pPr>
              <w:pStyle w:val="yTableNAm"/>
              <w:jc w:val="center"/>
              <w:rPr>
                <w:spacing w:val="-2"/>
              </w:rPr>
            </w:pPr>
            <w:r>
              <w:rPr>
                <w:spacing w:val="-2"/>
              </w:rPr>
              <w:t>72 476.00</w:t>
            </w:r>
          </w:p>
        </w:tc>
      </w:tr>
      <w:tr>
        <w:trPr>
          <w:cantSplit/>
        </w:trPr>
        <w:tc>
          <w:tcPr>
            <w:tcW w:w="3032" w:type="dxa"/>
          </w:tcPr>
          <w:p>
            <w:pPr>
              <w:pStyle w:val="yTableNAm"/>
              <w:jc w:val="center"/>
              <w:rPr>
                <w:spacing w:val="-2"/>
              </w:rPr>
            </w:pPr>
            <w:r>
              <w:rPr>
                <w:spacing w:val="-2"/>
              </w:rPr>
              <w:t>300</w:t>
            </w:r>
          </w:p>
        </w:tc>
        <w:tc>
          <w:tcPr>
            <w:tcW w:w="3032" w:type="dxa"/>
          </w:tcPr>
          <w:p>
            <w:pPr>
              <w:pStyle w:val="yTableNAm"/>
              <w:jc w:val="center"/>
              <w:rPr>
                <w:spacing w:val="-2"/>
              </w:rPr>
            </w:pPr>
            <w:r>
              <w:rPr>
                <w:spacing w:val="-2"/>
              </w:rPr>
              <w:t>104 366.00</w:t>
            </w:r>
          </w:p>
        </w:tc>
      </w:tr>
      <w:tr>
        <w:trPr>
          <w:cantSplit/>
        </w:trPr>
        <w:tc>
          <w:tcPr>
            <w:tcW w:w="3032" w:type="dxa"/>
          </w:tcPr>
          <w:p>
            <w:pPr>
              <w:pStyle w:val="yTableNAm"/>
              <w:jc w:val="center"/>
              <w:rPr>
                <w:spacing w:val="-2"/>
              </w:rPr>
            </w:pPr>
            <w:r>
              <w:rPr>
                <w:spacing w:val="-2"/>
              </w:rPr>
              <w:t>350</w:t>
            </w:r>
          </w:p>
        </w:tc>
        <w:tc>
          <w:tcPr>
            <w:tcW w:w="3032" w:type="dxa"/>
          </w:tcPr>
          <w:p>
            <w:pPr>
              <w:pStyle w:val="yTableNAm"/>
              <w:jc w:val="center"/>
              <w:rPr>
                <w:spacing w:val="-2"/>
              </w:rPr>
            </w:pPr>
            <w:r>
              <w:rPr>
                <w:spacing w:val="-2"/>
              </w:rPr>
              <w:t>142 053.00</w:t>
            </w:r>
          </w:p>
        </w:tc>
      </w:tr>
      <w:tr>
        <w:tblPrEx>
          <w:tblCellMar>
            <w:left w:w="142" w:type="dxa"/>
            <w:right w:w="142" w:type="dxa"/>
          </w:tblCellMar>
        </w:tblPrEx>
        <w:trPr>
          <w:cantSplit/>
        </w:trPr>
        <w:tc>
          <w:tcPr>
            <w:tcW w:w="3032" w:type="dxa"/>
            <w:tcBorders>
              <w:bottom w:val="single" w:sz="4" w:space="0" w:color="auto"/>
            </w:tcBorders>
          </w:tcPr>
          <w:p>
            <w:pPr>
              <w:pStyle w:val="yTableNAm"/>
              <w:jc w:val="center"/>
            </w:pPr>
            <w:r>
              <w:t>subject to a minimum charge, where property is served but not metered by the Corporation, of</w:t>
            </w:r>
          </w:p>
        </w:tc>
        <w:tc>
          <w:tcPr>
            <w:tcW w:w="3032" w:type="dxa"/>
            <w:tcBorders>
              <w:bottom w:val="single" w:sz="4" w:space="0" w:color="auto"/>
            </w:tcBorders>
          </w:tcPr>
          <w:p>
            <w:pPr>
              <w:pStyle w:val="yTableNAm"/>
              <w:jc w:val="center"/>
              <w:rPr>
                <w:spacing w:val="-2"/>
              </w:rPr>
            </w:pPr>
            <w:r>
              <w:rPr>
                <w:spacing w:val="-2"/>
              </w:rPr>
              <w:br/>
            </w:r>
            <w:r>
              <w:rPr>
                <w:spacing w:val="-2"/>
              </w:rPr>
              <w:br/>
            </w:r>
            <w:r>
              <w:rPr>
                <w:spacing w:val="-2"/>
              </w:rPr>
              <w:br/>
              <w:t>463.80</w:t>
            </w:r>
          </w:p>
        </w:tc>
      </w:tr>
    </w:tbl>
    <w:p>
      <w:pPr>
        <w:pStyle w:val="ySubsection"/>
      </w:pPr>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rPr>
                <w:rStyle w:val="CharSClsNo"/>
                <w:b/>
                <w:bCs/>
              </w:rPr>
            </w:pPr>
            <w:r>
              <w:rPr>
                <w:rStyle w:val="CharSClsNo"/>
                <w:b/>
                <w:bCs/>
              </w:rPr>
              <w:t>2.</w:t>
            </w:r>
          </w:p>
        </w:tc>
        <w:tc>
          <w:tcPr>
            <w:tcW w:w="6095" w:type="dxa"/>
            <w:gridSpan w:val="2"/>
          </w:tcPr>
          <w:p>
            <w:pPr>
              <w:pStyle w:val="yTableNAm"/>
              <w:rPr>
                <w:b/>
                <w:bCs/>
                <w:spacing w:val="-1"/>
              </w:rPr>
            </w:pPr>
            <w:r>
              <w:rPr>
                <w:b/>
                <w:bCs/>
              </w:rPr>
              <w:t>Volume charge (c/kL)</w:t>
            </w:r>
          </w:p>
        </w:tc>
      </w:tr>
      <w:tr>
        <w:tc>
          <w:tcPr>
            <w:tcW w:w="425" w:type="dxa"/>
          </w:tcPr>
          <w:p>
            <w:pPr>
              <w:pStyle w:val="yTableNAm"/>
              <w:rPr>
                <w:rStyle w:val="CharSClsNo"/>
              </w:rPr>
            </w:pPr>
          </w:p>
        </w:tc>
        <w:tc>
          <w:tcPr>
            <w:tcW w:w="4678" w:type="dxa"/>
          </w:tcPr>
          <w:p>
            <w:pPr>
              <w:pStyle w:val="yTableNAm"/>
              <w:ind w:left="601" w:hanging="601"/>
              <w:rPr>
                <w:spacing w:val="-1"/>
              </w:rPr>
            </w:pPr>
            <w:r>
              <w:t>(1)</w:t>
            </w:r>
            <w:r>
              <w:tab/>
              <w:t>Metropolitan —</w:t>
            </w:r>
          </w:p>
        </w:tc>
        <w:tc>
          <w:tcPr>
            <w:tcW w:w="1417" w:type="dxa"/>
          </w:tcPr>
          <w:p>
            <w:pPr>
              <w:pStyle w:val="yTableNAm"/>
              <w:rPr>
                <w:spacing w:val="-2"/>
                <w:sz w:val="20"/>
              </w:rPr>
            </w:pPr>
          </w:p>
        </w:tc>
      </w:tr>
      <w:tr>
        <w:tc>
          <w:tcPr>
            <w:tcW w:w="425" w:type="dxa"/>
          </w:tcPr>
          <w:p>
            <w:pPr>
              <w:pStyle w:val="yTableNAm"/>
              <w:rPr>
                <w:rStyle w:val="CharSClsNo"/>
              </w:rPr>
            </w:pPr>
          </w:p>
        </w:tc>
        <w:tc>
          <w:tcPr>
            <w:tcW w:w="4678" w:type="dxa"/>
          </w:tcPr>
          <w:p>
            <w:pPr>
              <w:pStyle w:val="yTableNAm"/>
              <w:tabs>
                <w:tab w:val="clear" w:pos="567"/>
                <w:tab w:val="left" w:pos="601"/>
                <w:tab w:val="left" w:pos="1081"/>
              </w:tabs>
              <w:ind w:left="1081" w:hanging="1081"/>
            </w:pPr>
            <w:r>
              <w:tab/>
              <w:t>(a)</w:t>
            </w:r>
            <w:r>
              <w:tab/>
              <w:t>first 600 kL ........................................</w:t>
            </w:r>
          </w:p>
        </w:tc>
        <w:tc>
          <w:tcPr>
            <w:tcW w:w="1417" w:type="dxa"/>
          </w:tcPr>
          <w:p>
            <w:pPr>
              <w:pStyle w:val="yTableNAm"/>
            </w:pPr>
            <w:r>
              <w:t>117.1 cents</w:t>
            </w:r>
          </w:p>
        </w:tc>
      </w:tr>
      <w:tr>
        <w:tc>
          <w:tcPr>
            <w:tcW w:w="425" w:type="dxa"/>
          </w:tcPr>
          <w:p>
            <w:pPr>
              <w:pStyle w:val="yTableNAm"/>
              <w:rPr>
                <w:rStyle w:val="CharSClsNo"/>
              </w:rPr>
            </w:pPr>
          </w:p>
        </w:tc>
        <w:tc>
          <w:tcPr>
            <w:tcW w:w="4678" w:type="dxa"/>
          </w:tcPr>
          <w:p>
            <w:pPr>
              <w:pStyle w:val="yTableNAm"/>
              <w:tabs>
                <w:tab w:val="clear" w:pos="567"/>
                <w:tab w:val="left" w:pos="601"/>
                <w:tab w:val="left" w:pos="1081"/>
              </w:tabs>
              <w:ind w:left="1081" w:hanging="1081"/>
            </w:pPr>
            <w:r>
              <w:tab/>
              <w:t>(b)</w:t>
            </w:r>
            <w:r>
              <w:tab/>
              <w:t>601 kL to 1 100 000 kL .....................</w:t>
            </w:r>
          </w:p>
        </w:tc>
        <w:tc>
          <w:tcPr>
            <w:tcW w:w="1417" w:type="dxa"/>
          </w:tcPr>
          <w:p>
            <w:pPr>
              <w:pStyle w:val="yTableNAm"/>
            </w:pPr>
            <w:r>
              <w:t>122.0 cents</w:t>
            </w:r>
          </w:p>
        </w:tc>
      </w:tr>
      <w:tr>
        <w:tc>
          <w:tcPr>
            <w:tcW w:w="425" w:type="dxa"/>
          </w:tcPr>
          <w:p>
            <w:pPr>
              <w:pStyle w:val="yTableNAm"/>
              <w:rPr>
                <w:rStyle w:val="CharSClsNo"/>
              </w:rPr>
            </w:pPr>
          </w:p>
        </w:tc>
        <w:tc>
          <w:tcPr>
            <w:tcW w:w="4678" w:type="dxa"/>
          </w:tcPr>
          <w:p>
            <w:pPr>
              <w:pStyle w:val="yTableNAm"/>
              <w:tabs>
                <w:tab w:val="clear" w:pos="567"/>
                <w:tab w:val="left" w:pos="601"/>
                <w:tab w:val="left" w:pos="1081"/>
              </w:tabs>
              <w:ind w:left="1081" w:hanging="1081"/>
            </w:pPr>
            <w:r>
              <w:tab/>
              <w:t>(c)</w:t>
            </w:r>
            <w:r>
              <w:tab/>
              <w:t>over 1 100 000 kL ..............................</w:t>
            </w:r>
          </w:p>
        </w:tc>
        <w:tc>
          <w:tcPr>
            <w:tcW w:w="1417" w:type="dxa"/>
          </w:tcPr>
          <w:p>
            <w:pPr>
              <w:pStyle w:val="yTableNAm"/>
            </w:pPr>
            <w:r>
              <w:t>120.8 cents</w:t>
            </w:r>
          </w:p>
        </w:tc>
      </w:tr>
      <w:tr>
        <w:tc>
          <w:tcPr>
            <w:tcW w:w="425" w:type="dxa"/>
          </w:tcPr>
          <w:p>
            <w:pPr>
              <w:pStyle w:val="yTableNAm"/>
              <w:rPr>
                <w:rStyle w:val="CharSClsNo"/>
              </w:rPr>
            </w:pPr>
          </w:p>
        </w:tc>
        <w:tc>
          <w:tcPr>
            <w:tcW w:w="4678"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pPr>
        <w:pStyle w:val="ySubsection"/>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rPr>
        <w:tc>
          <w:tcPr>
            <w:tcW w:w="2409" w:type="dxa"/>
            <w:vMerge w:val="restart"/>
            <w:tcBorders>
              <w:top w:val="single" w:sz="4" w:space="0" w:color="auto"/>
            </w:tcBorders>
          </w:tcPr>
          <w:p>
            <w:pPr>
              <w:pStyle w:val="yTableNAm"/>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rPr>
        <w:tc>
          <w:tcPr>
            <w:tcW w:w="2409" w:type="dxa"/>
            <w:vMerge/>
            <w:tcBorders>
              <w:bottom w:val="single" w:sz="4" w:space="0" w:color="auto"/>
            </w:tcBorders>
          </w:tcPr>
          <w:p>
            <w:pPr>
              <w:pStyle w:val="yTableNAm"/>
              <w:rPr>
                <w:b/>
                <w:bCs/>
              </w:rPr>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tcPr>
          <w:p>
            <w:pPr>
              <w:pStyle w:val="yTableNAm"/>
              <w:jc w:val="center"/>
            </w:pPr>
            <w:r>
              <w:t>119.7</w:t>
            </w:r>
          </w:p>
        </w:tc>
        <w:tc>
          <w:tcPr>
            <w:tcW w:w="2056" w:type="dxa"/>
            <w:tcBorders>
              <w:top w:val="single" w:sz="4" w:space="0" w:color="auto"/>
            </w:tcBorders>
          </w:tcPr>
          <w:p>
            <w:pPr>
              <w:pStyle w:val="yTableNAm"/>
              <w:jc w:val="center"/>
            </w:pPr>
            <w:r>
              <w:t>176.8</w:t>
            </w:r>
          </w:p>
        </w:tc>
      </w:tr>
      <w:tr>
        <w:tc>
          <w:tcPr>
            <w:tcW w:w="2409" w:type="dxa"/>
          </w:tcPr>
          <w:p>
            <w:pPr>
              <w:pStyle w:val="yTableNAm"/>
            </w:pPr>
            <w:r>
              <w:t>Class 2 (c/kL)</w:t>
            </w:r>
          </w:p>
        </w:tc>
        <w:tc>
          <w:tcPr>
            <w:tcW w:w="2055" w:type="dxa"/>
          </w:tcPr>
          <w:p>
            <w:pPr>
              <w:pStyle w:val="yTableNAm"/>
              <w:jc w:val="center"/>
            </w:pPr>
            <w:r>
              <w:t>133.9</w:t>
            </w:r>
          </w:p>
        </w:tc>
        <w:tc>
          <w:tcPr>
            <w:tcW w:w="2056" w:type="dxa"/>
          </w:tcPr>
          <w:p>
            <w:pPr>
              <w:pStyle w:val="yTableNAm"/>
              <w:jc w:val="center"/>
            </w:pPr>
            <w:r>
              <w:t>192.6</w:t>
            </w:r>
          </w:p>
        </w:tc>
      </w:tr>
      <w:tr>
        <w:tc>
          <w:tcPr>
            <w:tcW w:w="2409" w:type="dxa"/>
          </w:tcPr>
          <w:p>
            <w:pPr>
              <w:pStyle w:val="yTableNAm"/>
            </w:pPr>
            <w:r>
              <w:t>Class 3 (c/kL)</w:t>
            </w:r>
          </w:p>
        </w:tc>
        <w:tc>
          <w:tcPr>
            <w:tcW w:w="2055" w:type="dxa"/>
          </w:tcPr>
          <w:p>
            <w:pPr>
              <w:pStyle w:val="yTableNAm"/>
              <w:jc w:val="center"/>
            </w:pPr>
            <w:r>
              <w:t>149.6</w:t>
            </w:r>
          </w:p>
        </w:tc>
        <w:tc>
          <w:tcPr>
            <w:tcW w:w="2056" w:type="dxa"/>
          </w:tcPr>
          <w:p>
            <w:pPr>
              <w:pStyle w:val="yTableNAm"/>
              <w:jc w:val="center"/>
            </w:pPr>
            <w:r>
              <w:t>209.5</w:t>
            </w:r>
          </w:p>
        </w:tc>
      </w:tr>
      <w:tr>
        <w:tc>
          <w:tcPr>
            <w:tcW w:w="2409" w:type="dxa"/>
          </w:tcPr>
          <w:p>
            <w:pPr>
              <w:pStyle w:val="yTableNAm"/>
            </w:pPr>
            <w:r>
              <w:t>Class 4 (c/kL)</w:t>
            </w:r>
          </w:p>
        </w:tc>
        <w:tc>
          <w:tcPr>
            <w:tcW w:w="2055" w:type="dxa"/>
          </w:tcPr>
          <w:p>
            <w:pPr>
              <w:pStyle w:val="yTableNAm"/>
              <w:jc w:val="center"/>
            </w:pPr>
            <w:r>
              <w:t>167.2</w:t>
            </w:r>
          </w:p>
        </w:tc>
        <w:tc>
          <w:tcPr>
            <w:tcW w:w="2056" w:type="dxa"/>
          </w:tcPr>
          <w:p>
            <w:pPr>
              <w:pStyle w:val="yTableNAm"/>
              <w:jc w:val="center"/>
            </w:pPr>
            <w:r>
              <w:t>228.2</w:t>
            </w:r>
          </w:p>
        </w:tc>
      </w:tr>
      <w:tr>
        <w:tc>
          <w:tcPr>
            <w:tcW w:w="2409" w:type="dxa"/>
          </w:tcPr>
          <w:p>
            <w:pPr>
              <w:pStyle w:val="yTableNAm"/>
            </w:pPr>
            <w:r>
              <w:t>Class 5 (c/kL)</w:t>
            </w:r>
          </w:p>
        </w:tc>
        <w:tc>
          <w:tcPr>
            <w:tcW w:w="2055" w:type="dxa"/>
          </w:tcPr>
          <w:p>
            <w:pPr>
              <w:pStyle w:val="yTableNAm"/>
              <w:jc w:val="center"/>
            </w:pPr>
            <w:r>
              <w:t>187.0</w:t>
            </w:r>
          </w:p>
        </w:tc>
        <w:tc>
          <w:tcPr>
            <w:tcW w:w="2056" w:type="dxa"/>
          </w:tcPr>
          <w:p>
            <w:pPr>
              <w:pStyle w:val="yTableNAm"/>
              <w:jc w:val="center"/>
            </w:pPr>
            <w:r>
              <w:t>248.5</w:t>
            </w:r>
          </w:p>
        </w:tc>
      </w:tr>
      <w:tr>
        <w:tc>
          <w:tcPr>
            <w:tcW w:w="2409" w:type="dxa"/>
          </w:tcPr>
          <w:p>
            <w:pPr>
              <w:pStyle w:val="yTableNAm"/>
            </w:pPr>
            <w:r>
              <w:t>Class 6 (c/kL)</w:t>
            </w:r>
          </w:p>
        </w:tc>
        <w:tc>
          <w:tcPr>
            <w:tcW w:w="2055" w:type="dxa"/>
          </w:tcPr>
          <w:p>
            <w:pPr>
              <w:pStyle w:val="yTableNAm"/>
              <w:jc w:val="center"/>
            </w:pPr>
            <w:r>
              <w:t>203.1</w:t>
            </w:r>
          </w:p>
        </w:tc>
        <w:tc>
          <w:tcPr>
            <w:tcW w:w="2056" w:type="dxa"/>
          </w:tcPr>
          <w:p>
            <w:pPr>
              <w:pStyle w:val="yTableNAm"/>
              <w:jc w:val="center"/>
            </w:pPr>
            <w:r>
              <w:t>270.6</w:t>
            </w:r>
          </w:p>
        </w:tc>
      </w:tr>
      <w:tr>
        <w:tc>
          <w:tcPr>
            <w:tcW w:w="2409" w:type="dxa"/>
          </w:tcPr>
          <w:p>
            <w:pPr>
              <w:pStyle w:val="yTableNAm"/>
            </w:pPr>
            <w:r>
              <w:t>Class 7 (c/kL)</w:t>
            </w:r>
          </w:p>
        </w:tc>
        <w:tc>
          <w:tcPr>
            <w:tcW w:w="2055" w:type="dxa"/>
          </w:tcPr>
          <w:p>
            <w:pPr>
              <w:pStyle w:val="yTableNAm"/>
              <w:jc w:val="center"/>
            </w:pPr>
            <w:r>
              <w:t>220.6</w:t>
            </w:r>
          </w:p>
        </w:tc>
        <w:tc>
          <w:tcPr>
            <w:tcW w:w="2056" w:type="dxa"/>
          </w:tcPr>
          <w:p>
            <w:pPr>
              <w:pStyle w:val="yTableNAm"/>
              <w:jc w:val="center"/>
            </w:pPr>
            <w:r>
              <w:t>294.7</w:t>
            </w:r>
          </w:p>
        </w:tc>
      </w:tr>
      <w:tr>
        <w:tc>
          <w:tcPr>
            <w:tcW w:w="2409" w:type="dxa"/>
          </w:tcPr>
          <w:p>
            <w:pPr>
              <w:pStyle w:val="yTableNAm"/>
            </w:pPr>
            <w:r>
              <w:t>Class 8 (c/kL)</w:t>
            </w:r>
          </w:p>
        </w:tc>
        <w:tc>
          <w:tcPr>
            <w:tcW w:w="2055" w:type="dxa"/>
          </w:tcPr>
          <w:p>
            <w:pPr>
              <w:pStyle w:val="yTableNAm"/>
              <w:jc w:val="center"/>
            </w:pPr>
            <w:r>
              <w:t>237.4</w:t>
            </w:r>
          </w:p>
        </w:tc>
        <w:tc>
          <w:tcPr>
            <w:tcW w:w="2056" w:type="dxa"/>
          </w:tcPr>
          <w:p>
            <w:pPr>
              <w:pStyle w:val="yTableNAm"/>
              <w:jc w:val="center"/>
            </w:pPr>
            <w:r>
              <w:t>320.9</w:t>
            </w:r>
          </w:p>
        </w:tc>
      </w:tr>
      <w:tr>
        <w:tc>
          <w:tcPr>
            <w:tcW w:w="2409" w:type="dxa"/>
          </w:tcPr>
          <w:p>
            <w:pPr>
              <w:pStyle w:val="yTableNAm"/>
            </w:pPr>
            <w:r>
              <w:t>Class 9 (c/kL)</w:t>
            </w:r>
          </w:p>
        </w:tc>
        <w:tc>
          <w:tcPr>
            <w:tcW w:w="2055" w:type="dxa"/>
          </w:tcPr>
          <w:p>
            <w:pPr>
              <w:pStyle w:val="yTableNAm"/>
              <w:jc w:val="center"/>
            </w:pPr>
            <w:r>
              <w:t>255.5</w:t>
            </w:r>
          </w:p>
        </w:tc>
        <w:tc>
          <w:tcPr>
            <w:tcW w:w="2056" w:type="dxa"/>
          </w:tcPr>
          <w:p>
            <w:pPr>
              <w:pStyle w:val="yTableNAm"/>
              <w:jc w:val="center"/>
            </w:pPr>
            <w:r>
              <w:t>349.4</w:t>
            </w:r>
          </w:p>
        </w:tc>
      </w:tr>
      <w:tr>
        <w:tc>
          <w:tcPr>
            <w:tcW w:w="2409" w:type="dxa"/>
          </w:tcPr>
          <w:p>
            <w:pPr>
              <w:pStyle w:val="yTableNAm"/>
            </w:pPr>
            <w:r>
              <w:t>Class 10 (c/kL)</w:t>
            </w:r>
          </w:p>
        </w:tc>
        <w:tc>
          <w:tcPr>
            <w:tcW w:w="2055" w:type="dxa"/>
          </w:tcPr>
          <w:p>
            <w:pPr>
              <w:pStyle w:val="yTableNAm"/>
              <w:jc w:val="center"/>
            </w:pPr>
            <w:r>
              <w:t>265.9</w:t>
            </w:r>
          </w:p>
        </w:tc>
        <w:tc>
          <w:tcPr>
            <w:tcW w:w="2056" w:type="dxa"/>
          </w:tcPr>
          <w:p>
            <w:pPr>
              <w:pStyle w:val="yTableNAm"/>
              <w:jc w:val="center"/>
            </w:pPr>
            <w:r>
              <w:t>380.5</w:t>
            </w:r>
          </w:p>
        </w:tc>
      </w:tr>
      <w:tr>
        <w:tc>
          <w:tcPr>
            <w:tcW w:w="2409" w:type="dxa"/>
          </w:tcPr>
          <w:p>
            <w:pPr>
              <w:pStyle w:val="yTableNAm"/>
            </w:pPr>
            <w:r>
              <w:t>Class 11 (c/kL)</w:t>
            </w:r>
          </w:p>
        </w:tc>
        <w:tc>
          <w:tcPr>
            <w:tcW w:w="2055" w:type="dxa"/>
          </w:tcPr>
          <w:p>
            <w:pPr>
              <w:pStyle w:val="yTableNAm"/>
              <w:jc w:val="center"/>
            </w:pPr>
            <w:r>
              <w:t>291.9</w:t>
            </w:r>
          </w:p>
        </w:tc>
        <w:tc>
          <w:tcPr>
            <w:tcW w:w="2056" w:type="dxa"/>
          </w:tcPr>
          <w:p>
            <w:pPr>
              <w:pStyle w:val="yTableNAm"/>
              <w:jc w:val="center"/>
            </w:pPr>
            <w:r>
              <w:t>414.3</w:t>
            </w:r>
          </w:p>
        </w:tc>
      </w:tr>
      <w:tr>
        <w:tc>
          <w:tcPr>
            <w:tcW w:w="2409" w:type="dxa"/>
          </w:tcPr>
          <w:p>
            <w:pPr>
              <w:pStyle w:val="yTableNAm"/>
            </w:pPr>
            <w:r>
              <w:t>Class 12 (c/kL)</w:t>
            </w:r>
          </w:p>
        </w:tc>
        <w:tc>
          <w:tcPr>
            <w:tcW w:w="2055" w:type="dxa"/>
          </w:tcPr>
          <w:p>
            <w:pPr>
              <w:pStyle w:val="yTableNAm"/>
              <w:jc w:val="center"/>
            </w:pPr>
            <w:r>
              <w:t>320.4</w:t>
            </w:r>
          </w:p>
        </w:tc>
        <w:tc>
          <w:tcPr>
            <w:tcW w:w="2056" w:type="dxa"/>
          </w:tcPr>
          <w:p>
            <w:pPr>
              <w:pStyle w:val="yTableNAm"/>
              <w:jc w:val="center"/>
            </w:pPr>
            <w:r>
              <w:t>451.2</w:t>
            </w:r>
          </w:p>
        </w:tc>
      </w:tr>
      <w:tr>
        <w:tc>
          <w:tcPr>
            <w:tcW w:w="2409" w:type="dxa"/>
          </w:tcPr>
          <w:p>
            <w:pPr>
              <w:pStyle w:val="yTableNAm"/>
            </w:pPr>
            <w:r>
              <w:t>Class 13 (c/kL)</w:t>
            </w:r>
          </w:p>
        </w:tc>
        <w:tc>
          <w:tcPr>
            <w:tcW w:w="2055" w:type="dxa"/>
          </w:tcPr>
          <w:p>
            <w:pPr>
              <w:pStyle w:val="yTableNAm"/>
              <w:jc w:val="center"/>
            </w:pPr>
            <w:r>
              <w:t>351.7</w:t>
            </w:r>
          </w:p>
        </w:tc>
        <w:tc>
          <w:tcPr>
            <w:tcW w:w="2056" w:type="dxa"/>
          </w:tcPr>
          <w:p>
            <w:pPr>
              <w:pStyle w:val="yTableNAm"/>
              <w:jc w:val="center"/>
            </w:pPr>
            <w:r>
              <w:t>491.3</w:t>
            </w:r>
          </w:p>
        </w:tc>
      </w:tr>
      <w:tr>
        <w:tc>
          <w:tcPr>
            <w:tcW w:w="2409" w:type="dxa"/>
          </w:tcPr>
          <w:p>
            <w:pPr>
              <w:pStyle w:val="yTableNAm"/>
            </w:pPr>
            <w:r>
              <w:t>Class 14 (c/kL)</w:t>
            </w:r>
          </w:p>
        </w:tc>
        <w:tc>
          <w:tcPr>
            <w:tcW w:w="2055" w:type="dxa"/>
          </w:tcPr>
          <w:p>
            <w:pPr>
              <w:pStyle w:val="yTableNAm"/>
              <w:jc w:val="center"/>
            </w:pPr>
            <w:r>
              <w:t>386.2</w:t>
            </w:r>
          </w:p>
        </w:tc>
        <w:tc>
          <w:tcPr>
            <w:tcW w:w="2056" w:type="dxa"/>
          </w:tcPr>
          <w:p>
            <w:pPr>
              <w:pStyle w:val="yTableNAm"/>
              <w:jc w:val="center"/>
            </w:pPr>
            <w:r>
              <w:t>535.0</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tcPr>
          <w:p>
            <w:pPr>
              <w:pStyle w:val="yTableNAm"/>
              <w:jc w:val="center"/>
            </w:pPr>
            <w:r>
              <w:t>423.9</w:t>
            </w:r>
          </w:p>
        </w:tc>
        <w:tc>
          <w:tcPr>
            <w:tcW w:w="2056" w:type="dxa"/>
            <w:tcBorders>
              <w:bottom w:val="single" w:sz="4" w:space="0" w:color="auto"/>
            </w:tcBorders>
          </w:tcPr>
          <w:p>
            <w:pPr>
              <w:pStyle w:val="yTableNAm"/>
              <w:jc w:val="center"/>
            </w:pPr>
            <w:r>
              <w:t>582.6</w:t>
            </w:r>
          </w:p>
        </w:tc>
      </w:tr>
    </w:tbl>
    <w:p>
      <w:pPr>
        <w:pStyle w:val="yFootnotesection"/>
      </w:pPr>
      <w:r>
        <w:tab/>
        <w:t>[Schedule 8 inserted in Gazette 19 Jun 2009 p. 2373-5.]</w:t>
      </w:r>
    </w:p>
    <w:p>
      <w:pPr>
        <w:tabs>
          <w:tab w:val="left" w:pos="840"/>
          <w:tab w:val="right" w:pos="1212"/>
          <w:tab w:val="left" w:pos="1452"/>
          <w:tab w:val="left" w:leader="dot" w:pos="4212"/>
          <w:tab w:val="right" w:leader="dot" w:pos="4253"/>
          <w:tab w:val="left" w:pos="5387"/>
        </w:tabs>
        <w:spacing w:before="80"/>
        <w:ind w:right="132"/>
        <w:rPr>
          <w:b/>
          <w:bCs/>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627" w:name="_Toc233448463"/>
      <w:bookmarkStart w:id="628" w:name="_Toc233611734"/>
      <w:bookmarkStart w:id="629" w:name="_Toc202506107"/>
      <w:bookmarkStart w:id="630" w:name="_Toc202672839"/>
      <w:bookmarkStart w:id="631" w:name="_Toc202691799"/>
      <w:bookmarkEnd w:id="618"/>
      <w:bookmarkEnd w:id="619"/>
      <w:bookmarkEnd w:id="620"/>
      <w:bookmarkEnd w:id="621"/>
      <w:bookmarkEnd w:id="622"/>
      <w:bookmarkEnd w:id="623"/>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627"/>
      <w:bookmarkEnd w:id="628"/>
    </w:p>
    <w:p>
      <w:pPr>
        <w:pStyle w:val="yShoulderClause"/>
      </w:pPr>
      <w:r>
        <w:t>[bl. 17D(3)]</w:t>
      </w:r>
    </w:p>
    <w:p>
      <w:pPr>
        <w:pStyle w:val="yFootnoteheading"/>
        <w:spacing w:after="120"/>
      </w:pPr>
      <w:r>
        <w:tab/>
        <w:t>[Heading inserted in Gazette 19 Jun 2009 p. 2375.]</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12"/>
        <w:gridCol w:w="1813"/>
      </w:tblGrid>
      <w:tr>
        <w:trPr>
          <w:tblHeader/>
        </w:trPr>
        <w:tc>
          <w:tcPr>
            <w:tcW w:w="2920" w:type="dxa"/>
            <w:tcBorders>
              <w:top w:val="single" w:sz="4" w:space="0" w:color="auto"/>
              <w:left w:val="nil"/>
              <w:bottom w:val="single" w:sz="4" w:space="0" w:color="auto"/>
              <w:right w:val="nil"/>
            </w:tcBorders>
          </w:tcPr>
          <w:p>
            <w:pPr>
              <w:pStyle w:val="yTableNAm"/>
              <w:rPr>
                <w:b/>
                <w:bCs/>
              </w:rPr>
            </w:pPr>
            <w:r>
              <w:rPr>
                <w:b/>
                <w:bCs/>
              </w:rPr>
              <w:t>Town/area</w:t>
            </w:r>
          </w:p>
        </w:tc>
        <w:tc>
          <w:tcPr>
            <w:tcW w:w="1812"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13"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pPr>
            <w:r>
              <w:t>Albany</w:t>
            </w:r>
          </w:p>
        </w:tc>
        <w:tc>
          <w:tcPr>
            <w:tcW w:w="1812" w:type="dxa"/>
            <w:tcBorders>
              <w:top w:val="single" w:sz="4" w:space="0" w:color="auto"/>
              <w:left w:val="nil"/>
              <w:bottom w:val="nil"/>
              <w:right w:val="nil"/>
            </w:tcBorders>
            <w:vAlign w:val="center"/>
          </w:tcPr>
          <w:p>
            <w:pPr>
              <w:pStyle w:val="yTableNAm"/>
              <w:jc w:val="center"/>
            </w:pPr>
            <w:r>
              <w:t>2</w:t>
            </w:r>
          </w:p>
        </w:tc>
        <w:tc>
          <w:tcPr>
            <w:tcW w:w="1813" w:type="dxa"/>
            <w:tcBorders>
              <w:top w:val="single" w:sz="4" w:space="0" w:color="auto"/>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Allanooka Farmlands</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Allanson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Arrino</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Arrowsmith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Augusta</w:t>
            </w:r>
          </w:p>
        </w:tc>
        <w:tc>
          <w:tcPr>
            <w:tcW w:w="1812" w:type="dxa"/>
            <w:tcBorders>
              <w:top w:val="nil"/>
              <w:left w:val="nil"/>
              <w:bottom w:val="nil"/>
              <w:right w:val="nil"/>
            </w:tcBorders>
            <w:vAlign w:val="center"/>
          </w:tcPr>
          <w:p>
            <w:pPr>
              <w:pStyle w:val="yTableNAm"/>
              <w:jc w:val="center"/>
              <w:rPr>
                <w:spacing w:val="-2"/>
                <w:szCs w:val="12"/>
              </w:rPr>
            </w:pPr>
            <w:r>
              <w:rPr>
                <w:spacing w:val="-2"/>
                <w:szCs w:val="12"/>
              </w:rP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Australind/Eaton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Badgingarra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Bakers Hill</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Balingup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Ballidu</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Beacon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Bencubbin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Beverley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Bindi Bindi</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Bindoon/Chittering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Binningup</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Bodallin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Boddington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Bolgart</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Borden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Boyanup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Boyup Brook</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Bremer Bay</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Bridgetown/Hester</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Broad Arrow</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Brookton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Broome</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Broomehill</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Bruce Rock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Brunswick/Burekup/Roelands</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Bullaring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Bullfinch</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Bunjil</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Buntine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Burracoppin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Calingiri</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Camballin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Capel</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Carnamah</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Carnarvon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Caron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Cervantes</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Collie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Collie Farmlands</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Condingup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Coolgardie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Coomberdale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Coorow</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Coral Bay</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N/A</w:t>
            </w:r>
          </w:p>
        </w:tc>
      </w:tr>
      <w:tr>
        <w:tc>
          <w:tcPr>
            <w:tcW w:w="2920" w:type="dxa"/>
            <w:tcBorders>
              <w:top w:val="nil"/>
              <w:left w:val="nil"/>
              <w:bottom w:val="nil"/>
              <w:right w:val="nil"/>
            </w:tcBorders>
            <w:vAlign w:val="center"/>
          </w:tcPr>
          <w:p>
            <w:pPr>
              <w:pStyle w:val="yTableNAm"/>
            </w:pPr>
            <w:r>
              <w:t>Corrigin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Cowaramup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9</w:t>
            </w:r>
          </w:p>
        </w:tc>
      </w:tr>
      <w:tr>
        <w:tc>
          <w:tcPr>
            <w:tcW w:w="2920" w:type="dxa"/>
            <w:tcBorders>
              <w:top w:val="nil"/>
              <w:left w:val="nil"/>
              <w:bottom w:val="nil"/>
              <w:right w:val="nil"/>
            </w:tcBorders>
            <w:vAlign w:val="center"/>
          </w:tcPr>
          <w:p>
            <w:pPr>
              <w:pStyle w:val="yTableNAm"/>
            </w:pPr>
            <w:r>
              <w:t>Cranbrook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Cuballing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Cue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Cunderdin</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Dalwallinu</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Dalyellup</w:t>
            </w:r>
          </w:p>
        </w:tc>
        <w:tc>
          <w:tcPr>
            <w:tcW w:w="1812" w:type="dxa"/>
            <w:tcBorders>
              <w:top w:val="nil"/>
              <w:left w:val="nil"/>
              <w:bottom w:val="nil"/>
              <w:right w:val="nil"/>
            </w:tcBorders>
            <w:vAlign w:val="center"/>
          </w:tcPr>
          <w:p>
            <w:pPr>
              <w:pStyle w:val="yTableNAm"/>
              <w:jc w:val="center"/>
              <w:rPr>
                <w:spacing w:val="-2"/>
                <w:szCs w:val="12"/>
              </w:rPr>
            </w:pPr>
            <w:r>
              <w:rPr>
                <w:spacing w:val="-2"/>
                <w:szCs w:val="12"/>
              </w:rPr>
              <w:t>1</w:t>
            </w:r>
          </w:p>
        </w:tc>
        <w:tc>
          <w:tcPr>
            <w:tcW w:w="1813"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Dandaragan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tcPr>
          <w:p>
            <w:pPr>
              <w:pStyle w:val="yTableNAm"/>
              <w:jc w:val="center"/>
            </w:pPr>
            <w:r>
              <w:t>10</w:t>
            </w:r>
          </w:p>
        </w:tc>
      </w:tr>
      <w:tr>
        <w:tc>
          <w:tcPr>
            <w:tcW w:w="2920" w:type="dxa"/>
            <w:tcBorders>
              <w:top w:val="nil"/>
              <w:left w:val="nil"/>
              <w:bottom w:val="nil"/>
              <w:right w:val="nil"/>
            </w:tcBorders>
          </w:tcPr>
          <w:p>
            <w:pPr>
              <w:pStyle w:val="yTableNAm"/>
            </w:pPr>
            <w:r>
              <w:t>Dardanup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tcPr>
          <w:p>
            <w:pPr>
              <w:pStyle w:val="yTableNAm"/>
              <w:jc w:val="center"/>
            </w:pPr>
            <w:r>
              <w:t>8</w:t>
            </w:r>
          </w:p>
        </w:tc>
      </w:tr>
      <w:tr>
        <w:tc>
          <w:tcPr>
            <w:tcW w:w="2920" w:type="dxa"/>
            <w:tcBorders>
              <w:top w:val="nil"/>
              <w:left w:val="nil"/>
              <w:bottom w:val="nil"/>
              <w:right w:val="nil"/>
            </w:tcBorders>
            <w:vAlign w:val="center"/>
          </w:tcPr>
          <w:p>
            <w:pPr>
              <w:pStyle w:val="yTableNAm"/>
            </w:pPr>
            <w:r>
              <w:t>Darkan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Dathagnoorara Farmlands</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Denham (Saline)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Denmark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Derby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Dongara/Denison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Donnybrook</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Doodlakine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Dowerin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Dudinin/Harrismith/Jitarning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Dumbleyung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Dunsborough/Yallingup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Dwellingup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Eneabba</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Eradu</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Esperance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Exmouth</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Fitzroy Crossing</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Frankland</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Gabbadah</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Gascoyne Junction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Geraldton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Gibson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Gingin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Gnarabup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Gnowangerup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Goomalling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Grass Patch</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Grass Valley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Greenbushes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Greenhead</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Guilderton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Halls Creek</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Hamel/Waroona</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Harvey/Wokalup</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Highbury/Piesseville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Hines Hill</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Hopetoun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Horrocks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Hyden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Jerramungup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Jurien Bay</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Kalannie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Kalbarri</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Kalgoorlie/Boulder</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Kambalda</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Karakin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Karlgarin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Karratha</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Katanning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Katanning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Kellerberrin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Kendenup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Kendenup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Kirup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Kojonup/Muradup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Kondinin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Koorda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Kukerin/Moulyinning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Kulin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Kununoppin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tcPr>
          <w:p>
            <w:pPr>
              <w:pStyle w:val="yTableNAm"/>
            </w:pPr>
            <w:r>
              <w:t>Kununurra</w:t>
            </w:r>
          </w:p>
        </w:tc>
        <w:tc>
          <w:tcPr>
            <w:tcW w:w="1812" w:type="dxa"/>
            <w:tcBorders>
              <w:top w:val="nil"/>
              <w:left w:val="nil"/>
              <w:bottom w:val="nil"/>
              <w:right w:val="nil"/>
            </w:tcBorders>
          </w:tcPr>
          <w:p>
            <w:pPr>
              <w:pStyle w:val="yTableNAm"/>
              <w:jc w:val="center"/>
            </w:pPr>
            <w:r>
              <w:t>2</w:t>
            </w:r>
          </w:p>
        </w:tc>
        <w:tc>
          <w:tcPr>
            <w:tcW w:w="1813" w:type="dxa"/>
            <w:tcBorders>
              <w:top w:val="nil"/>
              <w:left w:val="nil"/>
              <w:bottom w:val="nil"/>
              <w:right w:val="nil"/>
            </w:tcBorders>
          </w:tcPr>
          <w:p>
            <w:pPr>
              <w:pStyle w:val="yTableNAm"/>
              <w:jc w:val="center"/>
            </w:pPr>
            <w:r>
              <w:t>2</w:t>
            </w:r>
          </w:p>
        </w:tc>
      </w:tr>
      <w:tr>
        <w:tc>
          <w:tcPr>
            <w:tcW w:w="2920" w:type="dxa"/>
            <w:tcBorders>
              <w:top w:val="nil"/>
              <w:left w:val="nil"/>
              <w:bottom w:val="nil"/>
              <w:right w:val="nil"/>
            </w:tcBorders>
            <w:vAlign w:val="center"/>
          </w:tcPr>
          <w:p>
            <w:pPr>
              <w:pStyle w:val="yTableNAm"/>
            </w:pPr>
            <w:r>
              <w:t>Lake Argyle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Lake Grace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Lake King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Lancelin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Latham</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Laverton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Ledge Point</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Leeman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Leonora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Mandurah</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Manjimup</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Marble Bar</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Margaret River</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Marvel Loch</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Meckering</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Meekatharra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Menzies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Merredin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Merredin Farmlands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Mingenew</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Moora</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Moorine Rock</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Morawa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Barker</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Magnet</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Mount Roe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Mukinbudin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Mullalyup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Mullewa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Mullewa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Munglinup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Muntadgin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Myalup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Nabawa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Nannup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Narembeen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Narngulu</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Narrikup</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Narrogin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Narrogin Farmlands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New Norcia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Newdegate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Newman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Nilgen</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Norseman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 Dandalup</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Northam</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Northam Farmlands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Northampton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Northcliffe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Nullagine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Nungarin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Nyabing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Ongerup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Onslow</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Ora Banda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Park Ridge</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Pemberton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Peppermint Grove Beach</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Perenjori</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Pingaring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Pingelly</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Pingrup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Pinjarra</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Pithara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Point Samson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Popanyinning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Porongurup</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Port Hedland</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Preston Beach</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Quairading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Quinninup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Ravensthorpe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Rocky Gully</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Roebourne</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Salmon Gums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Sandstone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Seabird</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South Hedland</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Southern Cross</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Tambellup</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Tammin</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Three Springs</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Tincurrin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Toodyay</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Trayning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Varley</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Wagin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Walkaway</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Walpole</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Wandering</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Watheroo</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Wellstead</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Westonia</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Wickepin</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Wickham</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Widgiemooltha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Williams</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Wiluna</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Wongan Hills</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Woodanilling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Woodridge</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Wubin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Wundowie</w:t>
            </w:r>
          </w:p>
        </w:tc>
        <w:tc>
          <w:tcPr>
            <w:tcW w:w="1812" w:type="dxa"/>
            <w:tcBorders>
              <w:top w:val="nil"/>
              <w:left w:val="nil"/>
              <w:bottom w:val="nil"/>
              <w:right w:val="nil"/>
            </w:tcBorders>
            <w:vAlign w:val="center"/>
          </w:tcPr>
          <w:p>
            <w:pPr>
              <w:pStyle w:val="yTableNAm"/>
              <w:jc w:val="center"/>
            </w:pPr>
            <w:r>
              <w:t>1</w:t>
            </w:r>
          </w:p>
        </w:tc>
        <w:tc>
          <w:tcPr>
            <w:tcW w:w="1813"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Wyalkatchem</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Wyndham</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Yalgoo</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Yarloop/Wagerup</w:t>
            </w:r>
          </w:p>
        </w:tc>
        <w:tc>
          <w:tcPr>
            <w:tcW w:w="1812" w:type="dxa"/>
            <w:tcBorders>
              <w:top w:val="nil"/>
              <w:left w:val="nil"/>
              <w:bottom w:val="nil"/>
              <w:right w:val="nil"/>
            </w:tcBorders>
            <w:vAlign w:val="center"/>
          </w:tcPr>
          <w:p>
            <w:pPr>
              <w:pStyle w:val="yTableNAm"/>
              <w:jc w:val="center"/>
            </w:pPr>
            <w:r>
              <w:t>2</w:t>
            </w:r>
          </w:p>
        </w:tc>
        <w:tc>
          <w:tcPr>
            <w:tcW w:w="1813"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Yealering</w:t>
            </w:r>
          </w:p>
        </w:tc>
        <w:tc>
          <w:tcPr>
            <w:tcW w:w="1812" w:type="dxa"/>
            <w:tcBorders>
              <w:top w:val="nil"/>
              <w:left w:val="nil"/>
              <w:bottom w:val="nil"/>
              <w:right w:val="nil"/>
            </w:tcBorders>
            <w:vAlign w:val="center"/>
          </w:tcPr>
          <w:p>
            <w:pPr>
              <w:pStyle w:val="yTableNAm"/>
              <w:jc w:val="center"/>
            </w:pPr>
            <w:r>
              <w:t>4</w:t>
            </w:r>
          </w:p>
        </w:tc>
        <w:tc>
          <w:tcPr>
            <w:tcW w:w="1813"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Yerecoin</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York</w:t>
            </w:r>
          </w:p>
        </w:tc>
        <w:tc>
          <w:tcPr>
            <w:tcW w:w="1812" w:type="dxa"/>
            <w:tcBorders>
              <w:top w:val="nil"/>
              <w:left w:val="nil"/>
              <w:bottom w:val="nil"/>
              <w:right w:val="nil"/>
            </w:tcBorders>
            <w:vAlign w:val="center"/>
          </w:tcPr>
          <w:p>
            <w:pPr>
              <w:pStyle w:val="yTableNAm"/>
              <w:jc w:val="center"/>
            </w:pPr>
            <w:r>
              <w:t>3</w:t>
            </w:r>
          </w:p>
        </w:tc>
        <w:tc>
          <w:tcPr>
            <w:tcW w:w="1813"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Yuna</w:t>
            </w:r>
          </w:p>
        </w:tc>
        <w:tc>
          <w:tcPr>
            <w:tcW w:w="1812" w:type="dxa"/>
            <w:tcBorders>
              <w:top w:val="nil"/>
              <w:left w:val="nil"/>
              <w:bottom w:val="nil"/>
              <w:right w:val="nil"/>
            </w:tcBorders>
            <w:vAlign w:val="center"/>
          </w:tcPr>
          <w:p>
            <w:pPr>
              <w:pStyle w:val="yTableNAm"/>
              <w:jc w:val="center"/>
            </w:pPr>
            <w:r>
              <w:t>5</w:t>
            </w:r>
          </w:p>
        </w:tc>
        <w:tc>
          <w:tcPr>
            <w:tcW w:w="1813" w:type="dxa"/>
            <w:tcBorders>
              <w:top w:val="nil"/>
              <w:left w:val="nil"/>
              <w:bottom w:val="nil"/>
              <w:right w:val="nil"/>
            </w:tcBorders>
            <w:vAlign w:val="center"/>
          </w:tcPr>
          <w:p>
            <w:pPr>
              <w:pStyle w:val="yTableNAm"/>
              <w:jc w:val="center"/>
            </w:pPr>
            <w:r>
              <w:t>11</w:t>
            </w:r>
          </w:p>
        </w:tc>
      </w:tr>
    </w:tbl>
    <w:p>
      <w:pPr>
        <w:pStyle w:val="yFootnotesection"/>
      </w:pPr>
      <w:r>
        <w:tab/>
        <w:t>[Schedule 9 inserted in Gazette 19 Jun 2009 p. 2375-83.]</w:t>
      </w:r>
    </w:p>
    <w:p>
      <w:pPr>
        <w:pStyle w:val="yScheduleHeading"/>
      </w:pPr>
      <w:bookmarkStart w:id="632" w:name="_Toc233448465"/>
      <w:bookmarkStart w:id="633" w:name="_Toc233611735"/>
      <w:bookmarkEnd w:id="629"/>
      <w:bookmarkEnd w:id="630"/>
      <w:bookmarkEnd w:id="631"/>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632"/>
      <w:bookmarkEnd w:id="633"/>
    </w:p>
    <w:p>
      <w:pPr>
        <w:pStyle w:val="yShoulderClause"/>
      </w:pPr>
      <w:r>
        <w:t>[bl. 17D(3)]</w:t>
      </w:r>
    </w:p>
    <w:p>
      <w:pPr>
        <w:pStyle w:val="yFootnoteheading"/>
        <w:spacing w:after="120"/>
      </w:pPr>
      <w:r>
        <w:tab/>
        <w:t>[Heading inserted in Gazette 19 Jun 2009 p. 2384.]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zyTableNAm"/>
              <w:rPr>
                <w:b/>
                <w:bCs/>
              </w:rPr>
            </w:pPr>
            <w:r>
              <w:rPr>
                <w:b/>
                <w:bCs/>
              </w:rPr>
              <w:t>Town/area</w:t>
            </w:r>
          </w:p>
        </w:tc>
        <w:tc>
          <w:tcPr>
            <w:tcW w:w="1800" w:type="dxa"/>
            <w:tcBorders>
              <w:top w:val="single" w:sz="4" w:space="0" w:color="auto"/>
              <w:left w:val="nil"/>
              <w:bottom w:val="single" w:sz="4" w:space="0" w:color="auto"/>
              <w:right w:val="nil"/>
            </w:tcBorders>
          </w:tcPr>
          <w:p>
            <w:pPr>
              <w:pStyle w:val="z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z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zyTableNAm"/>
            </w:pPr>
            <w:r>
              <w:t>Albany</w:t>
            </w:r>
          </w:p>
        </w:tc>
        <w:tc>
          <w:tcPr>
            <w:tcW w:w="1800" w:type="dxa"/>
            <w:tcBorders>
              <w:top w:val="single" w:sz="4" w:space="0" w:color="auto"/>
              <w:left w:val="nil"/>
              <w:bottom w:val="nil"/>
              <w:right w:val="nil"/>
            </w:tcBorders>
            <w:vAlign w:val="center"/>
          </w:tcPr>
          <w:p>
            <w:pPr>
              <w:pStyle w:val="zyTableNAm"/>
              <w:jc w:val="center"/>
            </w:pPr>
            <w:r>
              <w:t>2</w:t>
            </w:r>
          </w:p>
        </w:tc>
        <w:tc>
          <w:tcPr>
            <w:tcW w:w="1800" w:type="dxa"/>
            <w:tcBorders>
              <w:top w:val="single" w:sz="4" w:space="0" w:color="auto"/>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Albany Farmlands</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Allanooka Farmlands</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Allanson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Arrino</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Arrowsmith Farmlands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Augusta</w:t>
            </w:r>
          </w:p>
        </w:tc>
        <w:tc>
          <w:tcPr>
            <w:tcW w:w="1800" w:type="dxa"/>
            <w:tcBorders>
              <w:top w:val="nil"/>
              <w:left w:val="nil"/>
              <w:bottom w:val="nil"/>
              <w:right w:val="nil"/>
            </w:tcBorders>
            <w:vAlign w:val="center"/>
          </w:tcPr>
          <w:p>
            <w:pPr>
              <w:pStyle w:val="zyTableNAm"/>
              <w:jc w:val="center"/>
              <w:rPr>
                <w:spacing w:val="-2"/>
                <w:szCs w:val="12"/>
              </w:rPr>
            </w:pPr>
            <w:r>
              <w:rPr>
                <w:spacing w:val="-2"/>
                <w:szCs w:val="12"/>
              </w:rP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Australind/Eaton</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Badgingarra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Bakers Hill</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Balingup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Ballidu</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Beacon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Bencubbin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Beverley</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Bindi Bindi</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Bindoon/Chittering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Binningup</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Bodallin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Boddington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Bolgart</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Borden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Boyanup</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Boyup Brook</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Bremer Bay</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Bridgetown/Hester</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Broad Arrow</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Brookton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Broome</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Broomehill</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Bruce Rock</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Brunswick/Burekup/Roelands</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6</w:t>
            </w:r>
          </w:p>
        </w:tc>
      </w:tr>
      <w:tr>
        <w:tc>
          <w:tcPr>
            <w:tcW w:w="2920" w:type="dxa"/>
            <w:tcBorders>
              <w:top w:val="nil"/>
              <w:left w:val="nil"/>
              <w:bottom w:val="nil"/>
              <w:right w:val="nil"/>
            </w:tcBorders>
            <w:vAlign w:val="center"/>
          </w:tcPr>
          <w:p>
            <w:pPr>
              <w:pStyle w:val="zyTableNAm"/>
            </w:pPr>
            <w:r>
              <w:t>Bullaring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Bullfinch</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Bunjil</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Buntine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Burracoppin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Calingiri</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Camballin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Capel</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2</w:t>
            </w:r>
          </w:p>
        </w:tc>
      </w:tr>
      <w:tr>
        <w:tc>
          <w:tcPr>
            <w:tcW w:w="2920" w:type="dxa"/>
            <w:tcBorders>
              <w:top w:val="nil"/>
              <w:left w:val="nil"/>
              <w:bottom w:val="nil"/>
              <w:right w:val="nil"/>
            </w:tcBorders>
            <w:vAlign w:val="center"/>
          </w:tcPr>
          <w:p>
            <w:pPr>
              <w:pStyle w:val="zyTableNAm"/>
            </w:pPr>
            <w:r>
              <w:t>Carnamah</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Carnarvon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Caron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Cervantes</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Collie</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Collie Farmlands</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Condingup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Coolgardie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Coomberdale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Coorow</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Coral Bay</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N/A</w:t>
            </w:r>
          </w:p>
        </w:tc>
      </w:tr>
      <w:tr>
        <w:tc>
          <w:tcPr>
            <w:tcW w:w="2920" w:type="dxa"/>
            <w:tcBorders>
              <w:top w:val="nil"/>
              <w:left w:val="nil"/>
              <w:bottom w:val="nil"/>
              <w:right w:val="nil"/>
            </w:tcBorders>
            <w:vAlign w:val="center"/>
          </w:tcPr>
          <w:p>
            <w:pPr>
              <w:pStyle w:val="zyTableNAm"/>
            </w:pPr>
            <w:r>
              <w:t>Corrigin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Cowaramup</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Cranbrook</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Cuballing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Cue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Cunderdin</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Dalwallinu</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Dalyellup</w:t>
            </w:r>
          </w:p>
        </w:tc>
        <w:tc>
          <w:tcPr>
            <w:tcW w:w="1800" w:type="dxa"/>
            <w:tcBorders>
              <w:top w:val="nil"/>
              <w:left w:val="nil"/>
              <w:bottom w:val="nil"/>
              <w:right w:val="nil"/>
            </w:tcBorders>
            <w:vAlign w:val="center"/>
          </w:tcPr>
          <w:p>
            <w:pPr>
              <w:pStyle w:val="zyTableNAm"/>
              <w:jc w:val="center"/>
              <w:rPr>
                <w:spacing w:val="-2"/>
                <w:szCs w:val="12"/>
              </w:rPr>
            </w:pPr>
            <w:r>
              <w:rPr>
                <w:spacing w:val="-2"/>
                <w:szCs w:val="12"/>
              </w:rPr>
              <w:t>1</w:t>
            </w:r>
          </w:p>
        </w:tc>
        <w:tc>
          <w:tcPr>
            <w:tcW w:w="1800" w:type="dxa"/>
            <w:tcBorders>
              <w:top w:val="nil"/>
              <w:left w:val="nil"/>
              <w:bottom w:val="nil"/>
              <w:right w:val="nil"/>
            </w:tcBorders>
            <w:vAlign w:val="center"/>
          </w:tcPr>
          <w:p>
            <w:pPr>
              <w:pStyle w:val="zyTableNAm"/>
              <w:jc w:val="center"/>
            </w:pPr>
            <w:r>
              <w:t>4</w:t>
            </w:r>
          </w:p>
        </w:tc>
      </w:tr>
      <w:tr>
        <w:tc>
          <w:tcPr>
            <w:tcW w:w="2920" w:type="dxa"/>
            <w:tcBorders>
              <w:top w:val="nil"/>
              <w:left w:val="nil"/>
              <w:bottom w:val="nil"/>
              <w:right w:val="nil"/>
            </w:tcBorders>
            <w:vAlign w:val="center"/>
          </w:tcPr>
          <w:p>
            <w:pPr>
              <w:pStyle w:val="zyTableNAm"/>
            </w:pPr>
            <w:r>
              <w:t>Dandaragan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tcPr>
          <w:p>
            <w:pPr>
              <w:pStyle w:val="zyTableNAm"/>
              <w:jc w:val="center"/>
            </w:pPr>
            <w:r>
              <w:t>11</w:t>
            </w:r>
          </w:p>
        </w:tc>
      </w:tr>
      <w:tr>
        <w:tc>
          <w:tcPr>
            <w:tcW w:w="2920" w:type="dxa"/>
            <w:tcBorders>
              <w:top w:val="nil"/>
              <w:left w:val="nil"/>
              <w:bottom w:val="nil"/>
              <w:right w:val="nil"/>
            </w:tcBorders>
          </w:tcPr>
          <w:p>
            <w:pPr>
              <w:pStyle w:val="zyTableNAm"/>
            </w:pPr>
            <w:r>
              <w:t>Dardanup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tcPr>
          <w:p>
            <w:pPr>
              <w:pStyle w:val="zyTableNAm"/>
              <w:jc w:val="center"/>
            </w:pPr>
            <w:r>
              <w:t>9</w:t>
            </w:r>
          </w:p>
        </w:tc>
      </w:tr>
      <w:tr>
        <w:tc>
          <w:tcPr>
            <w:tcW w:w="2920" w:type="dxa"/>
            <w:tcBorders>
              <w:top w:val="nil"/>
              <w:left w:val="nil"/>
              <w:bottom w:val="nil"/>
              <w:right w:val="nil"/>
            </w:tcBorders>
            <w:vAlign w:val="center"/>
          </w:tcPr>
          <w:p>
            <w:pPr>
              <w:pStyle w:val="zyTableNAm"/>
            </w:pPr>
            <w:r>
              <w:t>Darkan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Dathagnoorara Farmlands</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Denham (Saline)</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6</w:t>
            </w:r>
          </w:p>
        </w:tc>
      </w:tr>
      <w:tr>
        <w:tc>
          <w:tcPr>
            <w:tcW w:w="2920" w:type="dxa"/>
            <w:tcBorders>
              <w:top w:val="nil"/>
              <w:left w:val="nil"/>
              <w:bottom w:val="nil"/>
              <w:right w:val="nil"/>
            </w:tcBorders>
            <w:vAlign w:val="center"/>
          </w:tcPr>
          <w:p>
            <w:pPr>
              <w:pStyle w:val="zyTableNAm"/>
            </w:pPr>
            <w:r>
              <w:t>Denmark</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Derby</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Dongara/Denison</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Donnybrook</w:t>
            </w:r>
          </w:p>
        </w:tc>
        <w:tc>
          <w:tcPr>
            <w:tcW w:w="1800" w:type="dxa"/>
            <w:tcBorders>
              <w:top w:val="nil"/>
              <w:left w:val="nil"/>
              <w:bottom w:val="nil"/>
              <w:right w:val="nil"/>
            </w:tcBorders>
            <w:vAlign w:val="center"/>
          </w:tcPr>
          <w:p>
            <w:pPr>
              <w:pStyle w:val="zyTableNAm"/>
              <w:jc w:val="center"/>
              <w:rPr>
                <w:rStyle w:val="CharacterStyle1"/>
              </w:rP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Doodlakine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Dowerin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Dudinin/Harrismith/Jitarning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Dumbleyung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Dunsborough/Yallingup</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6</w:t>
            </w:r>
          </w:p>
        </w:tc>
      </w:tr>
      <w:tr>
        <w:tc>
          <w:tcPr>
            <w:tcW w:w="2920" w:type="dxa"/>
            <w:tcBorders>
              <w:top w:val="nil"/>
              <w:left w:val="nil"/>
              <w:bottom w:val="nil"/>
              <w:right w:val="nil"/>
            </w:tcBorders>
            <w:vAlign w:val="center"/>
          </w:tcPr>
          <w:p>
            <w:pPr>
              <w:pStyle w:val="zyTableNAm"/>
            </w:pPr>
            <w:r>
              <w:t>Dwellingup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Eneabba</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Eradu</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Esperance</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Exmouth</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Fitzroy Crossing</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5</w:t>
            </w:r>
          </w:p>
        </w:tc>
      </w:tr>
      <w:tr>
        <w:tc>
          <w:tcPr>
            <w:tcW w:w="2920" w:type="dxa"/>
            <w:tcBorders>
              <w:top w:val="nil"/>
              <w:left w:val="nil"/>
              <w:bottom w:val="nil"/>
              <w:right w:val="nil"/>
            </w:tcBorders>
            <w:vAlign w:val="center"/>
          </w:tcPr>
          <w:p>
            <w:pPr>
              <w:pStyle w:val="zyTableNAm"/>
            </w:pPr>
            <w:r>
              <w:t>Frankland</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Gabbadah</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Gascoyne Junction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Geraldton</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Gibson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Gingin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Gnarabup</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Gnowangerup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Goomalling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Grass Patch</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Grass Valley</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Greenbushes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Greenhead</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Guilderton</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Halls Creek</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Hamel/Waroona</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Harvey/Wokalup</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Highbury/Piesseville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Hines Hill</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Hopetoun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Horrocks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Hyden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Jerramungup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Jurien Bay</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Kalannie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Kalbarri</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Kalgoorlie/Boulder</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Kambalda</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5</w:t>
            </w:r>
          </w:p>
        </w:tc>
      </w:tr>
      <w:tr>
        <w:tc>
          <w:tcPr>
            <w:tcW w:w="2920" w:type="dxa"/>
            <w:tcBorders>
              <w:top w:val="nil"/>
              <w:left w:val="nil"/>
              <w:bottom w:val="nil"/>
              <w:right w:val="nil"/>
            </w:tcBorders>
            <w:vAlign w:val="center"/>
          </w:tcPr>
          <w:p>
            <w:pPr>
              <w:pStyle w:val="zyTableNAm"/>
            </w:pPr>
            <w:r>
              <w:t>Karakin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Karlgarin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Karratha</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Katanning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Katanning Farmlands</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Kellerberrin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Kendenup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Kendenup Farmlands</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Kirup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Kojonup/Muradup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Kondinin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Koorda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Kukerin/Moulyinning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Kulin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Kununoppin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tcPr>
          <w:p>
            <w:pPr>
              <w:pStyle w:val="zyTableNAm"/>
            </w:pPr>
            <w:r>
              <w:t>Kununurra</w:t>
            </w:r>
          </w:p>
        </w:tc>
        <w:tc>
          <w:tcPr>
            <w:tcW w:w="1800" w:type="dxa"/>
            <w:tcBorders>
              <w:top w:val="nil"/>
              <w:left w:val="nil"/>
              <w:bottom w:val="nil"/>
              <w:right w:val="nil"/>
            </w:tcBorders>
          </w:tcPr>
          <w:p>
            <w:pPr>
              <w:pStyle w:val="zyTableNAm"/>
              <w:jc w:val="center"/>
            </w:pPr>
            <w:r>
              <w:t>2</w:t>
            </w:r>
          </w:p>
        </w:tc>
        <w:tc>
          <w:tcPr>
            <w:tcW w:w="1800" w:type="dxa"/>
            <w:tcBorders>
              <w:top w:val="nil"/>
              <w:left w:val="nil"/>
              <w:bottom w:val="nil"/>
              <w:right w:val="nil"/>
            </w:tcBorders>
          </w:tcPr>
          <w:p>
            <w:pPr>
              <w:pStyle w:val="zyTableNAm"/>
              <w:jc w:val="center"/>
            </w:pPr>
            <w:r>
              <w:t>3</w:t>
            </w:r>
          </w:p>
        </w:tc>
      </w:tr>
      <w:tr>
        <w:tc>
          <w:tcPr>
            <w:tcW w:w="2920" w:type="dxa"/>
            <w:tcBorders>
              <w:top w:val="nil"/>
              <w:left w:val="nil"/>
              <w:bottom w:val="nil"/>
              <w:right w:val="nil"/>
            </w:tcBorders>
            <w:vAlign w:val="center"/>
          </w:tcPr>
          <w:p>
            <w:pPr>
              <w:pStyle w:val="zyTableNAm"/>
            </w:pPr>
            <w:r>
              <w:t>Lake Argyle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Lake Grace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Lake King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Lancelin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Latham</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Laverton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Ledge Point</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Leeman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Leonora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Mandurah</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Manjimup</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Marble Bar</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Margaret River</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Marvel Loch</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Meckering</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Meekatharra</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Menzies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Merredin</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Merredin Farmlands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Miling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Mingenew</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Moora</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Moorine Rock</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Morawa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Mount Barker</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Mount Magnet</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Mount Roe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Mukinbudin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Mullalyup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Mullewa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Mullewa Farmlands</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Munglinup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Muntadgin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Myalup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Nabawa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Nannup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Narembeen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Narngulu</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Narrikup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Narrogin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Narrogin Farmlands</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New Norcia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Newdegate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Newman</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Nilgen</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4</w:t>
            </w:r>
          </w:p>
        </w:tc>
      </w:tr>
      <w:tr>
        <w:tc>
          <w:tcPr>
            <w:tcW w:w="2920" w:type="dxa"/>
            <w:tcBorders>
              <w:top w:val="nil"/>
              <w:left w:val="nil"/>
              <w:bottom w:val="nil"/>
              <w:right w:val="nil"/>
            </w:tcBorders>
            <w:vAlign w:val="center"/>
          </w:tcPr>
          <w:p>
            <w:pPr>
              <w:pStyle w:val="zyTableNAm"/>
            </w:pPr>
            <w:r>
              <w:t>Norseman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North Dandalup</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Northam</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Northam Farmlands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10</w:t>
            </w:r>
          </w:p>
        </w:tc>
      </w:tr>
      <w:tr>
        <w:tc>
          <w:tcPr>
            <w:tcW w:w="2920" w:type="dxa"/>
            <w:tcBorders>
              <w:top w:val="nil"/>
              <w:left w:val="nil"/>
              <w:bottom w:val="nil"/>
              <w:right w:val="nil"/>
            </w:tcBorders>
            <w:vAlign w:val="center"/>
          </w:tcPr>
          <w:p>
            <w:pPr>
              <w:pStyle w:val="zyTableNAm"/>
            </w:pPr>
            <w:r>
              <w:t>Northampton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Northcliffe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Nullagine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Nungarin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Nyabing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Ongerup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Onslow</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Ora Banda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Park Ridge</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Pemberton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Peppermint Grove Beach</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Perenjori</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Pingaring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Pingelly</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Pingrup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Pinjarra</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2</w:t>
            </w:r>
          </w:p>
        </w:tc>
      </w:tr>
      <w:tr>
        <w:tc>
          <w:tcPr>
            <w:tcW w:w="2920" w:type="dxa"/>
            <w:tcBorders>
              <w:top w:val="nil"/>
              <w:left w:val="nil"/>
              <w:bottom w:val="nil"/>
              <w:right w:val="nil"/>
            </w:tcBorders>
            <w:vAlign w:val="center"/>
          </w:tcPr>
          <w:p>
            <w:pPr>
              <w:pStyle w:val="zyTableNAm"/>
            </w:pPr>
            <w:r>
              <w:t>Pithara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Point Samson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Popanyinning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Porongurup</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Port Hedland</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Preston Beach</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Quairading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Quinninup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Ravensthorpe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Rocky Gully</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Roebourne</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Salmon Gums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Sandstone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Seabird</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South Hedland</w:t>
            </w:r>
          </w:p>
        </w:tc>
        <w:tc>
          <w:tcPr>
            <w:tcW w:w="1800" w:type="dxa"/>
            <w:tcBorders>
              <w:top w:val="nil"/>
              <w:left w:val="nil"/>
              <w:bottom w:val="nil"/>
              <w:right w:val="nil"/>
            </w:tcBorders>
            <w:vAlign w:val="center"/>
          </w:tcPr>
          <w:p>
            <w:pPr>
              <w:pStyle w:val="zyTableNAm"/>
              <w:jc w:val="center"/>
            </w:pPr>
            <w:r>
              <w:t>2</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Southern Cross</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6</w:t>
            </w:r>
          </w:p>
        </w:tc>
      </w:tr>
      <w:tr>
        <w:tc>
          <w:tcPr>
            <w:tcW w:w="2920" w:type="dxa"/>
            <w:tcBorders>
              <w:top w:val="nil"/>
              <w:left w:val="nil"/>
              <w:bottom w:val="nil"/>
              <w:right w:val="nil"/>
            </w:tcBorders>
            <w:vAlign w:val="center"/>
          </w:tcPr>
          <w:p>
            <w:pPr>
              <w:pStyle w:val="zyTableNAm"/>
            </w:pPr>
            <w:r>
              <w:t>Tambellup</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Tammin</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Three Springs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Tincurrin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Toodyay</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Trayning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Varley</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Wagin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Walkaway</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Walpole</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Wandering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Watheroo</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Wellstead</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Westonia</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Wickepin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Wickham</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Widgiemooltha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Williams</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Wiluna</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Wongan Hills</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Woodanilling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Woodridge</w:t>
            </w:r>
          </w:p>
        </w:tc>
        <w:tc>
          <w:tcPr>
            <w:tcW w:w="1800" w:type="dxa"/>
            <w:tcBorders>
              <w:top w:val="nil"/>
              <w:left w:val="nil"/>
              <w:bottom w:val="nil"/>
              <w:right w:val="nil"/>
            </w:tcBorders>
            <w:vAlign w:val="center"/>
          </w:tcPr>
          <w:p>
            <w:pPr>
              <w:pStyle w:val="zyTableNAm"/>
              <w:jc w:val="center"/>
            </w:pPr>
            <w:r>
              <w:t>4</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Wubin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Wundowie</w:t>
            </w:r>
          </w:p>
        </w:tc>
        <w:tc>
          <w:tcPr>
            <w:tcW w:w="1800" w:type="dxa"/>
            <w:tcBorders>
              <w:top w:val="nil"/>
              <w:left w:val="nil"/>
              <w:bottom w:val="nil"/>
              <w:right w:val="nil"/>
            </w:tcBorders>
            <w:vAlign w:val="center"/>
          </w:tcPr>
          <w:p>
            <w:pPr>
              <w:pStyle w:val="zyTableNAm"/>
              <w:jc w:val="center"/>
            </w:pPr>
            <w:r>
              <w:t>1</w:t>
            </w:r>
          </w:p>
        </w:tc>
        <w:tc>
          <w:tcPr>
            <w:tcW w:w="1800" w:type="dxa"/>
            <w:tcBorders>
              <w:top w:val="nil"/>
              <w:left w:val="nil"/>
              <w:bottom w:val="nil"/>
              <w:right w:val="nil"/>
            </w:tcBorders>
            <w:vAlign w:val="center"/>
          </w:tcPr>
          <w:p>
            <w:pPr>
              <w:pStyle w:val="zyTableNAm"/>
              <w:jc w:val="center"/>
            </w:pPr>
            <w:r>
              <w:t>1</w:t>
            </w:r>
          </w:p>
        </w:tc>
      </w:tr>
      <w:tr>
        <w:tc>
          <w:tcPr>
            <w:tcW w:w="2920" w:type="dxa"/>
            <w:tcBorders>
              <w:top w:val="nil"/>
              <w:left w:val="nil"/>
              <w:bottom w:val="nil"/>
              <w:right w:val="nil"/>
            </w:tcBorders>
            <w:vAlign w:val="center"/>
          </w:tcPr>
          <w:p>
            <w:pPr>
              <w:pStyle w:val="zyTableNAm"/>
            </w:pPr>
            <w:r>
              <w:t>Wyalkatchem</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Wyndham</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Yalgoo</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11</w:t>
            </w:r>
          </w:p>
        </w:tc>
      </w:tr>
      <w:tr>
        <w:tc>
          <w:tcPr>
            <w:tcW w:w="2920" w:type="dxa"/>
            <w:tcBorders>
              <w:top w:val="nil"/>
              <w:left w:val="nil"/>
              <w:bottom w:val="nil"/>
              <w:right w:val="nil"/>
            </w:tcBorders>
            <w:vAlign w:val="center"/>
          </w:tcPr>
          <w:p>
            <w:pPr>
              <w:pStyle w:val="zyTableNAm"/>
            </w:pPr>
            <w:r>
              <w:t>Yarloop/Wagerup</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3</w:t>
            </w:r>
          </w:p>
        </w:tc>
      </w:tr>
      <w:tr>
        <w:tc>
          <w:tcPr>
            <w:tcW w:w="2920" w:type="dxa"/>
            <w:tcBorders>
              <w:top w:val="nil"/>
              <w:left w:val="nil"/>
              <w:bottom w:val="nil"/>
              <w:right w:val="nil"/>
            </w:tcBorders>
            <w:vAlign w:val="center"/>
          </w:tcPr>
          <w:p>
            <w:pPr>
              <w:pStyle w:val="zyTableNAm"/>
            </w:pPr>
            <w:r>
              <w:t>Yealering</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9</w:t>
            </w:r>
          </w:p>
        </w:tc>
      </w:tr>
      <w:tr>
        <w:tc>
          <w:tcPr>
            <w:tcW w:w="2920" w:type="dxa"/>
            <w:tcBorders>
              <w:top w:val="nil"/>
              <w:left w:val="nil"/>
              <w:bottom w:val="nil"/>
              <w:right w:val="nil"/>
            </w:tcBorders>
            <w:vAlign w:val="center"/>
          </w:tcPr>
          <w:p>
            <w:pPr>
              <w:pStyle w:val="zyTableNAm"/>
            </w:pPr>
            <w:r>
              <w:t>Yerecoin</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r>
        <w:tc>
          <w:tcPr>
            <w:tcW w:w="2920" w:type="dxa"/>
            <w:tcBorders>
              <w:top w:val="nil"/>
              <w:left w:val="nil"/>
              <w:bottom w:val="nil"/>
              <w:right w:val="nil"/>
            </w:tcBorders>
            <w:vAlign w:val="center"/>
          </w:tcPr>
          <w:p>
            <w:pPr>
              <w:pStyle w:val="zyTableNAm"/>
            </w:pPr>
            <w:r>
              <w:t>York</w:t>
            </w:r>
          </w:p>
        </w:tc>
        <w:tc>
          <w:tcPr>
            <w:tcW w:w="1800" w:type="dxa"/>
            <w:tcBorders>
              <w:top w:val="nil"/>
              <w:left w:val="nil"/>
              <w:bottom w:val="nil"/>
              <w:right w:val="nil"/>
            </w:tcBorders>
            <w:vAlign w:val="center"/>
          </w:tcPr>
          <w:p>
            <w:pPr>
              <w:pStyle w:val="zyTableNAm"/>
              <w:jc w:val="center"/>
            </w:pPr>
            <w:r>
              <w:t>3</w:t>
            </w:r>
          </w:p>
        </w:tc>
        <w:tc>
          <w:tcPr>
            <w:tcW w:w="1800" w:type="dxa"/>
            <w:tcBorders>
              <w:top w:val="nil"/>
              <w:left w:val="nil"/>
              <w:bottom w:val="nil"/>
              <w:right w:val="nil"/>
            </w:tcBorders>
            <w:vAlign w:val="center"/>
          </w:tcPr>
          <w:p>
            <w:pPr>
              <w:pStyle w:val="zyTableNAm"/>
              <w:jc w:val="center"/>
            </w:pPr>
            <w:r>
              <w:t>7</w:t>
            </w:r>
          </w:p>
        </w:tc>
      </w:tr>
      <w:tr>
        <w:tc>
          <w:tcPr>
            <w:tcW w:w="2920" w:type="dxa"/>
            <w:tcBorders>
              <w:top w:val="nil"/>
              <w:left w:val="nil"/>
              <w:bottom w:val="nil"/>
              <w:right w:val="nil"/>
            </w:tcBorders>
            <w:vAlign w:val="center"/>
          </w:tcPr>
          <w:p>
            <w:pPr>
              <w:pStyle w:val="zyTableNAm"/>
            </w:pPr>
            <w:r>
              <w:t>Yuna</w:t>
            </w:r>
          </w:p>
        </w:tc>
        <w:tc>
          <w:tcPr>
            <w:tcW w:w="1800" w:type="dxa"/>
            <w:tcBorders>
              <w:top w:val="nil"/>
              <w:left w:val="nil"/>
              <w:bottom w:val="nil"/>
              <w:right w:val="nil"/>
            </w:tcBorders>
            <w:vAlign w:val="center"/>
          </w:tcPr>
          <w:p>
            <w:pPr>
              <w:pStyle w:val="zyTableNAm"/>
              <w:jc w:val="center"/>
            </w:pPr>
            <w:r>
              <w:t>5</w:t>
            </w:r>
          </w:p>
        </w:tc>
        <w:tc>
          <w:tcPr>
            <w:tcW w:w="1800" w:type="dxa"/>
            <w:tcBorders>
              <w:top w:val="nil"/>
              <w:left w:val="nil"/>
              <w:bottom w:val="nil"/>
              <w:right w:val="nil"/>
            </w:tcBorders>
            <w:vAlign w:val="center"/>
          </w:tcPr>
          <w:p>
            <w:pPr>
              <w:pStyle w:val="zyTableNAm"/>
              <w:jc w:val="center"/>
            </w:pPr>
            <w:r>
              <w:t>12</w:t>
            </w:r>
          </w:p>
        </w:tc>
      </w:tr>
    </w:tbl>
    <w:p>
      <w:pPr>
        <w:pStyle w:val="yFootnotesection"/>
      </w:pPr>
      <w:r>
        <w:tab/>
        <w:t>[Schedule 10 inserted in Gazette 19 Jun 2009 p. 2383-92.]</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634" w:name="_Toc91580567"/>
      <w:bookmarkStart w:id="635" w:name="_Toc103667252"/>
      <w:bookmarkStart w:id="636" w:name="_Toc103741771"/>
      <w:bookmarkStart w:id="637" w:name="_Toc107982014"/>
      <w:bookmarkStart w:id="638" w:name="_Toc118800181"/>
      <w:bookmarkStart w:id="639" w:name="_Toc118860189"/>
      <w:bookmarkStart w:id="640" w:name="_Toc121545689"/>
      <w:bookmarkStart w:id="641" w:name="_Toc121801212"/>
      <w:bookmarkStart w:id="642" w:name="_Toc121818325"/>
      <w:bookmarkStart w:id="643" w:name="_Toc121880935"/>
      <w:bookmarkStart w:id="644" w:name="_Toc129482006"/>
      <w:bookmarkStart w:id="645" w:name="_Toc130095375"/>
      <w:bookmarkStart w:id="646" w:name="_Toc130273439"/>
      <w:bookmarkStart w:id="647" w:name="_Toc139771111"/>
      <w:bookmarkStart w:id="648" w:name="_Toc139771489"/>
      <w:bookmarkStart w:id="649" w:name="_Toc151191704"/>
      <w:bookmarkStart w:id="650" w:name="_Toc151260597"/>
      <w:bookmarkStart w:id="651" w:name="_Toc164158704"/>
      <w:bookmarkStart w:id="652" w:name="_Toc164221076"/>
      <w:bookmarkStart w:id="653" w:name="_Toc170879152"/>
      <w:bookmarkStart w:id="654" w:name="_Toc170894789"/>
      <w:bookmarkStart w:id="655" w:name="_Toc175712755"/>
      <w:bookmarkStart w:id="656" w:name="_Toc175970696"/>
      <w:bookmarkStart w:id="657" w:name="_Toc176335415"/>
      <w:bookmarkStart w:id="658" w:name="_Toc176338990"/>
      <w:bookmarkStart w:id="659" w:name="_Toc178743015"/>
      <w:bookmarkStart w:id="660" w:name="_Toc179363438"/>
      <w:bookmarkStart w:id="661" w:name="_Toc179604507"/>
      <w:bookmarkStart w:id="662" w:name="_Toc180204700"/>
      <w:bookmarkStart w:id="663" w:name="_Toc180204916"/>
      <w:bookmarkStart w:id="664" w:name="_Toc185844661"/>
      <w:bookmarkStart w:id="665" w:name="_Toc185845281"/>
      <w:bookmarkStart w:id="666" w:name="_Toc185927246"/>
      <w:bookmarkStart w:id="667" w:name="_Toc202506108"/>
      <w:bookmarkStart w:id="668" w:name="_Toc202672840"/>
      <w:bookmarkStart w:id="669" w:name="_Toc202691800"/>
      <w:bookmarkStart w:id="670" w:name="_Toc233448466"/>
      <w:bookmarkStart w:id="671" w:name="_Toc233611736"/>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672" w:name="_Toc180204917"/>
      <w:bookmarkStart w:id="673" w:name="_Toc233611737"/>
      <w:r>
        <w:t>Compilation table</w:t>
      </w:r>
      <w:bookmarkEnd w:id="672"/>
      <w:bookmarkEnd w:id="6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17 Jun 2008 (see l. 2(a));</w:t>
            </w:r>
            <w:r>
              <w:rPr>
                <w:sz w:val="19"/>
              </w:rPr>
              <w:br/>
              <w:t>By-laws other than bl. 1 and 2: 1 Jul 2008 (see bl. 2(b))</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2009</w:t>
            </w:r>
          </w:p>
        </w:tc>
        <w:tc>
          <w:tcPr>
            <w:tcW w:w="1276" w:type="dxa"/>
            <w:tcBorders>
              <w:bottom w:val="single" w:sz="4" w:space="0" w:color="auto"/>
            </w:tcBorders>
          </w:tcPr>
          <w:p>
            <w:pPr>
              <w:pStyle w:val="nTable"/>
              <w:spacing w:after="40"/>
              <w:rPr>
                <w:sz w:val="19"/>
              </w:rPr>
            </w:pPr>
            <w:r>
              <w:rPr>
                <w:sz w:val="19"/>
              </w:rPr>
              <w:t>19 Jun 2009 p. 2319-92</w:t>
            </w:r>
          </w:p>
        </w:tc>
        <w:tc>
          <w:tcPr>
            <w:tcW w:w="2693" w:type="dxa"/>
            <w:tcBorders>
              <w:bottom w:val="single" w:sz="4" w:space="0" w:color="auto"/>
            </w:tcBorders>
          </w:tcPr>
          <w:p>
            <w:pPr>
              <w:pStyle w:val="nTable"/>
              <w:spacing w:before="0" w:after="40"/>
              <w:rPr>
                <w:sz w:val="19"/>
              </w:rPr>
            </w:pPr>
            <w:r>
              <w:rPr>
                <w:sz w:val="19"/>
              </w:rPr>
              <w:t>bl. 1 and 2: 19 Jun 2009 (see bl. 2(a));</w:t>
            </w:r>
            <w:r>
              <w:rPr>
                <w:sz w:val="19"/>
              </w:rPr>
              <w:br/>
              <w:t>By-laws other than bl. 1 and 2: 1 Jul 2009 (see bl. 2(b))</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(Charges) By-laws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D824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E6F7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ACF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40CD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C086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F9E17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50E4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04D9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5A6E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F66B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F248F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62B407F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225"/>
    <w:docVar w:name="WAFER_20151209172225" w:val="RemoveTrackChanges"/>
    <w:docVar w:name="WAFER_20151209172225_GUID" w:val="33d3d8a2-24b8-4976-b6ed-8a3ab56a55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28361</Words>
  <Characters>133864</Characters>
  <Application>Microsoft Office Word</Application>
  <DocSecurity>0</DocSecurity>
  <Lines>7874</Lines>
  <Paragraphs>5407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1987 - 05-d0-02</dc:title>
  <dc:subject/>
  <dc:creator/>
  <cp:keywords/>
  <dc:description/>
  <cp:lastModifiedBy>svcMRProcess</cp:lastModifiedBy>
  <cp:revision>4</cp:revision>
  <cp:lastPrinted>2008-07-01T02:47:00Z</cp:lastPrinted>
  <dcterms:created xsi:type="dcterms:W3CDTF">2020-02-29T13:23:00Z</dcterms:created>
  <dcterms:modified xsi:type="dcterms:W3CDTF">2020-02-29T13:23:00Z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5</vt:lpwstr>
  </property>
  <property fmtid="{D5CDD505-2E9C-101B-9397-08002B2CF9AE}" pid="7" name="AsAtDate">
    <vt:lpwstr>01 Jul 2009</vt:lpwstr>
  </property>
  <property fmtid="{D5CDD505-2E9C-101B-9397-08002B2CF9AE}" pid="8" name="Suffix">
    <vt:lpwstr>05-d0-02</vt:lpwstr>
  </property>
</Properties>
</file>