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Retail Trading Hours (Tourism Precincts and Holiday Resorts) Regulations 2007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Retail Trading Hours (Tourism Precincts and Holiday Resorts) Regulations 2007</w:t>
      </w:r>
      <w:r>
        <w:fldChar w:fldCharType="end"/>
      </w:r>
    </w:p>
    <w:p>
      <w:pPr>
        <w:pStyle w:val="Arrangement"/>
      </w:pPr>
      <w:r>
        <w:t>CONTENTS</w:t>
      </w:r>
    </w:p>
    <w:p>
      <w:pPr>
        <w:pStyle w:val="TOC8"/>
        <w:rPr>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24"/>
        </w:rPr>
        <w:t>1.</w:t>
      </w:r>
      <w:r>
        <w:rPr>
          <w:szCs w:val="24"/>
        </w:rPr>
        <w:tab/>
        <w:t>Citation</w:t>
      </w:r>
      <w:r>
        <w:tab/>
      </w:r>
      <w:r>
        <w:fldChar w:fldCharType="begin"/>
      </w:r>
      <w:r>
        <w:instrText xml:space="preserve"> PAGEREF _Toc235325907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_Toc235325908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Fremantle tourism precinct prescribed</w:t>
      </w:r>
      <w:r>
        <w:tab/>
      </w:r>
      <w:r>
        <w:fldChar w:fldCharType="begin"/>
      </w:r>
      <w:r>
        <w:instrText xml:space="preserve"> PAGEREF _Toc235325909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Perth tourism precinct prescribed</w:t>
      </w:r>
      <w:r>
        <w:tab/>
      </w:r>
      <w:r>
        <w:fldChar w:fldCharType="begin"/>
      </w:r>
      <w:r>
        <w:instrText xml:space="preserve"> PAGEREF _Toc235325910 \h </w:instrText>
      </w:r>
      <w:r>
        <w:fldChar w:fldCharType="separate"/>
      </w:r>
      <w:r>
        <w:t>1</w:t>
      </w:r>
      <w:r>
        <w:fldChar w:fldCharType="end"/>
      </w:r>
    </w:p>
    <w:p>
      <w:pPr>
        <w:pStyle w:val="TOC8"/>
        <w:rPr>
          <w:sz w:val="24"/>
          <w:szCs w:val="24"/>
        </w:rPr>
      </w:pPr>
      <w:r>
        <w:rPr>
          <w:szCs w:val="24"/>
        </w:rPr>
        <w:t>5</w:t>
      </w:r>
      <w:r>
        <w:rPr>
          <w:snapToGrid w:val="0"/>
          <w:szCs w:val="24"/>
        </w:rPr>
        <w:t>.</w:t>
      </w:r>
      <w:r>
        <w:rPr>
          <w:snapToGrid w:val="0"/>
          <w:szCs w:val="24"/>
        </w:rPr>
        <w:tab/>
        <w:t>Holiday resorts prescribed</w:t>
      </w:r>
      <w:r>
        <w:tab/>
      </w:r>
      <w:r>
        <w:fldChar w:fldCharType="begin"/>
      </w:r>
      <w:r>
        <w:instrText xml:space="preserve"> PAGEREF _Toc235325911 \h </w:instrText>
      </w:r>
      <w:r>
        <w:fldChar w:fldCharType="separate"/>
      </w:r>
      <w:r>
        <w:t>2</w:t>
      </w:r>
      <w:r>
        <w:fldChar w:fldCharType="end"/>
      </w:r>
    </w:p>
    <w:p>
      <w:pPr>
        <w:pStyle w:val="TOC2"/>
        <w:tabs>
          <w:tab w:val="right" w:leader="dot" w:pos="7086"/>
        </w:tabs>
        <w:rPr>
          <w:b w:val="0"/>
          <w:sz w:val="24"/>
          <w:szCs w:val="24"/>
        </w:rPr>
      </w:pPr>
      <w:r>
        <w:rPr>
          <w:szCs w:val="28"/>
        </w:rPr>
        <w:t>Schedule 1 — Tourism precincts</w:t>
      </w:r>
    </w:p>
    <w:p>
      <w:pPr>
        <w:pStyle w:val="TOC4"/>
        <w:tabs>
          <w:tab w:val="right" w:leader="dot" w:pos="7086"/>
        </w:tabs>
        <w:rPr>
          <w:b w:val="0"/>
          <w:sz w:val="24"/>
          <w:szCs w:val="24"/>
        </w:rPr>
      </w:pPr>
      <w:r>
        <w:rPr>
          <w:szCs w:val="24"/>
        </w:rPr>
        <w:t>Division 1 — Fremantle tourism precinct</w:t>
      </w:r>
    </w:p>
    <w:p>
      <w:pPr>
        <w:pStyle w:val="TOC4"/>
        <w:tabs>
          <w:tab w:val="right" w:leader="dot" w:pos="7086"/>
        </w:tabs>
        <w:rPr>
          <w:b w:val="0"/>
          <w:sz w:val="24"/>
          <w:szCs w:val="24"/>
        </w:rPr>
      </w:pPr>
      <w:r>
        <w:rPr>
          <w:szCs w:val="24"/>
        </w:rPr>
        <w:t>Division 2 — General Perth tourism precinct</w:t>
      </w:r>
    </w:p>
    <w:p>
      <w:pPr>
        <w:pStyle w:val="TOC2"/>
        <w:tabs>
          <w:tab w:val="right" w:leader="dot" w:pos="7086"/>
        </w:tabs>
        <w:rPr>
          <w:b w:val="0"/>
          <w:sz w:val="24"/>
          <w:szCs w:val="24"/>
        </w:rPr>
      </w:pPr>
      <w:r>
        <w:rPr>
          <w:szCs w:val="28"/>
        </w:rPr>
        <w:t>Schedule 2 — Holiday resorts</w:t>
      </w:r>
    </w:p>
    <w:p>
      <w:pPr>
        <w:pStyle w:val="TOC4"/>
        <w:tabs>
          <w:tab w:val="right" w:leader="dot" w:pos="7086"/>
        </w:tabs>
        <w:rPr>
          <w:b w:val="0"/>
          <w:sz w:val="24"/>
          <w:szCs w:val="24"/>
        </w:rPr>
      </w:pPr>
      <w:r>
        <w:rPr>
          <w:szCs w:val="24"/>
        </w:rPr>
        <w:t>Division 1 — Rockingham holiday resort</w:t>
      </w:r>
    </w:p>
    <w:p>
      <w:pPr>
        <w:pStyle w:val="TOC4"/>
        <w:tabs>
          <w:tab w:val="right" w:leader="dot" w:pos="7086"/>
        </w:tabs>
        <w:rPr>
          <w:b w:val="0"/>
          <w:sz w:val="24"/>
          <w:szCs w:val="24"/>
        </w:rPr>
      </w:pPr>
      <w:r>
        <w:rPr>
          <w:szCs w:val="24"/>
        </w:rPr>
        <w:t>Division 2 — Rottnest Island holiday resort</w:t>
      </w:r>
    </w:p>
    <w:p>
      <w:pPr>
        <w:pStyle w:val="TOC4"/>
        <w:tabs>
          <w:tab w:val="right" w:leader="dot" w:pos="7086"/>
        </w:tabs>
        <w:rPr>
          <w:b w:val="0"/>
          <w:sz w:val="24"/>
          <w:szCs w:val="24"/>
        </w:rPr>
      </w:pPr>
      <w:r>
        <w:rPr>
          <w:szCs w:val="24"/>
        </w:rPr>
        <w:t>Division 3 — Wanneroo holiday resort</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_Toc235325920 \h </w:instrText>
      </w:r>
      <w:r>
        <w:fldChar w:fldCharType="separate"/>
      </w:r>
      <w:r>
        <w:t>6</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Retail Trading Hours Act 1987</w:t>
      </w:r>
    </w:p>
    <w:p>
      <w:pPr>
        <w:pStyle w:val="NameofActReg"/>
      </w:pPr>
      <w:r>
        <w:t>Retail Trading Hours (Tourism Precincts and Holiday Resorts) Regulations 2007</w:t>
      </w:r>
    </w:p>
    <w:p>
      <w:pPr>
        <w:pStyle w:val="Heading5"/>
      </w:pPr>
      <w:bookmarkStart w:id="2" w:name="_Toc423332722"/>
      <w:bookmarkStart w:id="3" w:name="_Toc425219441"/>
      <w:bookmarkStart w:id="4" w:name="_Toc426249308"/>
      <w:bookmarkStart w:id="5" w:name="_Toc449924704"/>
      <w:bookmarkStart w:id="6" w:name="_Toc449947722"/>
      <w:bookmarkStart w:id="7" w:name="_Toc454185713"/>
      <w:bookmarkStart w:id="8" w:name="_Toc515958686"/>
      <w:bookmarkStart w:id="9" w:name="_Toc235325907"/>
      <w:r>
        <w:rPr>
          <w:rStyle w:val="CharSectno"/>
        </w:rPr>
        <w:t>1</w:t>
      </w:r>
      <w:r>
        <w:t>.</w:t>
      </w:r>
      <w:r>
        <w:tab/>
        <w:t>Citation</w:t>
      </w:r>
      <w:bookmarkEnd w:id="2"/>
      <w:bookmarkEnd w:id="3"/>
      <w:bookmarkEnd w:id="4"/>
      <w:bookmarkEnd w:id="5"/>
      <w:bookmarkEnd w:id="6"/>
      <w:bookmarkEnd w:id="7"/>
      <w:bookmarkEnd w:id="8"/>
      <w:bookmarkEnd w:id="9"/>
    </w:p>
    <w:p>
      <w:pPr>
        <w:pStyle w:val="Subsection"/>
        <w:rPr>
          <w:i/>
        </w:rPr>
      </w:pPr>
      <w:r>
        <w:tab/>
      </w:r>
      <w:r>
        <w:tab/>
      </w:r>
      <w:bookmarkStart w:id="10" w:name="Start_Cursor"/>
      <w:bookmarkEnd w:id="10"/>
      <w:r>
        <w:rPr>
          <w:spacing w:val="-2"/>
        </w:rPr>
        <w:t>These</w:t>
      </w:r>
      <w:r>
        <w:t xml:space="preserve"> </w:t>
      </w:r>
      <w:r>
        <w:rPr>
          <w:spacing w:val="-2"/>
        </w:rPr>
        <w:t>regulations</w:t>
      </w:r>
      <w:r>
        <w:t xml:space="preserve"> are the </w:t>
      </w:r>
      <w:r>
        <w:rPr>
          <w:i/>
        </w:rPr>
        <w:t>Retail Trading Hours (Tourism Precincts and Holiday Resorts) Regulations 2007</w:t>
      </w:r>
      <w:r>
        <w:t>.</w:t>
      </w:r>
    </w:p>
    <w:p>
      <w:pPr>
        <w:pStyle w:val="Heading5"/>
        <w:rPr>
          <w:spacing w:val="-2"/>
        </w:rPr>
      </w:pPr>
      <w:bookmarkStart w:id="11" w:name="_Toc423332723"/>
      <w:bookmarkStart w:id="12" w:name="_Toc425219442"/>
      <w:bookmarkStart w:id="13" w:name="_Toc426249309"/>
      <w:bookmarkStart w:id="14" w:name="_Toc449924705"/>
      <w:bookmarkStart w:id="15" w:name="_Toc449947723"/>
      <w:bookmarkStart w:id="16" w:name="_Toc454185714"/>
      <w:bookmarkStart w:id="17" w:name="_Toc515958687"/>
      <w:bookmarkStart w:id="18" w:name="_Toc235325908"/>
      <w:r>
        <w:rPr>
          <w:rStyle w:val="CharSectno"/>
        </w:rPr>
        <w:t>2</w:t>
      </w:r>
      <w:r>
        <w:rPr>
          <w:spacing w:val="-2"/>
        </w:rPr>
        <w:t>.</w:t>
      </w:r>
      <w:r>
        <w:rPr>
          <w:spacing w:val="-2"/>
        </w:rPr>
        <w:tab/>
        <w:t>Commencement</w:t>
      </w:r>
      <w:bookmarkEnd w:id="11"/>
      <w:bookmarkEnd w:id="12"/>
      <w:bookmarkEnd w:id="13"/>
      <w:bookmarkEnd w:id="14"/>
      <w:bookmarkEnd w:id="15"/>
      <w:bookmarkEnd w:id="16"/>
      <w:bookmarkEnd w:id="17"/>
      <w:bookmarkEnd w:id="18"/>
    </w:p>
    <w:p>
      <w:pPr>
        <w:pStyle w:val="Subsection"/>
      </w:pPr>
      <w:r>
        <w:rPr>
          <w:spacing w:val="-2"/>
        </w:rPr>
        <w:tab/>
      </w:r>
      <w:r>
        <w:rPr>
          <w:spacing w:val="-2"/>
        </w:rPr>
        <w:tab/>
        <w:t xml:space="preserve">These regulations come into operation on </w:t>
      </w:r>
      <w:r>
        <w:rPr>
          <w:rFonts w:ascii="Times" w:hAnsi="Times"/>
        </w:rPr>
        <w:t xml:space="preserve">the day on which the </w:t>
      </w:r>
      <w:r>
        <w:rPr>
          <w:rFonts w:ascii="Times" w:hAnsi="Times"/>
          <w:i/>
          <w:iCs/>
        </w:rPr>
        <w:t>Retail Shops and Fair Trading Legislation Amendment Act 2006</w:t>
      </w:r>
      <w:r>
        <w:rPr>
          <w:rFonts w:ascii="Times" w:hAnsi="Times"/>
        </w:rPr>
        <w:t>* section 9 comes into operation.</w:t>
      </w:r>
    </w:p>
    <w:p>
      <w:pPr>
        <w:pStyle w:val="Subsection"/>
        <w:tabs>
          <w:tab w:val="clear" w:pos="595"/>
          <w:tab w:val="left" w:pos="1134"/>
        </w:tabs>
        <w:ind w:left="1134" w:hanging="1134"/>
        <w:rPr>
          <w:spacing w:val="-2"/>
        </w:rPr>
      </w:pPr>
      <w:r>
        <w:tab/>
        <w:t>[*</w:t>
      </w:r>
      <w:r>
        <w:tab/>
      </w:r>
      <w:r>
        <w:rPr>
          <w:i/>
          <w:iCs/>
        </w:rPr>
        <w:t>Act No. 47 of 2006</w:t>
      </w:r>
      <w:r>
        <w:t>.]</w:t>
      </w:r>
    </w:p>
    <w:p>
      <w:pPr>
        <w:pStyle w:val="Heading5"/>
        <w:rPr>
          <w:snapToGrid w:val="0"/>
        </w:rPr>
      </w:pPr>
      <w:bookmarkStart w:id="19" w:name="_Toc423332724"/>
      <w:bookmarkStart w:id="20" w:name="_Toc425219443"/>
      <w:bookmarkStart w:id="21" w:name="_Toc426249310"/>
      <w:bookmarkStart w:id="22" w:name="_Toc449924706"/>
      <w:bookmarkStart w:id="23" w:name="_Toc449947724"/>
      <w:bookmarkStart w:id="24" w:name="_Toc454185715"/>
      <w:bookmarkStart w:id="25" w:name="_Toc515958688"/>
      <w:bookmarkStart w:id="26" w:name="_Toc235325909"/>
      <w:r>
        <w:rPr>
          <w:rStyle w:val="CharSectno"/>
        </w:rPr>
        <w:t>3</w:t>
      </w:r>
      <w:r>
        <w:rPr>
          <w:snapToGrid w:val="0"/>
        </w:rPr>
        <w:t>.</w:t>
      </w:r>
      <w:r>
        <w:rPr>
          <w:snapToGrid w:val="0"/>
        </w:rPr>
        <w:tab/>
        <w:t>Fremantle tourism precinct prescribed</w:t>
      </w:r>
      <w:bookmarkEnd w:id="19"/>
      <w:bookmarkEnd w:id="20"/>
      <w:bookmarkEnd w:id="21"/>
      <w:bookmarkEnd w:id="22"/>
      <w:bookmarkEnd w:id="23"/>
      <w:bookmarkEnd w:id="24"/>
      <w:bookmarkEnd w:id="25"/>
      <w:bookmarkEnd w:id="26"/>
    </w:p>
    <w:p>
      <w:pPr>
        <w:pStyle w:val="Subsection"/>
      </w:pPr>
      <w:r>
        <w:tab/>
      </w:r>
      <w:r>
        <w:tab/>
        <w:t>The area of the State described in Schedule 1 Division 1 is prescribed as falling within the Fremantle tourism precinct for the purpose of section 12A(4) of the Act.</w:t>
      </w:r>
    </w:p>
    <w:p>
      <w:pPr>
        <w:pStyle w:val="Heading5"/>
        <w:rPr>
          <w:snapToGrid w:val="0"/>
        </w:rPr>
      </w:pPr>
      <w:bookmarkStart w:id="27" w:name="_Toc235325910"/>
      <w:r>
        <w:rPr>
          <w:rStyle w:val="CharSectno"/>
        </w:rPr>
        <w:t>4</w:t>
      </w:r>
      <w:r>
        <w:rPr>
          <w:snapToGrid w:val="0"/>
        </w:rPr>
        <w:t>.</w:t>
      </w:r>
      <w:r>
        <w:rPr>
          <w:snapToGrid w:val="0"/>
        </w:rPr>
        <w:tab/>
        <w:t>Perth tourism precinct prescribed</w:t>
      </w:r>
      <w:bookmarkEnd w:id="27"/>
    </w:p>
    <w:p>
      <w:pPr>
        <w:pStyle w:val="Subsection"/>
      </w:pPr>
      <w:r>
        <w:tab/>
        <w:t>(1)</w:t>
      </w:r>
      <w:r>
        <w:tab/>
        <w:t>The area of the State described in Schedule 1 Division 2 is prescribed as falling within the Perth tourism precinct for the purpose of section 12A(4) of the Act.</w:t>
      </w:r>
    </w:p>
    <w:p>
      <w:pPr>
        <w:pStyle w:val="Subsection"/>
      </w:pPr>
      <w:r>
        <w:tab/>
        <w:t>(2)</w:t>
      </w:r>
      <w:r>
        <w:tab/>
        <w:t xml:space="preserve">The following specific areas of the State are prescribed as falling within the Perth tourism precinct for the purpose of section 12A(4) of the Act — </w:t>
      </w:r>
    </w:p>
    <w:p>
      <w:pPr>
        <w:pStyle w:val="Indenta"/>
      </w:pPr>
      <w:r>
        <w:tab/>
        <w:t>(a)</w:t>
      </w:r>
      <w:r>
        <w:tab/>
        <w:t>the retail complex known as “City West” (located at the corner of Sunderland Street and Railway Road, West Perth);</w:t>
      </w:r>
    </w:p>
    <w:p>
      <w:pPr>
        <w:pStyle w:val="Indenta"/>
      </w:pPr>
      <w:r>
        <w:tab/>
        <w:t>(b)</w:t>
      </w:r>
      <w:r>
        <w:tab/>
        <w:t>the retail complex known as “Harbour Town” (located at 840 Wellington Street, West Perth);</w:t>
      </w:r>
    </w:p>
    <w:p>
      <w:pPr>
        <w:pStyle w:val="Indenta"/>
      </w:pPr>
      <w:r>
        <w:tab/>
        <w:t>(c)</w:t>
      </w:r>
      <w:r>
        <w:tab/>
        <w:t>the area south of, and adjacent to the shaded area in clause 1 bounded by the Mitchell Freeway along to the Narrows bridge, encompassing the foreshore, Busport, Convention Centre and other retail shops within that area;</w:t>
      </w:r>
    </w:p>
    <w:p>
      <w:pPr>
        <w:pStyle w:val="Indenta"/>
      </w:pPr>
      <w:r>
        <w:tab/>
        <w:t>(d)</w:t>
      </w:r>
      <w:r>
        <w:tab/>
        <w:t>the retail complex known as “Tyne Square” (located at 154 Newcastle Street, Northbridge).</w:t>
      </w:r>
    </w:p>
    <w:p>
      <w:pPr>
        <w:pStyle w:val="Footnotesection"/>
      </w:pPr>
      <w:r>
        <w:tab/>
        <w:t>[Regulation 4 amended in Gazette 14 Jul 2009 p. 2811</w:t>
      </w:r>
      <w:r>
        <w:noBreakHyphen/>
        <w:t>12.]</w:t>
      </w:r>
    </w:p>
    <w:p>
      <w:pPr>
        <w:pStyle w:val="Heading5"/>
        <w:rPr>
          <w:snapToGrid w:val="0"/>
        </w:rPr>
      </w:pPr>
      <w:bookmarkStart w:id="28" w:name="_Toc235325911"/>
      <w:r>
        <w:rPr>
          <w:rStyle w:val="CharSectno"/>
        </w:rPr>
        <w:t>5</w:t>
      </w:r>
      <w:r>
        <w:rPr>
          <w:snapToGrid w:val="0"/>
        </w:rPr>
        <w:t>.</w:t>
      </w:r>
      <w:r>
        <w:rPr>
          <w:snapToGrid w:val="0"/>
        </w:rPr>
        <w:tab/>
        <w:t>Holiday resorts prescribed</w:t>
      </w:r>
      <w:bookmarkEnd w:id="28"/>
    </w:p>
    <w:p>
      <w:pPr>
        <w:pStyle w:val="Subsection"/>
      </w:pPr>
      <w:r>
        <w:tab/>
        <w:t>(1)</w:t>
      </w:r>
      <w:r>
        <w:tab/>
        <w:t>The area of the State described in Schedule 2 Division 1 is prescribed as the Rockingham holiday resort for the purpose of section 12A(4) of the Act.</w:t>
      </w:r>
    </w:p>
    <w:p>
      <w:pPr>
        <w:pStyle w:val="Subsection"/>
      </w:pPr>
      <w:r>
        <w:tab/>
        <w:t>(2)</w:t>
      </w:r>
      <w:r>
        <w:tab/>
        <w:t>The area of the State described in Schedule 2 Division 2 is prescribed as the Rottnest Island holiday resort for the purpose of section 12A(4) of the Act.</w:t>
      </w:r>
    </w:p>
    <w:p>
      <w:pPr>
        <w:pStyle w:val="Subsection"/>
      </w:pPr>
      <w:r>
        <w:tab/>
        <w:t>(3)</w:t>
      </w:r>
      <w:r>
        <w:tab/>
        <w:t>The area of the State described in Schedule 2 Division 3 is prescribed as the Wanneroo holiday resort for the purpose of section 12A(4) of the Act.</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29" w:name="_Toc166556601"/>
    </w:p>
    <w:p>
      <w:pPr>
        <w:pStyle w:val="yScheduleHeading"/>
      </w:pPr>
      <w:bookmarkStart w:id="30" w:name="_Toc166573864"/>
      <w:bookmarkStart w:id="31" w:name="_Toc166580123"/>
      <w:bookmarkStart w:id="32" w:name="_Toc166667525"/>
      <w:bookmarkStart w:id="33" w:name="_Toc235325912"/>
      <w:r>
        <w:rPr>
          <w:rStyle w:val="CharSchNo"/>
        </w:rPr>
        <w:t>Schedule 1</w:t>
      </w:r>
      <w:r>
        <w:t> —</w:t>
      </w:r>
      <w:bookmarkStart w:id="34" w:name="AutoSch"/>
      <w:bookmarkEnd w:id="34"/>
      <w:r>
        <w:t> </w:t>
      </w:r>
      <w:r>
        <w:rPr>
          <w:rStyle w:val="CharSchText"/>
        </w:rPr>
        <w:t>Tourism precincts</w:t>
      </w:r>
      <w:bookmarkEnd w:id="29"/>
      <w:bookmarkEnd w:id="30"/>
      <w:bookmarkEnd w:id="31"/>
      <w:bookmarkEnd w:id="32"/>
      <w:bookmarkEnd w:id="33"/>
    </w:p>
    <w:p>
      <w:pPr>
        <w:pStyle w:val="yShoulderClause"/>
      </w:pPr>
      <w:r>
        <w:t>[r. 3 &amp; 4]</w:t>
      </w:r>
    </w:p>
    <w:p>
      <w:pPr>
        <w:pStyle w:val="yHeading3"/>
      </w:pPr>
      <w:bookmarkStart w:id="35" w:name="_Toc166556602"/>
      <w:bookmarkStart w:id="36" w:name="_Toc166573865"/>
      <w:bookmarkStart w:id="37" w:name="_Toc166580124"/>
      <w:bookmarkStart w:id="38" w:name="_Toc166667526"/>
      <w:bookmarkStart w:id="39" w:name="_Toc235325913"/>
      <w:r>
        <w:rPr>
          <w:rStyle w:val="CharSDivNo"/>
        </w:rPr>
        <w:t>Division 1</w:t>
      </w:r>
      <w:r>
        <w:t> — </w:t>
      </w:r>
      <w:r>
        <w:rPr>
          <w:rStyle w:val="CharSDivText"/>
        </w:rPr>
        <w:t>Fremantle tourism precinct</w:t>
      </w:r>
      <w:bookmarkEnd w:id="35"/>
      <w:bookmarkEnd w:id="36"/>
      <w:bookmarkEnd w:id="37"/>
      <w:bookmarkEnd w:id="38"/>
      <w:bookmarkEnd w:id="39"/>
    </w:p>
    <w:p>
      <w:pPr>
        <w:pStyle w:val="ySubsection"/>
      </w:pPr>
      <w:r>
        <w:tab/>
      </w:r>
      <w:r>
        <w:tab/>
        <w:t>The portion of the State delineated in black and bordered red on “Department of Land Administration Miscellaneous Diagram No. 504” held by the Western Australian Land Information Authority (a representation of which is reproduced below and shaded grey).</w:t>
      </w:r>
    </w:p>
    <w:p>
      <w:pPr>
        <w:pStyle w:val="ySubsection"/>
        <w:jc w:val="center"/>
      </w:pPr>
      <w:r>
        <w:rPr>
          <w:noProof/>
          <w:lang w:eastAsia="en-AU"/>
        </w:rPr>
        <w:drawing>
          <wp:inline distT="0" distB="0" distL="0" distR="0">
            <wp:extent cx="3933825" cy="46767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933825" cy="4676775"/>
                    </a:xfrm>
                    <a:prstGeom prst="rect">
                      <a:avLst/>
                    </a:prstGeom>
                    <a:noFill/>
                    <a:ln>
                      <a:noFill/>
                    </a:ln>
                  </pic:spPr>
                </pic:pic>
              </a:graphicData>
            </a:graphic>
          </wp:inline>
        </w:drawing>
      </w:r>
    </w:p>
    <w:p>
      <w:pPr>
        <w:pStyle w:val="yHeading3"/>
      </w:pPr>
      <w:bookmarkStart w:id="40" w:name="_Toc166556603"/>
      <w:bookmarkStart w:id="41" w:name="_Toc166573866"/>
      <w:bookmarkStart w:id="42" w:name="_Toc166580125"/>
      <w:bookmarkStart w:id="43" w:name="_Toc166667527"/>
      <w:bookmarkStart w:id="44" w:name="_Toc235325914"/>
      <w:r>
        <w:rPr>
          <w:rStyle w:val="CharSDivNo"/>
        </w:rPr>
        <w:t>Division 2</w:t>
      </w:r>
      <w:r>
        <w:t> — </w:t>
      </w:r>
      <w:r>
        <w:rPr>
          <w:rStyle w:val="CharSDivText"/>
        </w:rPr>
        <w:t>General Perth tourism precinct</w:t>
      </w:r>
      <w:bookmarkEnd w:id="40"/>
      <w:bookmarkEnd w:id="41"/>
      <w:bookmarkEnd w:id="42"/>
      <w:bookmarkEnd w:id="43"/>
      <w:bookmarkEnd w:id="44"/>
    </w:p>
    <w:p>
      <w:pPr>
        <w:pStyle w:val="ySubsection"/>
      </w:pPr>
      <w:r>
        <w:tab/>
      </w:r>
      <w:r>
        <w:tab/>
        <w:t>The portion of the State delineated in black and bordered red on “Department of Land Administration Miscellaneous Diagram No. 599” held by the Western Australian Land Information Authority (a representation of which is reproduced below and shaded grey).</w:t>
      </w:r>
    </w:p>
    <w:p>
      <w:pPr>
        <w:pStyle w:val="ySubsection"/>
        <w:jc w:val="center"/>
      </w:pPr>
      <w:r>
        <w:rPr>
          <w:noProof/>
          <w:lang w:eastAsia="en-AU"/>
        </w:rPr>
        <w:drawing>
          <wp:inline distT="0" distB="0" distL="0" distR="0">
            <wp:extent cx="4267200" cy="49149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267200" cy="4914900"/>
                    </a:xfrm>
                    <a:prstGeom prst="rect">
                      <a:avLst/>
                    </a:prstGeom>
                    <a:noFill/>
                    <a:ln>
                      <a:noFill/>
                    </a:ln>
                  </pic:spPr>
                </pic:pic>
              </a:graphicData>
            </a:graphic>
          </wp:inline>
        </w:drawing>
      </w:r>
    </w:p>
    <w:p>
      <w:pPr>
        <w:pStyle w:val="yScheduleHeading"/>
      </w:pPr>
      <w:bookmarkStart w:id="45" w:name="_Toc166556604"/>
      <w:bookmarkStart w:id="46" w:name="_Toc166573867"/>
      <w:bookmarkStart w:id="47" w:name="_Toc166580126"/>
      <w:bookmarkStart w:id="48" w:name="_Toc166667528"/>
      <w:bookmarkStart w:id="49" w:name="_Toc235325915"/>
      <w:r>
        <w:rPr>
          <w:rStyle w:val="CharSchNo"/>
        </w:rPr>
        <w:t>Schedule 2</w:t>
      </w:r>
      <w:r>
        <w:t> — </w:t>
      </w:r>
      <w:r>
        <w:rPr>
          <w:rStyle w:val="CharSchText"/>
        </w:rPr>
        <w:t>Holiday resorts</w:t>
      </w:r>
      <w:bookmarkEnd w:id="45"/>
      <w:bookmarkEnd w:id="46"/>
      <w:bookmarkEnd w:id="47"/>
      <w:bookmarkEnd w:id="48"/>
      <w:bookmarkEnd w:id="49"/>
    </w:p>
    <w:p>
      <w:pPr>
        <w:pStyle w:val="yShoulderClause"/>
      </w:pPr>
      <w:r>
        <w:t>[r. 5]</w:t>
      </w:r>
    </w:p>
    <w:p>
      <w:pPr>
        <w:pStyle w:val="yHeading3"/>
      </w:pPr>
      <w:bookmarkStart w:id="50" w:name="_Toc166556605"/>
      <w:bookmarkStart w:id="51" w:name="_Toc166573868"/>
      <w:bookmarkStart w:id="52" w:name="_Toc166580127"/>
      <w:bookmarkStart w:id="53" w:name="_Toc166667529"/>
      <w:bookmarkStart w:id="54" w:name="_Toc235325916"/>
      <w:r>
        <w:rPr>
          <w:rStyle w:val="CharSDivNo"/>
        </w:rPr>
        <w:t>Division 1</w:t>
      </w:r>
      <w:r>
        <w:t> — </w:t>
      </w:r>
      <w:r>
        <w:rPr>
          <w:rStyle w:val="CharSDivText"/>
        </w:rPr>
        <w:t>Rockingham holiday resort</w:t>
      </w:r>
      <w:bookmarkEnd w:id="50"/>
      <w:bookmarkEnd w:id="51"/>
      <w:bookmarkEnd w:id="52"/>
      <w:bookmarkEnd w:id="53"/>
      <w:bookmarkEnd w:id="54"/>
    </w:p>
    <w:p>
      <w:pPr>
        <w:pStyle w:val="ySubsection"/>
      </w:pPr>
      <w:r>
        <w:tab/>
      </w:r>
      <w:r>
        <w:tab/>
        <w:t>City of Rockingham.</w:t>
      </w:r>
    </w:p>
    <w:p>
      <w:pPr>
        <w:pStyle w:val="yHeading3"/>
      </w:pPr>
      <w:bookmarkStart w:id="55" w:name="_Toc166556606"/>
      <w:bookmarkStart w:id="56" w:name="_Toc166573869"/>
      <w:bookmarkStart w:id="57" w:name="_Toc166580128"/>
      <w:bookmarkStart w:id="58" w:name="_Toc166667530"/>
      <w:bookmarkStart w:id="59" w:name="_Toc235325917"/>
      <w:r>
        <w:rPr>
          <w:rStyle w:val="CharSDivNo"/>
        </w:rPr>
        <w:t>Division 2</w:t>
      </w:r>
      <w:r>
        <w:t> — </w:t>
      </w:r>
      <w:r>
        <w:rPr>
          <w:rStyle w:val="CharSDivText"/>
        </w:rPr>
        <w:t>Rottnest Island holiday resort</w:t>
      </w:r>
      <w:bookmarkEnd w:id="55"/>
      <w:bookmarkEnd w:id="56"/>
      <w:bookmarkEnd w:id="57"/>
      <w:bookmarkEnd w:id="58"/>
      <w:bookmarkEnd w:id="59"/>
    </w:p>
    <w:p>
      <w:pPr>
        <w:pStyle w:val="ySubsection"/>
      </w:pPr>
      <w:r>
        <w:tab/>
      </w:r>
      <w:r>
        <w:tab/>
        <w:t>Rottnest Island.</w:t>
      </w:r>
    </w:p>
    <w:p>
      <w:pPr>
        <w:pStyle w:val="yHeading3"/>
        <w:rPr>
          <w:rStyle w:val="CharSDivText"/>
        </w:rPr>
      </w:pPr>
      <w:bookmarkStart w:id="60" w:name="_Toc166556607"/>
      <w:bookmarkStart w:id="61" w:name="_Toc166573870"/>
      <w:bookmarkStart w:id="62" w:name="_Toc166580129"/>
      <w:bookmarkStart w:id="63" w:name="_Toc166667531"/>
      <w:bookmarkStart w:id="64" w:name="_Toc235325918"/>
      <w:r>
        <w:rPr>
          <w:rStyle w:val="CharSDivNo"/>
        </w:rPr>
        <w:t>Division 3</w:t>
      </w:r>
      <w:r>
        <w:t> — </w:t>
      </w:r>
      <w:r>
        <w:rPr>
          <w:rStyle w:val="CharSDivText"/>
        </w:rPr>
        <w:t>Wanneroo holiday resort</w:t>
      </w:r>
      <w:bookmarkEnd w:id="60"/>
      <w:bookmarkEnd w:id="61"/>
      <w:bookmarkEnd w:id="62"/>
      <w:bookmarkEnd w:id="63"/>
      <w:bookmarkEnd w:id="64"/>
    </w:p>
    <w:p>
      <w:pPr>
        <w:pStyle w:val="ySubsection"/>
        <w:rPr>
          <w:sz w:val="20"/>
          <w:lang w:val="en-US"/>
        </w:rPr>
      </w:pPr>
      <w:r>
        <w:tab/>
      </w:r>
      <w:r>
        <w:tab/>
        <w:t xml:space="preserve">Localities of Two Rocks and </w:t>
      </w:r>
      <w:r>
        <w:rPr>
          <w:lang w:val="en-US"/>
        </w:rPr>
        <w:t>Yanchep</w:t>
      </w:r>
      <w:r>
        <w:rPr>
          <w:sz w:val="20"/>
          <w:lang w:val="en-US"/>
        </w:rPr>
        <w:t>.</w:t>
      </w:r>
    </w:p>
    <w:p>
      <w:pPr>
        <w:sectPr>
          <w:headerReference w:type="even" r:id="rId27"/>
          <w:headerReference w:type="default" r:id="rId28"/>
          <w:headerReference w:type="first" r:id="rId29"/>
          <w:endnotePr>
            <w:numFmt w:val="decimal"/>
          </w:endnotePr>
          <w:pgSz w:w="11906" w:h="16838" w:code="9"/>
          <w:pgMar w:top="2376" w:right="2405" w:bottom="3542" w:left="2405" w:header="706" w:footer="3380" w:gutter="0"/>
          <w:cols w:space="720"/>
          <w:noEndnote/>
          <w:docGrid w:linePitch="326"/>
        </w:sectPr>
      </w:pPr>
      <w:bookmarkStart w:id="65" w:name="_Toc113695922"/>
    </w:p>
    <w:p>
      <w:pPr>
        <w:pStyle w:val="nHeading2"/>
      </w:pPr>
      <w:bookmarkStart w:id="66" w:name="_Toc166573871"/>
      <w:bookmarkStart w:id="67" w:name="_Toc166580130"/>
      <w:bookmarkStart w:id="68" w:name="_Toc166667532"/>
      <w:bookmarkStart w:id="69" w:name="_Toc235325919"/>
      <w:r>
        <w:t>Notes</w:t>
      </w:r>
      <w:bookmarkEnd w:id="65"/>
      <w:bookmarkEnd w:id="66"/>
      <w:bookmarkEnd w:id="67"/>
      <w:bookmarkEnd w:id="68"/>
      <w:bookmarkEnd w:id="69"/>
    </w:p>
    <w:p>
      <w:pPr>
        <w:pStyle w:val="nSubsection"/>
        <w:rPr>
          <w:snapToGrid w:val="0"/>
        </w:rPr>
      </w:pPr>
      <w:bookmarkStart w:id="70" w:name="_Toc70311430"/>
      <w:bookmarkStart w:id="71" w:name="_Toc113695923"/>
      <w:r>
        <w:rPr>
          <w:snapToGrid w:val="0"/>
          <w:vertAlign w:val="superscript"/>
        </w:rPr>
        <w:t>1</w:t>
      </w:r>
      <w:r>
        <w:rPr>
          <w:snapToGrid w:val="0"/>
        </w:rPr>
        <w:tab/>
        <w:t xml:space="preserve">This is a compilation of the </w:t>
      </w:r>
      <w:r>
        <w:rPr>
          <w:i/>
          <w:noProof/>
          <w:snapToGrid w:val="0"/>
        </w:rPr>
        <w:t>Retail Trading Hours (Tourism Precincts and Holiday Resorts) Regulations 2007</w:t>
      </w:r>
      <w:r>
        <w:rPr>
          <w:snapToGrid w:val="0"/>
        </w:rPr>
        <w:t xml:space="preserve"> and includes the amendments made by the other written laws referred to in the following table. </w:t>
      </w:r>
    </w:p>
    <w:p>
      <w:pPr>
        <w:pStyle w:val="nHeading3"/>
      </w:pPr>
      <w:bookmarkStart w:id="72" w:name="_Toc235325920"/>
      <w:r>
        <w:t>Compilation table</w:t>
      </w:r>
      <w:bookmarkEnd w:id="70"/>
      <w:bookmarkEnd w:id="71"/>
      <w:bookmarkEnd w:id="72"/>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4" w:space="0" w:color="auto"/>
            </w:tcBorders>
          </w:tcPr>
          <w:p>
            <w:pPr>
              <w:pStyle w:val="nTable"/>
              <w:spacing w:after="40"/>
              <w:rPr>
                <w:b/>
                <w:sz w:val="19"/>
              </w:rPr>
            </w:pPr>
            <w:r>
              <w:rPr>
                <w:b/>
                <w:sz w:val="19"/>
              </w:rPr>
              <w:t>Citation</w:t>
            </w:r>
          </w:p>
        </w:tc>
        <w:tc>
          <w:tcPr>
            <w:tcW w:w="1276" w:type="dxa"/>
            <w:tcBorders>
              <w:bottom w:val="single" w:sz="4" w:space="0" w:color="auto"/>
            </w:tcBorders>
          </w:tcPr>
          <w:p>
            <w:pPr>
              <w:pStyle w:val="nTable"/>
              <w:spacing w:after="40"/>
              <w:rPr>
                <w:b/>
                <w:sz w:val="19"/>
              </w:rPr>
            </w:pPr>
            <w:r>
              <w:rPr>
                <w:b/>
                <w:sz w:val="19"/>
              </w:rPr>
              <w:t>Gazettal</w:t>
            </w:r>
          </w:p>
        </w:tc>
        <w:tc>
          <w:tcPr>
            <w:tcW w:w="2693" w:type="dxa"/>
            <w:tcBorders>
              <w:bottom w:val="single" w:sz="4" w:space="0" w:color="auto"/>
            </w:tcBorders>
          </w:tcPr>
          <w:p>
            <w:pPr>
              <w:pStyle w:val="nTable"/>
              <w:spacing w:after="40"/>
              <w:rPr>
                <w:b/>
                <w:sz w:val="19"/>
              </w:rPr>
            </w:pPr>
            <w:r>
              <w:rPr>
                <w:b/>
                <w:sz w:val="19"/>
              </w:rPr>
              <w:t>Commencement</w:t>
            </w:r>
          </w:p>
        </w:tc>
      </w:tr>
      <w:tr>
        <w:tc>
          <w:tcPr>
            <w:tcW w:w="3118" w:type="dxa"/>
            <w:tcBorders>
              <w:top w:val="single" w:sz="4" w:space="0" w:color="auto"/>
              <w:left w:val="nil"/>
              <w:bottom w:val="nil"/>
            </w:tcBorders>
          </w:tcPr>
          <w:p>
            <w:pPr>
              <w:pStyle w:val="nTable"/>
              <w:spacing w:after="40"/>
              <w:rPr>
                <w:sz w:val="19"/>
              </w:rPr>
            </w:pPr>
            <w:r>
              <w:rPr>
                <w:i/>
                <w:noProof/>
                <w:snapToGrid w:val="0"/>
                <w:sz w:val="19"/>
              </w:rPr>
              <w:t>Retail Trading Hours (Tourism Precincts and Holiday Resorts) Regulations 2007</w:t>
            </w:r>
          </w:p>
        </w:tc>
        <w:tc>
          <w:tcPr>
            <w:tcW w:w="1276" w:type="dxa"/>
            <w:tcBorders>
              <w:top w:val="single" w:sz="4" w:space="0" w:color="auto"/>
              <w:bottom w:val="nil"/>
            </w:tcBorders>
          </w:tcPr>
          <w:p>
            <w:pPr>
              <w:pStyle w:val="nTable"/>
              <w:spacing w:after="40"/>
              <w:rPr>
                <w:sz w:val="19"/>
              </w:rPr>
            </w:pPr>
            <w:r>
              <w:rPr>
                <w:sz w:val="19"/>
              </w:rPr>
              <w:t>11 May 2007 p. 2019</w:t>
            </w:r>
            <w:r>
              <w:rPr>
                <w:sz w:val="19"/>
              </w:rPr>
              <w:noBreakHyphen/>
              <w:t>25</w:t>
            </w:r>
          </w:p>
        </w:tc>
        <w:tc>
          <w:tcPr>
            <w:tcW w:w="2693" w:type="dxa"/>
            <w:tcBorders>
              <w:top w:val="single" w:sz="4" w:space="0" w:color="auto"/>
              <w:bottom w:val="nil"/>
              <w:right w:val="nil"/>
            </w:tcBorders>
          </w:tcPr>
          <w:p>
            <w:pPr>
              <w:pStyle w:val="nTable"/>
              <w:spacing w:after="40"/>
              <w:rPr>
                <w:sz w:val="19"/>
              </w:rPr>
            </w:pPr>
            <w:r>
              <w:rPr>
                <w:sz w:val="19"/>
              </w:rPr>
              <w:t xml:space="preserve">11 May 2007 (see r. 2 and </w:t>
            </w:r>
            <w:r>
              <w:rPr>
                <w:i/>
                <w:sz w:val="19"/>
              </w:rPr>
              <w:t xml:space="preserve">Gazette  </w:t>
            </w:r>
            <w:r>
              <w:rPr>
                <w:iCs/>
                <w:sz w:val="19"/>
              </w:rPr>
              <w:t>11</w:t>
            </w:r>
            <w:r>
              <w:rPr>
                <w:sz w:val="19"/>
              </w:rPr>
              <w:t> May 2007 p. 2017)</w:t>
            </w:r>
          </w:p>
        </w:tc>
      </w:tr>
      <w:tr>
        <w:tc>
          <w:tcPr>
            <w:tcW w:w="3118" w:type="dxa"/>
            <w:tcBorders>
              <w:top w:val="nil"/>
            </w:tcBorders>
          </w:tcPr>
          <w:p>
            <w:pPr>
              <w:pStyle w:val="nTable"/>
              <w:spacing w:after="40"/>
              <w:rPr>
                <w:i/>
                <w:noProof/>
                <w:snapToGrid w:val="0"/>
                <w:sz w:val="19"/>
              </w:rPr>
            </w:pPr>
            <w:r>
              <w:rPr>
                <w:i/>
                <w:noProof/>
                <w:snapToGrid w:val="0"/>
                <w:sz w:val="19"/>
              </w:rPr>
              <w:t>Retail Trading Hours (Tourism Precincts and Holiday Resorts) Amendment Regulations 2009</w:t>
            </w:r>
          </w:p>
        </w:tc>
        <w:tc>
          <w:tcPr>
            <w:tcW w:w="1276" w:type="dxa"/>
            <w:tcBorders>
              <w:top w:val="nil"/>
            </w:tcBorders>
          </w:tcPr>
          <w:p>
            <w:pPr>
              <w:pStyle w:val="nTable"/>
              <w:spacing w:after="40"/>
              <w:rPr>
                <w:sz w:val="19"/>
              </w:rPr>
            </w:pPr>
            <w:r>
              <w:rPr>
                <w:iCs/>
                <w:sz w:val="19"/>
              </w:rPr>
              <w:t>14 Jul 2009 p. 2811</w:t>
            </w:r>
            <w:r>
              <w:rPr>
                <w:iCs/>
                <w:sz w:val="19"/>
              </w:rPr>
              <w:noBreakHyphen/>
              <w:t>12</w:t>
            </w:r>
          </w:p>
        </w:tc>
        <w:tc>
          <w:tcPr>
            <w:tcW w:w="2693" w:type="dxa"/>
            <w:tcBorders>
              <w:top w:val="nil"/>
            </w:tcBorders>
          </w:tcPr>
          <w:p>
            <w:pPr>
              <w:pStyle w:val="nTable"/>
              <w:spacing w:after="40"/>
              <w:rPr>
                <w:sz w:val="19"/>
              </w:rPr>
            </w:pPr>
            <w:r>
              <w:rPr>
                <w:snapToGrid w:val="0"/>
                <w:spacing w:val="-2"/>
                <w:sz w:val="19"/>
                <w:lang w:val="en-US"/>
              </w:rPr>
              <w:t>r. 1 and 2: 14 Jul 2009 (see r. 2(a));</w:t>
            </w:r>
            <w:r>
              <w:rPr>
                <w:snapToGrid w:val="0"/>
                <w:spacing w:val="-2"/>
                <w:sz w:val="19"/>
                <w:lang w:val="en-US"/>
              </w:rPr>
              <w:br/>
              <w:t>Regulations other than r. 1 and 2: 15 Jul 2009 (see r. 2(b))</w:t>
            </w:r>
          </w:p>
        </w:tc>
      </w:tr>
    </w:tbl>
    <w:p/>
    <w:p>
      <w:pPr>
        <w:sectPr>
          <w:headerReference w:type="even" r:id="rId30"/>
          <w:headerReference w:type="default" r:id="rId31"/>
          <w:headerReference w:type="first" r:id="rId32"/>
          <w:endnotePr>
            <w:numFmt w:val="decimal"/>
          </w:endnotePr>
          <w:pgSz w:w="11906" w:h="16838" w:code="9"/>
          <w:pgMar w:top="2376" w:right="2404" w:bottom="3544" w:left="2404" w:header="720" w:footer="3380" w:gutter="0"/>
          <w:cols w:space="720"/>
          <w:noEndnote/>
          <w:docGrid w:linePitch="326"/>
        </w:sectPr>
      </w:pPr>
    </w:p>
    <w:p/>
    <w:sectPr>
      <w:headerReference w:type="even" r:id="rId33"/>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Jul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Jul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Jul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Retail Trading Hours (Tourism Precincts and Holiday Resorts) Regulations 2007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Retail Trading Hours (Tourism Precincts and Holiday Resorts)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Retail Trading Hours (Tourism Precincts and Holiday Resorts)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ind w:right="173"/>
          </w:pPr>
          <w:fldSimple w:instr=" Styleref &quot;Name of Act/Reg&quot; ">
            <w:r>
              <w:rPr>
                <w:noProof/>
              </w:rPr>
              <w:t>Retail Trading Hours (Tourism Precincts and Holiday Resorts) Regulations 2007</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Retail Trading Hours (Tourism Precincts and Holiday Resorts) Regulations 2007</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58"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ind w:right="173"/>
          </w:pPr>
          <w:fldSimple w:instr=" STYLEREF &quot;Name of Act/Reg&quot; \* MERGEFORMAT ">
            <w:r>
              <w:rPr>
                <w:noProof/>
              </w:rPr>
              <w:t>Retail Trading Hours (Tourism Precincts and Holiday Resorts) Regulations 2007</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c>
        <w:tcPr>
          <w:tcW w:w="5715" w:type="dxa"/>
        </w:tcPr>
        <w:p>
          <w:pPr>
            <w:pStyle w:val="HeaderTextLeft"/>
          </w:pPr>
          <w:fldSimple w:instr=" styleref CharSDivText ">
            <w:r>
              <w:rPr>
                <w:noProof/>
              </w:rPr>
              <w:t>Fremantle tourism precinct</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left="142" w:right="17"/>
          </w:pPr>
          <w:fldSimple w:instr=" Styleref &quot;Name of Act/Reg&quot; ">
            <w:r>
              <w:rPr>
                <w:noProof/>
              </w:rPr>
              <w:t>Retail Trading Hours (Tourism Precincts and Holiday Resorts) Regulations 2007</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fldSimple w:instr=" styleref CharSDivText ">
            <w:r>
              <w:rPr>
                <w:noProof/>
              </w:rPr>
              <w:t>Fremantle tourism precinct</w:t>
            </w:r>
          </w:fldSimple>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ind w:right="173"/>
          </w:pPr>
          <w:fldSimple w:instr=" Styleref &quot;Name of Act/Reg&quot; ">
            <w:r>
              <w:rPr>
                <w:noProof/>
              </w:rPr>
              <w:t>Retail Trading Hours (Tourism Precincts and Holiday Resorts)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Retail Trading Hours (Tourism Precincts and Holiday Resorts)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8962FA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26EE98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17AA0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779ACE5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2A0A46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37644A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8D24EB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0C0AB1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93A06DC"/>
    <w:lvl w:ilvl="0">
      <w:start w:val="1"/>
      <w:numFmt w:val="decimal"/>
      <w:pStyle w:val="ListNumber"/>
      <w:lvlText w:val="%1."/>
      <w:lvlJc w:val="left"/>
      <w:pPr>
        <w:tabs>
          <w:tab w:val="num" w:pos="360"/>
        </w:tabs>
        <w:ind w:left="360" w:hanging="360"/>
      </w:pPr>
    </w:lvl>
  </w:abstractNum>
  <w:abstractNum w:abstractNumId="9">
    <w:nsid w:val="FFFFFF89"/>
    <w:multiLevelType w:val="singleLevel"/>
    <w:tmpl w:val="1DFCC18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D8DAC50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E1F64322"/>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3"/>
  </w:num>
  <w:num w:numId="13">
    <w:abstractNumId w:val="23"/>
  </w:num>
  <w:num w:numId="1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23739"/>
    <w:docVar w:name="WAFER_20151209123739" w:val="RemoveTrackChanges"/>
    <w:docVar w:name="WAFER_20151209123739_GUID" w:val="89ec9616-e070-4ffa-8609-e5dc37c7c1a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val="en-US"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val="en-US"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4"/>
      </w:numPr>
      <w:tabs>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val="en-US"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val="en-US"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4"/>
      </w:numPr>
      <w:tabs>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image" Target="media/image2.png"/><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1.png"/><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0.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766</Words>
  <Characters>4054</Characters>
  <Application>Microsoft Office Word</Application>
  <DocSecurity>0</DocSecurity>
  <Lines>139</Lines>
  <Paragraphs>90</Paragraphs>
  <ScaleCrop>false</ScaleCrop>
  <HeadingPairs>
    <vt:vector size="4" baseType="variant">
      <vt:variant>
        <vt:lpstr>Title</vt:lpstr>
      </vt:variant>
      <vt:variant>
        <vt:i4>1</vt:i4>
      </vt:variant>
      <vt:variant>
        <vt:lpstr>Headings</vt:lpstr>
      </vt:variant>
      <vt:variant>
        <vt:i4>8</vt:i4>
      </vt:variant>
    </vt:vector>
  </HeadingPairs>
  <TitlesOfParts>
    <vt:vector size="9" baseType="lpstr">
      <vt:lpstr>Drafting Template (Regs)</vt:lpstr>
      <vt:lpstr>    Schedule 1 — Tourism precincts</vt:lpstr>
      <vt:lpstr>        Division 1 — Fremantle tourism precinct</vt:lpstr>
      <vt:lpstr>        Division 2 — General Perth tourism precinct</vt:lpstr>
      <vt:lpstr>    Schedule 2 — Holiday resorts</vt:lpstr>
      <vt:lpstr>        Division 1 — Rockingham holiday resort</vt:lpstr>
      <vt:lpstr>        Division 2 — Rottnest Island holiday resort</vt:lpstr>
      <vt:lpstr>        Division 3 — Wanneroo holiday resort</vt:lpstr>
      <vt:lpstr>    Notes</vt:lpstr>
    </vt:vector>
  </TitlesOfParts>
  <Manager/>
  <Company/>
  <LinksUpToDate>false</LinksUpToDate>
  <CharactersWithSpaces>4730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Retail Trading Hours (Tourism Precincts and Holiday Resorts) Regulations 2007 - 00-b0-02</dc:title>
  <dc:subject/>
  <dc:creator/>
  <cp:keywords/>
  <dc:description/>
  <cp:lastModifiedBy>svcMRProcess</cp:lastModifiedBy>
  <cp:revision>4</cp:revision>
  <cp:lastPrinted>2007-05-01T03:00:00Z</cp:lastPrinted>
  <dcterms:created xsi:type="dcterms:W3CDTF">2019-04-08T02:44:00Z</dcterms:created>
  <dcterms:modified xsi:type="dcterms:W3CDTF">2019-04-08T02:44:00Z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11 May 2007 p 2027-31</vt:lpwstr>
  </property>
  <property fmtid="{D5CDD505-2E9C-101B-9397-08002B2CF9AE}" pid="3" name="CommencementDate">
    <vt:lpwstr>20090715</vt:lpwstr>
  </property>
  <property fmtid="{D5CDD505-2E9C-101B-9397-08002B2CF9AE}" pid="4" name="DocumentType">
    <vt:lpwstr>Reg</vt:lpwstr>
  </property>
  <property fmtid="{D5CDD505-2E9C-101B-9397-08002B2CF9AE}" pid="5" name="OwlsUID">
    <vt:i4>39736</vt:i4>
  </property>
  <property fmtid="{D5CDD505-2E9C-101B-9397-08002B2CF9AE}" pid="6" name="AsAtDate">
    <vt:lpwstr>15 Jul 2009</vt:lpwstr>
  </property>
  <property fmtid="{D5CDD505-2E9C-101B-9397-08002B2CF9AE}" pid="7" name="Suffix">
    <vt:lpwstr>00-b0-02</vt:lpwstr>
  </property>
</Properties>
</file>