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Community Protection (Offender Reporting)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Regulations 2004</w:t>
      </w:r>
      <w:r>
        <w:rPr>
          <w:sz w:val="48"/>
        </w:rPr>
        <w:fldChar w:fldCharType="end"/>
      </w:r>
    </w:p>
    <w:p>
      <w:pPr>
        <w:tabs>
          <w:tab w:val="left" w:pos="284"/>
        </w:tabs>
        <w:spacing w:before="60"/>
        <w:ind w:left="284" w:right="567" w:hanging="284"/>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July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_Toc234128610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_Toc234128611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_Toc234128612 \h </w:instrText>
      </w:r>
      <w:r>
        <w:fldChar w:fldCharType="separate"/>
      </w:r>
      <w:r>
        <w:t>1</w:t>
      </w:r>
      <w:r>
        <w:fldChar w:fldCharType="end"/>
      </w:r>
    </w:p>
    <w:p>
      <w:pPr>
        <w:pStyle w:val="TOC8"/>
        <w:rPr>
          <w:sz w:val="24"/>
          <w:szCs w:val="24"/>
        </w:rPr>
      </w:pPr>
      <w:r>
        <w:rPr>
          <w:szCs w:val="24"/>
        </w:rPr>
        <w:t>4.</w:t>
      </w:r>
      <w:r>
        <w:rPr>
          <w:szCs w:val="24"/>
        </w:rPr>
        <w:tab/>
        <w:t>Authorised persons (s. 3)</w:t>
      </w:r>
      <w:r>
        <w:tab/>
      </w:r>
      <w:r>
        <w:fldChar w:fldCharType="begin"/>
      </w:r>
      <w:r>
        <w:instrText xml:space="preserve"> PAGEREF _Toc234128613 \h </w:instrText>
      </w:r>
      <w:r>
        <w:fldChar w:fldCharType="separate"/>
      </w:r>
      <w:r>
        <w:t>2</w:t>
      </w:r>
      <w:r>
        <w:fldChar w:fldCharType="end"/>
      </w:r>
    </w:p>
    <w:p>
      <w:pPr>
        <w:pStyle w:val="TOC8"/>
        <w:rPr>
          <w:sz w:val="24"/>
          <w:szCs w:val="24"/>
        </w:rPr>
      </w:pPr>
      <w:r>
        <w:rPr>
          <w:szCs w:val="24"/>
        </w:rPr>
        <w:t>5.</w:t>
      </w:r>
      <w:r>
        <w:rPr>
          <w:szCs w:val="24"/>
        </w:rPr>
        <w:tab/>
        <w:t>Corresponding Acts (s. 3)</w:t>
      </w:r>
      <w:r>
        <w:tab/>
      </w:r>
      <w:r>
        <w:fldChar w:fldCharType="begin"/>
      </w:r>
      <w:r>
        <w:instrText xml:space="preserve"> PAGEREF _Toc234128614 \h </w:instrText>
      </w:r>
      <w:r>
        <w:fldChar w:fldCharType="separate"/>
      </w:r>
      <w:r>
        <w:t>2</w:t>
      </w:r>
      <w:r>
        <w:fldChar w:fldCharType="end"/>
      </w:r>
    </w:p>
    <w:p>
      <w:pPr>
        <w:pStyle w:val="TOC8"/>
        <w:rPr>
          <w:sz w:val="24"/>
          <w:szCs w:val="24"/>
        </w:rPr>
      </w:pPr>
      <w:r>
        <w:rPr>
          <w:szCs w:val="24"/>
        </w:rPr>
        <w:t>6.</w:t>
      </w:r>
      <w:r>
        <w:rPr>
          <w:szCs w:val="24"/>
        </w:rPr>
        <w:tab/>
        <w:t>Corresponding offender reporting orders (s. 3)</w:t>
      </w:r>
      <w:r>
        <w:tab/>
      </w:r>
      <w:r>
        <w:fldChar w:fldCharType="begin"/>
      </w:r>
      <w:r>
        <w:instrText xml:space="preserve"> PAGEREF _Toc234128615 \h </w:instrText>
      </w:r>
      <w:r>
        <w:fldChar w:fldCharType="separate"/>
      </w:r>
      <w:r>
        <w:t>3</w:t>
      </w:r>
      <w:r>
        <w:fldChar w:fldCharType="end"/>
      </w:r>
    </w:p>
    <w:p>
      <w:pPr>
        <w:pStyle w:val="TOC8"/>
        <w:rPr>
          <w:sz w:val="24"/>
          <w:szCs w:val="24"/>
        </w:rPr>
      </w:pPr>
      <w:r>
        <w:rPr>
          <w:szCs w:val="24"/>
        </w:rPr>
        <w:t>6A.</w:t>
      </w:r>
      <w:r>
        <w:rPr>
          <w:szCs w:val="24"/>
        </w:rPr>
        <w:tab/>
        <w:t>Sentences (s. 3)</w:t>
      </w:r>
      <w:r>
        <w:tab/>
      </w:r>
      <w:r>
        <w:fldChar w:fldCharType="begin"/>
      </w:r>
      <w:r>
        <w:instrText xml:space="preserve"> PAGEREF _Toc234128616 \h </w:instrText>
      </w:r>
      <w:r>
        <w:fldChar w:fldCharType="separate"/>
      </w:r>
      <w:r>
        <w:t>4</w:t>
      </w:r>
      <w:r>
        <w:fldChar w:fldCharType="end"/>
      </w:r>
    </w:p>
    <w:p>
      <w:pPr>
        <w:pStyle w:val="TOC8"/>
        <w:rPr>
          <w:sz w:val="24"/>
          <w:szCs w:val="24"/>
        </w:rPr>
      </w:pPr>
      <w:r>
        <w:rPr>
          <w:szCs w:val="24"/>
        </w:rPr>
        <w:t>7.</w:t>
      </w:r>
      <w:r>
        <w:rPr>
          <w:szCs w:val="24"/>
        </w:rPr>
        <w:tab/>
        <w:t>Supervising authorities (s. 3)</w:t>
      </w:r>
      <w:r>
        <w:tab/>
      </w:r>
      <w:r>
        <w:fldChar w:fldCharType="begin"/>
      </w:r>
      <w:r>
        <w:instrText xml:space="preserve"> PAGEREF _Toc234128617 \h </w:instrText>
      </w:r>
      <w:r>
        <w:fldChar w:fldCharType="separate"/>
      </w:r>
      <w:r>
        <w:t>4</w:t>
      </w:r>
      <w:r>
        <w:fldChar w:fldCharType="end"/>
      </w:r>
    </w:p>
    <w:p>
      <w:pPr>
        <w:pStyle w:val="TOC8"/>
        <w:rPr>
          <w:sz w:val="24"/>
          <w:szCs w:val="24"/>
        </w:rPr>
      </w:pPr>
      <w:r>
        <w:rPr>
          <w:szCs w:val="24"/>
        </w:rPr>
        <w:t>8.</w:t>
      </w:r>
      <w:r>
        <w:rPr>
          <w:szCs w:val="24"/>
        </w:rPr>
        <w:tab/>
        <w:t>Offences — relevance if committed by child (s. 6)</w:t>
      </w:r>
      <w:r>
        <w:tab/>
      </w:r>
      <w:r>
        <w:fldChar w:fldCharType="begin"/>
      </w:r>
      <w:r>
        <w:instrText xml:space="preserve"> PAGEREF _Toc234128618 \h </w:instrText>
      </w:r>
      <w:r>
        <w:fldChar w:fldCharType="separate"/>
      </w:r>
      <w:r>
        <w:t>5</w:t>
      </w:r>
      <w:r>
        <w:fldChar w:fldCharType="end"/>
      </w:r>
    </w:p>
    <w:p>
      <w:pPr>
        <w:pStyle w:val="TOC8"/>
        <w:rPr>
          <w:sz w:val="24"/>
          <w:szCs w:val="24"/>
        </w:rPr>
      </w:pPr>
      <w:r>
        <w:rPr>
          <w:szCs w:val="24"/>
        </w:rPr>
        <w:t>9.</w:t>
      </w:r>
      <w:r>
        <w:rPr>
          <w:szCs w:val="24"/>
        </w:rPr>
        <w:tab/>
        <w:t>Foreign witness protection laws (s. 6 and 75)</w:t>
      </w:r>
      <w:r>
        <w:tab/>
      </w:r>
      <w:r>
        <w:fldChar w:fldCharType="begin"/>
      </w:r>
      <w:r>
        <w:instrText xml:space="preserve"> PAGEREF _Toc234128619 \h </w:instrText>
      </w:r>
      <w:r>
        <w:fldChar w:fldCharType="separate"/>
      </w:r>
      <w:r>
        <w:t>5</w:t>
      </w:r>
      <w:r>
        <w:fldChar w:fldCharType="end"/>
      </w:r>
    </w:p>
    <w:p>
      <w:pPr>
        <w:pStyle w:val="TOC8"/>
        <w:rPr>
          <w:sz w:val="24"/>
          <w:szCs w:val="24"/>
        </w:rPr>
      </w:pPr>
      <w:r>
        <w:rPr>
          <w:szCs w:val="24"/>
        </w:rPr>
        <w:t>10.</w:t>
      </w:r>
      <w:r>
        <w:rPr>
          <w:szCs w:val="24"/>
        </w:rPr>
        <w:tab/>
        <w:t>Specified date for determining New South Wales reportable offenders (s. 8)</w:t>
      </w:r>
      <w:r>
        <w:tab/>
      </w:r>
      <w:r>
        <w:fldChar w:fldCharType="begin"/>
      </w:r>
      <w:r>
        <w:instrText xml:space="preserve"> PAGEREF _Toc234128620 \h </w:instrText>
      </w:r>
      <w:r>
        <w:fldChar w:fldCharType="separate"/>
      </w:r>
      <w:r>
        <w:t>6</w:t>
      </w:r>
      <w:r>
        <w:fldChar w:fldCharType="end"/>
      </w:r>
    </w:p>
    <w:p>
      <w:pPr>
        <w:pStyle w:val="TOC8"/>
        <w:rPr>
          <w:sz w:val="24"/>
          <w:szCs w:val="24"/>
        </w:rPr>
      </w:pPr>
      <w:r>
        <w:rPr>
          <w:szCs w:val="24"/>
        </w:rPr>
        <w:t>11.</w:t>
      </w:r>
      <w:r>
        <w:rPr>
          <w:szCs w:val="24"/>
        </w:rPr>
        <w:tab/>
        <w:t>Class 2 offences (s. 11)</w:t>
      </w:r>
      <w:r>
        <w:tab/>
      </w:r>
      <w:r>
        <w:fldChar w:fldCharType="begin"/>
      </w:r>
      <w:r>
        <w:instrText xml:space="preserve"> PAGEREF _Toc234128621 \h </w:instrText>
      </w:r>
      <w:r>
        <w:fldChar w:fldCharType="separate"/>
      </w:r>
      <w:r>
        <w:t>6</w:t>
      </w:r>
      <w:r>
        <w:fldChar w:fldCharType="end"/>
      </w:r>
    </w:p>
    <w:p>
      <w:pPr>
        <w:pStyle w:val="TOC8"/>
        <w:rPr>
          <w:sz w:val="24"/>
          <w:szCs w:val="24"/>
        </w:rPr>
      </w:pPr>
      <w:r>
        <w:rPr>
          <w:szCs w:val="24"/>
        </w:rPr>
        <w:t>12.</w:t>
      </w:r>
      <w:r>
        <w:rPr>
          <w:szCs w:val="24"/>
        </w:rPr>
        <w:tab/>
        <w:t>Means of contacting authorised person for certain persons entering Western Australia (s. 27)</w:t>
      </w:r>
      <w:r>
        <w:tab/>
      </w:r>
      <w:r>
        <w:fldChar w:fldCharType="begin"/>
      </w:r>
      <w:r>
        <w:instrText xml:space="preserve"> PAGEREF _Toc234128622 \h </w:instrText>
      </w:r>
      <w:r>
        <w:fldChar w:fldCharType="separate"/>
      </w:r>
      <w:r>
        <w:t>6</w:t>
      </w:r>
      <w:r>
        <w:fldChar w:fldCharType="end"/>
      </w:r>
    </w:p>
    <w:p>
      <w:pPr>
        <w:pStyle w:val="TOC8"/>
        <w:rPr>
          <w:sz w:val="24"/>
          <w:szCs w:val="24"/>
        </w:rPr>
      </w:pPr>
      <w:r>
        <w:rPr>
          <w:szCs w:val="24"/>
        </w:rPr>
        <w:t>13.</w:t>
      </w:r>
      <w:r>
        <w:rPr>
          <w:szCs w:val="24"/>
        </w:rPr>
        <w:tab/>
        <w:t>Manner of reporting change of reportable offender’s travel plans while out of Western Australia (s. 31)</w:t>
      </w:r>
      <w:r>
        <w:tab/>
      </w:r>
      <w:r>
        <w:fldChar w:fldCharType="begin"/>
      </w:r>
      <w:r>
        <w:instrText xml:space="preserve"> PAGEREF _Toc234128623 \h </w:instrText>
      </w:r>
      <w:r>
        <w:fldChar w:fldCharType="separate"/>
      </w:r>
      <w:r>
        <w:t>7</w:t>
      </w:r>
      <w:r>
        <w:fldChar w:fldCharType="end"/>
      </w:r>
    </w:p>
    <w:p>
      <w:pPr>
        <w:pStyle w:val="TOC8"/>
        <w:rPr>
          <w:sz w:val="24"/>
          <w:szCs w:val="24"/>
        </w:rPr>
      </w:pPr>
      <w:r>
        <w:rPr>
          <w:szCs w:val="24"/>
        </w:rPr>
        <w:t>14.</w:t>
      </w:r>
      <w:r>
        <w:rPr>
          <w:szCs w:val="24"/>
        </w:rPr>
        <w:tab/>
        <w:t>Directions as to police station or approved place at which reportable offender must report (s. 34)</w:t>
      </w:r>
      <w:r>
        <w:tab/>
      </w:r>
      <w:r>
        <w:fldChar w:fldCharType="begin"/>
      </w:r>
      <w:r>
        <w:instrText xml:space="preserve"> PAGEREF _Toc234128624 \h </w:instrText>
      </w:r>
      <w:r>
        <w:fldChar w:fldCharType="separate"/>
      </w:r>
      <w:r>
        <w:t>7</w:t>
      </w:r>
      <w:r>
        <w:fldChar w:fldCharType="end"/>
      </w:r>
    </w:p>
    <w:p>
      <w:pPr>
        <w:pStyle w:val="TOC8"/>
        <w:rPr>
          <w:sz w:val="24"/>
          <w:szCs w:val="24"/>
        </w:rPr>
      </w:pPr>
      <w:r>
        <w:rPr>
          <w:szCs w:val="24"/>
        </w:rPr>
        <w:t>15.</w:t>
      </w:r>
      <w:r>
        <w:rPr>
          <w:szCs w:val="24"/>
        </w:rPr>
        <w:tab/>
        <w:t>Form of identification for reporting in person (s. 38)</w:t>
      </w:r>
      <w:r>
        <w:tab/>
      </w:r>
      <w:r>
        <w:fldChar w:fldCharType="begin"/>
      </w:r>
      <w:r>
        <w:instrText xml:space="preserve"> PAGEREF _Toc234128625 \h </w:instrText>
      </w:r>
      <w:r>
        <w:fldChar w:fldCharType="separate"/>
      </w:r>
      <w:r>
        <w:t>7</w:t>
      </w:r>
      <w:r>
        <w:fldChar w:fldCharType="end"/>
      </w:r>
    </w:p>
    <w:p>
      <w:pPr>
        <w:pStyle w:val="TOC8"/>
        <w:rPr>
          <w:sz w:val="24"/>
          <w:szCs w:val="24"/>
        </w:rPr>
      </w:pPr>
      <w:r>
        <w:rPr>
          <w:szCs w:val="24"/>
        </w:rPr>
        <w:lastRenderedPageBreak/>
        <w:t>16.</w:t>
      </w:r>
      <w:r>
        <w:rPr>
          <w:szCs w:val="24"/>
        </w:rPr>
        <w:tab/>
        <w:t>Prescribed distance — reporting by remote offenders (s. 43)</w:t>
      </w:r>
      <w:r>
        <w:tab/>
      </w:r>
      <w:r>
        <w:fldChar w:fldCharType="begin"/>
      </w:r>
      <w:r>
        <w:instrText xml:space="preserve"> PAGEREF _Toc234128626 \h </w:instrText>
      </w:r>
      <w:r>
        <w:fldChar w:fldCharType="separate"/>
      </w:r>
      <w:r>
        <w:t>9</w:t>
      </w:r>
      <w:r>
        <w:fldChar w:fldCharType="end"/>
      </w:r>
    </w:p>
    <w:p>
      <w:pPr>
        <w:pStyle w:val="TOC8"/>
        <w:rPr>
          <w:sz w:val="24"/>
          <w:szCs w:val="24"/>
        </w:rPr>
      </w:pPr>
      <w:r>
        <w:rPr>
          <w:szCs w:val="24"/>
        </w:rPr>
        <w:t>17.</w:t>
      </w:r>
      <w:r>
        <w:rPr>
          <w:szCs w:val="24"/>
        </w:rPr>
        <w:tab/>
        <w:t>Offences — approval by Commissioner of suspension of reporting obligations (s. 61)</w:t>
      </w:r>
      <w:r>
        <w:tab/>
      </w:r>
      <w:r>
        <w:fldChar w:fldCharType="begin"/>
      </w:r>
      <w:r>
        <w:instrText xml:space="preserve"> PAGEREF _Toc234128627 \h </w:instrText>
      </w:r>
      <w:r>
        <w:fldChar w:fldCharType="separate"/>
      </w:r>
      <w:r>
        <w:t>9</w:t>
      </w:r>
      <w:r>
        <w:fldChar w:fldCharType="end"/>
      </w:r>
    </w:p>
    <w:p>
      <w:pPr>
        <w:pStyle w:val="TOC8"/>
        <w:rPr>
          <w:sz w:val="24"/>
          <w:szCs w:val="24"/>
        </w:rPr>
      </w:pPr>
      <w:r>
        <w:rPr>
          <w:szCs w:val="24"/>
        </w:rPr>
        <w:t>18.</w:t>
      </w:r>
      <w:r>
        <w:rPr>
          <w:szCs w:val="24"/>
        </w:rPr>
        <w:tab/>
        <w:t>Sentences — approval by Commissioner of suspension of reporting obligations (s. 61)</w:t>
      </w:r>
      <w:r>
        <w:tab/>
      </w:r>
      <w:r>
        <w:fldChar w:fldCharType="begin"/>
      </w:r>
      <w:r>
        <w:instrText xml:space="preserve"> PAGEREF _Toc234128628 \h </w:instrText>
      </w:r>
      <w:r>
        <w:fldChar w:fldCharType="separate"/>
      </w:r>
      <w:r>
        <w:t>10</w:t>
      </w:r>
      <w:r>
        <w:fldChar w:fldCharType="end"/>
      </w:r>
    </w:p>
    <w:p>
      <w:pPr>
        <w:pStyle w:val="TOC8"/>
        <w:rPr>
          <w:sz w:val="24"/>
          <w:szCs w:val="24"/>
        </w:rPr>
      </w:pPr>
      <w:r>
        <w:rPr>
          <w:szCs w:val="24"/>
        </w:rPr>
        <w:t>19.</w:t>
      </w:r>
      <w:r>
        <w:rPr>
          <w:szCs w:val="24"/>
        </w:rPr>
        <w:tab/>
        <w:t>Persons required to give notice of reporting obligations etc. to reportable offenders (s. 67)</w:t>
      </w:r>
      <w:r>
        <w:tab/>
      </w:r>
      <w:r>
        <w:fldChar w:fldCharType="begin"/>
      </w:r>
      <w:r>
        <w:instrText xml:space="preserve"> PAGEREF _Toc234128629 \h </w:instrText>
      </w:r>
      <w:r>
        <w:fldChar w:fldCharType="separate"/>
      </w:r>
      <w:r>
        <w:t>11</w:t>
      </w:r>
      <w:r>
        <w:fldChar w:fldCharType="end"/>
      </w:r>
    </w:p>
    <w:p>
      <w:pPr>
        <w:pStyle w:val="TOC8"/>
        <w:rPr>
          <w:sz w:val="24"/>
          <w:szCs w:val="24"/>
        </w:rPr>
      </w:pPr>
      <w:r>
        <w:rPr>
          <w:szCs w:val="24"/>
        </w:rPr>
        <w:t>20.</w:t>
      </w:r>
      <w:r>
        <w:rPr>
          <w:szCs w:val="24"/>
        </w:rPr>
        <w:tab/>
        <w:t>Details to be included in notice given by supervising authority to Commissioner (s. 70)</w:t>
      </w:r>
      <w:r>
        <w:tab/>
      </w:r>
      <w:r>
        <w:fldChar w:fldCharType="begin"/>
      </w:r>
      <w:r>
        <w:instrText xml:space="preserve"> PAGEREF _Toc234128630 \h </w:instrText>
      </w:r>
      <w:r>
        <w:fldChar w:fldCharType="separate"/>
      </w:r>
      <w:r>
        <w:t>12</w:t>
      </w:r>
      <w:r>
        <w:fldChar w:fldCharType="end"/>
      </w:r>
    </w:p>
    <w:p>
      <w:pPr>
        <w:pStyle w:val="TOC8"/>
        <w:rPr>
          <w:sz w:val="24"/>
          <w:szCs w:val="24"/>
        </w:rPr>
      </w:pPr>
      <w:r>
        <w:rPr>
          <w:szCs w:val="24"/>
        </w:rPr>
        <w:t>21.</w:t>
      </w:r>
      <w:r>
        <w:rPr>
          <w:szCs w:val="24"/>
        </w:rPr>
        <w:tab/>
        <w:t>Corresponding prohibition orders (s. 85)</w:t>
      </w:r>
      <w:r>
        <w:tab/>
      </w:r>
      <w:r>
        <w:fldChar w:fldCharType="begin"/>
      </w:r>
      <w:r>
        <w:instrText xml:space="preserve"> PAGEREF _Toc234128631 \h </w:instrText>
      </w:r>
      <w:r>
        <w:fldChar w:fldCharType="separate"/>
      </w:r>
      <w:r>
        <w:t>12</w:t>
      </w:r>
      <w:r>
        <w:fldChar w:fldCharType="end"/>
      </w:r>
    </w:p>
    <w:p>
      <w:pPr>
        <w:pStyle w:val="TOC8"/>
        <w:rPr>
          <w:sz w:val="24"/>
          <w:szCs w:val="24"/>
        </w:rPr>
      </w:pPr>
      <w:r>
        <w:rPr>
          <w:szCs w:val="24"/>
        </w:rPr>
        <w:t>22.</w:t>
      </w:r>
      <w:r>
        <w:rPr>
          <w:szCs w:val="24"/>
        </w:rPr>
        <w:tab/>
        <w:t>Application for recognition of corresponding prohibition orders (s. 108(2)(a))</w:t>
      </w:r>
      <w:r>
        <w:tab/>
      </w:r>
      <w:r>
        <w:fldChar w:fldCharType="begin"/>
      </w:r>
      <w:r>
        <w:instrText xml:space="preserve"> PAGEREF _Toc234128632 \h </w:instrText>
      </w:r>
      <w:r>
        <w:fldChar w:fldCharType="separate"/>
      </w:r>
      <w:r>
        <w:t>13</w:t>
      </w:r>
      <w:r>
        <w:fldChar w:fldCharType="end"/>
      </w:r>
    </w:p>
    <w:p>
      <w:pPr>
        <w:pStyle w:val="TOC8"/>
        <w:rPr>
          <w:sz w:val="24"/>
          <w:szCs w:val="24"/>
        </w:rPr>
      </w:pPr>
      <w:r>
        <w:rPr>
          <w:szCs w:val="24"/>
        </w:rPr>
        <w:t>23.</w:t>
      </w:r>
      <w:r>
        <w:rPr>
          <w:szCs w:val="24"/>
        </w:rPr>
        <w:tab/>
        <w:t>Recognition of corresponding prohibition orders (s. 108(2)(b))</w:t>
      </w:r>
      <w:r>
        <w:tab/>
      </w:r>
      <w:r>
        <w:fldChar w:fldCharType="begin"/>
      </w:r>
      <w:r>
        <w:instrText xml:space="preserve"> PAGEREF _Toc234128633 \h </w:instrText>
      </w:r>
      <w:r>
        <w:fldChar w:fldCharType="separate"/>
      </w:r>
      <w:r>
        <w:t>13</w:t>
      </w:r>
      <w:r>
        <w:fldChar w:fldCharType="end"/>
      </w:r>
    </w:p>
    <w:p>
      <w:pPr>
        <w:pStyle w:val="TOC8"/>
        <w:rPr>
          <w:sz w:val="24"/>
          <w:szCs w:val="24"/>
        </w:rPr>
      </w:pPr>
      <w:r>
        <w:rPr>
          <w:szCs w:val="24"/>
        </w:rPr>
        <w:t>24.</w:t>
      </w:r>
      <w:r>
        <w:rPr>
          <w:szCs w:val="24"/>
        </w:rPr>
        <w:tab/>
        <w:t>Effect of recognition of corresponding prohibition orders (s. 108(2)(d))</w:t>
      </w:r>
      <w:r>
        <w:tab/>
      </w:r>
      <w:r>
        <w:fldChar w:fldCharType="begin"/>
      </w:r>
      <w:r>
        <w:instrText xml:space="preserve"> PAGEREF _Toc234128634 \h </w:instrText>
      </w:r>
      <w:r>
        <w:fldChar w:fldCharType="separate"/>
      </w:r>
      <w:r>
        <w:t>14</w:t>
      </w:r>
      <w:r>
        <w:fldChar w:fldCharType="end"/>
      </w:r>
    </w:p>
    <w:p>
      <w:pPr>
        <w:pStyle w:val="TOC8"/>
        <w:rPr>
          <w:sz w:val="24"/>
          <w:szCs w:val="24"/>
        </w:rPr>
      </w:pPr>
      <w:r>
        <w:rPr>
          <w:szCs w:val="24"/>
        </w:rPr>
        <w:t>25.</w:t>
      </w:r>
      <w:r>
        <w:rPr>
          <w:szCs w:val="24"/>
        </w:rPr>
        <w:tab/>
        <w:t>Variation or revocation of recognised order in a foreign jurisdiction</w:t>
      </w:r>
      <w:r>
        <w:tab/>
      </w:r>
      <w:r>
        <w:fldChar w:fldCharType="begin"/>
      </w:r>
      <w:r>
        <w:instrText xml:space="preserve"> PAGEREF _Toc234128635 \h </w:instrText>
      </w:r>
      <w:r>
        <w:fldChar w:fldCharType="separate"/>
      </w:r>
      <w:r>
        <w:t>15</w:t>
      </w:r>
      <w:r>
        <w:fldChar w:fldCharType="end"/>
      </w:r>
    </w:p>
    <w:p>
      <w:pPr>
        <w:pStyle w:val="TOC8"/>
        <w:rPr>
          <w:sz w:val="24"/>
          <w:szCs w:val="24"/>
        </w:rPr>
      </w:pPr>
      <w:r>
        <w:rPr>
          <w:szCs w:val="24"/>
        </w:rPr>
        <w:t>26.</w:t>
      </w:r>
      <w:r>
        <w:rPr>
          <w:szCs w:val="24"/>
        </w:rPr>
        <w:tab/>
        <w:t>Forms</w:t>
      </w:r>
      <w:r>
        <w:tab/>
      </w:r>
      <w:r>
        <w:fldChar w:fldCharType="begin"/>
      </w:r>
      <w:r>
        <w:instrText xml:space="preserve"> PAGEREF _Toc234128636 \h </w:instrText>
      </w:r>
      <w:r>
        <w:fldChar w:fldCharType="separate"/>
      </w:r>
      <w:r>
        <w:t>15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Summons: Application for order</w:t>
      </w:r>
      <w:r>
        <w:tab/>
      </w:r>
      <w:r>
        <w:fldChar w:fldCharType="begin"/>
      </w:r>
      <w:r>
        <w:instrText xml:space="preserve"> PAGEREF _Toc234128638 \h </w:instrText>
      </w:r>
      <w:r>
        <w:fldChar w:fldCharType="separate"/>
      </w:r>
      <w:r>
        <w:t>16</w:t>
      </w:r>
      <w:r>
        <w:fldChar w:fldCharType="end"/>
      </w:r>
    </w:p>
    <w:p>
      <w:pPr>
        <w:pStyle w:val="TOC8"/>
        <w:rPr>
          <w:sz w:val="24"/>
          <w:szCs w:val="24"/>
        </w:rPr>
      </w:pPr>
      <w:r>
        <w:rPr>
          <w:szCs w:val="22"/>
        </w:rPr>
        <w:t>2.</w:t>
      </w:r>
      <w:r>
        <w:rPr>
          <w:szCs w:val="22"/>
        </w:rPr>
        <w:tab/>
        <w:t>Summons: Further hearing after interim order</w:t>
      </w:r>
      <w:r>
        <w:tab/>
      </w:r>
      <w:r>
        <w:fldChar w:fldCharType="begin"/>
      </w:r>
      <w:r>
        <w:instrText xml:space="preserve"> PAGEREF _Toc234128639 \h </w:instrText>
      </w:r>
      <w:r>
        <w:fldChar w:fldCharType="separate"/>
      </w:r>
      <w:r>
        <w:t>18</w:t>
      </w:r>
      <w:r>
        <w:fldChar w:fldCharType="end"/>
      </w:r>
    </w:p>
    <w:p>
      <w:pPr>
        <w:pStyle w:val="TOC8"/>
        <w:rPr>
          <w:sz w:val="24"/>
          <w:szCs w:val="24"/>
        </w:rPr>
      </w:pPr>
      <w:r>
        <w:rPr>
          <w:szCs w:val="22"/>
        </w:rPr>
        <w:t>3.</w:t>
      </w:r>
      <w:r>
        <w:rPr>
          <w:szCs w:val="22"/>
        </w:rPr>
        <w:tab/>
        <w:t>Summons: Application to vary or revoke child protection prohibition order</w:t>
      </w:r>
      <w:r>
        <w:tab/>
      </w:r>
      <w:r>
        <w:fldChar w:fldCharType="begin"/>
      </w:r>
      <w:r>
        <w:instrText xml:space="preserve"> PAGEREF _Toc234128640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_Toc234128642 \h </w:instrText>
      </w:r>
      <w:r>
        <w:fldChar w:fldCharType="separate"/>
      </w:r>
      <w:r>
        <w:t>22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70535"/>
                  <wp:effectExtent l="0" t="0" r="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July 2009</w:t>
            </w:r>
          </w:p>
        </w:tc>
      </w:tr>
    </w:tbl>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2" w:name="_Toc423332722"/>
      <w:bookmarkStart w:id="3" w:name="_Toc425219441"/>
      <w:bookmarkStart w:id="4" w:name="_Toc426249308"/>
      <w:bookmarkStart w:id="5" w:name="_Toc449924704"/>
      <w:bookmarkStart w:id="6" w:name="_Toc449947722"/>
      <w:bookmarkStart w:id="7" w:name="_Toc454185713"/>
      <w:bookmarkStart w:id="8" w:name="_Toc90877306"/>
      <w:bookmarkStart w:id="9" w:name="_Toc121827271"/>
      <w:bookmarkStart w:id="10" w:name="_Toc234128610"/>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90877307"/>
      <w:bookmarkStart w:id="18" w:name="_Toc121827272"/>
      <w:bookmarkStart w:id="19" w:name="_Toc23412861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These regulations come into operation on 1 February 2005.</w:t>
      </w:r>
    </w:p>
    <w:p>
      <w:pPr>
        <w:pStyle w:val="Heading5"/>
        <w:spacing w:before="240"/>
      </w:pPr>
      <w:bookmarkStart w:id="20" w:name="_Toc234128612"/>
      <w:bookmarkStart w:id="21" w:name="_Toc90877309"/>
      <w:bookmarkStart w:id="22" w:name="_Toc121827274"/>
      <w:r>
        <w:rPr>
          <w:rStyle w:val="CharSectno"/>
        </w:rPr>
        <w:t>3</w:t>
      </w:r>
      <w:r>
        <w:t>.</w:t>
      </w:r>
      <w:r>
        <w:tab/>
        <w:t>Terms used</w:t>
      </w:r>
      <w:bookmarkEnd w:id="20"/>
    </w:p>
    <w:p>
      <w:pPr>
        <w:pStyle w:val="Subsection"/>
      </w:pPr>
      <w:r>
        <w:tab/>
      </w:r>
      <w:r>
        <w:tab/>
        <w:t xml:space="preserve">In these regulations — </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rPr>
          <w:b/>
        </w:rPr>
        <w:tab/>
      </w:r>
      <w:r>
        <w:rPr>
          <w:rStyle w:val="CharDefText"/>
        </w:rPr>
        <w:t>recognised order</w:t>
      </w:r>
      <w:r>
        <w:t xml:space="preserve"> means a corresponding prohibition order recognised under regulation 23(1);</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lastRenderedPageBreak/>
        <w:tab/>
      </w:r>
      <w:r>
        <w:rPr>
          <w:rStyle w:val="CharDefText"/>
        </w:rPr>
        <w:t>relevant court</w:t>
      </w:r>
      <w:r>
        <w:t xml:space="preserve">, in relation to a corresponding prohibition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23" w:name="_Toc234128613"/>
      <w:r>
        <w:rPr>
          <w:rStyle w:val="CharSectno"/>
        </w:rPr>
        <w:t>4</w:t>
      </w:r>
      <w:r>
        <w:t>.</w:t>
      </w:r>
      <w:r>
        <w:tab/>
        <w:t>Authorised persons (s. 3)</w:t>
      </w:r>
      <w:bookmarkEnd w:id="21"/>
      <w:bookmarkEnd w:id="22"/>
      <w:bookmarkEnd w:id="23"/>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4" w:name="_Toc90877310"/>
      <w:bookmarkStart w:id="25" w:name="_Toc121827275"/>
      <w:bookmarkStart w:id="26" w:name="_Toc234128614"/>
      <w:r>
        <w:rPr>
          <w:rStyle w:val="CharSectno"/>
        </w:rPr>
        <w:t>5</w:t>
      </w:r>
      <w:r>
        <w:t>.</w:t>
      </w:r>
      <w:r>
        <w:tab/>
        <w:t>Corresponding Acts (s. 3)</w:t>
      </w:r>
      <w:bookmarkEnd w:id="24"/>
      <w:bookmarkEnd w:id="25"/>
      <w:bookmarkEnd w:id="26"/>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keepNext/>
      </w:pPr>
      <w:r>
        <w:tab/>
        <w:t>(d)</w:t>
      </w:r>
      <w:r>
        <w:tab/>
        <w:t xml:space="preserve">the </w:t>
      </w:r>
      <w:r>
        <w:rPr>
          <w:i/>
          <w:iCs/>
        </w:rPr>
        <w:t xml:space="preserve">Child Protection (Offender Reporting and Registration) Act 2004 </w:t>
      </w:r>
      <w:r>
        <w:t>of the Northern Territory;</w:t>
      </w:r>
    </w:p>
    <w:p>
      <w:pPr>
        <w:pStyle w:val="Indenta"/>
      </w:pPr>
      <w:bookmarkStart w:id="27" w:name="_Toc90877311"/>
      <w:bookmarkStart w:id="28" w:name="_Toc121827276"/>
      <w:r>
        <w:tab/>
        <w:t>(e)</w:t>
      </w:r>
      <w:r>
        <w:tab/>
        <w:t xml:space="preserve">the </w:t>
      </w:r>
      <w:r>
        <w:rPr>
          <w:i/>
          <w:iCs/>
        </w:rPr>
        <w:t>Crimes (Child Sex Offenders) Act 2005</w:t>
      </w:r>
      <w:r>
        <w:t xml:space="preserve"> of the Australian Capital Territory;</w:t>
      </w:r>
    </w:p>
    <w:p>
      <w:pPr>
        <w:pStyle w:val="Indenta"/>
      </w:pPr>
      <w:r>
        <w:tab/>
        <w:t>(f)</w:t>
      </w:r>
      <w:r>
        <w:tab/>
        <w:t xml:space="preserve">the </w:t>
      </w:r>
      <w:r>
        <w:rPr>
          <w:i/>
          <w:iCs/>
        </w:rPr>
        <w:t>Community Protection (Offender Reporting) Act 2005</w:t>
      </w:r>
      <w:r>
        <w:t xml:space="preserve"> of Tasmania;</w:t>
      </w:r>
    </w:p>
    <w:p>
      <w:pPr>
        <w:pStyle w:val="Indenta"/>
      </w:pPr>
      <w:r>
        <w:tab/>
        <w:t>(g)</w:t>
      </w:r>
      <w:r>
        <w:tab/>
        <w:t xml:space="preserve">the </w:t>
      </w:r>
      <w:r>
        <w:rPr>
          <w:i/>
          <w:iCs/>
        </w:rPr>
        <w:t>Child Sex Offenders Registration Act 2006</w:t>
      </w:r>
      <w:r>
        <w:t xml:space="preserve"> of South Australia;</w:t>
      </w:r>
    </w:p>
    <w:p>
      <w:pPr>
        <w:pStyle w:val="Indenta"/>
      </w:pPr>
      <w:r>
        <w:lastRenderedPageBreak/>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Footnotesection"/>
      </w:pPr>
      <w:r>
        <w:tab/>
        <w:t>[Regulation 5 amended in Gazette 8 Sep 2006 p. 3641; 22 Jun 2007 p. 2862; 28 Mar 2008 p. 914; 25 Nov 2008 p. 4990; 20 Feb 2009 p. 354.]</w:t>
      </w:r>
    </w:p>
    <w:p>
      <w:pPr>
        <w:pStyle w:val="Heading5"/>
      </w:pPr>
      <w:bookmarkStart w:id="29" w:name="_Toc234128615"/>
      <w:r>
        <w:rPr>
          <w:rStyle w:val="CharSectno"/>
        </w:rPr>
        <w:t>6</w:t>
      </w:r>
      <w:r>
        <w:t>.</w:t>
      </w:r>
      <w:r>
        <w:tab/>
        <w:t>Corresponding offender reporting orders (s. 3)</w:t>
      </w:r>
      <w:bookmarkEnd w:id="27"/>
      <w:bookmarkEnd w:id="28"/>
      <w:bookmarkEnd w:id="29"/>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30" w:name="_Toc90877312"/>
      <w:bookmarkStart w:id="31"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in Gazette 8 Sep 2006 p. 3642; 22 Jun 2007 p. 2862; 28 Mar 2008 p. 914.]</w:t>
      </w:r>
    </w:p>
    <w:p>
      <w:pPr>
        <w:pStyle w:val="Heading5"/>
      </w:pPr>
      <w:bookmarkStart w:id="32" w:name="_Toc234128616"/>
      <w:r>
        <w:rPr>
          <w:rStyle w:val="CharSectno"/>
        </w:rPr>
        <w:t>6A</w:t>
      </w:r>
      <w:r>
        <w:t>.</w:t>
      </w:r>
      <w:r>
        <w:tab/>
        <w:t>Sentences (s. 3)</w:t>
      </w:r>
      <w:bookmarkEnd w:id="32"/>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33" w:name="_Toc234128617"/>
      <w:r>
        <w:rPr>
          <w:rStyle w:val="CharSectno"/>
        </w:rPr>
        <w:t>7</w:t>
      </w:r>
      <w:r>
        <w:t>.</w:t>
      </w:r>
      <w:r>
        <w:tab/>
        <w:t>Supervising authorities (s. 3)</w:t>
      </w:r>
      <w:bookmarkEnd w:id="30"/>
      <w:bookmarkEnd w:id="31"/>
      <w:bookmarkEnd w:id="33"/>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34" w:name="_Toc90877313"/>
      <w:bookmarkStart w:id="35" w:name="_Toc121827278"/>
      <w:bookmarkStart w:id="36" w:name="_Toc234128618"/>
      <w:r>
        <w:rPr>
          <w:rStyle w:val="CharSectno"/>
        </w:rPr>
        <w:t>8</w:t>
      </w:r>
      <w:r>
        <w:t>.</w:t>
      </w:r>
      <w:r>
        <w:tab/>
        <w:t>Offences — relevance if committed by child (s. 6)</w:t>
      </w:r>
      <w:bookmarkEnd w:id="34"/>
      <w:bookmarkEnd w:id="35"/>
      <w:bookmarkEnd w:id="36"/>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Heading5"/>
      </w:pPr>
      <w:bookmarkStart w:id="37" w:name="_Toc90877314"/>
      <w:bookmarkStart w:id="38" w:name="_Toc121827279"/>
      <w:bookmarkStart w:id="39" w:name="_Toc234128619"/>
      <w:r>
        <w:rPr>
          <w:rStyle w:val="CharSectno"/>
        </w:rPr>
        <w:t>9</w:t>
      </w:r>
      <w:r>
        <w:t>.</w:t>
      </w:r>
      <w:r>
        <w:tab/>
        <w:t>Foreign witness protection laws (s. 6 and 75)</w:t>
      </w:r>
      <w:bookmarkEnd w:id="37"/>
      <w:bookmarkEnd w:id="38"/>
      <w:bookmarkEnd w:id="39"/>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40" w:name="_Toc90877315"/>
      <w:bookmarkStart w:id="41" w:name="_Toc121827280"/>
      <w:bookmarkStart w:id="42" w:name="_Toc234128620"/>
      <w:r>
        <w:rPr>
          <w:rStyle w:val="CharSectno"/>
        </w:rPr>
        <w:t>10</w:t>
      </w:r>
      <w:r>
        <w:t>.</w:t>
      </w:r>
      <w:r>
        <w:tab/>
        <w:t>Specified date for determining New South Wales reportable offenders (s. 8)</w:t>
      </w:r>
      <w:bookmarkEnd w:id="40"/>
      <w:bookmarkEnd w:id="41"/>
      <w:bookmarkEnd w:id="42"/>
    </w:p>
    <w:p>
      <w:pPr>
        <w:pStyle w:val="Subsection"/>
      </w:pPr>
      <w:r>
        <w:tab/>
      </w:r>
      <w:r>
        <w:tab/>
        <w:t>For the purposes of section 8 of the Act, 1 February 2005 is specified.</w:t>
      </w:r>
    </w:p>
    <w:p>
      <w:pPr>
        <w:pStyle w:val="Heading5"/>
      </w:pPr>
      <w:bookmarkStart w:id="43" w:name="_Toc90877316"/>
      <w:bookmarkStart w:id="44" w:name="_Toc121827281"/>
      <w:bookmarkStart w:id="45" w:name="_Toc234128621"/>
      <w:r>
        <w:rPr>
          <w:rStyle w:val="CharSectno"/>
        </w:rPr>
        <w:t>11</w:t>
      </w:r>
      <w:r>
        <w:t>.</w:t>
      </w:r>
      <w:r>
        <w:tab/>
        <w:t>Class 2 offences (s. 11)</w:t>
      </w:r>
      <w:bookmarkEnd w:id="43"/>
      <w:bookmarkEnd w:id="44"/>
      <w:bookmarkEnd w:id="45"/>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r>
      <w:r>
        <w:rPr>
          <w:rStyle w:val="CharDefText"/>
        </w:rPr>
        <w:t>Code Act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46" w:name="_Toc90877317"/>
      <w:bookmarkStart w:id="47" w:name="_Toc121827282"/>
      <w:bookmarkStart w:id="48" w:name="_Toc234128622"/>
      <w:r>
        <w:rPr>
          <w:rStyle w:val="CharSectno"/>
        </w:rPr>
        <w:t>12</w:t>
      </w:r>
      <w:r>
        <w:t>.</w:t>
      </w:r>
      <w:r>
        <w:tab/>
        <w:t>Means of contacting authorised person for certain persons entering Western Australia (s. 27)</w:t>
      </w:r>
      <w:bookmarkEnd w:id="46"/>
      <w:bookmarkEnd w:id="47"/>
      <w:bookmarkEnd w:id="48"/>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49" w:name="_Toc90877318"/>
      <w:bookmarkStart w:id="50" w:name="_Toc121827283"/>
      <w:bookmarkStart w:id="51" w:name="_Toc234128623"/>
      <w:r>
        <w:rPr>
          <w:rStyle w:val="CharSectno"/>
        </w:rPr>
        <w:t>13</w:t>
      </w:r>
      <w:r>
        <w:t>.</w:t>
      </w:r>
      <w:r>
        <w:tab/>
        <w:t>Manner of reporting change of reportable offender’s travel plans while out of Western Australia (s. 31)</w:t>
      </w:r>
      <w:bookmarkEnd w:id="49"/>
      <w:bookmarkEnd w:id="50"/>
      <w:bookmarkEnd w:id="51"/>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52" w:name="_Toc90877319"/>
      <w:bookmarkStart w:id="53" w:name="_Toc121827284"/>
      <w:bookmarkStart w:id="54" w:name="_Toc234128624"/>
      <w:r>
        <w:rPr>
          <w:rStyle w:val="CharSectno"/>
        </w:rPr>
        <w:t>14</w:t>
      </w:r>
      <w:r>
        <w:t>.</w:t>
      </w:r>
      <w:r>
        <w:tab/>
        <w:t>Directions as to police station or approved place at which reportable offender must report (s. 34)</w:t>
      </w:r>
      <w:bookmarkEnd w:id="52"/>
      <w:bookmarkEnd w:id="53"/>
      <w:bookmarkEnd w:id="54"/>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55" w:name="_Toc90877320"/>
      <w:bookmarkStart w:id="56" w:name="_Toc121827285"/>
      <w:bookmarkStart w:id="57" w:name="_Toc234128625"/>
      <w:r>
        <w:rPr>
          <w:rStyle w:val="CharSectno"/>
        </w:rPr>
        <w:t>15</w:t>
      </w:r>
      <w:r>
        <w:t>.</w:t>
      </w:r>
      <w:r>
        <w:tab/>
        <w:t>Form of identification for reporting in person (s. 38)</w:t>
      </w:r>
      <w:bookmarkEnd w:id="55"/>
      <w:bookmarkEnd w:id="56"/>
      <w:bookmarkEnd w:id="57"/>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58" w:name="_Toc90877321"/>
      <w:bookmarkStart w:id="59" w:name="_Toc121827286"/>
      <w:bookmarkStart w:id="60" w:name="_Toc234128626"/>
      <w:r>
        <w:rPr>
          <w:rStyle w:val="CharSectno"/>
        </w:rPr>
        <w:t>16</w:t>
      </w:r>
      <w:r>
        <w:t>.</w:t>
      </w:r>
      <w:r>
        <w:tab/>
        <w:t>Prescribed distance — reporting by remote offenders (s. 43)</w:t>
      </w:r>
      <w:bookmarkEnd w:id="58"/>
      <w:bookmarkEnd w:id="59"/>
      <w:bookmarkEnd w:id="60"/>
    </w:p>
    <w:p>
      <w:pPr>
        <w:pStyle w:val="Subsection"/>
      </w:pPr>
      <w:r>
        <w:tab/>
      </w:r>
      <w:r>
        <w:tab/>
        <w:t>For the purposes of section 43(1) of the Act, the prescribed distance is 100 km.</w:t>
      </w:r>
    </w:p>
    <w:p>
      <w:pPr>
        <w:pStyle w:val="Heading5"/>
      </w:pPr>
      <w:bookmarkStart w:id="61" w:name="_Toc90877322"/>
      <w:bookmarkStart w:id="62" w:name="_Toc121827287"/>
      <w:bookmarkStart w:id="63" w:name="_Toc234128627"/>
      <w:r>
        <w:rPr>
          <w:rStyle w:val="CharSectno"/>
        </w:rPr>
        <w:t>17</w:t>
      </w:r>
      <w:r>
        <w:t>.</w:t>
      </w:r>
      <w:r>
        <w:tab/>
        <w:t>Offences — approval by Commissioner of suspension of reporting obligations (s. 61)</w:t>
      </w:r>
      <w:bookmarkEnd w:id="61"/>
      <w:bookmarkEnd w:id="62"/>
      <w:bookmarkEnd w:id="63"/>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64" w:name="_Toc90877323"/>
      <w:bookmarkStart w:id="65" w:name="_Toc121827288"/>
      <w:bookmarkStart w:id="66" w:name="_Toc234128628"/>
      <w:r>
        <w:rPr>
          <w:rStyle w:val="CharSectno"/>
        </w:rPr>
        <w:t>18</w:t>
      </w:r>
      <w:r>
        <w:t>.</w:t>
      </w:r>
      <w:r>
        <w:tab/>
        <w:t>Sentences — approval by Commissioner of suspension of reporting obligations (s. 61)</w:t>
      </w:r>
      <w:bookmarkEnd w:id="64"/>
      <w:bookmarkEnd w:id="65"/>
      <w:bookmarkEnd w:id="66"/>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67" w:name="_Toc90877324"/>
      <w:bookmarkStart w:id="68" w:name="_Toc121827289"/>
      <w:bookmarkStart w:id="69" w:name="_Toc234128629"/>
      <w:r>
        <w:rPr>
          <w:rStyle w:val="CharSectno"/>
        </w:rPr>
        <w:t>19</w:t>
      </w:r>
      <w:r>
        <w:t>.</w:t>
      </w:r>
      <w:r>
        <w:tab/>
        <w:t>Persons required to give notice of reporting obligations etc. to reportable offenders (s. 67)</w:t>
      </w:r>
      <w:bookmarkEnd w:id="67"/>
      <w:bookmarkEnd w:id="68"/>
      <w:bookmarkEnd w:id="69"/>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bookmarkStart w:id="70" w:name="_Toc90877325"/>
      <w:bookmarkStart w:id="71" w:name="_Toc121827290"/>
      <w:r>
        <w:tab/>
        <w:t>[Regulation 19 amended in Gazette 1 Jun 2007 p. 2528.]</w:t>
      </w:r>
    </w:p>
    <w:p>
      <w:pPr>
        <w:pStyle w:val="Heading5"/>
      </w:pPr>
      <w:bookmarkStart w:id="72" w:name="_Toc234128630"/>
      <w:r>
        <w:rPr>
          <w:rStyle w:val="CharSectno"/>
        </w:rPr>
        <w:t>20</w:t>
      </w:r>
      <w:r>
        <w:t>.</w:t>
      </w:r>
      <w:r>
        <w:tab/>
        <w:t>Details to be included in notice given by supervising authority to Commissioner (s. 70)</w:t>
      </w:r>
      <w:bookmarkEnd w:id="70"/>
      <w:bookmarkEnd w:id="71"/>
      <w:bookmarkEnd w:id="72"/>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73" w:name="_Toc90877326"/>
      <w:bookmarkStart w:id="74" w:name="_Toc121827291"/>
      <w:bookmarkStart w:id="75" w:name="_Toc234128631"/>
      <w:r>
        <w:rPr>
          <w:rStyle w:val="CharSectno"/>
        </w:rPr>
        <w:t>21</w:t>
      </w:r>
      <w:r>
        <w:t>.</w:t>
      </w:r>
      <w:r>
        <w:tab/>
        <w:t>Corresponding prohibition orders (s. 85)</w:t>
      </w:r>
      <w:bookmarkEnd w:id="73"/>
      <w:bookmarkEnd w:id="74"/>
      <w:bookmarkEnd w:id="75"/>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Footnotesection"/>
      </w:pPr>
      <w:r>
        <w:tab/>
        <w:t>[Regulation 21 amended in Gazette 14 Nov 2008 p. 4878; 25 Nov 2008 p. 4990.]</w:t>
      </w:r>
    </w:p>
    <w:p>
      <w:pPr>
        <w:pStyle w:val="Heading5"/>
      </w:pPr>
      <w:bookmarkStart w:id="76" w:name="_Toc234128632"/>
      <w:r>
        <w:rPr>
          <w:rStyle w:val="CharSectno"/>
        </w:rPr>
        <w:t>22</w:t>
      </w:r>
      <w:r>
        <w:t>.</w:t>
      </w:r>
      <w:r>
        <w:tab/>
        <w:t>Application for recognition of corresponding prohibition orders (s. 108(2)(a))</w:t>
      </w:r>
      <w:bookmarkEnd w:id="76"/>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77" w:name="_Toc234128633"/>
      <w:r>
        <w:rPr>
          <w:rStyle w:val="CharSectno"/>
        </w:rPr>
        <w:t>23</w:t>
      </w:r>
      <w:r>
        <w:t>.</w:t>
      </w:r>
      <w:r>
        <w:tab/>
        <w:t>Recognition of corresponding prohibition orders (s. 108(2)(b))</w:t>
      </w:r>
      <w:bookmarkEnd w:id="77"/>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p>
    <w:p>
      <w:pPr>
        <w:pStyle w:val="Heading5"/>
      </w:pPr>
      <w:bookmarkStart w:id="78" w:name="_Toc234128634"/>
      <w:r>
        <w:rPr>
          <w:rStyle w:val="CharSectno"/>
        </w:rPr>
        <w:t>24</w:t>
      </w:r>
      <w:r>
        <w:t>.</w:t>
      </w:r>
      <w:r>
        <w:tab/>
        <w:t>Effect of recognition of corresponding prohibition orders (s. 108(2)(d))</w:t>
      </w:r>
      <w:bookmarkEnd w:id="78"/>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79" w:name="_Toc234128635"/>
      <w:r>
        <w:rPr>
          <w:rStyle w:val="CharSectno"/>
        </w:rPr>
        <w:t>25</w:t>
      </w:r>
      <w:r>
        <w:t>.</w:t>
      </w:r>
      <w:r>
        <w:tab/>
        <w:t>Variation or revocation of recognised order in a foreign jurisdiction</w:t>
      </w:r>
      <w:bookmarkEnd w:id="7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80" w:name="_Toc234128636"/>
      <w:r>
        <w:rPr>
          <w:rStyle w:val="CharSectno"/>
        </w:rPr>
        <w:t>26</w:t>
      </w:r>
      <w:r>
        <w:t>.</w:t>
      </w:r>
      <w:r>
        <w:tab/>
        <w:t>Forms</w:t>
      </w:r>
      <w:bookmarkEnd w:id="80"/>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1" w:name="_Toc121827293"/>
      <w:bookmarkStart w:id="82" w:name="_Toc145395849"/>
      <w:bookmarkStart w:id="83" w:name="_Toc145471972"/>
      <w:bookmarkStart w:id="84" w:name="_Toc168375090"/>
      <w:bookmarkStart w:id="85" w:name="_Toc168383354"/>
      <w:bookmarkStart w:id="86" w:name="_Toc170269739"/>
      <w:bookmarkStart w:id="87" w:name="_Toc173301893"/>
      <w:bookmarkStart w:id="88" w:name="_Toc173302116"/>
      <w:bookmarkStart w:id="89" w:name="_Toc173899078"/>
      <w:bookmarkStart w:id="90" w:name="_Toc175544696"/>
      <w:bookmarkStart w:id="91" w:name="_Toc177962645"/>
      <w:bookmarkStart w:id="92" w:name="_Toc178497954"/>
      <w:bookmarkStart w:id="93" w:name="_Toc178497988"/>
      <w:bookmarkStart w:id="94" w:name="_Toc179858750"/>
      <w:bookmarkStart w:id="95" w:name="_Toc179858968"/>
      <w:bookmarkStart w:id="96" w:name="_Toc179859001"/>
      <w:bookmarkStart w:id="97" w:name="_Toc194459398"/>
      <w:bookmarkStart w:id="98" w:name="_Toc204583648"/>
      <w:bookmarkStart w:id="99" w:name="_Toc214423248"/>
      <w:bookmarkStart w:id="100" w:name="_Toc215455022"/>
      <w:bookmarkStart w:id="101" w:name="_Toc222813015"/>
      <w:bookmarkStart w:id="102" w:name="_Toc231012688"/>
      <w:bookmarkStart w:id="103" w:name="_Toc231014566"/>
      <w:bookmarkStart w:id="104" w:name="_Toc234128534"/>
      <w:bookmarkStart w:id="105" w:name="_Toc234128637"/>
      <w:bookmarkStart w:id="106" w:name="_Toc93212204"/>
      <w:r>
        <w:rPr>
          <w:rStyle w:val="CharSchNo"/>
        </w:rPr>
        <w:t>Schedule 1</w:t>
      </w:r>
      <w:r>
        <w:rPr>
          <w:rStyle w:val="CharSDivNo"/>
        </w:rPr>
        <w:t> </w:t>
      </w:r>
      <w:r>
        <w:t>—</w:t>
      </w:r>
      <w:r>
        <w:rPr>
          <w:rStyle w:val="CharSDivText"/>
        </w:rPr>
        <w:t> </w:t>
      </w:r>
      <w:r>
        <w:rPr>
          <w:rStyle w:val="CharSchText"/>
        </w:rPr>
        <w:t>Forms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pPr>
      <w:r>
        <w:t>[r. 26]</w:t>
      </w:r>
    </w:p>
    <w:p>
      <w:pPr>
        <w:pStyle w:val="yFootnotesection"/>
      </w:pPr>
      <w:r>
        <w:tab/>
        <w:t>[Heading inserted in Gazette 9 Dec 2005 p. 5888; amended in Gazette 1 Jun 2007 p. 2528.]</w:t>
      </w:r>
    </w:p>
    <w:p>
      <w:pPr>
        <w:pStyle w:val="yHeading5"/>
        <w:spacing w:after="80"/>
      </w:pPr>
      <w:bookmarkStart w:id="107" w:name="_Toc121827294"/>
      <w:bookmarkStart w:id="108" w:name="_Toc175544697"/>
      <w:bookmarkStart w:id="109" w:name="_Toc234128638"/>
      <w:r>
        <w:rPr>
          <w:rStyle w:val="CharSClsNo"/>
        </w:rPr>
        <w:t>1</w:t>
      </w:r>
      <w:r>
        <w:t>.</w:t>
      </w:r>
      <w:r>
        <w:tab/>
        <w:t>Summons: Application for order</w:t>
      </w:r>
      <w:bookmarkEnd w:id="107"/>
      <w:bookmarkEnd w:id="108"/>
      <w:bookmarkEnd w:id="10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w:t>
      </w:r>
    </w:p>
    <w:p>
      <w:pPr>
        <w:pStyle w:val="yHeading5"/>
        <w:pageBreakBefore/>
        <w:spacing w:after="80"/>
      </w:pPr>
      <w:bookmarkStart w:id="110" w:name="_Toc121827295"/>
      <w:bookmarkStart w:id="111" w:name="_Toc175544698"/>
      <w:bookmarkStart w:id="112" w:name="_Toc234128639"/>
      <w:r>
        <w:rPr>
          <w:rStyle w:val="CharSClsNo"/>
        </w:rPr>
        <w:t>2</w:t>
      </w:r>
      <w:r>
        <w:t>.</w:t>
      </w:r>
      <w:r>
        <w:tab/>
        <w:t>Summons: Further hearing after interim order</w:t>
      </w:r>
      <w:bookmarkEnd w:id="110"/>
      <w:bookmarkEnd w:id="111"/>
      <w:bookmarkEnd w:id="11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prohibition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34"/>
                <w:tab w:val="left" w:pos="1314"/>
              </w:tabs>
              <w:spacing w:before="6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90.]</w:t>
      </w:r>
    </w:p>
    <w:p>
      <w:pPr>
        <w:pStyle w:val="yHeading5"/>
        <w:pageBreakBefore/>
        <w:spacing w:after="80"/>
      </w:pPr>
      <w:bookmarkStart w:id="113" w:name="_Toc121827296"/>
      <w:bookmarkStart w:id="114" w:name="_Toc175544699"/>
      <w:bookmarkStart w:id="115" w:name="_Toc234128640"/>
      <w:r>
        <w:rPr>
          <w:rStyle w:val="CharSClsNo"/>
        </w:rPr>
        <w:t>3</w:t>
      </w:r>
      <w:r>
        <w:t>.</w:t>
      </w:r>
      <w:r>
        <w:tab/>
        <w:t>Summons: Application to vary or revoke child</w:t>
      </w:r>
      <w:bookmarkEnd w:id="113"/>
      <w:r>
        <w:t xml:space="preserve"> </w:t>
      </w:r>
      <w:bookmarkStart w:id="116" w:name="_Toc121827297"/>
      <w:r>
        <w:t>protection prohibition order</w:t>
      </w:r>
      <w:bookmarkEnd w:id="114"/>
      <w:bookmarkEnd w:id="115"/>
      <w:bookmarkEnd w:id="11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prohibition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299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299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34"/>
                <w:tab w:val="left" w:pos="1314"/>
                <w:tab w:val="left" w:pos="2994"/>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2994"/>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1.]</w:t>
      </w:r>
    </w:p>
    <w:p>
      <w:pPr>
        <w:pStyle w:val="CentredBaseLine"/>
        <w:jc w:val="center"/>
      </w:pPr>
      <w:r>
        <w:rPr>
          <w:noProof/>
          <w:lang w:eastAsia="en-AU"/>
        </w:rPr>
        <w:drawing>
          <wp:inline distT="0" distB="0" distL="0" distR="0">
            <wp:extent cx="932815" cy="172085"/>
            <wp:effectExtent l="0" t="0" r="63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tabs>
          <w:tab w:val="left" w:pos="419"/>
          <w:tab w:val="left" w:pos="3114"/>
        </w:tabs>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17" w:name="_Toc121813512"/>
      <w:bookmarkStart w:id="118" w:name="_Toc121827298"/>
      <w:bookmarkStart w:id="119" w:name="_Toc145395850"/>
      <w:bookmarkStart w:id="120" w:name="_Toc145471973"/>
      <w:bookmarkStart w:id="121" w:name="_Toc168375091"/>
      <w:bookmarkStart w:id="122" w:name="_Toc168383355"/>
      <w:bookmarkStart w:id="123" w:name="_Toc170269740"/>
      <w:bookmarkStart w:id="124" w:name="_Toc173301897"/>
      <w:bookmarkStart w:id="125" w:name="_Toc173302120"/>
      <w:bookmarkStart w:id="126" w:name="_Toc173899082"/>
      <w:bookmarkStart w:id="127" w:name="_Toc175544700"/>
      <w:bookmarkStart w:id="128" w:name="_Toc177962649"/>
      <w:bookmarkStart w:id="129" w:name="_Toc178497958"/>
      <w:bookmarkStart w:id="130" w:name="_Toc178497992"/>
      <w:bookmarkStart w:id="131" w:name="_Toc179858754"/>
      <w:bookmarkStart w:id="132" w:name="_Toc179858972"/>
      <w:bookmarkStart w:id="133" w:name="_Toc179859005"/>
      <w:bookmarkStart w:id="134" w:name="_Toc194459402"/>
      <w:bookmarkStart w:id="135" w:name="_Toc204583652"/>
      <w:bookmarkStart w:id="136" w:name="_Toc214423252"/>
      <w:bookmarkStart w:id="137" w:name="_Toc215455026"/>
      <w:bookmarkStart w:id="138" w:name="_Toc222813019"/>
      <w:bookmarkStart w:id="139" w:name="_Toc231012692"/>
      <w:bookmarkStart w:id="140" w:name="_Toc231014570"/>
      <w:bookmarkStart w:id="141" w:name="_Toc234128538"/>
      <w:bookmarkStart w:id="142" w:name="_Toc234128641"/>
      <w:r>
        <w:t>Notes</w:t>
      </w:r>
      <w:bookmarkEnd w:id="10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reprint is a compilation as at 3 July 2009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43" w:name="_Toc234128642"/>
      <w:r>
        <w:t>Compilation table</w:t>
      </w:r>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sz w:val="19"/>
              </w:rPr>
            </w:pPr>
            <w:r>
              <w:rPr>
                <w:sz w:val="19"/>
              </w:rPr>
              <w:t>r. 1 and 2: 28 Mar 2008 (see r. 2(a));</w:t>
            </w:r>
            <w:r>
              <w:rPr>
                <w:sz w:val="19"/>
              </w:rPr>
              <w:b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3" w:type="dxa"/>
          </w:tcPr>
          <w:p>
            <w:pPr>
              <w:pStyle w:val="nTable"/>
              <w:spacing w:after="40"/>
              <w:rPr>
                <w:sz w:val="19"/>
              </w:rPr>
            </w:pPr>
            <w:r>
              <w:rPr>
                <w:sz w:val="19"/>
              </w:rPr>
              <w:t>r. 1 and 2: 14 Nov 2008 (see r. 2(a));</w:t>
            </w:r>
            <w:r>
              <w:rPr>
                <w:sz w:val="19"/>
              </w:rPr>
              <w:br/>
              <w:t>Regulations other than r. 1 and 2: 15 Nov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pPr>
              <w:pStyle w:val="nTable"/>
              <w:spacing w:after="40"/>
              <w:rPr>
                <w:sz w:val="19"/>
              </w:rPr>
            </w:pPr>
            <w:r>
              <w:rPr>
                <w:sz w:val="19"/>
              </w:rPr>
              <w:t>25 Nov 2008 p. 4989-90</w:t>
            </w:r>
          </w:p>
        </w:tc>
        <w:tc>
          <w:tcPr>
            <w:tcW w:w="2693" w:type="dxa"/>
          </w:tcPr>
          <w:p>
            <w:pPr>
              <w:pStyle w:val="nTable"/>
              <w:spacing w:after="40"/>
              <w:rPr>
                <w:sz w:val="19"/>
              </w:rPr>
            </w:pPr>
            <w:r>
              <w:rPr>
                <w:sz w:val="19"/>
              </w:rPr>
              <w:t>r. 1 and 2: 25 Nov 2008 (see r. 2(a));</w:t>
            </w:r>
            <w:r>
              <w:rPr>
                <w:sz w:val="19"/>
              </w:rPr>
              <w:br/>
              <w:t>Regulations other than r. 1 and 2: 26 Nov 2008 (see r. 2(b))</w:t>
            </w:r>
          </w:p>
        </w:tc>
      </w:tr>
      <w:tr>
        <w:trPr>
          <w:cantSplit/>
        </w:trPr>
        <w:tc>
          <w:tcPr>
            <w:tcW w:w="3118" w:type="dxa"/>
          </w:tcPr>
          <w:p>
            <w:pPr>
              <w:pStyle w:val="nTable"/>
              <w:spacing w:after="40"/>
              <w:rPr>
                <w:i/>
                <w:noProof/>
                <w:snapToGrid w:val="0"/>
                <w:sz w:val="19"/>
              </w:rPr>
            </w:pPr>
            <w:r>
              <w:rPr>
                <w:i/>
                <w:noProof/>
                <w:snapToGrid w:val="0"/>
                <w:sz w:val="19"/>
              </w:rPr>
              <w:t>Community Protection (Offender Reporting) Amendment Regulations 2009</w:t>
            </w:r>
          </w:p>
        </w:tc>
        <w:tc>
          <w:tcPr>
            <w:tcW w:w="1276" w:type="dxa"/>
          </w:tcPr>
          <w:p>
            <w:pPr>
              <w:pStyle w:val="nTable"/>
              <w:spacing w:after="40"/>
              <w:rPr>
                <w:sz w:val="19"/>
              </w:rPr>
            </w:pPr>
            <w:r>
              <w:rPr>
                <w:sz w:val="19"/>
              </w:rPr>
              <w:t>20 Feb 2009 p. 353-4</w:t>
            </w:r>
          </w:p>
        </w:tc>
        <w:tc>
          <w:tcPr>
            <w:tcW w:w="2693" w:type="dxa"/>
          </w:tcPr>
          <w:p>
            <w:pPr>
              <w:pStyle w:val="nTable"/>
              <w:spacing w:after="40"/>
              <w:rPr>
                <w:sz w:val="19"/>
              </w:rPr>
            </w:pPr>
            <w:r>
              <w:rPr>
                <w:sz w:val="19"/>
              </w:rPr>
              <w:t>r. 1 and 2: 20 Feb 2009 (see r. 2(a));</w:t>
            </w:r>
            <w:r>
              <w:rPr>
                <w:sz w:val="19"/>
              </w:rPr>
              <w:br/>
              <w:t>Regulations other than r. 1 and 2: 21 Feb 2009 (see r.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noProof/>
                <w:snapToGrid w:val="0"/>
                <w:sz w:val="19"/>
              </w:rPr>
              <w:t xml:space="preserve">Community Protection (Offender Reporting) Regulations 2004 </w:t>
            </w:r>
            <w:r>
              <w:rPr>
                <w:b/>
                <w:bCs/>
                <w:sz w:val="19"/>
              </w:rPr>
              <w:t>as at 3 Jul 2009</w:t>
            </w:r>
            <w:r>
              <w:rPr>
                <w:sz w:val="19"/>
              </w:rPr>
              <w:t xml:space="preserve"> (includes amendments listed above)</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144" w:name="_Toc231014572"/>
      <w:bookmarkStart w:id="145" w:name="_Toc234128540"/>
      <w:bookmarkStart w:id="146" w:name="_Toc234128643"/>
      <w:r>
        <w:rPr>
          <w:sz w:val="28"/>
        </w:rPr>
        <w:t>Defined Terms</w:t>
      </w:r>
      <w:bookmarkEnd w:id="144"/>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7" w:name="DefinedTerms"/>
      <w:bookmarkEnd w:id="147"/>
      <w:r>
        <w:t>Code Act</w:t>
      </w:r>
      <w:r>
        <w:tab/>
        <w:t>11(2)</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prison</w:t>
      </w:r>
      <w:r>
        <w:tab/>
        <w:t>7(3)</w:t>
      </w:r>
    </w:p>
    <w:p>
      <w:pPr>
        <w:pStyle w:val="DefinedTerms"/>
      </w:pPr>
      <w:r>
        <w:t>recognised order</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relevant report</w:t>
      </w:r>
      <w:r>
        <w:tab/>
        <w:t>15(2)</w:t>
      </w:r>
    </w:p>
    <w:p>
      <w:pPr>
        <w:pStyle w:val="DefinedTerms"/>
      </w:pP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p/>
    <w:p/>
    <w:p/>
    <w:p/>
    <w:p/>
    <w:p/>
    <w:p/>
    <w:p/>
    <w:p/>
    <w:p/>
    <w:p/>
    <w:p/>
    <w:p/>
    <w:p/>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activeWritingStyle w:appName="MSWord" w:lang="en-US" w:vendorID="64" w:dllVersion="131077" w:nlCheck="1" w:checkStyle="1"/>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120"/>
    <w:docVar w:name="WAFER_20151208100120" w:val="RemoveTrackChanges"/>
    <w:docVar w:name="WAFER_20151208100120_GUID" w:val="1cf40ce9-d00a-421e-a14c-90146103f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5165</Words>
  <Characters>26811</Characters>
  <Application>Microsoft Office Word</Application>
  <DocSecurity>0</DocSecurity>
  <Lines>957</Lines>
  <Paragraphs>581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Community Protection (Offender Reporting) Regulations 2004</vt:lpstr>
      <vt:lpstr>    Schedule 1 — Forms</vt:lpstr>
      <vt:lpstr>    Notes</vt:lpstr>
      <vt:lpstr>    Defined Terms</vt:lpstr>
    </vt:vector>
  </TitlesOfParts>
  <Manager/>
  <Company/>
  <LinksUpToDate>false</LinksUpToDate>
  <CharactersWithSpaces>31395</CharactersWithSpaces>
  <SharedDoc>false</SharedDoc>
  <HLinks>
    <vt:vector size="18" baseType="variant">
      <vt:variant>
        <vt:i4>3014716</vt:i4>
      </vt:variant>
      <vt:variant>
        <vt:i4>4506</vt:i4>
      </vt:variant>
      <vt:variant>
        <vt:i4>1025</vt:i4>
      </vt:variant>
      <vt:variant>
        <vt:i4>1</vt:i4>
      </vt:variant>
      <vt:variant>
        <vt:lpwstr>C:\Program Files\PCO DLL\Support\Crest.wpg</vt:lpwstr>
      </vt:variant>
      <vt:variant>
        <vt:lpwstr/>
      </vt:variant>
      <vt:variant>
        <vt:i4>5439608</vt:i4>
      </vt:variant>
      <vt:variant>
        <vt:i4>31394</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2004 - 02-a0-02</dc:title>
  <dc:subject/>
  <dc:creator/>
  <cp:keywords/>
  <dc:description/>
  <cp:lastModifiedBy>svcMRProcess</cp:lastModifiedBy>
  <cp:revision>4</cp:revision>
  <cp:lastPrinted>2009-07-01T01:27:00Z</cp:lastPrinted>
  <dcterms:created xsi:type="dcterms:W3CDTF">2015-12-09T11:19:00Z</dcterms:created>
  <dcterms:modified xsi:type="dcterms:W3CDTF">2015-12-09T11:19:00Z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20090703</vt:lpwstr>
  </property>
  <property fmtid="{D5CDD505-2E9C-101B-9397-08002B2CF9AE}" pid="4" name="DocumentType">
    <vt:lpwstr>Reg</vt:lpwstr>
  </property>
  <property fmtid="{D5CDD505-2E9C-101B-9397-08002B2CF9AE}" pid="5" name="OwlsUID">
    <vt:i4>37311</vt:i4>
  </property>
  <property fmtid="{D5CDD505-2E9C-101B-9397-08002B2CF9AE}" pid="6" name="ReprintNo">
    <vt:lpwstr>2</vt:lpwstr>
  </property>
  <property fmtid="{D5CDD505-2E9C-101B-9397-08002B2CF9AE}" pid="7" name="AsAtDate">
    <vt:lpwstr>03 Jul 2009</vt:lpwstr>
  </property>
  <property fmtid="{D5CDD505-2E9C-101B-9397-08002B2CF9AE}" pid="8" name="Suffix">
    <vt:lpwstr>02-a0-02</vt:lpwstr>
  </property>
</Properties>
</file>