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19FE" w:rsidRDefault="00EE3F22">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8319FE" w:rsidRDefault="00EE3F22">
      <w:pPr>
        <w:pStyle w:val="PrincipalActReg"/>
        <w:spacing w:before="2200" w:after="0"/>
      </w:pPr>
      <w:r>
        <w:t>Hospitals and Health Services Act 1927</w:t>
      </w:r>
      <w:r>
        <w:br/>
        <w:t>Hospitals (Services Charges) Regulations 1984</w:t>
      </w:r>
    </w:p>
    <w:p w:rsidR="008319FE" w:rsidRDefault="00EE3F22">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sidR="00B96987">
        <w:rPr>
          <w:noProof/>
          <w:sz w:val="48"/>
        </w:rPr>
        <w:t>Hospitals (Services Charges for Specialized Orthoses and Prostheses) Determination 1994</w:t>
      </w:r>
      <w:r>
        <w:rPr>
          <w:sz w:val="48"/>
        </w:rPr>
        <w:fldChar w:fldCharType="end"/>
      </w:r>
    </w:p>
    <w:p w:rsidR="008319FE" w:rsidRDefault="008319FE">
      <w:pPr>
        <w:jc w:val="center"/>
        <w:rPr>
          <w:b/>
        </w:rPr>
        <w:sectPr w:rsidR="008319FE">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8319FE" w:rsidRDefault="00EE3F22">
      <w:pPr>
        <w:pStyle w:val="WA"/>
        <w:spacing w:before="120"/>
      </w:pPr>
      <w:r>
        <w:lastRenderedPageBreak/>
        <w:t>Western Australia</w:t>
      </w:r>
    </w:p>
    <w:p w:rsidR="008319FE" w:rsidRDefault="00EE3F22">
      <w:pPr>
        <w:pStyle w:val="NameofActRegPage1"/>
      </w:pPr>
      <w:r>
        <w:fldChar w:fldCharType="begin"/>
      </w:r>
      <w:r>
        <w:instrText xml:space="preserve"> STYLEREF "Name Of Act/Reg"</w:instrText>
      </w:r>
      <w:r>
        <w:fldChar w:fldCharType="separate"/>
      </w:r>
      <w:r w:rsidR="00B96987">
        <w:rPr>
          <w:noProof/>
        </w:rPr>
        <w:t>Hospitals (Services Charges for Specialized Orthoses and Prostheses) Determination 1994</w:t>
      </w:r>
      <w:r>
        <w:fldChar w:fldCharType="end"/>
      </w:r>
    </w:p>
    <w:p w:rsidR="008319FE" w:rsidRDefault="00EE3F22">
      <w:pPr>
        <w:pStyle w:val="Arrangement"/>
      </w:pPr>
      <w:r>
        <w:t>CONTENTS</w:t>
      </w:r>
    </w:p>
    <w:p w:rsidR="00B96987" w:rsidRDefault="00EE3F22">
      <w:pPr>
        <w:pStyle w:val="TOC8"/>
        <w:rPr>
          <w:rFonts w:asciiTheme="minorHAnsi" w:eastAsiaTheme="minorEastAsia" w:hAnsiTheme="minorHAnsi" w:cstheme="minorBidi"/>
          <w:szCs w:val="22"/>
          <w:lang w:eastAsia="en-AU"/>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bookmarkStart w:id="1" w:name="UpToHere"/>
      <w:bookmarkEnd w:id="1"/>
      <w:r w:rsidR="00B96987">
        <w:t>1.</w:t>
      </w:r>
      <w:r w:rsidR="00B96987">
        <w:tab/>
        <w:t>Citation</w:t>
      </w:r>
      <w:r w:rsidR="00B96987">
        <w:tab/>
      </w:r>
      <w:r w:rsidR="00B96987">
        <w:fldChar w:fldCharType="begin"/>
      </w:r>
      <w:r w:rsidR="00B96987">
        <w:instrText xml:space="preserve"> PAGEREF _Toc348769821 \h </w:instrText>
      </w:r>
      <w:r w:rsidR="00B96987">
        <w:fldChar w:fldCharType="separate"/>
      </w:r>
      <w:r w:rsidR="00B96987">
        <w:t>1</w:t>
      </w:r>
      <w:r w:rsidR="00B96987">
        <w:fldChar w:fldCharType="end"/>
      </w:r>
    </w:p>
    <w:p w:rsidR="00B96987" w:rsidRDefault="00B96987">
      <w:pPr>
        <w:pStyle w:val="TOC8"/>
        <w:rPr>
          <w:rFonts w:asciiTheme="minorHAnsi" w:eastAsiaTheme="minorEastAsia" w:hAnsiTheme="minorHAnsi" w:cstheme="minorBidi"/>
          <w:szCs w:val="22"/>
          <w:lang w:eastAsia="en-AU"/>
        </w:rPr>
      </w:pPr>
      <w:r>
        <w:t>2</w:t>
      </w:r>
      <w:r w:rsidRPr="004D41B3">
        <w:rPr>
          <w:spacing w:val="-2"/>
        </w:rPr>
        <w:t>.</w:t>
      </w:r>
      <w:r w:rsidRPr="004D41B3">
        <w:rPr>
          <w:spacing w:val="-2"/>
        </w:rPr>
        <w:tab/>
        <w:t>Commencement</w:t>
      </w:r>
      <w:r>
        <w:tab/>
      </w:r>
      <w:r>
        <w:fldChar w:fldCharType="begin"/>
      </w:r>
      <w:r>
        <w:instrText xml:space="preserve"> PAGEREF _Toc348769822 \h </w:instrText>
      </w:r>
      <w:r>
        <w:fldChar w:fldCharType="separate"/>
      </w:r>
      <w:r>
        <w:t>1</w:t>
      </w:r>
      <w:r>
        <w:fldChar w:fldCharType="end"/>
      </w:r>
    </w:p>
    <w:p w:rsidR="00B96987" w:rsidRDefault="00B96987">
      <w:pPr>
        <w:pStyle w:val="TOC8"/>
        <w:rPr>
          <w:rFonts w:asciiTheme="minorHAnsi" w:eastAsiaTheme="minorEastAsia" w:hAnsiTheme="minorHAnsi" w:cstheme="minorBidi"/>
          <w:szCs w:val="22"/>
          <w:lang w:eastAsia="en-AU"/>
        </w:rPr>
      </w:pPr>
      <w:r>
        <w:t>3.</w:t>
      </w:r>
      <w:r>
        <w:tab/>
        <w:t>Interpretation</w:t>
      </w:r>
      <w:r>
        <w:tab/>
      </w:r>
      <w:r>
        <w:fldChar w:fldCharType="begin"/>
      </w:r>
      <w:r>
        <w:instrText xml:space="preserve"> PAGEREF _Toc348769823 \h </w:instrText>
      </w:r>
      <w:r>
        <w:fldChar w:fldCharType="separate"/>
      </w:r>
      <w:r>
        <w:t>1</w:t>
      </w:r>
      <w:r>
        <w:fldChar w:fldCharType="end"/>
      </w:r>
    </w:p>
    <w:p w:rsidR="00B96987" w:rsidRDefault="00B96987">
      <w:pPr>
        <w:pStyle w:val="TOC8"/>
        <w:rPr>
          <w:rFonts w:asciiTheme="minorHAnsi" w:eastAsiaTheme="minorEastAsia" w:hAnsiTheme="minorHAnsi" w:cstheme="minorBidi"/>
          <w:szCs w:val="22"/>
          <w:lang w:eastAsia="en-AU"/>
        </w:rPr>
      </w:pPr>
      <w:r>
        <w:t>4</w:t>
      </w:r>
      <w:r w:rsidRPr="004D41B3">
        <w:rPr>
          <w:snapToGrid w:val="0"/>
        </w:rPr>
        <w:t>.</w:t>
      </w:r>
      <w:r w:rsidRPr="004D41B3">
        <w:rPr>
          <w:snapToGrid w:val="0"/>
        </w:rPr>
        <w:tab/>
        <w:t>Application</w:t>
      </w:r>
      <w:r>
        <w:tab/>
      </w:r>
      <w:r>
        <w:fldChar w:fldCharType="begin"/>
      </w:r>
      <w:r>
        <w:instrText xml:space="preserve"> PAGEREF _Toc348769824 \h </w:instrText>
      </w:r>
      <w:r>
        <w:fldChar w:fldCharType="separate"/>
      </w:r>
      <w:r>
        <w:t>2</w:t>
      </w:r>
      <w:r>
        <w:fldChar w:fldCharType="end"/>
      </w:r>
    </w:p>
    <w:p w:rsidR="00B96987" w:rsidRDefault="00B96987">
      <w:pPr>
        <w:pStyle w:val="TOC8"/>
        <w:rPr>
          <w:rFonts w:asciiTheme="minorHAnsi" w:eastAsiaTheme="minorEastAsia" w:hAnsiTheme="minorHAnsi" w:cstheme="minorBidi"/>
          <w:szCs w:val="22"/>
          <w:lang w:eastAsia="en-AU"/>
        </w:rPr>
      </w:pPr>
      <w:r>
        <w:t>5</w:t>
      </w:r>
      <w:r w:rsidRPr="004D41B3">
        <w:rPr>
          <w:snapToGrid w:val="0"/>
        </w:rPr>
        <w:t>.</w:t>
      </w:r>
      <w:r w:rsidRPr="004D41B3">
        <w:rPr>
          <w:snapToGrid w:val="0"/>
        </w:rPr>
        <w:tab/>
        <w:t>Charges payable in respect of specialized orthoses and prostheses</w:t>
      </w:r>
      <w:r>
        <w:tab/>
      </w:r>
      <w:r>
        <w:fldChar w:fldCharType="begin"/>
      </w:r>
      <w:r>
        <w:instrText xml:space="preserve"> PAGEREF _Toc348769825 \h </w:instrText>
      </w:r>
      <w:r>
        <w:fldChar w:fldCharType="separate"/>
      </w:r>
      <w:r>
        <w:t>2</w:t>
      </w:r>
      <w:r>
        <w:fldChar w:fldCharType="end"/>
      </w:r>
    </w:p>
    <w:p w:rsidR="00B96987" w:rsidRDefault="00B96987">
      <w:pPr>
        <w:pStyle w:val="TOC2"/>
        <w:tabs>
          <w:tab w:val="right" w:pos="7086"/>
        </w:tabs>
        <w:rPr>
          <w:rFonts w:asciiTheme="minorHAnsi" w:eastAsiaTheme="minorEastAsia" w:hAnsiTheme="minorHAnsi" w:cstheme="minorBidi"/>
          <w:b w:val="0"/>
          <w:sz w:val="22"/>
          <w:szCs w:val="22"/>
          <w:lang w:eastAsia="en-AU"/>
        </w:rPr>
      </w:pPr>
      <w:r>
        <w:t>Notes</w:t>
      </w:r>
    </w:p>
    <w:p w:rsidR="00B96987" w:rsidRDefault="00B96987">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_Toc348769827 \h </w:instrText>
      </w:r>
      <w:r>
        <w:fldChar w:fldCharType="separate"/>
      </w:r>
      <w:r>
        <w:t>3</w:t>
      </w:r>
      <w:r>
        <w:fldChar w:fldCharType="end"/>
      </w:r>
    </w:p>
    <w:p w:rsidR="008319FE" w:rsidRDefault="00EE3F22">
      <w:pPr>
        <w:pStyle w:val="TOC8"/>
      </w:pPr>
      <w:r>
        <w:fldChar w:fldCharType="end"/>
      </w:r>
    </w:p>
    <w:p w:rsidR="008319FE" w:rsidRDefault="00EE3F2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rsidR="008319FE" w:rsidRDefault="008319FE">
      <w:pPr>
        <w:pStyle w:val="NoteHeading"/>
        <w:sectPr w:rsidR="008319FE">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8319FE" w:rsidRDefault="00EE3F22">
      <w:pPr>
        <w:pStyle w:val="WA"/>
      </w:pPr>
      <w:r>
        <w:lastRenderedPageBreak/>
        <w:t>Western Australia</w:t>
      </w:r>
    </w:p>
    <w:p w:rsidR="008319FE" w:rsidRDefault="00EE3F22">
      <w:pPr>
        <w:pStyle w:val="PrincipalActReg"/>
      </w:pPr>
      <w:r>
        <w:t>Hospitals and Health Services Act 1927</w:t>
      </w:r>
      <w:r>
        <w:br/>
        <w:t>Hospitals (Services Charges) Regulations 1984</w:t>
      </w:r>
    </w:p>
    <w:p w:rsidR="008319FE" w:rsidRDefault="00EE3F22">
      <w:pPr>
        <w:pStyle w:val="NameofActReg"/>
      </w:pPr>
      <w:r>
        <w:t>Hospitals (Services Charges for Specialized Orthoses and Prostheses) Determination 1994</w:t>
      </w:r>
    </w:p>
    <w:p w:rsidR="008319FE" w:rsidRDefault="00EE3F22">
      <w:pPr>
        <w:pStyle w:val="Heading5"/>
      </w:pPr>
      <w:bookmarkStart w:id="2" w:name="_Toc423332722"/>
      <w:bookmarkStart w:id="3" w:name="_Toc425219441"/>
      <w:bookmarkStart w:id="4" w:name="_Toc426249308"/>
      <w:bookmarkStart w:id="5" w:name="_Toc449924704"/>
      <w:bookmarkStart w:id="6" w:name="_Toc449947722"/>
      <w:bookmarkStart w:id="7" w:name="_Toc487527173"/>
      <w:bookmarkStart w:id="8" w:name="_Toc513888930"/>
      <w:bookmarkStart w:id="9" w:name="_Toc70311405"/>
      <w:bookmarkStart w:id="10" w:name="_Toc348769821"/>
      <w:r>
        <w:rPr>
          <w:rStyle w:val="CharSectno"/>
        </w:rPr>
        <w:t>1</w:t>
      </w:r>
      <w:r>
        <w:t>.</w:t>
      </w:r>
      <w:r>
        <w:tab/>
        <w:t>Citation</w:t>
      </w:r>
      <w:bookmarkEnd w:id="2"/>
      <w:bookmarkEnd w:id="3"/>
      <w:bookmarkEnd w:id="4"/>
      <w:bookmarkEnd w:id="5"/>
      <w:bookmarkEnd w:id="6"/>
      <w:bookmarkEnd w:id="7"/>
      <w:bookmarkEnd w:id="8"/>
      <w:bookmarkEnd w:id="9"/>
      <w:bookmarkEnd w:id="10"/>
    </w:p>
    <w:p w:rsidR="008319FE" w:rsidRDefault="00EE3F22">
      <w:pPr>
        <w:pStyle w:val="Subsection"/>
      </w:pPr>
      <w:r>
        <w:tab/>
      </w:r>
      <w:r>
        <w:tab/>
      </w:r>
      <w:r>
        <w:rPr>
          <w:spacing w:val="-2"/>
        </w:rPr>
        <w:t xml:space="preserve">This determination may be cited as the </w:t>
      </w:r>
      <w:r>
        <w:rPr>
          <w:i/>
          <w:iCs/>
          <w:spacing w:val="-2"/>
        </w:rPr>
        <w:t>Hospitals (Services Charges for Specialized Orthoses and Prostheses) Determination 1994</w:t>
      </w:r>
      <w:r>
        <w:rPr>
          <w:spacing w:val="-2"/>
        </w:rPr>
        <w:t>.</w:t>
      </w:r>
    </w:p>
    <w:p w:rsidR="008319FE" w:rsidRDefault="00EE3F22">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87527174"/>
      <w:bookmarkStart w:id="17" w:name="_Toc513888931"/>
      <w:bookmarkStart w:id="18" w:name="_Toc70311406"/>
      <w:bookmarkStart w:id="19" w:name="_Toc348769822"/>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rsidR="008319FE" w:rsidRDefault="00EE3F22">
      <w:pPr>
        <w:pStyle w:val="Subsection"/>
      </w:pPr>
      <w:r>
        <w:rPr>
          <w:spacing w:val="-2"/>
        </w:rPr>
        <w:tab/>
      </w:r>
      <w:r>
        <w:rPr>
          <w:spacing w:val="-2"/>
        </w:rPr>
        <w:tab/>
        <w:t>This determination comes into operation on 1 November 1994.</w:t>
      </w:r>
    </w:p>
    <w:p w:rsidR="008319FE" w:rsidRDefault="00EE3F22">
      <w:pPr>
        <w:pStyle w:val="Heading5"/>
      </w:pPr>
      <w:bookmarkStart w:id="20" w:name="_Toc487527175"/>
      <w:bookmarkStart w:id="21" w:name="_Toc513888932"/>
      <w:bookmarkStart w:id="22" w:name="_Toc70311407"/>
      <w:bookmarkStart w:id="23" w:name="_Toc348769823"/>
      <w:r>
        <w:rPr>
          <w:rStyle w:val="CharSectno"/>
        </w:rPr>
        <w:t>3</w:t>
      </w:r>
      <w:r>
        <w:t>.</w:t>
      </w:r>
      <w:r>
        <w:tab/>
        <w:t>Interpretation</w:t>
      </w:r>
      <w:bookmarkEnd w:id="20"/>
      <w:bookmarkEnd w:id="21"/>
      <w:bookmarkEnd w:id="22"/>
      <w:bookmarkEnd w:id="23"/>
    </w:p>
    <w:p w:rsidR="008319FE" w:rsidRDefault="00EE3F22">
      <w:pPr>
        <w:pStyle w:val="Subsection"/>
      </w:pPr>
      <w:r>
        <w:tab/>
        <w:t>(1)</w:t>
      </w:r>
      <w:r>
        <w:tab/>
        <w:t xml:space="preserve">Subject to this clause a word or phrase to which a meaning is attributed by, or by virtue of its use in the </w:t>
      </w:r>
      <w:r>
        <w:rPr>
          <w:i/>
          <w:iCs/>
        </w:rPr>
        <w:t>Hospitals (Services Charges) Regulations 1984</w:t>
      </w:r>
      <w:r>
        <w:t xml:space="preserve"> has the same meaning when it is used in this determination.</w:t>
      </w:r>
    </w:p>
    <w:p w:rsidR="008319FE" w:rsidRDefault="00EE3F22">
      <w:pPr>
        <w:pStyle w:val="Subsection"/>
      </w:pPr>
      <w:r>
        <w:tab/>
        <w:t>(2)</w:t>
      </w:r>
      <w:r>
        <w:tab/>
        <w:t xml:space="preserve">In this determination, unless the contrary intention appears — </w:t>
      </w:r>
    </w:p>
    <w:p w:rsidR="008319FE" w:rsidRDefault="00EE3F22">
      <w:pPr>
        <w:pStyle w:val="Defstart"/>
      </w:pPr>
      <w:r>
        <w:tab/>
      </w:r>
      <w:r>
        <w:rPr>
          <w:rStyle w:val="CharDefText"/>
          <w:i/>
          <w:iCs/>
        </w:rPr>
        <w:t>at cost</w:t>
      </w:r>
      <w:r>
        <w:rPr>
          <w:rStyle w:val="CharDefText"/>
          <w:b w:val="0"/>
          <w:bCs/>
        </w:rPr>
        <w:t>,</w:t>
      </w:r>
      <w:r>
        <w:t xml:space="preserve"> in relation to the charge for each specialized orthosis or prosthesis, means the charge calculated by the hospital in accordance with the pricing policy of the hospital;</w:t>
      </w:r>
    </w:p>
    <w:p w:rsidR="008319FE" w:rsidRDefault="00EE3F22">
      <w:pPr>
        <w:pStyle w:val="Defstart"/>
      </w:pPr>
      <w:r>
        <w:tab/>
      </w:r>
      <w:r>
        <w:rPr>
          <w:b/>
          <w:bCs/>
          <w:i/>
          <w:iCs/>
        </w:rPr>
        <w:t>pricing policy</w:t>
      </w:r>
      <w:r>
        <w:t xml:space="preserve">, means the pricing policy approved by the Board of the hospital as the basis on which charges are to be calculated for the supply of specialized orthoses or prostheses by the hospital and specifying the component costs that may be recovered by the hospital in respect of </w:t>
      </w:r>
      <w:r>
        <w:lastRenderedPageBreak/>
        <w:t>such supplies which components may include the cost of labour, material and general overheads but does include any component for profit;</w:t>
      </w:r>
    </w:p>
    <w:p w:rsidR="008319FE" w:rsidRDefault="00EE3F22">
      <w:pPr>
        <w:pStyle w:val="Defstart"/>
      </w:pPr>
      <w:r>
        <w:tab/>
      </w:r>
      <w:r>
        <w:rPr>
          <w:b/>
          <w:bCs/>
          <w:i/>
          <w:iCs/>
        </w:rPr>
        <w:t>specialized orthoses and prostheses</w:t>
      </w:r>
      <w:r>
        <w:t xml:space="preserve"> means the classes of specialized orthoses and prostheses approved by the Board for supply at cost for the hospital.</w:t>
      </w:r>
    </w:p>
    <w:p w:rsidR="008319FE" w:rsidRDefault="00EE3F22">
      <w:pPr>
        <w:pStyle w:val="Heading5"/>
        <w:rPr>
          <w:snapToGrid w:val="0"/>
        </w:rPr>
      </w:pPr>
      <w:bookmarkStart w:id="24" w:name="_Toc461003112"/>
      <w:bookmarkStart w:id="25" w:name="_Toc487527176"/>
      <w:bookmarkStart w:id="26" w:name="_Toc513888933"/>
      <w:bookmarkStart w:id="27" w:name="_Toc70311408"/>
      <w:bookmarkStart w:id="28" w:name="_Toc348769824"/>
      <w:r>
        <w:rPr>
          <w:rStyle w:val="CharSectno"/>
        </w:rPr>
        <w:t>4</w:t>
      </w:r>
      <w:r>
        <w:rPr>
          <w:snapToGrid w:val="0"/>
        </w:rPr>
        <w:t>.</w:t>
      </w:r>
      <w:r>
        <w:rPr>
          <w:snapToGrid w:val="0"/>
        </w:rPr>
        <w:tab/>
      </w:r>
      <w:bookmarkEnd w:id="24"/>
      <w:bookmarkEnd w:id="25"/>
      <w:bookmarkEnd w:id="26"/>
      <w:bookmarkEnd w:id="27"/>
      <w:r>
        <w:rPr>
          <w:snapToGrid w:val="0"/>
        </w:rPr>
        <w:t>Application</w:t>
      </w:r>
      <w:bookmarkEnd w:id="28"/>
    </w:p>
    <w:p w:rsidR="008319FE" w:rsidRDefault="00EE3F22">
      <w:pPr>
        <w:pStyle w:val="Subsection"/>
        <w:rPr>
          <w:snapToGrid w:val="0"/>
        </w:rPr>
      </w:pPr>
      <w:r>
        <w:rPr>
          <w:snapToGrid w:val="0"/>
        </w:rPr>
        <w:tab/>
      </w:r>
      <w:r>
        <w:rPr>
          <w:snapToGrid w:val="0"/>
        </w:rPr>
        <w:tab/>
        <w:t>This determination applies to Royal Perth Hospital and Princess Margaret Hospital for Children.</w:t>
      </w:r>
    </w:p>
    <w:p w:rsidR="008319FE" w:rsidRDefault="00EE3F22">
      <w:pPr>
        <w:pStyle w:val="Heading5"/>
        <w:rPr>
          <w:snapToGrid w:val="0"/>
        </w:rPr>
      </w:pPr>
      <w:bookmarkStart w:id="29" w:name="_Toc461003113"/>
      <w:bookmarkStart w:id="30" w:name="_Toc487527177"/>
      <w:bookmarkStart w:id="31" w:name="_Toc513888934"/>
      <w:bookmarkStart w:id="32" w:name="_Toc70311409"/>
      <w:bookmarkStart w:id="33" w:name="_Toc348769825"/>
      <w:r>
        <w:rPr>
          <w:rStyle w:val="CharSectno"/>
        </w:rPr>
        <w:t>5</w:t>
      </w:r>
      <w:r>
        <w:rPr>
          <w:snapToGrid w:val="0"/>
        </w:rPr>
        <w:t>.</w:t>
      </w:r>
      <w:r>
        <w:rPr>
          <w:snapToGrid w:val="0"/>
        </w:rPr>
        <w:tab/>
      </w:r>
      <w:bookmarkEnd w:id="29"/>
      <w:bookmarkEnd w:id="30"/>
      <w:bookmarkEnd w:id="31"/>
      <w:bookmarkEnd w:id="32"/>
      <w:r>
        <w:rPr>
          <w:snapToGrid w:val="0"/>
        </w:rPr>
        <w:t>Charges payable in respect of specialized orthoses and prostheses</w:t>
      </w:r>
      <w:bookmarkEnd w:id="33"/>
    </w:p>
    <w:p w:rsidR="008319FE" w:rsidRDefault="00EE3F22">
      <w:pPr>
        <w:pStyle w:val="Subsection"/>
        <w:rPr>
          <w:snapToGrid w:val="0"/>
        </w:rPr>
      </w:pPr>
      <w:r>
        <w:rPr>
          <w:snapToGrid w:val="0"/>
        </w:rPr>
        <w:tab/>
      </w:r>
      <w:r>
        <w:rPr>
          <w:snapToGrid w:val="0"/>
        </w:rPr>
        <w:tab/>
        <w:t xml:space="preserve">The charge payable in respect of each specialized orthosis or prosthesis by the hospital referred to in clause 4 in respect of — </w:t>
      </w:r>
    </w:p>
    <w:p w:rsidR="008319FE" w:rsidRDefault="00EE3F22">
      <w:pPr>
        <w:pStyle w:val="Indenta"/>
        <w:rPr>
          <w:snapToGrid w:val="0"/>
        </w:rPr>
      </w:pPr>
      <w:r>
        <w:rPr>
          <w:snapToGrid w:val="0"/>
        </w:rPr>
        <w:tab/>
        <w:t>(a)</w:t>
      </w:r>
      <w:r>
        <w:rPr>
          <w:snapToGrid w:val="0"/>
        </w:rPr>
        <w:tab/>
        <w:t xml:space="preserve">the following classes of patients — </w:t>
      </w:r>
    </w:p>
    <w:p w:rsidR="008319FE" w:rsidRDefault="00EE3F22">
      <w:pPr>
        <w:pStyle w:val="Indenti"/>
        <w:rPr>
          <w:snapToGrid w:val="0"/>
        </w:rPr>
      </w:pPr>
      <w:r>
        <w:rPr>
          <w:snapToGrid w:val="0"/>
        </w:rPr>
        <w:tab/>
        <w:t>(i)</w:t>
      </w:r>
      <w:r>
        <w:rPr>
          <w:snapToGrid w:val="0"/>
        </w:rPr>
        <w:tab/>
        <w:t>compensable in-patients;</w:t>
      </w:r>
    </w:p>
    <w:p w:rsidR="008319FE" w:rsidRDefault="00EE3F22">
      <w:pPr>
        <w:pStyle w:val="Indenti"/>
        <w:rPr>
          <w:snapToGrid w:val="0"/>
        </w:rPr>
      </w:pPr>
      <w:r>
        <w:rPr>
          <w:snapToGrid w:val="0"/>
        </w:rPr>
        <w:tab/>
        <w:t>(ii)</w:t>
      </w:r>
      <w:r>
        <w:rPr>
          <w:snapToGrid w:val="0"/>
        </w:rPr>
        <w:tab/>
        <w:t>ineligible in-patients;</w:t>
      </w:r>
    </w:p>
    <w:p w:rsidR="008319FE" w:rsidRDefault="00EE3F22">
      <w:pPr>
        <w:pStyle w:val="Indenti"/>
        <w:rPr>
          <w:snapToGrid w:val="0"/>
        </w:rPr>
      </w:pPr>
      <w:r>
        <w:rPr>
          <w:snapToGrid w:val="0"/>
        </w:rPr>
        <w:tab/>
        <w:t>(iii)</w:t>
      </w:r>
      <w:r>
        <w:rPr>
          <w:snapToGrid w:val="0"/>
        </w:rPr>
        <w:tab/>
        <w:t>compensable out-patients;</w:t>
      </w:r>
    </w:p>
    <w:p w:rsidR="008319FE" w:rsidRDefault="00EE3F22">
      <w:pPr>
        <w:pStyle w:val="Indenti"/>
        <w:rPr>
          <w:snapToGrid w:val="0"/>
        </w:rPr>
      </w:pPr>
      <w:r>
        <w:rPr>
          <w:snapToGrid w:val="0"/>
        </w:rPr>
        <w:tab/>
        <w:t>(iv)</w:t>
      </w:r>
      <w:r>
        <w:rPr>
          <w:snapToGrid w:val="0"/>
        </w:rPr>
        <w:tab/>
        <w:t>eligible out-patients;</w:t>
      </w:r>
    </w:p>
    <w:p w:rsidR="008319FE" w:rsidRDefault="00EE3F22">
      <w:pPr>
        <w:pStyle w:val="Indenti"/>
        <w:rPr>
          <w:snapToGrid w:val="0"/>
        </w:rPr>
      </w:pPr>
      <w:r>
        <w:rPr>
          <w:snapToGrid w:val="0"/>
        </w:rPr>
        <w:tab/>
        <w:t>(v)</w:t>
      </w:r>
      <w:r>
        <w:rPr>
          <w:snapToGrid w:val="0"/>
        </w:rPr>
        <w:tab/>
        <w:t>ineligible out-patients;</w:t>
      </w:r>
    </w:p>
    <w:p w:rsidR="008319FE" w:rsidRDefault="00EE3F22">
      <w:pPr>
        <w:pStyle w:val="Indenti"/>
        <w:rPr>
          <w:snapToGrid w:val="0"/>
        </w:rPr>
      </w:pPr>
      <w:r>
        <w:rPr>
          <w:snapToGrid w:val="0"/>
        </w:rPr>
        <w:tab/>
        <w:t>(vi)</w:t>
      </w:r>
      <w:r>
        <w:rPr>
          <w:snapToGrid w:val="0"/>
        </w:rPr>
        <w:tab/>
        <w:t>compensable same day patients;</w:t>
      </w:r>
    </w:p>
    <w:p w:rsidR="008319FE" w:rsidRDefault="00EE3F22">
      <w:pPr>
        <w:pStyle w:val="Indenti"/>
        <w:rPr>
          <w:snapToGrid w:val="0"/>
        </w:rPr>
      </w:pPr>
      <w:r>
        <w:rPr>
          <w:snapToGrid w:val="0"/>
        </w:rPr>
        <w:tab/>
        <w:t>(vii)</w:t>
      </w:r>
      <w:r>
        <w:rPr>
          <w:snapToGrid w:val="0"/>
        </w:rPr>
        <w:tab/>
        <w:t>ineligible same day patients;</w:t>
      </w:r>
    </w:p>
    <w:p w:rsidR="008319FE" w:rsidRDefault="00EE3F22">
      <w:pPr>
        <w:pStyle w:val="Indenta"/>
        <w:rPr>
          <w:snapToGrid w:val="0"/>
        </w:rPr>
      </w:pPr>
      <w:r>
        <w:rPr>
          <w:snapToGrid w:val="0"/>
        </w:rPr>
        <w:tab/>
      </w:r>
      <w:r>
        <w:rPr>
          <w:snapToGrid w:val="0"/>
        </w:rPr>
        <w:tab/>
        <w:t>and</w:t>
      </w:r>
    </w:p>
    <w:p w:rsidR="008319FE" w:rsidRDefault="00EE3F22">
      <w:pPr>
        <w:pStyle w:val="Indenta"/>
        <w:rPr>
          <w:snapToGrid w:val="0"/>
        </w:rPr>
      </w:pPr>
      <w:r>
        <w:rPr>
          <w:snapToGrid w:val="0"/>
        </w:rPr>
        <w:tab/>
        <w:t>(b)</w:t>
      </w:r>
      <w:r>
        <w:rPr>
          <w:snapToGrid w:val="0"/>
        </w:rPr>
        <w:tab/>
        <w:t>any other services rendered to persons who are not patients,</w:t>
      </w:r>
    </w:p>
    <w:p w:rsidR="008319FE" w:rsidRDefault="00EE3F22">
      <w:pPr>
        <w:pStyle w:val="Subsection"/>
        <w:rPr>
          <w:snapToGrid w:val="0"/>
        </w:rPr>
      </w:pPr>
      <w:r>
        <w:rPr>
          <w:snapToGrid w:val="0"/>
        </w:rPr>
        <w:tab/>
      </w:r>
      <w:r>
        <w:rPr>
          <w:snapToGrid w:val="0"/>
        </w:rPr>
        <w:tab/>
        <w:t>is at cost.</w:t>
      </w:r>
    </w:p>
    <w:p w:rsidR="008319FE" w:rsidRDefault="008319FE">
      <w:pPr>
        <w:sectPr w:rsidR="008319FE">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8319FE" w:rsidRDefault="00EE3F22">
      <w:pPr>
        <w:pStyle w:val="nHeading2"/>
      </w:pPr>
      <w:bookmarkStart w:id="34" w:name="_Toc113695922"/>
      <w:bookmarkStart w:id="35" w:name="_Toc236455311"/>
      <w:bookmarkStart w:id="36" w:name="_Toc236455391"/>
      <w:bookmarkStart w:id="37" w:name="_Toc348769826"/>
      <w:r>
        <w:lastRenderedPageBreak/>
        <w:t>Notes</w:t>
      </w:r>
      <w:bookmarkEnd w:id="34"/>
      <w:bookmarkEnd w:id="35"/>
      <w:bookmarkEnd w:id="36"/>
      <w:bookmarkEnd w:id="37"/>
    </w:p>
    <w:p w:rsidR="008319FE" w:rsidRDefault="00EE3F22">
      <w:pPr>
        <w:pStyle w:val="nSubsection"/>
        <w:rPr>
          <w:snapToGrid w:val="0"/>
        </w:rPr>
      </w:pPr>
      <w:r>
        <w:rPr>
          <w:snapToGrid w:val="0"/>
          <w:vertAlign w:val="superscript"/>
        </w:rPr>
        <w:t>1</w:t>
      </w:r>
      <w:r>
        <w:rPr>
          <w:snapToGrid w:val="0"/>
        </w:rPr>
        <w:tab/>
        <w:t xml:space="preserve">This is a compilation of the </w:t>
      </w:r>
      <w:r>
        <w:rPr>
          <w:i/>
        </w:rPr>
        <w:t>Hospitals (Services Charges for Specialized Orthoses and Prostheses) Determination 1994.</w:t>
      </w:r>
      <w:r>
        <w:t xml:space="preserve">  </w:t>
      </w:r>
      <w:r>
        <w:rPr>
          <w:snapToGrid w:val="0"/>
        </w:rPr>
        <w:t>The following table contains information about those regulations.</w:t>
      </w:r>
    </w:p>
    <w:p w:rsidR="008319FE" w:rsidRDefault="00EE3F22">
      <w:pPr>
        <w:pStyle w:val="nHeading3"/>
      </w:pPr>
      <w:bookmarkStart w:id="38" w:name="_Toc348769827"/>
      <w:r>
        <w:t>Compilation table</w:t>
      </w:r>
      <w:bookmarkEnd w:id="3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8319FE">
        <w:trPr>
          <w:tblHeader/>
        </w:trPr>
        <w:tc>
          <w:tcPr>
            <w:tcW w:w="3118" w:type="dxa"/>
            <w:tcBorders>
              <w:bottom w:val="single" w:sz="8" w:space="0" w:color="auto"/>
            </w:tcBorders>
          </w:tcPr>
          <w:p w:rsidR="008319FE" w:rsidRDefault="00EE3F22">
            <w:pPr>
              <w:pStyle w:val="nTable"/>
              <w:spacing w:after="40"/>
              <w:rPr>
                <w:b/>
                <w:sz w:val="19"/>
              </w:rPr>
            </w:pPr>
            <w:r>
              <w:rPr>
                <w:b/>
                <w:sz w:val="19"/>
              </w:rPr>
              <w:t>Citation</w:t>
            </w:r>
          </w:p>
        </w:tc>
        <w:tc>
          <w:tcPr>
            <w:tcW w:w="1276" w:type="dxa"/>
            <w:tcBorders>
              <w:bottom w:val="single" w:sz="8" w:space="0" w:color="auto"/>
            </w:tcBorders>
          </w:tcPr>
          <w:p w:rsidR="008319FE" w:rsidRDefault="00EE3F22">
            <w:pPr>
              <w:pStyle w:val="nTable"/>
              <w:spacing w:after="40"/>
              <w:rPr>
                <w:b/>
                <w:sz w:val="19"/>
              </w:rPr>
            </w:pPr>
            <w:r>
              <w:rPr>
                <w:b/>
                <w:sz w:val="19"/>
              </w:rPr>
              <w:t>Gazettal</w:t>
            </w:r>
          </w:p>
        </w:tc>
        <w:tc>
          <w:tcPr>
            <w:tcW w:w="2693" w:type="dxa"/>
            <w:tcBorders>
              <w:bottom w:val="single" w:sz="8" w:space="0" w:color="auto"/>
            </w:tcBorders>
          </w:tcPr>
          <w:p w:rsidR="008319FE" w:rsidRDefault="00EE3F22">
            <w:pPr>
              <w:pStyle w:val="nTable"/>
              <w:spacing w:after="40"/>
              <w:rPr>
                <w:b/>
                <w:sz w:val="19"/>
              </w:rPr>
            </w:pPr>
            <w:r>
              <w:rPr>
                <w:b/>
                <w:sz w:val="19"/>
              </w:rPr>
              <w:t>Commencement</w:t>
            </w:r>
          </w:p>
        </w:tc>
      </w:tr>
      <w:tr w:rsidR="008319FE">
        <w:tc>
          <w:tcPr>
            <w:tcW w:w="3118" w:type="dxa"/>
            <w:tcBorders>
              <w:top w:val="single" w:sz="8" w:space="0" w:color="auto"/>
              <w:bottom w:val="single" w:sz="8" w:space="0" w:color="auto"/>
            </w:tcBorders>
          </w:tcPr>
          <w:p w:rsidR="008319FE" w:rsidRDefault="00EE3F22">
            <w:pPr>
              <w:pStyle w:val="nTable"/>
              <w:spacing w:after="40"/>
              <w:rPr>
                <w:sz w:val="19"/>
              </w:rPr>
            </w:pPr>
            <w:r>
              <w:rPr>
                <w:i/>
                <w:sz w:val="19"/>
              </w:rPr>
              <w:t>Hospitals (Services Charges for Specialized Orthoses and Prostheses) Determination 1994</w:t>
            </w:r>
          </w:p>
        </w:tc>
        <w:tc>
          <w:tcPr>
            <w:tcW w:w="1276" w:type="dxa"/>
            <w:tcBorders>
              <w:top w:val="single" w:sz="8" w:space="0" w:color="auto"/>
              <w:bottom w:val="single" w:sz="8" w:space="0" w:color="auto"/>
            </w:tcBorders>
          </w:tcPr>
          <w:p w:rsidR="008319FE" w:rsidRDefault="00EE3F22">
            <w:pPr>
              <w:pStyle w:val="nTable"/>
              <w:spacing w:after="40"/>
              <w:rPr>
                <w:sz w:val="19"/>
              </w:rPr>
            </w:pPr>
            <w:r>
              <w:rPr>
                <w:sz w:val="19"/>
              </w:rPr>
              <w:t>30 Sep 1994 p. 4977-8</w:t>
            </w:r>
          </w:p>
        </w:tc>
        <w:tc>
          <w:tcPr>
            <w:tcW w:w="2693" w:type="dxa"/>
            <w:tcBorders>
              <w:top w:val="single" w:sz="8" w:space="0" w:color="auto"/>
              <w:bottom w:val="single" w:sz="8" w:space="0" w:color="auto"/>
            </w:tcBorders>
          </w:tcPr>
          <w:p w:rsidR="008319FE" w:rsidRDefault="00EE3F22">
            <w:pPr>
              <w:pStyle w:val="nTable"/>
              <w:spacing w:after="40"/>
              <w:rPr>
                <w:sz w:val="19"/>
              </w:rPr>
            </w:pPr>
            <w:r>
              <w:rPr>
                <w:sz w:val="19"/>
              </w:rPr>
              <w:t>1 Nov 1994 (see cl. 2)</w:t>
            </w:r>
          </w:p>
        </w:tc>
      </w:tr>
    </w:tbl>
    <w:p w:rsidR="008319FE" w:rsidRDefault="008319FE"/>
    <w:p w:rsidR="008319FE" w:rsidRDefault="008319FE">
      <w:pPr>
        <w:sectPr w:rsidR="008319FE">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8319FE" w:rsidRDefault="008319FE"/>
    <w:sectPr w:rsidR="008319FE">
      <w:headerReference w:type="even"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19FE" w:rsidRDefault="00EE3F22">
      <w:r>
        <w:separator/>
      </w:r>
    </w:p>
  </w:endnote>
  <w:endnote w:type="continuationSeparator" w:id="0">
    <w:p w:rsidR="008319FE" w:rsidRDefault="00EE3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9FE" w:rsidRDefault="008319FE">
    <w:pPr>
      <w:pStyle w:val="Footer"/>
      <w:tabs>
        <w:tab w:val="clear" w:pos="4153"/>
        <w:tab w:val="right" w:pos="7088"/>
      </w:tabs>
      <w:rPr>
        <w:rStyle w:val="PageNumber"/>
      </w:rPr>
    </w:pPr>
  </w:p>
  <w:p w:rsidR="008319FE" w:rsidRDefault="00EE3F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6987">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6987">
      <w:rPr>
        <w:rFonts w:ascii="Arial" w:hAnsi="Arial" w:cs="Arial"/>
        <w:sz w:val="20"/>
        <w:lang w:val="en-US"/>
      </w:rPr>
      <w:t>01 Nov 1994</w:t>
    </w:r>
    <w:r>
      <w:rPr>
        <w:rFonts w:ascii="Arial" w:hAnsi="Arial" w:cs="Arial"/>
        <w:sz w:val="20"/>
        <w:lang w:val="en-US"/>
      </w:rPr>
      <w:fldChar w:fldCharType="end"/>
    </w:r>
  </w:p>
  <w:p w:rsidR="008319FE" w:rsidRDefault="00EE3F2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9FE" w:rsidRDefault="008319FE">
    <w:pPr>
      <w:pStyle w:val="Footer"/>
      <w:tabs>
        <w:tab w:val="clear" w:pos="4153"/>
        <w:tab w:val="right" w:pos="7088"/>
      </w:tabs>
      <w:rPr>
        <w:rStyle w:val="PageNumber"/>
      </w:rPr>
    </w:pPr>
  </w:p>
  <w:p w:rsidR="008319FE" w:rsidRDefault="00EE3F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6987">
      <w:rPr>
        <w:rFonts w:ascii="Arial" w:hAnsi="Arial" w:cs="Arial"/>
        <w:sz w:val="20"/>
        <w:lang w:val="en-US"/>
      </w:rPr>
      <w:t>01 Nov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6987">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rsidR="008319FE" w:rsidRDefault="00EE3F2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9FE" w:rsidRDefault="008319FE">
    <w:pPr>
      <w:pStyle w:val="Footer"/>
      <w:tabs>
        <w:tab w:val="clear" w:pos="4153"/>
        <w:tab w:val="right" w:pos="7088"/>
      </w:tabs>
      <w:rPr>
        <w:rStyle w:val="PageNumber"/>
      </w:rPr>
    </w:pPr>
  </w:p>
  <w:p w:rsidR="008319FE" w:rsidRDefault="00EE3F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6987">
      <w:rPr>
        <w:rFonts w:ascii="Arial" w:hAnsi="Arial" w:cs="Arial"/>
        <w:sz w:val="20"/>
        <w:lang w:val="en-US"/>
      </w:rPr>
      <w:t>01 Nov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6987">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rsidR="008319FE" w:rsidRDefault="00EE3F2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9FE" w:rsidRDefault="008319FE">
    <w:pPr>
      <w:pStyle w:val="Footer"/>
      <w:tabs>
        <w:tab w:val="clear" w:pos="4153"/>
        <w:tab w:val="right" w:pos="7088"/>
      </w:tabs>
      <w:rPr>
        <w:rStyle w:val="PageNumber"/>
      </w:rPr>
    </w:pPr>
  </w:p>
  <w:p w:rsidR="008319FE" w:rsidRDefault="00EE3F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6987">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6987">
      <w:rPr>
        <w:rFonts w:ascii="Arial" w:hAnsi="Arial" w:cs="Arial"/>
        <w:sz w:val="20"/>
        <w:lang w:val="en-US"/>
      </w:rPr>
      <w:t>01 Nov 1994</w:t>
    </w:r>
    <w:r>
      <w:rPr>
        <w:rFonts w:ascii="Arial" w:hAnsi="Arial" w:cs="Arial"/>
        <w:sz w:val="20"/>
        <w:lang w:val="en-US"/>
      </w:rPr>
      <w:fldChar w:fldCharType="end"/>
    </w:r>
  </w:p>
  <w:p w:rsidR="008319FE" w:rsidRDefault="00EE3F2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9FE" w:rsidRDefault="008319FE">
    <w:pPr>
      <w:pStyle w:val="Footer"/>
      <w:tabs>
        <w:tab w:val="clear" w:pos="4153"/>
        <w:tab w:val="right" w:pos="7088"/>
      </w:tabs>
      <w:rPr>
        <w:rStyle w:val="PageNumber"/>
      </w:rPr>
    </w:pPr>
  </w:p>
  <w:p w:rsidR="008319FE" w:rsidRDefault="00EE3F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6987">
      <w:rPr>
        <w:rFonts w:ascii="Arial" w:hAnsi="Arial" w:cs="Arial"/>
        <w:sz w:val="20"/>
        <w:lang w:val="en-US"/>
      </w:rPr>
      <w:t>01 Nov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6987">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rsidR="008319FE" w:rsidRDefault="00EE3F2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9FE" w:rsidRDefault="008319FE">
    <w:pPr>
      <w:pStyle w:val="Footer"/>
      <w:tabs>
        <w:tab w:val="clear" w:pos="4153"/>
        <w:tab w:val="right" w:pos="7088"/>
      </w:tabs>
      <w:rPr>
        <w:rStyle w:val="PageNumber"/>
      </w:rPr>
    </w:pPr>
  </w:p>
  <w:p w:rsidR="008319FE" w:rsidRDefault="00EE3F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6987">
      <w:rPr>
        <w:rFonts w:ascii="Arial" w:hAnsi="Arial" w:cs="Arial"/>
        <w:sz w:val="20"/>
        <w:lang w:val="en-US"/>
      </w:rPr>
      <w:t>01 Nov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6987">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96987">
      <w:rPr>
        <w:rStyle w:val="PageNumber"/>
        <w:rFonts w:ascii="Arial" w:hAnsi="Arial" w:cs="Arial"/>
        <w:noProof/>
      </w:rPr>
      <w:t>i</w:t>
    </w:r>
    <w:r>
      <w:rPr>
        <w:rStyle w:val="PageNumber"/>
        <w:rFonts w:ascii="Arial" w:hAnsi="Arial" w:cs="Arial"/>
      </w:rPr>
      <w:fldChar w:fldCharType="end"/>
    </w:r>
  </w:p>
  <w:p w:rsidR="008319FE" w:rsidRDefault="00EE3F22">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9FE" w:rsidRDefault="008319FE">
    <w:pPr>
      <w:pStyle w:val="Footer"/>
      <w:tabs>
        <w:tab w:val="clear" w:pos="4153"/>
        <w:tab w:val="right" w:pos="7088"/>
      </w:tabs>
      <w:rPr>
        <w:rStyle w:val="PageNumber"/>
      </w:rPr>
    </w:pPr>
  </w:p>
  <w:p w:rsidR="008319FE" w:rsidRDefault="00EE3F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96987">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6987">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6987">
      <w:rPr>
        <w:rFonts w:ascii="Arial" w:hAnsi="Arial" w:cs="Arial"/>
        <w:sz w:val="20"/>
        <w:lang w:val="en-US"/>
      </w:rPr>
      <w:t>01 Nov 1994</w:t>
    </w:r>
    <w:r>
      <w:rPr>
        <w:rFonts w:ascii="Arial" w:hAnsi="Arial" w:cs="Arial"/>
        <w:sz w:val="20"/>
        <w:lang w:val="en-US"/>
      </w:rPr>
      <w:fldChar w:fldCharType="end"/>
    </w:r>
    <w:r>
      <w:rPr>
        <w:rFonts w:ascii="Arial" w:hAnsi="Arial" w:cs="Arial"/>
        <w:sz w:val="20"/>
        <w:lang w:val="en-US"/>
      </w:rPr>
      <w:t xml:space="preserve"> </w:t>
    </w:r>
  </w:p>
  <w:p w:rsidR="008319FE" w:rsidRDefault="00EE3F2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9FE" w:rsidRDefault="008319FE">
    <w:pPr>
      <w:pStyle w:val="Footer"/>
      <w:tabs>
        <w:tab w:val="clear" w:pos="4153"/>
        <w:tab w:val="right" w:pos="7088"/>
      </w:tabs>
      <w:rPr>
        <w:rStyle w:val="PageNumber"/>
      </w:rPr>
    </w:pPr>
  </w:p>
  <w:p w:rsidR="008319FE" w:rsidRDefault="00EE3F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6987">
      <w:rPr>
        <w:rFonts w:ascii="Arial" w:hAnsi="Arial" w:cs="Arial"/>
        <w:sz w:val="20"/>
        <w:lang w:val="en-US"/>
      </w:rPr>
      <w:t>01 Nov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6987">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96987">
      <w:rPr>
        <w:rStyle w:val="CharPageNo"/>
        <w:rFonts w:ascii="Arial" w:hAnsi="Arial"/>
        <w:noProof/>
      </w:rPr>
      <w:t>3</w:t>
    </w:r>
    <w:r>
      <w:rPr>
        <w:rStyle w:val="CharPageNo"/>
        <w:rFonts w:ascii="Arial" w:hAnsi="Arial"/>
      </w:rPr>
      <w:fldChar w:fldCharType="end"/>
    </w:r>
  </w:p>
  <w:p w:rsidR="008319FE" w:rsidRDefault="00EE3F2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9FE" w:rsidRDefault="008319FE">
    <w:pPr>
      <w:pStyle w:val="Footer"/>
      <w:tabs>
        <w:tab w:val="clear" w:pos="4153"/>
        <w:tab w:val="right" w:pos="7088"/>
      </w:tabs>
      <w:rPr>
        <w:rStyle w:val="PageNumber"/>
      </w:rPr>
    </w:pPr>
  </w:p>
  <w:p w:rsidR="008319FE" w:rsidRDefault="00EE3F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6987">
      <w:rPr>
        <w:rFonts w:ascii="Arial" w:hAnsi="Arial" w:cs="Arial"/>
        <w:sz w:val="20"/>
        <w:lang w:val="en-US"/>
      </w:rPr>
      <w:t>01 Nov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6987">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96987">
      <w:rPr>
        <w:rStyle w:val="CharPageNo"/>
        <w:rFonts w:ascii="Arial" w:hAnsi="Arial"/>
        <w:noProof/>
      </w:rPr>
      <w:t>1</w:t>
    </w:r>
    <w:r>
      <w:rPr>
        <w:rStyle w:val="CharPageNo"/>
        <w:rFonts w:ascii="Arial" w:hAnsi="Arial"/>
      </w:rPr>
      <w:fldChar w:fldCharType="end"/>
    </w:r>
  </w:p>
  <w:p w:rsidR="008319FE" w:rsidRDefault="00EE3F2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19FE" w:rsidRDefault="00EE3F22">
      <w:r>
        <w:separator/>
      </w:r>
    </w:p>
  </w:footnote>
  <w:footnote w:type="continuationSeparator" w:id="0">
    <w:p w:rsidR="008319FE" w:rsidRDefault="00EE3F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6987" w:rsidRDefault="00B9698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6987" w:rsidRDefault="00B9698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6987" w:rsidRDefault="00B9698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319FE">
      <w:trPr>
        <w:cantSplit/>
      </w:trPr>
      <w:tc>
        <w:tcPr>
          <w:tcW w:w="7258" w:type="dxa"/>
          <w:gridSpan w:val="2"/>
        </w:tcPr>
        <w:p w:rsidR="008319FE" w:rsidRDefault="00EE3F22">
          <w:pPr>
            <w:pStyle w:val="HeaderActNameLeft"/>
          </w:pPr>
          <w:fldSimple w:instr=" Styleref &quot;Name of Act/Reg&quot; ">
            <w:r w:rsidR="00B96987">
              <w:rPr>
                <w:noProof/>
              </w:rPr>
              <w:t>Hospitals (Services Charges for Specialized Orthoses and Prostheses) Determination 1994</w:t>
            </w:r>
          </w:fldSimple>
        </w:p>
      </w:tc>
    </w:tr>
    <w:tr w:rsidR="008319FE">
      <w:tc>
        <w:tcPr>
          <w:tcW w:w="1548" w:type="dxa"/>
        </w:tcPr>
        <w:p w:rsidR="008319FE" w:rsidRDefault="008319FE">
          <w:pPr>
            <w:pStyle w:val="HeaderNumberLeft"/>
          </w:pPr>
        </w:p>
      </w:tc>
      <w:tc>
        <w:tcPr>
          <w:tcW w:w="5715" w:type="dxa"/>
        </w:tcPr>
        <w:p w:rsidR="008319FE" w:rsidRDefault="008319FE">
          <w:pPr>
            <w:pStyle w:val="HeaderTextLeft"/>
          </w:pPr>
        </w:p>
      </w:tc>
    </w:tr>
    <w:tr w:rsidR="008319FE">
      <w:tc>
        <w:tcPr>
          <w:tcW w:w="1548" w:type="dxa"/>
        </w:tcPr>
        <w:p w:rsidR="008319FE" w:rsidRDefault="008319FE">
          <w:pPr>
            <w:pStyle w:val="HeaderNumberLeft"/>
          </w:pPr>
        </w:p>
      </w:tc>
      <w:tc>
        <w:tcPr>
          <w:tcW w:w="5715" w:type="dxa"/>
        </w:tcPr>
        <w:p w:rsidR="008319FE" w:rsidRDefault="008319FE">
          <w:pPr>
            <w:pStyle w:val="HeaderTextLeft"/>
          </w:pPr>
        </w:p>
      </w:tc>
    </w:tr>
    <w:tr w:rsidR="008319FE">
      <w:trPr>
        <w:cantSplit/>
      </w:trPr>
      <w:tc>
        <w:tcPr>
          <w:tcW w:w="7258" w:type="dxa"/>
          <w:gridSpan w:val="2"/>
        </w:tcPr>
        <w:p w:rsidR="008319FE" w:rsidRDefault="00EE3F22">
          <w:pPr>
            <w:pStyle w:val="HeaderSectionLeft"/>
            <w:rPr>
              <w:b w:val="0"/>
            </w:rPr>
          </w:pPr>
          <w:r>
            <w:rPr>
              <w:b w:val="0"/>
            </w:rPr>
            <w:t>Contents</w:t>
          </w:r>
        </w:p>
      </w:tc>
    </w:tr>
  </w:tbl>
  <w:p w:rsidR="008319FE" w:rsidRDefault="008319F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319FE">
      <w:trPr>
        <w:cantSplit/>
      </w:trPr>
      <w:tc>
        <w:tcPr>
          <w:tcW w:w="7258" w:type="dxa"/>
          <w:gridSpan w:val="2"/>
        </w:tcPr>
        <w:p w:rsidR="008319FE" w:rsidRDefault="00EE3F22">
          <w:pPr>
            <w:pStyle w:val="HeaderActNameRight"/>
            <w:ind w:right="17"/>
          </w:pPr>
          <w:fldSimple w:instr=" Styleref &quot;Name of Act/Reg&quot; ">
            <w:r w:rsidR="00B96987">
              <w:rPr>
                <w:noProof/>
              </w:rPr>
              <w:t>Hospitals (Services Charges for Specialized Orthoses and Prostheses) Determination 1994</w:t>
            </w:r>
          </w:fldSimple>
        </w:p>
      </w:tc>
    </w:tr>
    <w:tr w:rsidR="008319FE">
      <w:tc>
        <w:tcPr>
          <w:tcW w:w="5715" w:type="dxa"/>
        </w:tcPr>
        <w:p w:rsidR="008319FE" w:rsidRDefault="008319FE">
          <w:pPr>
            <w:pStyle w:val="HeaderTextRight"/>
          </w:pPr>
        </w:p>
      </w:tc>
      <w:tc>
        <w:tcPr>
          <w:tcW w:w="1548" w:type="dxa"/>
        </w:tcPr>
        <w:p w:rsidR="008319FE" w:rsidRDefault="008319FE">
          <w:pPr>
            <w:pStyle w:val="HeaderNumberRight"/>
            <w:ind w:right="17"/>
          </w:pPr>
        </w:p>
      </w:tc>
    </w:tr>
    <w:tr w:rsidR="008319FE">
      <w:tc>
        <w:tcPr>
          <w:tcW w:w="5715" w:type="dxa"/>
        </w:tcPr>
        <w:p w:rsidR="008319FE" w:rsidRDefault="008319FE">
          <w:pPr>
            <w:pStyle w:val="HeaderTextRight"/>
          </w:pPr>
        </w:p>
      </w:tc>
      <w:tc>
        <w:tcPr>
          <w:tcW w:w="1548" w:type="dxa"/>
        </w:tcPr>
        <w:p w:rsidR="008319FE" w:rsidRDefault="008319FE">
          <w:pPr>
            <w:pStyle w:val="HeaderNumberRight"/>
            <w:ind w:right="17"/>
          </w:pPr>
        </w:p>
      </w:tc>
    </w:tr>
    <w:tr w:rsidR="008319FE">
      <w:trPr>
        <w:cantSplit/>
      </w:trPr>
      <w:tc>
        <w:tcPr>
          <w:tcW w:w="7258" w:type="dxa"/>
          <w:gridSpan w:val="2"/>
        </w:tcPr>
        <w:p w:rsidR="008319FE" w:rsidRDefault="00EE3F22">
          <w:pPr>
            <w:pStyle w:val="HeaderSectionRight"/>
            <w:ind w:right="17"/>
            <w:rPr>
              <w:b w:val="0"/>
            </w:rPr>
          </w:pPr>
          <w:r>
            <w:rPr>
              <w:b w:val="0"/>
            </w:rPr>
            <w:t>Contents</w:t>
          </w:r>
        </w:p>
      </w:tc>
    </w:tr>
  </w:tbl>
  <w:p w:rsidR="008319FE" w:rsidRDefault="008319F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319FE">
      <w:trPr>
        <w:cantSplit/>
      </w:trPr>
      <w:tc>
        <w:tcPr>
          <w:tcW w:w="7258" w:type="dxa"/>
          <w:gridSpan w:val="2"/>
        </w:tcPr>
        <w:p w:rsidR="008319FE" w:rsidRDefault="00EE3F22">
          <w:pPr>
            <w:pStyle w:val="HeaderActNameLeft"/>
          </w:pPr>
          <w:fldSimple w:instr=" Styleref &quot;Name of Act/Reg&quot; ">
            <w:r w:rsidR="00B96987">
              <w:rPr>
                <w:noProof/>
              </w:rPr>
              <w:t>Hospitals (Services Charges for Specialized Orthoses and Prostheses) Determination 1994</w:t>
            </w:r>
          </w:fldSimple>
        </w:p>
      </w:tc>
    </w:tr>
    <w:tr w:rsidR="008319FE">
      <w:tc>
        <w:tcPr>
          <w:tcW w:w="1548" w:type="dxa"/>
        </w:tcPr>
        <w:p w:rsidR="008319FE" w:rsidRDefault="00EE3F22">
          <w:pPr>
            <w:pStyle w:val="HeaderNumberLeft"/>
          </w:pPr>
          <w:r>
            <w:fldChar w:fldCharType="begin"/>
          </w:r>
          <w:r>
            <w:instrText xml:space="preserve"> styleref CharPartNo </w:instrText>
          </w:r>
          <w:r>
            <w:fldChar w:fldCharType="end"/>
          </w:r>
        </w:p>
      </w:tc>
      <w:tc>
        <w:tcPr>
          <w:tcW w:w="5715" w:type="dxa"/>
          <w:vAlign w:val="bottom"/>
        </w:tcPr>
        <w:p w:rsidR="008319FE" w:rsidRDefault="00EE3F22">
          <w:pPr>
            <w:pStyle w:val="HeaderTextLeft"/>
          </w:pPr>
          <w:r>
            <w:fldChar w:fldCharType="begin"/>
          </w:r>
          <w:r>
            <w:instrText xml:space="preserve"> styleref CharPartText </w:instrText>
          </w:r>
          <w:r>
            <w:fldChar w:fldCharType="end"/>
          </w:r>
        </w:p>
      </w:tc>
    </w:tr>
    <w:tr w:rsidR="008319FE">
      <w:tc>
        <w:tcPr>
          <w:tcW w:w="1548" w:type="dxa"/>
        </w:tcPr>
        <w:p w:rsidR="008319FE" w:rsidRDefault="00EE3F22">
          <w:pPr>
            <w:pStyle w:val="HeaderNumberLeft"/>
          </w:pPr>
          <w:r>
            <w:fldChar w:fldCharType="begin"/>
          </w:r>
          <w:r>
            <w:instrText xml:space="preserve"> styleref CharDivNo </w:instrText>
          </w:r>
          <w:r>
            <w:fldChar w:fldCharType="end"/>
          </w:r>
        </w:p>
      </w:tc>
      <w:tc>
        <w:tcPr>
          <w:tcW w:w="5715" w:type="dxa"/>
        </w:tcPr>
        <w:p w:rsidR="008319FE" w:rsidRDefault="00EE3F22">
          <w:pPr>
            <w:pStyle w:val="HeaderTextLeft"/>
          </w:pPr>
          <w:r>
            <w:fldChar w:fldCharType="begin"/>
          </w:r>
          <w:r>
            <w:instrText xml:space="preserve"> styleref CharDivText </w:instrText>
          </w:r>
          <w:r>
            <w:fldChar w:fldCharType="end"/>
          </w:r>
        </w:p>
      </w:tc>
    </w:tr>
    <w:tr w:rsidR="008319FE">
      <w:trPr>
        <w:cantSplit/>
      </w:trPr>
      <w:tc>
        <w:tcPr>
          <w:tcW w:w="7258" w:type="dxa"/>
          <w:gridSpan w:val="2"/>
        </w:tcPr>
        <w:p w:rsidR="008319FE" w:rsidRDefault="00EE3F22">
          <w:pPr>
            <w:pStyle w:val="HeaderSectionLeft"/>
          </w:pPr>
          <w:r>
            <w:t xml:space="preserve">cl. </w:t>
          </w:r>
          <w:fldSimple w:instr=" styleref CharSectno ">
            <w:r w:rsidR="00B96987">
              <w:rPr>
                <w:noProof/>
              </w:rPr>
              <w:t>1</w:t>
            </w:r>
          </w:fldSimple>
        </w:p>
      </w:tc>
    </w:tr>
  </w:tbl>
  <w:p w:rsidR="008319FE" w:rsidRDefault="008319FE">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319FE">
      <w:trPr>
        <w:cantSplit/>
      </w:trPr>
      <w:tc>
        <w:tcPr>
          <w:tcW w:w="7258" w:type="dxa"/>
          <w:gridSpan w:val="2"/>
        </w:tcPr>
        <w:p w:rsidR="008319FE" w:rsidRDefault="00EE3F22">
          <w:pPr>
            <w:pStyle w:val="HeaderActNameRight"/>
            <w:ind w:right="17"/>
          </w:pPr>
          <w:fldSimple w:instr=" Styleref &quot;Name of Act/Reg&quot; ">
            <w:r w:rsidR="00B96987">
              <w:rPr>
                <w:noProof/>
              </w:rPr>
              <w:t>Hospitals (Services Charges for Specialized Orthoses and Prostheses) Determination 1994</w:t>
            </w:r>
          </w:fldSimple>
        </w:p>
      </w:tc>
    </w:tr>
    <w:tr w:rsidR="008319FE">
      <w:tc>
        <w:tcPr>
          <w:tcW w:w="5715" w:type="dxa"/>
        </w:tcPr>
        <w:p w:rsidR="008319FE" w:rsidRDefault="00EE3F22">
          <w:pPr>
            <w:pStyle w:val="HeaderTextRight"/>
          </w:pPr>
          <w:r>
            <w:fldChar w:fldCharType="begin"/>
          </w:r>
          <w:r>
            <w:instrText xml:space="preserve"> styleref CharPartText </w:instrText>
          </w:r>
          <w:r>
            <w:fldChar w:fldCharType="end"/>
          </w:r>
        </w:p>
      </w:tc>
      <w:tc>
        <w:tcPr>
          <w:tcW w:w="1548" w:type="dxa"/>
        </w:tcPr>
        <w:p w:rsidR="008319FE" w:rsidRDefault="00EE3F22">
          <w:pPr>
            <w:pStyle w:val="HeaderNumberRight"/>
            <w:ind w:right="17"/>
          </w:pPr>
          <w:r>
            <w:fldChar w:fldCharType="begin"/>
          </w:r>
          <w:r>
            <w:instrText xml:space="preserve"> styleref CharPartNo </w:instrText>
          </w:r>
          <w:r>
            <w:fldChar w:fldCharType="end"/>
          </w:r>
        </w:p>
      </w:tc>
    </w:tr>
    <w:tr w:rsidR="008319FE">
      <w:tc>
        <w:tcPr>
          <w:tcW w:w="5715" w:type="dxa"/>
        </w:tcPr>
        <w:p w:rsidR="008319FE" w:rsidRDefault="00EE3F22">
          <w:pPr>
            <w:pStyle w:val="HeaderTextRight"/>
          </w:pPr>
          <w:r>
            <w:fldChar w:fldCharType="begin"/>
          </w:r>
          <w:r>
            <w:instrText xml:space="preserve"> styleref CharDivText </w:instrText>
          </w:r>
          <w:r>
            <w:fldChar w:fldCharType="end"/>
          </w:r>
        </w:p>
      </w:tc>
      <w:tc>
        <w:tcPr>
          <w:tcW w:w="1548" w:type="dxa"/>
        </w:tcPr>
        <w:p w:rsidR="008319FE" w:rsidRDefault="00EE3F22">
          <w:pPr>
            <w:pStyle w:val="HeaderNumberRight"/>
            <w:ind w:right="17"/>
          </w:pPr>
          <w:r>
            <w:fldChar w:fldCharType="begin"/>
          </w:r>
          <w:r>
            <w:instrText xml:space="preserve"> styleref CharDivNo </w:instrText>
          </w:r>
          <w:r>
            <w:fldChar w:fldCharType="end"/>
          </w:r>
        </w:p>
      </w:tc>
    </w:tr>
    <w:tr w:rsidR="008319FE">
      <w:trPr>
        <w:cantSplit/>
      </w:trPr>
      <w:tc>
        <w:tcPr>
          <w:tcW w:w="7258" w:type="dxa"/>
          <w:gridSpan w:val="2"/>
        </w:tcPr>
        <w:p w:rsidR="008319FE" w:rsidRDefault="00EE3F22">
          <w:pPr>
            <w:pStyle w:val="HeaderSectionRight"/>
            <w:ind w:right="17"/>
          </w:pPr>
          <w:r>
            <w:t xml:space="preserve">cl. </w:t>
          </w:r>
          <w:fldSimple w:instr=" styleref CharSectno ">
            <w:r w:rsidR="00B96987">
              <w:rPr>
                <w:noProof/>
              </w:rPr>
              <w:t>1</w:t>
            </w:r>
          </w:fldSimple>
        </w:p>
      </w:tc>
    </w:tr>
  </w:tbl>
  <w:p w:rsidR="008319FE" w:rsidRDefault="008319F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9FE" w:rsidRDefault="008319F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319FE">
      <w:trPr>
        <w:cantSplit/>
      </w:trPr>
      <w:tc>
        <w:tcPr>
          <w:tcW w:w="7258" w:type="dxa"/>
          <w:gridSpan w:val="2"/>
        </w:tcPr>
        <w:p w:rsidR="008319FE" w:rsidRDefault="00EE3F22">
          <w:pPr>
            <w:pStyle w:val="HeaderActNameLeft"/>
          </w:pPr>
          <w:fldSimple w:instr=" Styleref &quot;Name of Act/Reg&quot; ">
            <w:r w:rsidR="00B96987">
              <w:rPr>
                <w:noProof/>
              </w:rPr>
              <w:t>Hospitals (Services Charges for Specialized Orthoses and Prostheses) Determination 1994</w:t>
            </w:r>
          </w:fldSimple>
        </w:p>
      </w:tc>
    </w:tr>
    <w:tr w:rsidR="008319FE">
      <w:tc>
        <w:tcPr>
          <w:tcW w:w="1548" w:type="dxa"/>
        </w:tcPr>
        <w:p w:rsidR="008319FE" w:rsidRDefault="008319FE">
          <w:pPr>
            <w:pStyle w:val="HeaderNumberLeft"/>
          </w:pPr>
        </w:p>
      </w:tc>
      <w:tc>
        <w:tcPr>
          <w:tcW w:w="5715" w:type="dxa"/>
        </w:tcPr>
        <w:p w:rsidR="008319FE" w:rsidRDefault="008319FE">
          <w:pPr>
            <w:pStyle w:val="HeaderTextLeft"/>
          </w:pPr>
        </w:p>
      </w:tc>
    </w:tr>
    <w:tr w:rsidR="008319FE">
      <w:tc>
        <w:tcPr>
          <w:tcW w:w="1548" w:type="dxa"/>
        </w:tcPr>
        <w:p w:rsidR="008319FE" w:rsidRDefault="008319FE">
          <w:pPr>
            <w:pStyle w:val="HeaderNumberLeft"/>
          </w:pPr>
        </w:p>
      </w:tc>
      <w:tc>
        <w:tcPr>
          <w:tcW w:w="5715" w:type="dxa"/>
        </w:tcPr>
        <w:p w:rsidR="008319FE" w:rsidRDefault="008319FE">
          <w:pPr>
            <w:pStyle w:val="HeaderTextLeft"/>
          </w:pPr>
        </w:p>
      </w:tc>
    </w:tr>
    <w:tr w:rsidR="008319FE">
      <w:trPr>
        <w:cantSplit/>
      </w:trPr>
      <w:tc>
        <w:tcPr>
          <w:tcW w:w="7258" w:type="dxa"/>
          <w:gridSpan w:val="2"/>
        </w:tcPr>
        <w:p w:rsidR="008319FE" w:rsidRDefault="008319FE">
          <w:pPr>
            <w:pStyle w:val="HeaderSectionRight"/>
            <w:ind w:right="17"/>
            <w:jc w:val="left"/>
          </w:pPr>
        </w:p>
      </w:tc>
    </w:tr>
  </w:tbl>
  <w:p w:rsidR="008319FE" w:rsidRDefault="008319FE">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319FE">
      <w:trPr>
        <w:cantSplit/>
      </w:trPr>
      <w:tc>
        <w:tcPr>
          <w:tcW w:w="7258" w:type="dxa"/>
          <w:gridSpan w:val="2"/>
        </w:tcPr>
        <w:p w:rsidR="008319FE" w:rsidRDefault="00EE3F22">
          <w:pPr>
            <w:pStyle w:val="HeaderActNameRight"/>
            <w:ind w:right="17"/>
          </w:pPr>
          <w:fldSimple w:instr=" Styleref &quot;Name of Act/Reg&quot; ">
            <w:r w:rsidR="00B96987">
              <w:rPr>
                <w:noProof/>
              </w:rPr>
              <w:t>Hospitals (Services Charges for Specialized Orthoses and Prostheses) Determination 1994</w:t>
            </w:r>
          </w:fldSimple>
        </w:p>
      </w:tc>
    </w:tr>
    <w:tr w:rsidR="008319FE">
      <w:tc>
        <w:tcPr>
          <w:tcW w:w="5715" w:type="dxa"/>
        </w:tcPr>
        <w:p w:rsidR="008319FE" w:rsidRDefault="008319FE">
          <w:pPr>
            <w:pStyle w:val="HeaderTextRight"/>
          </w:pPr>
        </w:p>
      </w:tc>
      <w:tc>
        <w:tcPr>
          <w:tcW w:w="1548" w:type="dxa"/>
        </w:tcPr>
        <w:p w:rsidR="008319FE" w:rsidRDefault="008319FE">
          <w:pPr>
            <w:pStyle w:val="HeaderNumberRight"/>
            <w:ind w:right="17"/>
          </w:pPr>
        </w:p>
      </w:tc>
    </w:tr>
    <w:tr w:rsidR="008319FE">
      <w:tc>
        <w:tcPr>
          <w:tcW w:w="5715" w:type="dxa"/>
        </w:tcPr>
        <w:p w:rsidR="008319FE" w:rsidRDefault="008319FE">
          <w:pPr>
            <w:pStyle w:val="HeaderTextRight"/>
          </w:pPr>
        </w:p>
      </w:tc>
      <w:tc>
        <w:tcPr>
          <w:tcW w:w="1548" w:type="dxa"/>
        </w:tcPr>
        <w:p w:rsidR="008319FE" w:rsidRDefault="008319FE">
          <w:pPr>
            <w:pStyle w:val="HeaderNumberRight"/>
            <w:ind w:right="17"/>
          </w:pPr>
        </w:p>
      </w:tc>
    </w:tr>
    <w:tr w:rsidR="008319FE">
      <w:trPr>
        <w:cantSplit/>
      </w:trPr>
      <w:tc>
        <w:tcPr>
          <w:tcW w:w="7258" w:type="dxa"/>
          <w:gridSpan w:val="2"/>
        </w:tcPr>
        <w:p w:rsidR="008319FE" w:rsidRDefault="008319FE">
          <w:pPr>
            <w:pStyle w:val="HeaderSectionRight"/>
            <w:ind w:right="17"/>
          </w:pPr>
        </w:p>
      </w:tc>
    </w:tr>
  </w:tbl>
  <w:p w:rsidR="008319FE" w:rsidRDefault="008319F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9FE" w:rsidRDefault="008319F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319FE">
      <w:trPr>
        <w:cantSplit/>
      </w:trPr>
      <w:tc>
        <w:tcPr>
          <w:tcW w:w="7312" w:type="dxa"/>
          <w:gridSpan w:val="2"/>
        </w:tcPr>
        <w:p w:rsidR="008319FE" w:rsidRDefault="00EE3F22">
          <w:pPr>
            <w:pStyle w:val="HeaderActNameLeft"/>
          </w:pPr>
          <w:fldSimple w:instr=" Styleref &quot;Name of Act/Reg&quot; ">
            <w:r w:rsidR="00B96987">
              <w:rPr>
                <w:noProof/>
              </w:rPr>
              <w:t>Hospitals (Services Charges for Specialized Orthoses and Prostheses) Determination 1994</w:t>
            </w:r>
          </w:fldSimple>
        </w:p>
      </w:tc>
    </w:tr>
    <w:tr w:rsidR="008319FE">
      <w:tc>
        <w:tcPr>
          <w:tcW w:w="1548" w:type="dxa"/>
        </w:tcPr>
        <w:p w:rsidR="008319FE" w:rsidRDefault="008319FE">
          <w:pPr>
            <w:pStyle w:val="HeaderNumberLeft"/>
          </w:pPr>
        </w:p>
      </w:tc>
      <w:tc>
        <w:tcPr>
          <w:tcW w:w="5764" w:type="dxa"/>
        </w:tcPr>
        <w:p w:rsidR="008319FE" w:rsidRDefault="008319FE">
          <w:pPr>
            <w:pStyle w:val="HeaderTextLeft"/>
          </w:pPr>
        </w:p>
      </w:tc>
    </w:tr>
    <w:tr w:rsidR="008319FE">
      <w:tc>
        <w:tcPr>
          <w:tcW w:w="1548" w:type="dxa"/>
        </w:tcPr>
        <w:p w:rsidR="008319FE" w:rsidRDefault="008319FE">
          <w:pPr>
            <w:pStyle w:val="HeaderNumberLeft"/>
          </w:pPr>
        </w:p>
      </w:tc>
      <w:tc>
        <w:tcPr>
          <w:tcW w:w="5764" w:type="dxa"/>
        </w:tcPr>
        <w:p w:rsidR="008319FE" w:rsidRDefault="008319FE">
          <w:pPr>
            <w:pStyle w:val="HeaderTextLeft"/>
          </w:pPr>
        </w:p>
      </w:tc>
    </w:tr>
    <w:tr w:rsidR="008319FE">
      <w:trPr>
        <w:cantSplit/>
      </w:trPr>
      <w:tc>
        <w:tcPr>
          <w:tcW w:w="7312" w:type="dxa"/>
          <w:gridSpan w:val="2"/>
        </w:tcPr>
        <w:p w:rsidR="008319FE" w:rsidRDefault="008319FE">
          <w:pPr>
            <w:pStyle w:val="HeaderSectionLeft"/>
          </w:pPr>
        </w:p>
      </w:tc>
    </w:tr>
  </w:tbl>
  <w:p w:rsidR="008319FE" w:rsidRDefault="008319FE">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104DA1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D0AE8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44663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ECC9802"/>
    <w:lvl w:ilvl="0">
      <w:start w:val="1"/>
      <w:numFmt w:val="decimal"/>
      <w:pStyle w:val="ListNumber2"/>
      <w:lvlText w:val="%1."/>
      <w:lvlJc w:val="left"/>
      <w:pPr>
        <w:tabs>
          <w:tab w:val="num" w:pos="720"/>
        </w:tabs>
        <w:ind w:left="720" w:hanging="360"/>
      </w:pPr>
    </w:lvl>
  </w:abstractNum>
  <w:abstractNum w:abstractNumId="4">
    <w:nsid w:val="FFFFFF80"/>
    <w:multiLevelType w:val="singleLevel"/>
    <w:tmpl w:val="22267DD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BC2ED8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70C597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1427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5C67046"/>
    <w:lvl w:ilvl="0">
      <w:start w:val="1"/>
      <w:numFmt w:val="decimal"/>
      <w:pStyle w:val="ListNumber"/>
      <w:lvlText w:val="%1."/>
      <w:lvlJc w:val="left"/>
      <w:pPr>
        <w:tabs>
          <w:tab w:val="num" w:pos="360"/>
        </w:tabs>
        <w:ind w:left="360" w:hanging="360"/>
      </w:pPr>
    </w:lvl>
  </w:abstractNum>
  <w:abstractNum w:abstractNumId="9">
    <w:nsid w:val="FFFFFF89"/>
    <w:multiLevelType w:val="singleLevel"/>
    <w:tmpl w:val="DAD49B6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F84F4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C568ADE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3F22"/>
    <w:rsid w:val="0041081C"/>
    <w:rsid w:val="005B2386"/>
    <w:rsid w:val="008319FE"/>
    <w:rsid w:val="00B96987"/>
    <w:rsid w:val="00EE3F2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523</Words>
  <Characters>3039</Characters>
  <Application>Microsoft Office Word</Application>
  <DocSecurity>0</DocSecurity>
  <Lines>108</Lines>
  <Paragraphs>69</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vt:lpstr>
      <vt:lpstr>Western Australia</vt:lpstr>
      <vt:lpstr>Hospitals (Services Charges for Specialized Orthoses and Prostheses) Determinati</vt:lpstr>
      <vt:lpstr>    Notes</vt:lpstr>
    </vt:vector>
  </TitlesOfParts>
  <Company>Parliamentary Counsel's Office</Company>
  <LinksUpToDate>false</LinksUpToDate>
  <CharactersWithSpaces>3493</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(Services Charges for Specialized Orthoses and Prostheses) Determination 1994 - 00-a0-01</dc:title>
  <dc:subject>Subsidiary Legislation</dc:subject>
  <dc:creator>G Callahan</dc:creator>
  <cp:keywords/>
  <dc:description>v2</dc:description>
  <cp:lastModifiedBy>svcMRProcess</cp:lastModifiedBy>
  <cp:revision>4</cp:revision>
  <cp:lastPrinted>2009-07-27T03:04:00Z</cp:lastPrinted>
  <dcterms:created xsi:type="dcterms:W3CDTF">2013-02-16T01:21:00Z</dcterms:created>
  <dcterms:modified xsi:type="dcterms:W3CDTF">2013-02-16T01:21:00Z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01 Nov 1994</vt:lpwstr>
  </property>
  <property fmtid="{D5CDD505-2E9C-101B-9397-08002B2CF9AE}" pid="3" name="Suffix">
    <vt:lpwstr>00-a0-01</vt:lpwstr>
  </property>
  <property fmtid="{D5CDD505-2E9C-101B-9397-08002B2CF9AE}" pid="4" name="ID">
    <vt:lpwstr>30 Sep 1994 p 4977-8</vt:lpwstr>
  </property>
  <property fmtid="{D5CDD505-2E9C-101B-9397-08002B2CF9AE}" pid="5" name="CommencementDate">
    <vt:lpwstr>19941101</vt:lpwstr>
  </property>
  <property fmtid="{D5CDD505-2E9C-101B-9397-08002B2CF9AE}" pid="6" name="DocumentType">
    <vt:lpwstr>Reg</vt:lpwstr>
  </property>
  <property fmtid="{D5CDD505-2E9C-101B-9397-08002B2CF9AE}" pid="7" name="OwlsUID">
    <vt:i4>31204</vt:i4>
  </property>
</Properties>
</file>