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Petroleum Act 1967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13 April 2007</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Petroleum Act 1967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_Toc166897360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_Toc166897361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_Toc166897362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_Toc166897363 \h </w:instrText>
      </w:r>
      <w:r>
        <w:fldChar w:fldCharType="separate"/>
      </w:r>
      <w:r>
        <w:t>2</w:t>
      </w:r>
      <w:r>
        <w:fldChar w:fldCharType="end"/>
      </w:r>
    </w:p>
    <w:p>
      <w:pPr>
        <w:pStyle w:val="TOC2"/>
        <w:tabs>
          <w:tab w:val="right" w:leader="dot" w:pos="7086"/>
        </w:tabs>
        <w:rPr>
          <w:b w:val="0"/>
          <w:sz w:val="24"/>
          <w:szCs w:val="24"/>
        </w:rPr>
      </w:pPr>
      <w:r>
        <w:rPr>
          <w:szCs w:val="30"/>
        </w:rPr>
        <w:t>Part II — General</w:t>
      </w:r>
    </w:p>
    <w:p>
      <w:pPr>
        <w:pStyle w:val="TOC8"/>
        <w:rPr>
          <w:sz w:val="24"/>
          <w:szCs w:val="24"/>
        </w:rPr>
      </w:pPr>
      <w:r>
        <w:rPr>
          <w:szCs w:val="24"/>
        </w:rPr>
        <w:t>6</w:t>
      </w:r>
      <w:r>
        <w:rPr>
          <w:snapToGrid w:val="0"/>
          <w:szCs w:val="24"/>
        </w:rPr>
        <w:t>.</w:t>
      </w:r>
      <w:r>
        <w:rPr>
          <w:snapToGrid w:val="0"/>
          <w:szCs w:val="24"/>
        </w:rPr>
        <w:tab/>
        <w:t>Act to be construed subject to legislative powers of the State</w:t>
      </w:r>
      <w:r>
        <w:tab/>
      </w:r>
      <w:r>
        <w:fldChar w:fldCharType="begin"/>
      </w:r>
      <w:r>
        <w:instrText xml:space="preserve"> PAGEREF _Toc166897365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Application of Act</w:t>
      </w:r>
      <w:r>
        <w:tab/>
      </w:r>
      <w:r>
        <w:fldChar w:fldCharType="begin"/>
      </w:r>
      <w:r>
        <w:instrText xml:space="preserve"> PAGEREF _Toc166897366 \h </w:instrText>
      </w:r>
      <w:r>
        <w:fldChar w:fldCharType="separate"/>
      </w:r>
      <w:r>
        <w:t>10</w:t>
      </w:r>
      <w:r>
        <w:fldChar w:fldCharType="end"/>
      </w:r>
    </w:p>
    <w:p>
      <w:pPr>
        <w:pStyle w:val="TOC8"/>
        <w:rPr>
          <w:sz w:val="24"/>
          <w:szCs w:val="24"/>
        </w:rPr>
      </w:pPr>
      <w:r>
        <w:rPr>
          <w:szCs w:val="24"/>
        </w:rPr>
        <w:t>7A</w:t>
      </w:r>
      <w:r>
        <w:rPr>
          <w:snapToGrid w:val="0"/>
          <w:szCs w:val="24"/>
        </w:rPr>
        <w:t>.</w:t>
      </w:r>
      <w:r>
        <w:rPr>
          <w:snapToGrid w:val="0"/>
          <w:szCs w:val="24"/>
        </w:rPr>
        <w:tab/>
        <w:t>Petroleum pool extending into 2 licence areas</w:t>
      </w:r>
      <w:r>
        <w:tab/>
      </w:r>
      <w:r>
        <w:fldChar w:fldCharType="begin"/>
      </w:r>
      <w:r>
        <w:instrText xml:space="preserve"> PAGEREF _Toc166897367 \h </w:instrText>
      </w:r>
      <w:r>
        <w:fldChar w:fldCharType="separate"/>
      </w:r>
      <w:r>
        <w:t>10</w:t>
      </w:r>
      <w:r>
        <w:fldChar w:fldCharType="end"/>
      </w:r>
    </w:p>
    <w:p>
      <w:pPr>
        <w:pStyle w:val="TOC8"/>
        <w:rPr>
          <w:sz w:val="24"/>
          <w:szCs w:val="24"/>
        </w:rPr>
      </w:pPr>
      <w:r>
        <w:rPr>
          <w:szCs w:val="24"/>
        </w:rPr>
        <w:t>8.</w:t>
      </w:r>
      <w:r>
        <w:rPr>
          <w:szCs w:val="24"/>
        </w:rPr>
        <w:tab/>
        <w:t>Position on the Earth’s surface</w:t>
      </w:r>
      <w:r>
        <w:tab/>
      </w:r>
      <w:r>
        <w:fldChar w:fldCharType="begin"/>
      </w:r>
      <w:r>
        <w:instrText xml:space="preserve"> PAGEREF _Toc166897368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Petroleum declared to be property of the Crown</w:t>
      </w:r>
      <w:r>
        <w:tab/>
      </w:r>
      <w:r>
        <w:fldChar w:fldCharType="begin"/>
      </w:r>
      <w:r>
        <w:instrText xml:space="preserve"> PAGEREF _Toc166897369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Reservations in Crown grants and leases</w:t>
      </w:r>
      <w:r>
        <w:tab/>
      </w:r>
      <w:r>
        <w:fldChar w:fldCharType="begin"/>
      </w:r>
      <w:r>
        <w:instrText xml:space="preserve"> PAGEREF _Toc166897370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 to obtain petroleum</w:t>
      </w:r>
      <w:r>
        <w:tab/>
      </w:r>
      <w:r>
        <w:fldChar w:fldCharType="begin"/>
      </w:r>
      <w:r>
        <w:instrText xml:space="preserve"> PAGEREF _Toc166897371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Land may be resumed</w:t>
      </w:r>
      <w:r>
        <w:tab/>
      </w:r>
      <w:r>
        <w:fldChar w:fldCharType="begin"/>
      </w:r>
      <w:r>
        <w:instrText xml:space="preserve"> PAGEREF _Toc166897372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Governor to have right of pre</w:t>
      </w:r>
      <w:r>
        <w:rPr>
          <w:snapToGrid w:val="0"/>
          <w:szCs w:val="24"/>
        </w:rPr>
        <w:noBreakHyphen/>
        <w:t>emption of petroleum in emergency</w:t>
      </w:r>
      <w:r>
        <w:tab/>
      </w:r>
      <w:r>
        <w:fldChar w:fldCharType="begin"/>
      </w:r>
      <w:r>
        <w:instrText xml:space="preserve"> PAGEREF _Toc166897373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Land comprised in a permit, drilling reservation, lease or licence may be entered for certain purposes</w:t>
      </w:r>
      <w:r>
        <w:tab/>
      </w:r>
      <w:r>
        <w:fldChar w:fldCharType="begin"/>
      </w:r>
      <w:r>
        <w:instrText xml:space="preserve"> PAGEREF _Toc166897374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Authority conferred by permit, drilling reservation, lease or licence</w:t>
      </w:r>
      <w:r>
        <w:tab/>
      </w:r>
      <w:r>
        <w:fldChar w:fldCharType="begin"/>
      </w:r>
      <w:r>
        <w:instrText xml:space="preserve"> PAGEREF _Toc166897375 \h </w:instrText>
      </w:r>
      <w:r>
        <w:fldChar w:fldCharType="separate"/>
      </w:r>
      <w:r>
        <w:t>18</w:t>
      </w:r>
      <w:r>
        <w:fldChar w:fldCharType="end"/>
      </w:r>
    </w:p>
    <w:p>
      <w:pPr>
        <w:pStyle w:val="TOC8"/>
        <w:rPr>
          <w:sz w:val="24"/>
          <w:szCs w:val="24"/>
        </w:rPr>
      </w:pPr>
      <w:r>
        <w:rPr>
          <w:szCs w:val="24"/>
        </w:rPr>
        <w:t>15A</w:t>
      </w:r>
      <w:r>
        <w:rPr>
          <w:snapToGrid w:val="0"/>
          <w:szCs w:val="24"/>
        </w:rPr>
        <w:t>.</w:t>
      </w:r>
      <w:r>
        <w:rPr>
          <w:snapToGrid w:val="0"/>
          <w:szCs w:val="24"/>
        </w:rPr>
        <w:tab/>
        <w:t>Consent of Minister required for entry on reserves for purposes of exploration etc.</w:t>
      </w:r>
      <w:r>
        <w:tab/>
      </w:r>
      <w:r>
        <w:fldChar w:fldCharType="begin"/>
      </w:r>
      <w:r>
        <w:instrText xml:space="preserve"> PAGEREF _Toc166897376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Consent of owner or trustees required in certain cases for exploration etc.</w:t>
      </w:r>
      <w:r>
        <w:tab/>
      </w:r>
      <w:r>
        <w:fldChar w:fldCharType="begin"/>
      </w:r>
      <w:r>
        <w:instrText xml:space="preserve"> PAGEREF _Toc166897377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Compensation to owners and occupiers of private land</w:t>
      </w:r>
      <w:r>
        <w:tab/>
      </w:r>
      <w:r>
        <w:fldChar w:fldCharType="begin"/>
      </w:r>
      <w:r>
        <w:instrText xml:space="preserve"> PAGEREF _Toc166897378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Owner of private land in vicinity of permit area, drilling reservation, lease area or licence area may be entitled to compensation</w:t>
      </w:r>
      <w:r>
        <w:tab/>
      </w:r>
      <w:r>
        <w:fldChar w:fldCharType="begin"/>
      </w:r>
      <w:r>
        <w:instrText xml:space="preserve"> PAGEREF _Toc166897379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Compensation for further damage</w:t>
      </w:r>
      <w:r>
        <w:tab/>
      </w:r>
      <w:r>
        <w:fldChar w:fldCharType="begin"/>
      </w:r>
      <w:r>
        <w:instrText xml:space="preserve"> PAGEREF _Toc166897380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Holder of permit, drilling reservation, lease or licence not to commence operations on private land until compensation tendered or agreed upon</w:t>
      </w:r>
      <w:r>
        <w:tab/>
      </w:r>
      <w:r>
        <w:fldChar w:fldCharType="begin"/>
      </w:r>
      <w:r>
        <w:instrText xml:space="preserve"> PAGEREF _Toc166897381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_Toc166897382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Determination of partial compensation</w:t>
      </w:r>
      <w:r>
        <w:tab/>
      </w:r>
      <w:r>
        <w:fldChar w:fldCharType="begin"/>
      </w:r>
      <w:r>
        <w:instrText xml:space="preserve"> PAGEREF _Toc166897383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Security for compensation</w:t>
      </w:r>
      <w:r>
        <w:tab/>
      </w:r>
      <w:r>
        <w:fldChar w:fldCharType="begin"/>
      </w:r>
      <w:r>
        <w:instrText xml:space="preserve"> PAGEREF _Toc166897384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Matters for which compensation not payable</w:t>
      </w:r>
      <w:r>
        <w:tab/>
      </w:r>
      <w:r>
        <w:fldChar w:fldCharType="begin"/>
      </w:r>
      <w:r>
        <w:instrText xml:space="preserve"> PAGEREF _Toc166897385 \h </w:instrText>
      </w:r>
      <w:r>
        <w:fldChar w:fldCharType="separate"/>
      </w:r>
      <w:r>
        <w:t>24</w:t>
      </w:r>
      <w:r>
        <w:fldChar w:fldCharType="end"/>
      </w:r>
    </w:p>
    <w:p>
      <w:pPr>
        <w:pStyle w:val="TOC8"/>
        <w:rPr>
          <w:sz w:val="24"/>
          <w:szCs w:val="24"/>
        </w:rPr>
      </w:pPr>
      <w:r>
        <w:rPr>
          <w:szCs w:val="24"/>
        </w:rPr>
        <w:t>24A</w:t>
      </w:r>
      <w:r>
        <w:rPr>
          <w:snapToGrid w:val="0"/>
          <w:szCs w:val="24"/>
        </w:rPr>
        <w:t>.</w:t>
      </w:r>
      <w:r>
        <w:rPr>
          <w:snapToGrid w:val="0"/>
          <w:szCs w:val="24"/>
        </w:rPr>
        <w:tab/>
        <w:t>Liability for payment of compensation to native title holders</w:t>
      </w:r>
      <w:r>
        <w:tab/>
      </w:r>
      <w:r>
        <w:fldChar w:fldCharType="begin"/>
      </w:r>
      <w:r>
        <w:instrText xml:space="preserve"> PAGEREF _Toc166897386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Delegation</w:t>
      </w:r>
      <w:r>
        <w:tab/>
      </w:r>
      <w:r>
        <w:fldChar w:fldCharType="begin"/>
      </w:r>
      <w:r>
        <w:instrText xml:space="preserve"> PAGEREF _Toc166897387 \h </w:instrText>
      </w:r>
      <w:r>
        <w:fldChar w:fldCharType="separate"/>
      </w:r>
      <w:r>
        <w:t>26</w:t>
      </w:r>
      <w:r>
        <w:fldChar w:fldCharType="end"/>
      </w:r>
    </w:p>
    <w:p>
      <w:pPr>
        <w:pStyle w:val="TOC2"/>
        <w:tabs>
          <w:tab w:val="right" w:leader="dot" w:pos="7086"/>
        </w:tabs>
        <w:rPr>
          <w:b w:val="0"/>
          <w:sz w:val="24"/>
          <w:szCs w:val="24"/>
        </w:rPr>
      </w:pPr>
      <w:r>
        <w:rPr>
          <w:szCs w:val="30"/>
        </w:rPr>
        <w:t>Part III — Mining for petroleum</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26</w:t>
      </w:r>
      <w:r>
        <w:rPr>
          <w:snapToGrid w:val="0"/>
          <w:szCs w:val="24"/>
        </w:rPr>
        <w:t>.</w:t>
      </w:r>
      <w:r>
        <w:rPr>
          <w:snapToGrid w:val="0"/>
          <w:szCs w:val="24"/>
        </w:rPr>
        <w:tab/>
        <w:t>Term used in this Part</w:t>
      </w:r>
      <w:r>
        <w:tab/>
      </w:r>
      <w:r>
        <w:fldChar w:fldCharType="begin"/>
      </w:r>
      <w:r>
        <w:instrText xml:space="preserve"> PAGEREF _Toc166897390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Graticulation of Earth’s surface and constitution of blocks</w:t>
      </w:r>
      <w:r>
        <w:tab/>
      </w:r>
      <w:r>
        <w:fldChar w:fldCharType="begin"/>
      </w:r>
      <w:r>
        <w:instrText xml:space="preserve"> PAGEREF _Toc166897391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Reservation of blocks</w:t>
      </w:r>
      <w:r>
        <w:tab/>
      </w:r>
      <w:r>
        <w:fldChar w:fldCharType="begin"/>
      </w:r>
      <w:r>
        <w:instrText xml:space="preserve"> PAGEREF _Toc166897392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Issue of permits etc. in marine reserves</w:t>
      </w:r>
      <w:r>
        <w:tab/>
      </w:r>
      <w:r>
        <w:fldChar w:fldCharType="begin"/>
      </w:r>
      <w:r>
        <w:instrText xml:space="preserve"> PAGEREF _Toc166897393 \h </w:instrText>
      </w:r>
      <w:r>
        <w:fldChar w:fldCharType="separate"/>
      </w:r>
      <w:r>
        <w:t>28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Permits and drilling reservations</w:t>
      </w:r>
    </w:p>
    <w:p>
      <w:pPr>
        <w:pStyle w:val="TOC8"/>
        <w:rPr>
          <w:sz w:val="24"/>
          <w:szCs w:val="24"/>
        </w:rPr>
      </w:pPr>
      <w:r>
        <w:rPr>
          <w:szCs w:val="24"/>
        </w:rPr>
        <w:t>29</w:t>
      </w:r>
      <w:r>
        <w:rPr>
          <w:snapToGrid w:val="0"/>
          <w:szCs w:val="24"/>
        </w:rPr>
        <w:t>.</w:t>
      </w:r>
      <w:r>
        <w:rPr>
          <w:snapToGrid w:val="0"/>
          <w:szCs w:val="24"/>
        </w:rPr>
        <w:tab/>
        <w:t>Exploration for petroleum</w:t>
      </w:r>
      <w:r>
        <w:tab/>
      </w:r>
      <w:r>
        <w:fldChar w:fldCharType="begin"/>
      </w:r>
      <w:r>
        <w:instrText xml:space="preserve"> PAGEREF _Toc166897395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Advertisement of blocks</w:t>
      </w:r>
      <w:r>
        <w:tab/>
      </w:r>
      <w:r>
        <w:fldChar w:fldCharType="begin"/>
      </w:r>
      <w:r>
        <w:instrText xml:space="preserve"> PAGEREF _Toc166897396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Application for permit</w:t>
      </w:r>
      <w:r>
        <w:tab/>
      </w:r>
      <w:r>
        <w:fldChar w:fldCharType="begin"/>
      </w:r>
      <w:r>
        <w:instrText xml:space="preserve"> PAGEREF _Toc166897397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Grant or refusal of permit in relation to application</w:t>
      </w:r>
      <w:r>
        <w:tab/>
      </w:r>
      <w:r>
        <w:fldChar w:fldCharType="begin"/>
      </w:r>
      <w:r>
        <w:instrText xml:space="preserve"> PAGEREF _Toc166897398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Application for permit in respect of surrendered etc. blocks</w:t>
      </w:r>
      <w:r>
        <w:tab/>
      </w:r>
      <w:r>
        <w:fldChar w:fldCharType="begin"/>
      </w:r>
      <w:r>
        <w:instrText xml:space="preserve"> PAGEREF _Toc166897399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Application fee etc.</w:t>
      </w:r>
      <w:r>
        <w:tab/>
      </w:r>
      <w:r>
        <w:fldChar w:fldCharType="begin"/>
      </w:r>
      <w:r>
        <w:instrText xml:space="preserve"> PAGEREF _Toc166897400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Consideration of application</w:t>
      </w:r>
      <w:r>
        <w:tab/>
      </w:r>
      <w:r>
        <w:fldChar w:fldCharType="begin"/>
      </w:r>
      <w:r>
        <w:instrText xml:space="preserve"> PAGEREF _Toc166897401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Request by applicant for grant of permit in respect of advertised block</w:t>
      </w:r>
      <w:r>
        <w:tab/>
      </w:r>
      <w:r>
        <w:fldChar w:fldCharType="begin"/>
      </w:r>
      <w:r>
        <w:instrText xml:space="preserve"> PAGEREF _Toc166897402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Grant of permit on request</w:t>
      </w:r>
      <w:r>
        <w:tab/>
      </w:r>
      <w:r>
        <w:fldChar w:fldCharType="begin"/>
      </w:r>
      <w:r>
        <w:instrText xml:space="preserve"> PAGEREF _Toc166897403 \h </w:instrText>
      </w:r>
      <w:r>
        <w:fldChar w:fldCharType="separate"/>
      </w:r>
      <w:r>
        <w:t>36</w:t>
      </w:r>
      <w:r>
        <w:fldChar w:fldCharType="end"/>
      </w:r>
    </w:p>
    <w:p>
      <w:pPr>
        <w:pStyle w:val="TOC8"/>
        <w:rPr>
          <w:sz w:val="24"/>
          <w:szCs w:val="24"/>
        </w:rPr>
      </w:pPr>
      <w:r>
        <w:rPr>
          <w:szCs w:val="24"/>
        </w:rPr>
        <w:t>37A</w:t>
      </w:r>
      <w:r>
        <w:rPr>
          <w:snapToGrid w:val="0"/>
          <w:szCs w:val="24"/>
        </w:rPr>
        <w:t>.</w:t>
      </w:r>
      <w:r>
        <w:rPr>
          <w:snapToGrid w:val="0"/>
          <w:szCs w:val="24"/>
        </w:rPr>
        <w:tab/>
        <w:t>Permit for 2 or more blocks may be divided into 2 or more permits</w:t>
      </w:r>
      <w:r>
        <w:tab/>
      </w:r>
      <w:r>
        <w:fldChar w:fldCharType="begin"/>
      </w:r>
      <w:r>
        <w:instrText xml:space="preserve"> PAGEREF _Toc166897404 \h </w:instrText>
      </w:r>
      <w:r>
        <w:fldChar w:fldCharType="separate"/>
      </w:r>
      <w:r>
        <w:t>36</w:t>
      </w:r>
      <w:r>
        <w:fldChar w:fldCharType="end"/>
      </w:r>
    </w:p>
    <w:p>
      <w:pPr>
        <w:pStyle w:val="TOC8"/>
        <w:rPr>
          <w:sz w:val="24"/>
          <w:szCs w:val="24"/>
        </w:rPr>
      </w:pPr>
      <w:r>
        <w:rPr>
          <w:szCs w:val="24"/>
        </w:rPr>
        <w:t>38</w:t>
      </w:r>
      <w:r>
        <w:rPr>
          <w:snapToGrid w:val="0"/>
          <w:szCs w:val="24"/>
        </w:rPr>
        <w:t>.</w:t>
      </w:r>
      <w:r>
        <w:rPr>
          <w:snapToGrid w:val="0"/>
          <w:szCs w:val="24"/>
        </w:rPr>
        <w:tab/>
        <w:t>Rights conferred by permit</w:t>
      </w:r>
      <w:r>
        <w:tab/>
      </w:r>
      <w:r>
        <w:fldChar w:fldCharType="begin"/>
      </w:r>
      <w:r>
        <w:instrText xml:space="preserve"> PAGEREF _Toc166897405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Term of permit</w:t>
      </w:r>
      <w:r>
        <w:tab/>
      </w:r>
      <w:r>
        <w:fldChar w:fldCharType="begin"/>
      </w:r>
      <w:r>
        <w:instrText xml:space="preserve"> PAGEREF _Toc166897406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Application for renewal of permit</w:t>
      </w:r>
      <w:r>
        <w:tab/>
      </w:r>
      <w:r>
        <w:fldChar w:fldCharType="begin"/>
      </w:r>
      <w:r>
        <w:instrText xml:space="preserve"> PAGEREF _Toc166897407 \h </w:instrText>
      </w:r>
      <w:r>
        <w:fldChar w:fldCharType="separate"/>
      </w:r>
      <w:r>
        <w:t>38</w:t>
      </w:r>
      <w:r>
        <w:fldChar w:fldCharType="end"/>
      </w:r>
    </w:p>
    <w:p>
      <w:pPr>
        <w:pStyle w:val="TOC8"/>
        <w:rPr>
          <w:sz w:val="24"/>
          <w:szCs w:val="24"/>
        </w:rPr>
      </w:pPr>
      <w:r>
        <w:rPr>
          <w:szCs w:val="24"/>
        </w:rPr>
        <w:t>41</w:t>
      </w:r>
      <w:r>
        <w:rPr>
          <w:snapToGrid w:val="0"/>
          <w:szCs w:val="24"/>
        </w:rPr>
        <w:t>.</w:t>
      </w:r>
      <w:r>
        <w:rPr>
          <w:snapToGrid w:val="0"/>
          <w:szCs w:val="24"/>
        </w:rPr>
        <w:tab/>
        <w:t>Application for renewal of permit to be in respect of reduced area</w:t>
      </w:r>
      <w:r>
        <w:tab/>
      </w:r>
      <w:r>
        <w:fldChar w:fldCharType="begin"/>
      </w:r>
      <w:r>
        <w:instrText xml:space="preserve"> PAGEREF _Toc166897408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Grant or refusal of renewal of permit</w:t>
      </w:r>
      <w:r>
        <w:tab/>
      </w:r>
      <w:r>
        <w:fldChar w:fldCharType="begin"/>
      </w:r>
      <w:r>
        <w:instrText xml:space="preserve"> PAGEREF _Toc166897409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Conditions of permit</w:t>
      </w:r>
      <w:r>
        <w:tab/>
      </w:r>
      <w:r>
        <w:fldChar w:fldCharType="begin"/>
      </w:r>
      <w:r>
        <w:instrText xml:space="preserve"> PAGEREF _Toc166897410 \h </w:instrText>
      </w:r>
      <w:r>
        <w:fldChar w:fldCharType="separate"/>
      </w:r>
      <w:r>
        <w:t>43</w:t>
      </w:r>
      <w:r>
        <w:fldChar w:fldCharType="end"/>
      </w:r>
    </w:p>
    <w:p>
      <w:pPr>
        <w:pStyle w:val="TOC8"/>
        <w:rPr>
          <w:sz w:val="24"/>
          <w:szCs w:val="24"/>
        </w:rPr>
      </w:pPr>
      <w:r>
        <w:rPr>
          <w:szCs w:val="24"/>
        </w:rPr>
        <w:t>43A</w:t>
      </w:r>
      <w:r>
        <w:rPr>
          <w:snapToGrid w:val="0"/>
          <w:szCs w:val="24"/>
        </w:rPr>
        <w:t>.</w:t>
      </w:r>
      <w:r>
        <w:rPr>
          <w:snapToGrid w:val="0"/>
          <w:szCs w:val="24"/>
        </w:rPr>
        <w:tab/>
        <w:t>Advertisement of blocks for drilling reservations</w:t>
      </w:r>
      <w:r>
        <w:tab/>
      </w:r>
      <w:r>
        <w:fldChar w:fldCharType="begin"/>
      </w:r>
      <w:r>
        <w:instrText xml:space="preserve"> PAGEREF _Toc166897411 \h </w:instrText>
      </w:r>
      <w:r>
        <w:fldChar w:fldCharType="separate"/>
      </w:r>
      <w:r>
        <w:t>44</w:t>
      </w:r>
      <w:r>
        <w:fldChar w:fldCharType="end"/>
      </w:r>
    </w:p>
    <w:p>
      <w:pPr>
        <w:pStyle w:val="TOC8"/>
        <w:rPr>
          <w:sz w:val="24"/>
          <w:szCs w:val="24"/>
        </w:rPr>
      </w:pPr>
      <w:r>
        <w:rPr>
          <w:szCs w:val="24"/>
        </w:rPr>
        <w:t>43B</w:t>
      </w:r>
      <w:r>
        <w:rPr>
          <w:snapToGrid w:val="0"/>
          <w:szCs w:val="24"/>
        </w:rPr>
        <w:t>.</w:t>
      </w:r>
      <w:r>
        <w:rPr>
          <w:snapToGrid w:val="0"/>
          <w:szCs w:val="24"/>
        </w:rPr>
        <w:tab/>
        <w:t>Application for drilling reservation</w:t>
      </w:r>
      <w:r>
        <w:tab/>
      </w:r>
      <w:r>
        <w:fldChar w:fldCharType="begin"/>
      </w:r>
      <w:r>
        <w:instrText xml:space="preserve"> PAGEREF _Toc166897412 \h </w:instrText>
      </w:r>
      <w:r>
        <w:fldChar w:fldCharType="separate"/>
      </w:r>
      <w:r>
        <w:t>44</w:t>
      </w:r>
      <w:r>
        <w:fldChar w:fldCharType="end"/>
      </w:r>
    </w:p>
    <w:p>
      <w:pPr>
        <w:pStyle w:val="TOC8"/>
        <w:rPr>
          <w:sz w:val="24"/>
          <w:szCs w:val="24"/>
        </w:rPr>
      </w:pPr>
      <w:r>
        <w:rPr>
          <w:szCs w:val="24"/>
        </w:rPr>
        <w:t>43C</w:t>
      </w:r>
      <w:r>
        <w:rPr>
          <w:snapToGrid w:val="0"/>
          <w:szCs w:val="24"/>
        </w:rPr>
        <w:t>.</w:t>
      </w:r>
      <w:r>
        <w:rPr>
          <w:snapToGrid w:val="0"/>
          <w:szCs w:val="24"/>
        </w:rPr>
        <w:tab/>
        <w:t>Grant or refusal in relation to applications for drilling reservations</w:t>
      </w:r>
      <w:r>
        <w:tab/>
      </w:r>
      <w:r>
        <w:fldChar w:fldCharType="begin"/>
      </w:r>
      <w:r>
        <w:instrText xml:space="preserve"> PAGEREF _Toc166897413 \h </w:instrText>
      </w:r>
      <w:r>
        <w:fldChar w:fldCharType="separate"/>
      </w:r>
      <w:r>
        <w:t>45</w:t>
      </w:r>
      <w:r>
        <w:fldChar w:fldCharType="end"/>
      </w:r>
    </w:p>
    <w:p>
      <w:pPr>
        <w:pStyle w:val="TOC8"/>
        <w:rPr>
          <w:sz w:val="24"/>
          <w:szCs w:val="24"/>
        </w:rPr>
      </w:pPr>
      <w:r>
        <w:rPr>
          <w:szCs w:val="24"/>
        </w:rPr>
        <w:t>43D</w:t>
      </w:r>
      <w:r>
        <w:rPr>
          <w:snapToGrid w:val="0"/>
          <w:szCs w:val="24"/>
        </w:rPr>
        <w:t>.</w:t>
      </w:r>
      <w:r>
        <w:rPr>
          <w:snapToGrid w:val="0"/>
          <w:szCs w:val="24"/>
        </w:rPr>
        <w:tab/>
        <w:t>Rights conferred by drilling reservation</w:t>
      </w:r>
      <w:r>
        <w:tab/>
      </w:r>
      <w:r>
        <w:fldChar w:fldCharType="begin"/>
      </w:r>
      <w:r>
        <w:instrText xml:space="preserve"> PAGEREF _Toc166897414 \h </w:instrText>
      </w:r>
      <w:r>
        <w:fldChar w:fldCharType="separate"/>
      </w:r>
      <w:r>
        <w:t>47</w:t>
      </w:r>
      <w:r>
        <w:fldChar w:fldCharType="end"/>
      </w:r>
    </w:p>
    <w:p>
      <w:pPr>
        <w:pStyle w:val="TOC8"/>
        <w:rPr>
          <w:sz w:val="24"/>
          <w:szCs w:val="24"/>
        </w:rPr>
      </w:pPr>
      <w:r>
        <w:rPr>
          <w:szCs w:val="24"/>
        </w:rPr>
        <w:t>43E</w:t>
      </w:r>
      <w:r>
        <w:rPr>
          <w:snapToGrid w:val="0"/>
          <w:szCs w:val="24"/>
        </w:rPr>
        <w:t>.</w:t>
      </w:r>
      <w:r>
        <w:rPr>
          <w:snapToGrid w:val="0"/>
          <w:szCs w:val="24"/>
        </w:rPr>
        <w:tab/>
        <w:t>Term of drilling reservation</w:t>
      </w:r>
      <w:r>
        <w:tab/>
      </w:r>
      <w:r>
        <w:fldChar w:fldCharType="begin"/>
      </w:r>
      <w:r>
        <w:instrText xml:space="preserve"> PAGEREF _Toc166897415 \h </w:instrText>
      </w:r>
      <w:r>
        <w:fldChar w:fldCharType="separate"/>
      </w:r>
      <w:r>
        <w:t>47</w:t>
      </w:r>
      <w:r>
        <w:fldChar w:fldCharType="end"/>
      </w:r>
    </w:p>
    <w:p>
      <w:pPr>
        <w:pStyle w:val="TOC8"/>
        <w:rPr>
          <w:sz w:val="24"/>
          <w:szCs w:val="24"/>
        </w:rPr>
      </w:pPr>
      <w:r>
        <w:rPr>
          <w:szCs w:val="24"/>
        </w:rPr>
        <w:t>43F</w:t>
      </w:r>
      <w:r>
        <w:rPr>
          <w:snapToGrid w:val="0"/>
          <w:szCs w:val="24"/>
        </w:rPr>
        <w:t>.</w:t>
      </w:r>
      <w:r>
        <w:rPr>
          <w:snapToGrid w:val="0"/>
          <w:szCs w:val="24"/>
        </w:rPr>
        <w:tab/>
        <w:t>Extension of term of drilling reservation</w:t>
      </w:r>
      <w:r>
        <w:tab/>
      </w:r>
      <w:r>
        <w:fldChar w:fldCharType="begin"/>
      </w:r>
      <w:r>
        <w:instrText xml:space="preserve"> PAGEREF _Toc166897416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Discovery of petroleum to be notified etc.</w:t>
      </w:r>
      <w:r>
        <w:tab/>
      </w:r>
      <w:r>
        <w:fldChar w:fldCharType="begin"/>
      </w:r>
      <w:r>
        <w:instrText xml:space="preserve"> PAGEREF _Toc166897417 \h </w:instrText>
      </w:r>
      <w:r>
        <w:fldChar w:fldCharType="separate"/>
      </w:r>
      <w:r>
        <w:t>49</w:t>
      </w:r>
      <w:r>
        <w:fldChar w:fldCharType="end"/>
      </w:r>
    </w:p>
    <w:p>
      <w:pPr>
        <w:pStyle w:val="TOC8"/>
        <w:rPr>
          <w:sz w:val="24"/>
          <w:szCs w:val="24"/>
        </w:rPr>
      </w:pPr>
      <w:r>
        <w:rPr>
          <w:szCs w:val="24"/>
        </w:rPr>
        <w:t>45</w:t>
      </w:r>
      <w:r>
        <w:rPr>
          <w:snapToGrid w:val="0"/>
          <w:szCs w:val="24"/>
        </w:rPr>
        <w:t>.</w:t>
      </w:r>
      <w:r>
        <w:rPr>
          <w:snapToGrid w:val="0"/>
          <w:szCs w:val="24"/>
        </w:rPr>
        <w:tab/>
        <w:t>Direction by Minister on discovery of petroleum</w:t>
      </w:r>
      <w:r>
        <w:tab/>
      </w:r>
      <w:r>
        <w:fldChar w:fldCharType="begin"/>
      </w:r>
      <w:r>
        <w:instrText xml:space="preserve"> PAGEREF _Toc166897418 \h </w:instrText>
      </w:r>
      <w:r>
        <w:fldChar w:fldCharType="separate"/>
      </w:r>
      <w:r>
        <w:t>49</w:t>
      </w:r>
      <w:r>
        <w:fldChar w:fldCharType="end"/>
      </w:r>
    </w:p>
    <w:p>
      <w:pPr>
        <w:pStyle w:val="TOC8"/>
        <w:rPr>
          <w:sz w:val="24"/>
          <w:szCs w:val="24"/>
        </w:rPr>
      </w:pPr>
      <w:r>
        <w:rPr>
          <w:szCs w:val="24"/>
        </w:rPr>
        <w:t>46</w:t>
      </w:r>
      <w:r>
        <w:rPr>
          <w:snapToGrid w:val="0"/>
          <w:szCs w:val="24"/>
        </w:rPr>
        <w:t>.</w:t>
      </w:r>
      <w:r>
        <w:rPr>
          <w:snapToGrid w:val="0"/>
          <w:szCs w:val="24"/>
        </w:rPr>
        <w:tab/>
        <w:t>Nomination of blocks as location</w:t>
      </w:r>
      <w:r>
        <w:tab/>
      </w:r>
      <w:r>
        <w:fldChar w:fldCharType="begin"/>
      </w:r>
      <w:r>
        <w:instrText xml:space="preserve"> PAGEREF _Toc166897419 \h </w:instrText>
      </w:r>
      <w:r>
        <w:fldChar w:fldCharType="separate"/>
      </w:r>
      <w:r>
        <w:t>50</w:t>
      </w:r>
      <w:r>
        <w:fldChar w:fldCharType="end"/>
      </w:r>
    </w:p>
    <w:p>
      <w:pPr>
        <w:pStyle w:val="TOC8"/>
        <w:rPr>
          <w:sz w:val="24"/>
          <w:szCs w:val="24"/>
        </w:rPr>
      </w:pPr>
      <w:r>
        <w:rPr>
          <w:szCs w:val="24"/>
        </w:rPr>
        <w:t>47</w:t>
      </w:r>
      <w:r>
        <w:rPr>
          <w:snapToGrid w:val="0"/>
          <w:szCs w:val="24"/>
        </w:rPr>
        <w:t>.</w:t>
      </w:r>
      <w:r>
        <w:rPr>
          <w:snapToGrid w:val="0"/>
          <w:szCs w:val="24"/>
        </w:rPr>
        <w:tab/>
        <w:t>Declaration of location</w:t>
      </w:r>
      <w:r>
        <w:tab/>
      </w:r>
      <w:r>
        <w:fldChar w:fldCharType="begin"/>
      </w:r>
      <w:r>
        <w:instrText xml:space="preserve"> PAGEREF _Toc166897420 \h </w:instrText>
      </w:r>
      <w:r>
        <w:fldChar w:fldCharType="separate"/>
      </w:r>
      <w:r>
        <w:t>52</w:t>
      </w:r>
      <w:r>
        <w:fldChar w:fldCharType="end"/>
      </w:r>
    </w:p>
    <w:p>
      <w:pPr>
        <w:pStyle w:val="TOC8"/>
        <w:rPr>
          <w:sz w:val="24"/>
          <w:szCs w:val="24"/>
        </w:rPr>
      </w:pPr>
      <w:r>
        <w:rPr>
          <w:szCs w:val="24"/>
        </w:rPr>
        <w:t>48</w:t>
      </w:r>
      <w:r>
        <w:rPr>
          <w:snapToGrid w:val="0"/>
          <w:szCs w:val="24"/>
        </w:rPr>
        <w:t>.</w:t>
      </w:r>
      <w:r>
        <w:rPr>
          <w:snapToGrid w:val="0"/>
          <w:szCs w:val="24"/>
        </w:rPr>
        <w:tab/>
        <w:t>Immediately adjoining blocks</w:t>
      </w:r>
      <w:r>
        <w:tab/>
      </w:r>
      <w:r>
        <w:fldChar w:fldCharType="begin"/>
      </w:r>
      <w:r>
        <w:instrText xml:space="preserve"> PAGEREF _Toc166897421 \h </w:instrText>
      </w:r>
      <w:r>
        <w:fldChar w:fldCharType="separate"/>
      </w:r>
      <w:r>
        <w:t>53</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 for petroleum</w:t>
      </w:r>
    </w:p>
    <w:p>
      <w:pPr>
        <w:pStyle w:val="TOC8"/>
        <w:rPr>
          <w:sz w:val="24"/>
          <w:szCs w:val="24"/>
        </w:rPr>
      </w:pPr>
      <w:r>
        <w:rPr>
          <w:szCs w:val="24"/>
        </w:rPr>
        <w:t>48A</w:t>
      </w:r>
      <w:r>
        <w:rPr>
          <w:snapToGrid w:val="0"/>
          <w:szCs w:val="24"/>
        </w:rPr>
        <w:t>.</w:t>
      </w:r>
      <w:r>
        <w:rPr>
          <w:snapToGrid w:val="0"/>
          <w:szCs w:val="24"/>
        </w:rPr>
        <w:tab/>
        <w:t>Application by permittee or holder of drilling reservation for lease</w:t>
      </w:r>
      <w:r>
        <w:tab/>
      </w:r>
      <w:r>
        <w:fldChar w:fldCharType="begin"/>
      </w:r>
      <w:r>
        <w:instrText xml:space="preserve"> PAGEREF _Toc166897423 \h </w:instrText>
      </w:r>
      <w:r>
        <w:fldChar w:fldCharType="separate"/>
      </w:r>
      <w:r>
        <w:t>53</w:t>
      </w:r>
      <w:r>
        <w:fldChar w:fldCharType="end"/>
      </w:r>
    </w:p>
    <w:p>
      <w:pPr>
        <w:pStyle w:val="TOC8"/>
        <w:rPr>
          <w:sz w:val="24"/>
          <w:szCs w:val="24"/>
        </w:rPr>
      </w:pPr>
      <w:r>
        <w:rPr>
          <w:szCs w:val="24"/>
        </w:rPr>
        <w:t>48B</w:t>
      </w:r>
      <w:r>
        <w:rPr>
          <w:snapToGrid w:val="0"/>
          <w:szCs w:val="24"/>
        </w:rPr>
        <w:t>.</w:t>
      </w:r>
      <w:r>
        <w:rPr>
          <w:snapToGrid w:val="0"/>
          <w:szCs w:val="24"/>
        </w:rPr>
        <w:tab/>
        <w:t>Grant or refusal of lease in relation to application</w:t>
      </w:r>
      <w:r>
        <w:tab/>
      </w:r>
      <w:r>
        <w:fldChar w:fldCharType="begin"/>
      </w:r>
      <w:r>
        <w:instrText xml:space="preserve"> PAGEREF _Toc166897424 \h </w:instrText>
      </w:r>
      <w:r>
        <w:fldChar w:fldCharType="separate"/>
      </w:r>
      <w:r>
        <w:t>55</w:t>
      </w:r>
      <w:r>
        <w:fldChar w:fldCharType="end"/>
      </w:r>
    </w:p>
    <w:p>
      <w:pPr>
        <w:pStyle w:val="TOC8"/>
        <w:rPr>
          <w:sz w:val="24"/>
          <w:szCs w:val="24"/>
        </w:rPr>
      </w:pPr>
      <w:r>
        <w:rPr>
          <w:szCs w:val="24"/>
        </w:rPr>
        <w:t>48BA</w:t>
      </w:r>
      <w:r>
        <w:rPr>
          <w:snapToGrid w:val="0"/>
          <w:szCs w:val="24"/>
        </w:rPr>
        <w:t>.</w:t>
      </w:r>
      <w:r>
        <w:rPr>
          <w:snapToGrid w:val="0"/>
          <w:szCs w:val="24"/>
        </w:rPr>
        <w:tab/>
        <w:t>Application of sections 48A and 48B where permit is transferred</w:t>
      </w:r>
      <w:r>
        <w:tab/>
      </w:r>
      <w:r>
        <w:fldChar w:fldCharType="begin"/>
      </w:r>
      <w:r>
        <w:instrText xml:space="preserve"> PAGEREF _Toc166897425 \h </w:instrText>
      </w:r>
      <w:r>
        <w:fldChar w:fldCharType="separate"/>
      </w:r>
      <w:r>
        <w:t>56</w:t>
      </w:r>
      <w:r>
        <w:fldChar w:fldCharType="end"/>
      </w:r>
    </w:p>
    <w:p>
      <w:pPr>
        <w:pStyle w:val="TOC8"/>
        <w:rPr>
          <w:sz w:val="24"/>
          <w:szCs w:val="24"/>
        </w:rPr>
      </w:pPr>
      <w:r>
        <w:rPr>
          <w:szCs w:val="24"/>
        </w:rPr>
        <w:t>48C</w:t>
      </w:r>
      <w:r>
        <w:rPr>
          <w:snapToGrid w:val="0"/>
          <w:szCs w:val="24"/>
        </w:rPr>
        <w:t>.</w:t>
      </w:r>
      <w:r>
        <w:rPr>
          <w:snapToGrid w:val="0"/>
          <w:szCs w:val="24"/>
        </w:rPr>
        <w:tab/>
        <w:t>Rights conferred by lease</w:t>
      </w:r>
      <w:r>
        <w:tab/>
      </w:r>
      <w:r>
        <w:fldChar w:fldCharType="begin"/>
      </w:r>
      <w:r>
        <w:instrText xml:space="preserve"> PAGEREF _Toc166897426 \h </w:instrText>
      </w:r>
      <w:r>
        <w:fldChar w:fldCharType="separate"/>
      </w:r>
      <w:r>
        <w:t>57</w:t>
      </w:r>
      <w:r>
        <w:fldChar w:fldCharType="end"/>
      </w:r>
    </w:p>
    <w:p>
      <w:pPr>
        <w:pStyle w:val="TOC8"/>
        <w:rPr>
          <w:sz w:val="24"/>
          <w:szCs w:val="24"/>
        </w:rPr>
      </w:pPr>
      <w:r>
        <w:rPr>
          <w:szCs w:val="24"/>
        </w:rPr>
        <w:t>48D</w:t>
      </w:r>
      <w:r>
        <w:rPr>
          <w:snapToGrid w:val="0"/>
          <w:szCs w:val="24"/>
        </w:rPr>
        <w:t>.</w:t>
      </w:r>
      <w:r>
        <w:rPr>
          <w:snapToGrid w:val="0"/>
          <w:szCs w:val="24"/>
        </w:rPr>
        <w:tab/>
        <w:t>Term of lease</w:t>
      </w:r>
      <w:r>
        <w:tab/>
      </w:r>
      <w:r>
        <w:fldChar w:fldCharType="begin"/>
      </w:r>
      <w:r>
        <w:instrText xml:space="preserve"> PAGEREF _Toc166897427 \h </w:instrText>
      </w:r>
      <w:r>
        <w:fldChar w:fldCharType="separate"/>
      </w:r>
      <w:r>
        <w:t>57</w:t>
      </w:r>
      <w:r>
        <w:fldChar w:fldCharType="end"/>
      </w:r>
    </w:p>
    <w:p>
      <w:pPr>
        <w:pStyle w:val="TOC8"/>
        <w:rPr>
          <w:sz w:val="24"/>
          <w:szCs w:val="24"/>
        </w:rPr>
      </w:pPr>
      <w:r>
        <w:rPr>
          <w:szCs w:val="24"/>
        </w:rPr>
        <w:t>48E</w:t>
      </w:r>
      <w:r>
        <w:rPr>
          <w:snapToGrid w:val="0"/>
          <w:szCs w:val="24"/>
        </w:rPr>
        <w:t>.</w:t>
      </w:r>
      <w:r>
        <w:rPr>
          <w:snapToGrid w:val="0"/>
          <w:szCs w:val="24"/>
        </w:rPr>
        <w:tab/>
        <w:t>Notice of intention to cancel lease</w:t>
      </w:r>
      <w:r>
        <w:tab/>
      </w:r>
      <w:r>
        <w:fldChar w:fldCharType="begin"/>
      </w:r>
      <w:r>
        <w:instrText xml:space="preserve"> PAGEREF _Toc166897428 \h </w:instrText>
      </w:r>
      <w:r>
        <w:fldChar w:fldCharType="separate"/>
      </w:r>
      <w:r>
        <w:t>57</w:t>
      </w:r>
      <w:r>
        <w:fldChar w:fldCharType="end"/>
      </w:r>
    </w:p>
    <w:p>
      <w:pPr>
        <w:pStyle w:val="TOC8"/>
        <w:rPr>
          <w:sz w:val="24"/>
          <w:szCs w:val="24"/>
        </w:rPr>
      </w:pPr>
      <w:r>
        <w:rPr>
          <w:szCs w:val="24"/>
        </w:rPr>
        <w:t>48F</w:t>
      </w:r>
      <w:r>
        <w:rPr>
          <w:snapToGrid w:val="0"/>
          <w:szCs w:val="24"/>
        </w:rPr>
        <w:t>.</w:t>
      </w:r>
      <w:r>
        <w:rPr>
          <w:snapToGrid w:val="0"/>
          <w:szCs w:val="24"/>
        </w:rPr>
        <w:tab/>
        <w:t>Application for renewal of lease</w:t>
      </w:r>
      <w:r>
        <w:tab/>
      </w:r>
      <w:r>
        <w:fldChar w:fldCharType="begin"/>
      </w:r>
      <w:r>
        <w:instrText xml:space="preserve"> PAGEREF _Toc166897429 \h </w:instrText>
      </w:r>
      <w:r>
        <w:fldChar w:fldCharType="separate"/>
      </w:r>
      <w:r>
        <w:t>59</w:t>
      </w:r>
      <w:r>
        <w:fldChar w:fldCharType="end"/>
      </w:r>
    </w:p>
    <w:p>
      <w:pPr>
        <w:pStyle w:val="TOC8"/>
        <w:rPr>
          <w:sz w:val="24"/>
          <w:szCs w:val="24"/>
        </w:rPr>
      </w:pPr>
      <w:r>
        <w:rPr>
          <w:szCs w:val="24"/>
        </w:rPr>
        <w:t>48G</w:t>
      </w:r>
      <w:r>
        <w:rPr>
          <w:snapToGrid w:val="0"/>
          <w:szCs w:val="24"/>
        </w:rPr>
        <w:t>.</w:t>
      </w:r>
      <w:r>
        <w:rPr>
          <w:snapToGrid w:val="0"/>
          <w:szCs w:val="24"/>
        </w:rPr>
        <w:tab/>
        <w:t>Grant or refusal of renewal of lease</w:t>
      </w:r>
      <w:r>
        <w:tab/>
      </w:r>
      <w:r>
        <w:fldChar w:fldCharType="begin"/>
      </w:r>
      <w:r>
        <w:instrText xml:space="preserve"> PAGEREF _Toc166897430 \h </w:instrText>
      </w:r>
      <w:r>
        <w:fldChar w:fldCharType="separate"/>
      </w:r>
      <w:r>
        <w:t>60</w:t>
      </w:r>
      <w:r>
        <w:fldChar w:fldCharType="end"/>
      </w:r>
    </w:p>
    <w:p>
      <w:pPr>
        <w:pStyle w:val="TOC8"/>
        <w:rPr>
          <w:sz w:val="24"/>
          <w:szCs w:val="24"/>
        </w:rPr>
      </w:pPr>
      <w:r>
        <w:rPr>
          <w:szCs w:val="24"/>
        </w:rPr>
        <w:t>48H</w:t>
      </w:r>
      <w:r>
        <w:rPr>
          <w:snapToGrid w:val="0"/>
          <w:szCs w:val="24"/>
        </w:rPr>
        <w:t>.</w:t>
      </w:r>
      <w:r>
        <w:rPr>
          <w:snapToGrid w:val="0"/>
          <w:szCs w:val="24"/>
        </w:rPr>
        <w:tab/>
        <w:t>Conditions of lease</w:t>
      </w:r>
      <w:r>
        <w:tab/>
      </w:r>
      <w:r>
        <w:fldChar w:fldCharType="begin"/>
      </w:r>
      <w:r>
        <w:instrText xml:space="preserve"> PAGEREF _Toc166897431 \h </w:instrText>
      </w:r>
      <w:r>
        <w:fldChar w:fldCharType="separate"/>
      </w:r>
      <w:r>
        <w:t>64</w:t>
      </w:r>
      <w:r>
        <w:fldChar w:fldCharType="end"/>
      </w:r>
    </w:p>
    <w:p>
      <w:pPr>
        <w:pStyle w:val="TOC8"/>
        <w:rPr>
          <w:sz w:val="24"/>
          <w:szCs w:val="24"/>
        </w:rPr>
      </w:pPr>
      <w:r>
        <w:rPr>
          <w:szCs w:val="24"/>
        </w:rPr>
        <w:t>48J</w:t>
      </w:r>
      <w:r>
        <w:rPr>
          <w:snapToGrid w:val="0"/>
          <w:szCs w:val="24"/>
        </w:rPr>
        <w:t>.</w:t>
      </w:r>
      <w:r>
        <w:rPr>
          <w:snapToGrid w:val="0"/>
          <w:szCs w:val="24"/>
        </w:rPr>
        <w:tab/>
        <w:t>Discovery of petroleum to be notified</w:t>
      </w:r>
      <w:r>
        <w:tab/>
      </w:r>
      <w:r>
        <w:fldChar w:fldCharType="begin"/>
      </w:r>
      <w:r>
        <w:instrText xml:space="preserve"> PAGEREF _Toc166897432 \h </w:instrText>
      </w:r>
      <w:r>
        <w:fldChar w:fldCharType="separate"/>
      </w:r>
      <w:r>
        <w:t>64</w:t>
      </w:r>
      <w:r>
        <w:fldChar w:fldCharType="end"/>
      </w:r>
    </w:p>
    <w:p>
      <w:pPr>
        <w:pStyle w:val="TOC8"/>
        <w:rPr>
          <w:sz w:val="24"/>
          <w:szCs w:val="24"/>
        </w:rPr>
      </w:pPr>
      <w:r>
        <w:rPr>
          <w:szCs w:val="24"/>
        </w:rPr>
        <w:t>48K</w:t>
      </w:r>
      <w:r>
        <w:rPr>
          <w:snapToGrid w:val="0"/>
          <w:szCs w:val="24"/>
        </w:rPr>
        <w:t>.</w:t>
      </w:r>
      <w:r>
        <w:rPr>
          <w:snapToGrid w:val="0"/>
          <w:szCs w:val="24"/>
        </w:rPr>
        <w:tab/>
        <w:t>Directions by Minister on discovery of petroleum</w:t>
      </w:r>
      <w:r>
        <w:tab/>
      </w:r>
      <w:r>
        <w:fldChar w:fldCharType="begin"/>
      </w:r>
      <w:r>
        <w:instrText xml:space="preserve"> PAGEREF _Toc166897433 \h </w:instrText>
      </w:r>
      <w:r>
        <w:fldChar w:fldCharType="separate"/>
      </w:r>
      <w:r>
        <w:t>65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 for petroleum</w:t>
      </w:r>
    </w:p>
    <w:p>
      <w:pPr>
        <w:pStyle w:val="TOC8"/>
        <w:rPr>
          <w:sz w:val="24"/>
          <w:szCs w:val="24"/>
        </w:rPr>
      </w:pPr>
      <w:r>
        <w:rPr>
          <w:szCs w:val="24"/>
        </w:rPr>
        <w:t>49</w:t>
      </w:r>
      <w:r>
        <w:rPr>
          <w:snapToGrid w:val="0"/>
          <w:szCs w:val="24"/>
        </w:rPr>
        <w:t>.</w:t>
      </w:r>
      <w:r>
        <w:rPr>
          <w:snapToGrid w:val="0"/>
          <w:szCs w:val="24"/>
        </w:rPr>
        <w:tab/>
        <w:t>Recovery of petroleum in State</w:t>
      </w:r>
      <w:r>
        <w:tab/>
      </w:r>
      <w:r>
        <w:fldChar w:fldCharType="begin"/>
      </w:r>
      <w:r>
        <w:instrText xml:space="preserve"> PAGEREF _Toc166897435 \h </w:instrText>
      </w:r>
      <w:r>
        <w:fldChar w:fldCharType="separate"/>
      </w:r>
      <w:r>
        <w:t>66</w:t>
      </w:r>
      <w:r>
        <w:fldChar w:fldCharType="end"/>
      </w:r>
    </w:p>
    <w:p>
      <w:pPr>
        <w:pStyle w:val="TOC8"/>
        <w:rPr>
          <w:sz w:val="24"/>
          <w:szCs w:val="24"/>
        </w:rPr>
      </w:pPr>
      <w:r>
        <w:rPr>
          <w:szCs w:val="24"/>
        </w:rPr>
        <w:t>50</w:t>
      </w:r>
      <w:r>
        <w:rPr>
          <w:snapToGrid w:val="0"/>
          <w:szCs w:val="24"/>
        </w:rPr>
        <w:t>.</w:t>
      </w:r>
      <w:r>
        <w:rPr>
          <w:snapToGrid w:val="0"/>
          <w:szCs w:val="24"/>
        </w:rPr>
        <w:tab/>
        <w:t>Application by permittee for licence</w:t>
      </w:r>
      <w:r>
        <w:tab/>
      </w:r>
      <w:r>
        <w:fldChar w:fldCharType="begin"/>
      </w:r>
      <w:r>
        <w:instrText xml:space="preserve"> PAGEREF _Toc166897436 \h </w:instrText>
      </w:r>
      <w:r>
        <w:fldChar w:fldCharType="separate"/>
      </w:r>
      <w:r>
        <w:t>66</w:t>
      </w:r>
      <w:r>
        <w:fldChar w:fldCharType="end"/>
      </w:r>
    </w:p>
    <w:p>
      <w:pPr>
        <w:pStyle w:val="TOC8"/>
        <w:rPr>
          <w:sz w:val="24"/>
          <w:szCs w:val="24"/>
        </w:rPr>
      </w:pPr>
      <w:r>
        <w:rPr>
          <w:szCs w:val="24"/>
        </w:rPr>
        <w:t>50A</w:t>
      </w:r>
      <w:r>
        <w:rPr>
          <w:snapToGrid w:val="0"/>
          <w:szCs w:val="24"/>
        </w:rPr>
        <w:t>.</w:t>
      </w:r>
      <w:r>
        <w:rPr>
          <w:snapToGrid w:val="0"/>
          <w:szCs w:val="24"/>
        </w:rPr>
        <w:tab/>
        <w:t>Application by lessee for licence</w:t>
      </w:r>
      <w:r>
        <w:tab/>
      </w:r>
      <w:r>
        <w:fldChar w:fldCharType="begin"/>
      </w:r>
      <w:r>
        <w:instrText xml:space="preserve"> PAGEREF _Toc166897437 \h </w:instrText>
      </w:r>
      <w:r>
        <w:fldChar w:fldCharType="separate"/>
      </w:r>
      <w:r>
        <w:t>68</w:t>
      </w:r>
      <w:r>
        <w:fldChar w:fldCharType="end"/>
      </w:r>
    </w:p>
    <w:p>
      <w:pPr>
        <w:pStyle w:val="TOC8"/>
        <w:rPr>
          <w:sz w:val="24"/>
          <w:szCs w:val="24"/>
        </w:rPr>
      </w:pPr>
      <w:r>
        <w:rPr>
          <w:szCs w:val="24"/>
        </w:rPr>
        <w:t>51</w:t>
      </w:r>
      <w:r>
        <w:rPr>
          <w:snapToGrid w:val="0"/>
          <w:szCs w:val="24"/>
        </w:rPr>
        <w:t>.</w:t>
      </w:r>
      <w:r>
        <w:rPr>
          <w:snapToGrid w:val="0"/>
          <w:szCs w:val="24"/>
        </w:rPr>
        <w:tab/>
        <w:t>Application for licence</w:t>
      </w:r>
      <w:r>
        <w:tab/>
      </w:r>
      <w:r>
        <w:fldChar w:fldCharType="begin"/>
      </w:r>
      <w:r>
        <w:instrText xml:space="preserve"> PAGEREF _Toc166897438 \h </w:instrText>
      </w:r>
      <w:r>
        <w:fldChar w:fldCharType="separate"/>
      </w:r>
      <w:r>
        <w:t>69</w:t>
      </w:r>
      <w:r>
        <w:fldChar w:fldCharType="end"/>
      </w:r>
    </w:p>
    <w:p>
      <w:pPr>
        <w:pStyle w:val="TOC8"/>
        <w:rPr>
          <w:sz w:val="24"/>
          <w:szCs w:val="24"/>
        </w:rPr>
      </w:pPr>
      <w:r>
        <w:rPr>
          <w:szCs w:val="24"/>
        </w:rPr>
        <w:t>52</w:t>
      </w:r>
      <w:r>
        <w:rPr>
          <w:snapToGrid w:val="0"/>
          <w:szCs w:val="24"/>
        </w:rPr>
        <w:t>.</w:t>
      </w:r>
      <w:r>
        <w:rPr>
          <w:snapToGrid w:val="0"/>
          <w:szCs w:val="24"/>
        </w:rPr>
        <w:tab/>
        <w:t>Determination of rate of royalty</w:t>
      </w:r>
      <w:r>
        <w:tab/>
      </w:r>
      <w:r>
        <w:fldChar w:fldCharType="begin"/>
      </w:r>
      <w:r>
        <w:instrText xml:space="preserve"> PAGEREF _Toc166897439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Notification as to grant of licence</w:t>
      </w:r>
      <w:r>
        <w:tab/>
      </w:r>
      <w:r>
        <w:fldChar w:fldCharType="begin"/>
      </w:r>
      <w:r>
        <w:instrText xml:space="preserve"> PAGEREF _Toc166897440 \h </w:instrText>
      </w:r>
      <w:r>
        <w:fldChar w:fldCharType="separate"/>
      </w:r>
      <w:r>
        <w:t>70</w:t>
      </w:r>
      <w:r>
        <w:fldChar w:fldCharType="end"/>
      </w:r>
    </w:p>
    <w:p>
      <w:pPr>
        <w:pStyle w:val="TOC8"/>
        <w:rPr>
          <w:sz w:val="24"/>
          <w:szCs w:val="24"/>
        </w:rPr>
      </w:pPr>
      <w:r>
        <w:rPr>
          <w:szCs w:val="24"/>
        </w:rPr>
        <w:t>54</w:t>
      </w:r>
      <w:r>
        <w:rPr>
          <w:snapToGrid w:val="0"/>
          <w:szCs w:val="24"/>
        </w:rPr>
        <w:t>.</w:t>
      </w:r>
      <w:r>
        <w:rPr>
          <w:snapToGrid w:val="0"/>
          <w:szCs w:val="24"/>
        </w:rPr>
        <w:tab/>
        <w:t>Grant of licence</w:t>
      </w:r>
      <w:r>
        <w:tab/>
      </w:r>
      <w:r>
        <w:fldChar w:fldCharType="begin"/>
      </w:r>
      <w:r>
        <w:instrText xml:space="preserve"> PAGEREF _Toc166897441 \h </w:instrText>
      </w:r>
      <w:r>
        <w:fldChar w:fldCharType="separate"/>
      </w:r>
      <w:r>
        <w:t>71</w:t>
      </w:r>
      <w:r>
        <w:fldChar w:fldCharType="end"/>
      </w:r>
    </w:p>
    <w:p>
      <w:pPr>
        <w:pStyle w:val="TOC8"/>
        <w:rPr>
          <w:sz w:val="24"/>
          <w:szCs w:val="24"/>
        </w:rPr>
      </w:pPr>
      <w:r>
        <w:rPr>
          <w:szCs w:val="24"/>
        </w:rPr>
        <w:t>54A</w:t>
      </w:r>
      <w:r>
        <w:rPr>
          <w:snapToGrid w:val="0"/>
          <w:szCs w:val="24"/>
        </w:rPr>
        <w:t>.</w:t>
      </w:r>
      <w:r>
        <w:rPr>
          <w:snapToGrid w:val="0"/>
          <w:szCs w:val="24"/>
        </w:rPr>
        <w:tab/>
        <w:t>Application of sections 51 to 54 where permit etc. transferred</w:t>
      </w:r>
      <w:r>
        <w:tab/>
      </w:r>
      <w:r>
        <w:fldChar w:fldCharType="begin"/>
      </w:r>
      <w:r>
        <w:instrText xml:space="preserve"> PAGEREF _Toc166897442 \h </w:instrText>
      </w:r>
      <w:r>
        <w:fldChar w:fldCharType="separate"/>
      </w:r>
      <w:r>
        <w:t>72</w:t>
      </w:r>
      <w:r>
        <w:fldChar w:fldCharType="end"/>
      </w:r>
    </w:p>
    <w:p>
      <w:pPr>
        <w:pStyle w:val="TOC8"/>
        <w:rPr>
          <w:sz w:val="24"/>
          <w:szCs w:val="24"/>
        </w:rPr>
      </w:pPr>
      <w:r>
        <w:rPr>
          <w:szCs w:val="24"/>
        </w:rPr>
        <w:t>55</w:t>
      </w:r>
      <w:r>
        <w:rPr>
          <w:snapToGrid w:val="0"/>
          <w:szCs w:val="24"/>
        </w:rPr>
        <w:t>.</w:t>
      </w:r>
      <w:r>
        <w:rPr>
          <w:snapToGrid w:val="0"/>
          <w:szCs w:val="24"/>
        </w:rPr>
        <w:tab/>
        <w:t>Variation of licence area</w:t>
      </w:r>
      <w:r>
        <w:tab/>
      </w:r>
      <w:r>
        <w:fldChar w:fldCharType="begin"/>
      </w:r>
      <w:r>
        <w:instrText xml:space="preserve"> PAGEREF _Toc166897443 \h </w:instrText>
      </w:r>
      <w:r>
        <w:fldChar w:fldCharType="separate"/>
      </w:r>
      <w:r>
        <w:t>73</w:t>
      </w:r>
      <w:r>
        <w:fldChar w:fldCharType="end"/>
      </w:r>
    </w:p>
    <w:p>
      <w:pPr>
        <w:pStyle w:val="TOC8"/>
        <w:rPr>
          <w:sz w:val="24"/>
          <w:szCs w:val="24"/>
        </w:rPr>
      </w:pPr>
      <w:r>
        <w:rPr>
          <w:szCs w:val="24"/>
        </w:rPr>
        <w:t>56</w:t>
      </w:r>
      <w:r>
        <w:rPr>
          <w:snapToGrid w:val="0"/>
          <w:szCs w:val="24"/>
        </w:rPr>
        <w:t>.</w:t>
      </w:r>
      <w:r>
        <w:rPr>
          <w:snapToGrid w:val="0"/>
          <w:szCs w:val="24"/>
        </w:rPr>
        <w:tab/>
        <w:t>Determination of permit as to blocks not taken up by licensee</w:t>
      </w:r>
      <w:r>
        <w:tab/>
      </w:r>
      <w:r>
        <w:fldChar w:fldCharType="begin"/>
      </w:r>
      <w:r>
        <w:instrText xml:space="preserve"> PAGEREF _Toc166897444 \h </w:instrText>
      </w:r>
      <w:r>
        <w:fldChar w:fldCharType="separate"/>
      </w:r>
      <w:r>
        <w:t>73</w:t>
      </w:r>
      <w:r>
        <w:fldChar w:fldCharType="end"/>
      </w:r>
    </w:p>
    <w:p>
      <w:pPr>
        <w:pStyle w:val="TOC8"/>
        <w:rPr>
          <w:sz w:val="24"/>
          <w:szCs w:val="24"/>
        </w:rPr>
      </w:pPr>
      <w:r>
        <w:rPr>
          <w:szCs w:val="24"/>
        </w:rPr>
        <w:t>57</w:t>
      </w:r>
      <w:r>
        <w:rPr>
          <w:snapToGrid w:val="0"/>
          <w:szCs w:val="24"/>
        </w:rPr>
        <w:t>.</w:t>
      </w:r>
      <w:r>
        <w:rPr>
          <w:snapToGrid w:val="0"/>
          <w:szCs w:val="24"/>
        </w:rPr>
        <w:tab/>
        <w:t>Application for licence in respect of surrendered etc. blocks</w:t>
      </w:r>
      <w:r>
        <w:tab/>
      </w:r>
      <w:r>
        <w:fldChar w:fldCharType="begin"/>
      </w:r>
      <w:r>
        <w:instrText xml:space="preserve"> PAGEREF _Toc166897445 \h </w:instrText>
      </w:r>
      <w:r>
        <w:fldChar w:fldCharType="separate"/>
      </w:r>
      <w:r>
        <w:t>75</w:t>
      </w:r>
      <w:r>
        <w:fldChar w:fldCharType="end"/>
      </w:r>
    </w:p>
    <w:p>
      <w:pPr>
        <w:pStyle w:val="TOC8"/>
        <w:rPr>
          <w:sz w:val="24"/>
          <w:szCs w:val="24"/>
        </w:rPr>
      </w:pPr>
      <w:r>
        <w:rPr>
          <w:szCs w:val="24"/>
        </w:rPr>
        <w:t>58</w:t>
      </w:r>
      <w:r>
        <w:rPr>
          <w:snapToGrid w:val="0"/>
          <w:szCs w:val="24"/>
        </w:rPr>
        <w:t>.</w:t>
      </w:r>
      <w:r>
        <w:rPr>
          <w:snapToGrid w:val="0"/>
          <w:szCs w:val="24"/>
        </w:rPr>
        <w:tab/>
        <w:t>Application fee etc.</w:t>
      </w:r>
      <w:r>
        <w:tab/>
      </w:r>
      <w:r>
        <w:fldChar w:fldCharType="begin"/>
      </w:r>
      <w:r>
        <w:instrText xml:space="preserve"> PAGEREF _Toc166897446 \h </w:instrText>
      </w:r>
      <w:r>
        <w:fldChar w:fldCharType="separate"/>
      </w:r>
      <w:r>
        <w:t>77</w:t>
      </w:r>
      <w:r>
        <w:fldChar w:fldCharType="end"/>
      </w:r>
    </w:p>
    <w:p>
      <w:pPr>
        <w:pStyle w:val="TOC8"/>
        <w:rPr>
          <w:sz w:val="24"/>
          <w:szCs w:val="24"/>
        </w:rPr>
      </w:pPr>
      <w:r>
        <w:rPr>
          <w:szCs w:val="24"/>
        </w:rPr>
        <w:t>59</w:t>
      </w:r>
      <w:r>
        <w:rPr>
          <w:snapToGrid w:val="0"/>
          <w:szCs w:val="24"/>
        </w:rPr>
        <w:t>.</w:t>
      </w:r>
      <w:r>
        <w:rPr>
          <w:snapToGrid w:val="0"/>
          <w:szCs w:val="24"/>
        </w:rPr>
        <w:tab/>
        <w:t>Request by applicant for grant of licence</w:t>
      </w:r>
      <w:r>
        <w:tab/>
      </w:r>
      <w:r>
        <w:fldChar w:fldCharType="begin"/>
      </w:r>
      <w:r>
        <w:instrText xml:space="preserve"> PAGEREF _Toc166897447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Grant of licence on request</w:t>
      </w:r>
      <w:r>
        <w:tab/>
      </w:r>
      <w:r>
        <w:fldChar w:fldCharType="begin"/>
      </w:r>
      <w:r>
        <w:instrText xml:space="preserve"> PAGEREF _Toc166897448 \h </w:instrText>
      </w:r>
      <w:r>
        <w:fldChar w:fldCharType="separate"/>
      </w:r>
      <w:r>
        <w:t>80</w:t>
      </w:r>
      <w:r>
        <w:fldChar w:fldCharType="end"/>
      </w:r>
    </w:p>
    <w:p>
      <w:pPr>
        <w:pStyle w:val="TOC8"/>
        <w:rPr>
          <w:sz w:val="24"/>
          <w:szCs w:val="24"/>
        </w:rPr>
      </w:pPr>
      <w:r>
        <w:rPr>
          <w:szCs w:val="24"/>
        </w:rPr>
        <w:t>61</w:t>
      </w:r>
      <w:r>
        <w:rPr>
          <w:snapToGrid w:val="0"/>
          <w:szCs w:val="24"/>
        </w:rPr>
        <w:t>.</w:t>
      </w:r>
      <w:r>
        <w:rPr>
          <w:snapToGrid w:val="0"/>
          <w:szCs w:val="24"/>
        </w:rPr>
        <w:tab/>
        <w:t>Licence for 2 or more blocks may be divided into 2 or more licences</w:t>
      </w:r>
      <w:r>
        <w:tab/>
      </w:r>
      <w:r>
        <w:fldChar w:fldCharType="begin"/>
      </w:r>
      <w:r>
        <w:instrText xml:space="preserve"> PAGEREF _Toc166897449 \h </w:instrText>
      </w:r>
      <w:r>
        <w:fldChar w:fldCharType="separate"/>
      </w:r>
      <w:r>
        <w:t>81</w:t>
      </w:r>
      <w:r>
        <w:fldChar w:fldCharType="end"/>
      </w:r>
    </w:p>
    <w:p>
      <w:pPr>
        <w:pStyle w:val="TOC8"/>
        <w:rPr>
          <w:sz w:val="24"/>
          <w:szCs w:val="24"/>
        </w:rPr>
      </w:pPr>
      <w:r>
        <w:rPr>
          <w:szCs w:val="24"/>
        </w:rPr>
        <w:t>62</w:t>
      </w:r>
      <w:r>
        <w:rPr>
          <w:snapToGrid w:val="0"/>
          <w:szCs w:val="24"/>
        </w:rPr>
        <w:t>.</w:t>
      </w:r>
      <w:r>
        <w:rPr>
          <w:snapToGrid w:val="0"/>
          <w:szCs w:val="24"/>
        </w:rPr>
        <w:tab/>
        <w:t>Rights conferred by licence</w:t>
      </w:r>
      <w:r>
        <w:tab/>
      </w:r>
      <w:r>
        <w:fldChar w:fldCharType="begin"/>
      </w:r>
      <w:r>
        <w:instrText xml:space="preserve"> PAGEREF _Toc166897450 \h </w:instrText>
      </w:r>
      <w:r>
        <w:fldChar w:fldCharType="separate"/>
      </w:r>
      <w:r>
        <w:t>82</w:t>
      </w:r>
      <w:r>
        <w:fldChar w:fldCharType="end"/>
      </w:r>
    </w:p>
    <w:p>
      <w:pPr>
        <w:pStyle w:val="TOC8"/>
        <w:rPr>
          <w:sz w:val="24"/>
          <w:szCs w:val="24"/>
        </w:rPr>
      </w:pPr>
      <w:r>
        <w:rPr>
          <w:szCs w:val="24"/>
        </w:rPr>
        <w:t>63</w:t>
      </w:r>
      <w:r>
        <w:rPr>
          <w:snapToGrid w:val="0"/>
          <w:szCs w:val="24"/>
        </w:rPr>
        <w:t>.</w:t>
      </w:r>
      <w:r>
        <w:rPr>
          <w:snapToGrid w:val="0"/>
          <w:szCs w:val="24"/>
        </w:rPr>
        <w:tab/>
        <w:t>Term of licence</w:t>
      </w:r>
      <w:r>
        <w:tab/>
      </w:r>
      <w:r>
        <w:fldChar w:fldCharType="begin"/>
      </w:r>
      <w:r>
        <w:instrText xml:space="preserve"> PAGEREF _Toc166897451 \h </w:instrText>
      </w:r>
      <w:r>
        <w:fldChar w:fldCharType="separate"/>
      </w:r>
      <w:r>
        <w:t>83</w:t>
      </w:r>
      <w:r>
        <w:fldChar w:fldCharType="end"/>
      </w:r>
    </w:p>
    <w:p>
      <w:pPr>
        <w:pStyle w:val="TOC8"/>
        <w:rPr>
          <w:sz w:val="24"/>
          <w:szCs w:val="24"/>
        </w:rPr>
      </w:pPr>
      <w:r>
        <w:rPr>
          <w:szCs w:val="24"/>
        </w:rPr>
        <w:t>64</w:t>
      </w:r>
      <w:r>
        <w:rPr>
          <w:snapToGrid w:val="0"/>
          <w:szCs w:val="24"/>
        </w:rPr>
        <w:t>.</w:t>
      </w:r>
      <w:r>
        <w:rPr>
          <w:snapToGrid w:val="0"/>
          <w:szCs w:val="24"/>
        </w:rPr>
        <w:tab/>
        <w:t>Application for renewal of licence</w:t>
      </w:r>
      <w:r>
        <w:tab/>
      </w:r>
      <w:r>
        <w:fldChar w:fldCharType="begin"/>
      </w:r>
      <w:r>
        <w:instrText xml:space="preserve"> PAGEREF _Toc166897452 \h </w:instrText>
      </w:r>
      <w:r>
        <w:fldChar w:fldCharType="separate"/>
      </w:r>
      <w:r>
        <w:t>83</w:t>
      </w:r>
      <w:r>
        <w:fldChar w:fldCharType="end"/>
      </w:r>
    </w:p>
    <w:p>
      <w:pPr>
        <w:pStyle w:val="TOC8"/>
        <w:rPr>
          <w:sz w:val="24"/>
          <w:szCs w:val="24"/>
        </w:rPr>
      </w:pPr>
      <w:r>
        <w:rPr>
          <w:szCs w:val="24"/>
        </w:rPr>
        <w:t>65</w:t>
      </w:r>
      <w:r>
        <w:rPr>
          <w:snapToGrid w:val="0"/>
          <w:szCs w:val="24"/>
        </w:rPr>
        <w:t>.</w:t>
      </w:r>
      <w:r>
        <w:rPr>
          <w:snapToGrid w:val="0"/>
          <w:szCs w:val="24"/>
        </w:rPr>
        <w:tab/>
        <w:t>Grant or refusal of renewal of licence</w:t>
      </w:r>
      <w:r>
        <w:tab/>
      </w:r>
      <w:r>
        <w:fldChar w:fldCharType="begin"/>
      </w:r>
      <w:r>
        <w:instrText xml:space="preserve"> PAGEREF _Toc166897453 \h </w:instrText>
      </w:r>
      <w:r>
        <w:fldChar w:fldCharType="separate"/>
      </w:r>
      <w:r>
        <w:t>84</w:t>
      </w:r>
      <w:r>
        <w:fldChar w:fldCharType="end"/>
      </w:r>
    </w:p>
    <w:p>
      <w:pPr>
        <w:pStyle w:val="TOC8"/>
        <w:rPr>
          <w:sz w:val="24"/>
          <w:szCs w:val="24"/>
        </w:rPr>
      </w:pPr>
      <w:r>
        <w:rPr>
          <w:szCs w:val="24"/>
        </w:rPr>
        <w:t>66</w:t>
      </w:r>
      <w:r>
        <w:rPr>
          <w:snapToGrid w:val="0"/>
          <w:szCs w:val="24"/>
        </w:rPr>
        <w:t>.</w:t>
      </w:r>
      <w:r>
        <w:rPr>
          <w:snapToGrid w:val="0"/>
          <w:szCs w:val="24"/>
        </w:rPr>
        <w:tab/>
        <w:t>Conditions of licence</w:t>
      </w:r>
      <w:r>
        <w:tab/>
      </w:r>
      <w:r>
        <w:fldChar w:fldCharType="begin"/>
      </w:r>
      <w:r>
        <w:instrText xml:space="preserve"> PAGEREF _Toc166897454 \h </w:instrText>
      </w:r>
      <w:r>
        <w:fldChar w:fldCharType="separate"/>
      </w:r>
      <w:r>
        <w:t>87</w:t>
      </w:r>
      <w:r>
        <w:fldChar w:fldCharType="end"/>
      </w:r>
    </w:p>
    <w:p>
      <w:pPr>
        <w:pStyle w:val="TOC8"/>
        <w:rPr>
          <w:sz w:val="24"/>
          <w:szCs w:val="24"/>
        </w:rPr>
      </w:pPr>
      <w:r>
        <w:rPr>
          <w:szCs w:val="24"/>
        </w:rPr>
        <w:t>67</w:t>
      </w:r>
      <w:r>
        <w:rPr>
          <w:snapToGrid w:val="0"/>
          <w:szCs w:val="24"/>
        </w:rPr>
        <w:t>.</w:t>
      </w:r>
      <w:r>
        <w:rPr>
          <w:snapToGrid w:val="0"/>
          <w:szCs w:val="24"/>
        </w:rPr>
        <w:tab/>
        <w:t>Storage of petroleum underground</w:t>
      </w:r>
      <w:r>
        <w:tab/>
      </w:r>
      <w:r>
        <w:fldChar w:fldCharType="begin"/>
      </w:r>
      <w:r>
        <w:instrText xml:space="preserve"> PAGEREF _Toc166897455 \h </w:instrText>
      </w:r>
      <w:r>
        <w:fldChar w:fldCharType="separate"/>
      </w:r>
      <w:r>
        <w:t>87</w:t>
      </w:r>
      <w:r>
        <w:fldChar w:fldCharType="end"/>
      </w:r>
    </w:p>
    <w:p>
      <w:pPr>
        <w:pStyle w:val="TOC8"/>
        <w:rPr>
          <w:sz w:val="24"/>
          <w:szCs w:val="24"/>
        </w:rPr>
      </w:pPr>
      <w:r>
        <w:rPr>
          <w:szCs w:val="24"/>
        </w:rPr>
        <w:t>68</w:t>
      </w:r>
      <w:r>
        <w:rPr>
          <w:snapToGrid w:val="0"/>
          <w:szCs w:val="24"/>
        </w:rPr>
        <w:t>.</w:t>
      </w:r>
      <w:r>
        <w:rPr>
          <w:snapToGrid w:val="0"/>
          <w:szCs w:val="24"/>
        </w:rPr>
        <w:tab/>
        <w:t>Directions as to recovery of petroleum</w:t>
      </w:r>
      <w:r>
        <w:tab/>
      </w:r>
      <w:r>
        <w:fldChar w:fldCharType="begin"/>
      </w:r>
      <w:r>
        <w:instrText xml:space="preserve"> PAGEREF _Toc166897456 \h </w:instrText>
      </w:r>
      <w:r>
        <w:fldChar w:fldCharType="separate"/>
      </w:r>
      <w:r>
        <w:t>88</w:t>
      </w:r>
      <w:r>
        <w:fldChar w:fldCharType="end"/>
      </w:r>
    </w:p>
    <w:p>
      <w:pPr>
        <w:pStyle w:val="TOC8"/>
        <w:rPr>
          <w:sz w:val="24"/>
          <w:szCs w:val="24"/>
        </w:rPr>
      </w:pPr>
      <w:r>
        <w:rPr>
          <w:szCs w:val="24"/>
        </w:rPr>
        <w:t>69</w:t>
      </w:r>
      <w:r>
        <w:rPr>
          <w:snapToGrid w:val="0"/>
          <w:szCs w:val="24"/>
        </w:rPr>
        <w:t>.</w:t>
      </w:r>
      <w:r>
        <w:rPr>
          <w:snapToGrid w:val="0"/>
          <w:szCs w:val="24"/>
        </w:rPr>
        <w:tab/>
        <w:t>Unit development</w:t>
      </w:r>
      <w:r>
        <w:tab/>
      </w:r>
      <w:r>
        <w:fldChar w:fldCharType="begin"/>
      </w:r>
      <w:r>
        <w:instrText xml:space="preserve"> PAGEREF _Toc166897457 \h </w:instrText>
      </w:r>
      <w:r>
        <w:fldChar w:fldCharType="separate"/>
      </w:r>
      <w:r>
        <w:t>89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 of instruments</w:t>
      </w:r>
    </w:p>
    <w:p>
      <w:pPr>
        <w:pStyle w:val="TOC8"/>
        <w:rPr>
          <w:sz w:val="24"/>
          <w:szCs w:val="24"/>
        </w:rPr>
      </w:pPr>
      <w:r>
        <w:rPr>
          <w:szCs w:val="24"/>
        </w:rPr>
        <w:t>69J</w:t>
      </w:r>
      <w:r>
        <w:rPr>
          <w:snapToGrid w:val="0"/>
          <w:szCs w:val="24"/>
        </w:rPr>
        <w:t>.</w:t>
      </w:r>
      <w:r>
        <w:rPr>
          <w:snapToGrid w:val="0"/>
          <w:szCs w:val="24"/>
        </w:rPr>
        <w:tab/>
        <w:t>Term used in this Division</w:t>
      </w:r>
      <w:r>
        <w:tab/>
      </w:r>
      <w:r>
        <w:fldChar w:fldCharType="begin"/>
      </w:r>
      <w:r>
        <w:instrText xml:space="preserve"> PAGEREF _Toc166897459 \h </w:instrText>
      </w:r>
      <w:r>
        <w:fldChar w:fldCharType="separate"/>
      </w:r>
      <w:r>
        <w:t>92</w:t>
      </w:r>
      <w:r>
        <w:fldChar w:fldCharType="end"/>
      </w:r>
    </w:p>
    <w:p>
      <w:pPr>
        <w:pStyle w:val="TOC8"/>
        <w:rPr>
          <w:sz w:val="24"/>
          <w:szCs w:val="24"/>
        </w:rPr>
      </w:pPr>
      <w:r>
        <w:rPr>
          <w:szCs w:val="24"/>
        </w:rPr>
        <w:t>70</w:t>
      </w:r>
      <w:r>
        <w:rPr>
          <w:snapToGrid w:val="0"/>
          <w:szCs w:val="24"/>
        </w:rPr>
        <w:t>.</w:t>
      </w:r>
      <w:r>
        <w:rPr>
          <w:snapToGrid w:val="0"/>
          <w:szCs w:val="24"/>
        </w:rPr>
        <w:tab/>
        <w:t>Register of certain instruments to be kept</w:t>
      </w:r>
      <w:r>
        <w:tab/>
      </w:r>
      <w:r>
        <w:fldChar w:fldCharType="begin"/>
      </w:r>
      <w:r>
        <w:instrText xml:space="preserve"> PAGEREF _Toc166897460 \h </w:instrText>
      </w:r>
      <w:r>
        <w:fldChar w:fldCharType="separate"/>
      </w:r>
      <w:r>
        <w:t>92</w:t>
      </w:r>
      <w:r>
        <w:fldChar w:fldCharType="end"/>
      </w:r>
    </w:p>
    <w:p>
      <w:pPr>
        <w:pStyle w:val="TOC8"/>
        <w:rPr>
          <w:sz w:val="24"/>
          <w:szCs w:val="24"/>
        </w:rPr>
      </w:pPr>
      <w:r>
        <w:rPr>
          <w:szCs w:val="24"/>
        </w:rPr>
        <w:t>71</w:t>
      </w:r>
      <w:r>
        <w:rPr>
          <w:snapToGrid w:val="0"/>
          <w:szCs w:val="24"/>
        </w:rPr>
        <w:t>.</w:t>
      </w:r>
      <w:r>
        <w:rPr>
          <w:snapToGrid w:val="0"/>
          <w:szCs w:val="24"/>
        </w:rPr>
        <w:tab/>
        <w:t>Memorials to be entered of permits determined etc.</w:t>
      </w:r>
      <w:r>
        <w:tab/>
      </w:r>
      <w:r>
        <w:fldChar w:fldCharType="begin"/>
      </w:r>
      <w:r>
        <w:instrText xml:space="preserve"> PAGEREF _Toc166897461 \h </w:instrText>
      </w:r>
      <w:r>
        <w:fldChar w:fldCharType="separate"/>
      </w:r>
      <w:r>
        <w:t>94</w:t>
      </w:r>
      <w:r>
        <w:fldChar w:fldCharType="end"/>
      </w:r>
    </w:p>
    <w:p>
      <w:pPr>
        <w:pStyle w:val="TOC8"/>
        <w:rPr>
          <w:sz w:val="24"/>
          <w:szCs w:val="24"/>
        </w:rPr>
      </w:pPr>
      <w:r>
        <w:rPr>
          <w:szCs w:val="24"/>
        </w:rPr>
        <w:t>72</w:t>
      </w:r>
      <w:r>
        <w:rPr>
          <w:snapToGrid w:val="0"/>
          <w:szCs w:val="24"/>
        </w:rPr>
        <w:t>.</w:t>
      </w:r>
      <w:r>
        <w:rPr>
          <w:snapToGrid w:val="0"/>
          <w:szCs w:val="24"/>
        </w:rPr>
        <w:tab/>
        <w:t>Approval and registration of transfers</w:t>
      </w:r>
      <w:r>
        <w:tab/>
      </w:r>
      <w:r>
        <w:fldChar w:fldCharType="begin"/>
      </w:r>
      <w:r>
        <w:instrText xml:space="preserve"> PAGEREF _Toc166897462 \h </w:instrText>
      </w:r>
      <w:r>
        <w:fldChar w:fldCharType="separate"/>
      </w:r>
      <w:r>
        <w:t>94</w:t>
      </w:r>
      <w:r>
        <w:fldChar w:fldCharType="end"/>
      </w:r>
    </w:p>
    <w:p>
      <w:pPr>
        <w:pStyle w:val="TOC8"/>
        <w:rPr>
          <w:sz w:val="24"/>
          <w:szCs w:val="24"/>
        </w:rPr>
      </w:pPr>
      <w:r>
        <w:rPr>
          <w:szCs w:val="24"/>
        </w:rPr>
        <w:t>73</w:t>
      </w:r>
      <w:r>
        <w:rPr>
          <w:snapToGrid w:val="0"/>
          <w:szCs w:val="24"/>
        </w:rPr>
        <w:t>.</w:t>
      </w:r>
      <w:r>
        <w:rPr>
          <w:snapToGrid w:val="0"/>
          <w:szCs w:val="24"/>
        </w:rPr>
        <w:tab/>
        <w:t>Entries in Register on devolution of title</w:t>
      </w:r>
      <w:r>
        <w:tab/>
      </w:r>
      <w:r>
        <w:fldChar w:fldCharType="begin"/>
      </w:r>
      <w:r>
        <w:instrText xml:space="preserve"> PAGEREF _Toc166897463 \h </w:instrText>
      </w:r>
      <w:r>
        <w:fldChar w:fldCharType="separate"/>
      </w:r>
      <w:r>
        <w:t>96</w:t>
      </w:r>
      <w:r>
        <w:fldChar w:fldCharType="end"/>
      </w:r>
    </w:p>
    <w:p>
      <w:pPr>
        <w:pStyle w:val="TOC8"/>
        <w:rPr>
          <w:sz w:val="24"/>
          <w:szCs w:val="24"/>
        </w:rPr>
      </w:pPr>
      <w:r>
        <w:rPr>
          <w:szCs w:val="24"/>
        </w:rPr>
        <w:t>75</w:t>
      </w:r>
      <w:r>
        <w:rPr>
          <w:snapToGrid w:val="0"/>
          <w:szCs w:val="24"/>
        </w:rPr>
        <w:t>.</w:t>
      </w:r>
      <w:r>
        <w:rPr>
          <w:snapToGrid w:val="0"/>
          <w:szCs w:val="24"/>
        </w:rPr>
        <w:tab/>
        <w:t>Approval of dealings creating interests etc. in existing titles</w:t>
      </w:r>
      <w:r>
        <w:tab/>
      </w:r>
      <w:r>
        <w:fldChar w:fldCharType="begin"/>
      </w:r>
      <w:r>
        <w:instrText xml:space="preserve"> PAGEREF _Toc166897464 \h </w:instrText>
      </w:r>
      <w:r>
        <w:fldChar w:fldCharType="separate"/>
      </w:r>
      <w:r>
        <w:t>97</w:t>
      </w:r>
      <w:r>
        <w:fldChar w:fldCharType="end"/>
      </w:r>
    </w:p>
    <w:p>
      <w:pPr>
        <w:pStyle w:val="TOC8"/>
        <w:rPr>
          <w:sz w:val="24"/>
          <w:szCs w:val="24"/>
        </w:rPr>
      </w:pPr>
      <w:r>
        <w:rPr>
          <w:szCs w:val="24"/>
        </w:rPr>
        <w:t>75A</w:t>
      </w:r>
      <w:r>
        <w:rPr>
          <w:snapToGrid w:val="0"/>
          <w:szCs w:val="24"/>
        </w:rPr>
        <w:t>.</w:t>
      </w:r>
      <w:r>
        <w:rPr>
          <w:snapToGrid w:val="0"/>
          <w:szCs w:val="24"/>
        </w:rPr>
        <w:tab/>
        <w:t>Approval of dealings in future interests etc.</w:t>
      </w:r>
      <w:r>
        <w:tab/>
      </w:r>
      <w:r>
        <w:fldChar w:fldCharType="begin"/>
      </w:r>
      <w:r>
        <w:instrText xml:space="preserve"> PAGEREF _Toc166897465 \h </w:instrText>
      </w:r>
      <w:r>
        <w:fldChar w:fldCharType="separate"/>
      </w:r>
      <w:r>
        <w:t>102</w:t>
      </w:r>
      <w:r>
        <w:fldChar w:fldCharType="end"/>
      </w:r>
    </w:p>
    <w:p>
      <w:pPr>
        <w:pStyle w:val="TOC8"/>
        <w:rPr>
          <w:sz w:val="24"/>
          <w:szCs w:val="24"/>
        </w:rPr>
      </w:pPr>
      <w:r>
        <w:rPr>
          <w:szCs w:val="24"/>
        </w:rPr>
        <w:t>76</w:t>
      </w:r>
      <w:r>
        <w:rPr>
          <w:snapToGrid w:val="0"/>
          <w:szCs w:val="24"/>
        </w:rPr>
        <w:t>.</w:t>
      </w:r>
      <w:r>
        <w:rPr>
          <w:snapToGrid w:val="0"/>
          <w:szCs w:val="24"/>
        </w:rPr>
        <w:tab/>
        <w:t>True consideration to be shown</w:t>
      </w:r>
      <w:r>
        <w:tab/>
      </w:r>
      <w:r>
        <w:fldChar w:fldCharType="begin"/>
      </w:r>
      <w:r>
        <w:instrText xml:space="preserve"> PAGEREF _Toc166897466 \h </w:instrText>
      </w:r>
      <w:r>
        <w:fldChar w:fldCharType="separate"/>
      </w:r>
      <w:r>
        <w:t>103</w:t>
      </w:r>
      <w:r>
        <w:fldChar w:fldCharType="end"/>
      </w:r>
    </w:p>
    <w:p>
      <w:pPr>
        <w:pStyle w:val="TOC8"/>
        <w:rPr>
          <w:sz w:val="24"/>
          <w:szCs w:val="24"/>
        </w:rPr>
      </w:pPr>
      <w:r>
        <w:rPr>
          <w:szCs w:val="24"/>
        </w:rPr>
        <w:t>77</w:t>
      </w:r>
      <w:r>
        <w:rPr>
          <w:snapToGrid w:val="0"/>
          <w:szCs w:val="24"/>
        </w:rPr>
        <w:t>.</w:t>
      </w:r>
      <w:r>
        <w:rPr>
          <w:snapToGrid w:val="0"/>
          <w:szCs w:val="24"/>
        </w:rPr>
        <w:tab/>
        <w:t>Minister not concerned with certain matters</w:t>
      </w:r>
      <w:r>
        <w:tab/>
      </w:r>
      <w:r>
        <w:fldChar w:fldCharType="begin"/>
      </w:r>
      <w:r>
        <w:instrText xml:space="preserve"> PAGEREF _Toc166897467 \h </w:instrText>
      </w:r>
      <w:r>
        <w:fldChar w:fldCharType="separate"/>
      </w:r>
      <w:r>
        <w:t>104</w:t>
      </w:r>
      <w:r>
        <w:fldChar w:fldCharType="end"/>
      </w:r>
    </w:p>
    <w:p>
      <w:pPr>
        <w:pStyle w:val="TOC8"/>
        <w:rPr>
          <w:sz w:val="24"/>
          <w:szCs w:val="24"/>
        </w:rPr>
      </w:pPr>
      <w:r>
        <w:rPr>
          <w:szCs w:val="24"/>
        </w:rPr>
        <w:t>78</w:t>
      </w:r>
      <w:r>
        <w:rPr>
          <w:snapToGrid w:val="0"/>
          <w:szCs w:val="24"/>
        </w:rPr>
        <w:t>.</w:t>
      </w:r>
      <w:r>
        <w:rPr>
          <w:snapToGrid w:val="0"/>
          <w:szCs w:val="24"/>
        </w:rPr>
        <w:tab/>
        <w:t>Power of Minister to require information as to transfers or dealings</w:t>
      </w:r>
      <w:r>
        <w:tab/>
      </w:r>
      <w:r>
        <w:fldChar w:fldCharType="begin"/>
      </w:r>
      <w:r>
        <w:instrText xml:space="preserve"> PAGEREF _Toc166897468 \h </w:instrText>
      </w:r>
      <w:r>
        <w:fldChar w:fldCharType="separate"/>
      </w:r>
      <w:r>
        <w:t>104</w:t>
      </w:r>
      <w:r>
        <w:fldChar w:fldCharType="end"/>
      </w:r>
    </w:p>
    <w:p>
      <w:pPr>
        <w:pStyle w:val="TOC8"/>
        <w:rPr>
          <w:sz w:val="24"/>
          <w:szCs w:val="24"/>
        </w:rPr>
      </w:pPr>
      <w:r>
        <w:rPr>
          <w:szCs w:val="24"/>
        </w:rPr>
        <w:t>79</w:t>
      </w:r>
      <w:r>
        <w:rPr>
          <w:snapToGrid w:val="0"/>
          <w:szCs w:val="24"/>
        </w:rPr>
        <w:t>.</w:t>
      </w:r>
      <w:r>
        <w:rPr>
          <w:snapToGrid w:val="0"/>
          <w:szCs w:val="24"/>
        </w:rPr>
        <w:tab/>
        <w:t>Production and inspection of documents</w:t>
      </w:r>
      <w:r>
        <w:tab/>
      </w:r>
      <w:r>
        <w:fldChar w:fldCharType="begin"/>
      </w:r>
      <w:r>
        <w:instrText xml:space="preserve"> PAGEREF _Toc166897469 \h </w:instrText>
      </w:r>
      <w:r>
        <w:fldChar w:fldCharType="separate"/>
      </w:r>
      <w:r>
        <w:t>105</w:t>
      </w:r>
      <w:r>
        <w:fldChar w:fldCharType="end"/>
      </w:r>
    </w:p>
    <w:p>
      <w:pPr>
        <w:pStyle w:val="TOC8"/>
        <w:rPr>
          <w:sz w:val="24"/>
          <w:szCs w:val="24"/>
        </w:rPr>
      </w:pPr>
      <w:r>
        <w:rPr>
          <w:szCs w:val="24"/>
        </w:rPr>
        <w:t>80</w:t>
      </w:r>
      <w:r>
        <w:rPr>
          <w:snapToGrid w:val="0"/>
          <w:szCs w:val="24"/>
        </w:rPr>
        <w:t>.</w:t>
      </w:r>
      <w:r>
        <w:rPr>
          <w:snapToGrid w:val="0"/>
          <w:szCs w:val="24"/>
        </w:rPr>
        <w:tab/>
        <w:t>Inspection of Register and instruments</w:t>
      </w:r>
      <w:r>
        <w:tab/>
      </w:r>
      <w:r>
        <w:fldChar w:fldCharType="begin"/>
      </w:r>
      <w:r>
        <w:instrText xml:space="preserve"> PAGEREF _Toc166897470 \h </w:instrText>
      </w:r>
      <w:r>
        <w:fldChar w:fldCharType="separate"/>
      </w:r>
      <w:r>
        <w:t>106</w:t>
      </w:r>
      <w:r>
        <w:fldChar w:fldCharType="end"/>
      </w:r>
    </w:p>
    <w:p>
      <w:pPr>
        <w:pStyle w:val="TOC8"/>
        <w:rPr>
          <w:sz w:val="24"/>
          <w:szCs w:val="24"/>
        </w:rPr>
      </w:pPr>
      <w:r>
        <w:rPr>
          <w:szCs w:val="24"/>
        </w:rPr>
        <w:t>81</w:t>
      </w:r>
      <w:r>
        <w:rPr>
          <w:snapToGrid w:val="0"/>
          <w:szCs w:val="24"/>
        </w:rPr>
        <w:t>.</w:t>
      </w:r>
      <w:r>
        <w:rPr>
          <w:snapToGrid w:val="0"/>
          <w:szCs w:val="24"/>
        </w:rPr>
        <w:tab/>
        <w:t>Evidentiary provisions</w:t>
      </w:r>
      <w:r>
        <w:tab/>
      </w:r>
      <w:r>
        <w:fldChar w:fldCharType="begin"/>
      </w:r>
      <w:r>
        <w:instrText xml:space="preserve"> PAGEREF _Toc166897471 \h </w:instrText>
      </w:r>
      <w:r>
        <w:fldChar w:fldCharType="separate"/>
      </w:r>
      <w:r>
        <w:t>106</w:t>
      </w:r>
      <w:r>
        <w:fldChar w:fldCharType="end"/>
      </w:r>
    </w:p>
    <w:p>
      <w:pPr>
        <w:pStyle w:val="TOC8"/>
        <w:rPr>
          <w:sz w:val="24"/>
          <w:szCs w:val="24"/>
        </w:rPr>
      </w:pPr>
      <w:r>
        <w:rPr>
          <w:szCs w:val="24"/>
        </w:rPr>
        <w:t>81A</w:t>
      </w:r>
      <w:r>
        <w:rPr>
          <w:snapToGrid w:val="0"/>
          <w:szCs w:val="24"/>
        </w:rPr>
        <w:t>.</w:t>
      </w:r>
      <w:r>
        <w:rPr>
          <w:snapToGrid w:val="0"/>
          <w:szCs w:val="24"/>
        </w:rPr>
        <w:tab/>
        <w:t>Minister may make corrections to, and entries in, Register</w:t>
      </w:r>
      <w:r>
        <w:tab/>
      </w:r>
      <w:r>
        <w:fldChar w:fldCharType="begin"/>
      </w:r>
      <w:r>
        <w:instrText xml:space="preserve"> PAGEREF _Toc166897472 \h </w:instrText>
      </w:r>
      <w:r>
        <w:fldChar w:fldCharType="separate"/>
      </w:r>
      <w:r>
        <w:t>106</w:t>
      </w:r>
      <w:r>
        <w:fldChar w:fldCharType="end"/>
      </w:r>
    </w:p>
    <w:p>
      <w:pPr>
        <w:pStyle w:val="TOC8"/>
        <w:rPr>
          <w:sz w:val="24"/>
          <w:szCs w:val="24"/>
        </w:rPr>
      </w:pPr>
      <w:r>
        <w:rPr>
          <w:szCs w:val="24"/>
        </w:rPr>
        <w:t>82</w:t>
      </w:r>
      <w:r>
        <w:rPr>
          <w:snapToGrid w:val="0"/>
          <w:szCs w:val="24"/>
        </w:rPr>
        <w:t>.</w:t>
      </w:r>
      <w:r>
        <w:rPr>
          <w:snapToGrid w:val="0"/>
          <w:szCs w:val="24"/>
        </w:rPr>
        <w:tab/>
        <w:t>Application to State Administrative Tribunal for orders</w:t>
      </w:r>
      <w:r>
        <w:tab/>
      </w:r>
      <w:r>
        <w:fldChar w:fldCharType="begin"/>
      </w:r>
      <w:r>
        <w:instrText xml:space="preserve"> PAGEREF _Toc166897473 \h </w:instrText>
      </w:r>
      <w:r>
        <w:fldChar w:fldCharType="separate"/>
      </w:r>
      <w:r>
        <w:t>107</w:t>
      </w:r>
      <w:r>
        <w:fldChar w:fldCharType="end"/>
      </w:r>
    </w:p>
    <w:p>
      <w:pPr>
        <w:pStyle w:val="TOC8"/>
        <w:rPr>
          <w:sz w:val="24"/>
          <w:szCs w:val="24"/>
        </w:rPr>
      </w:pPr>
      <w:r>
        <w:rPr>
          <w:szCs w:val="24"/>
        </w:rPr>
        <w:t>83</w:t>
      </w:r>
      <w:r>
        <w:rPr>
          <w:snapToGrid w:val="0"/>
          <w:szCs w:val="24"/>
        </w:rPr>
        <w:t>.</w:t>
      </w:r>
      <w:r>
        <w:rPr>
          <w:snapToGrid w:val="0"/>
          <w:szCs w:val="24"/>
        </w:rPr>
        <w:tab/>
        <w:t>Minister not liable to certain actions</w:t>
      </w:r>
      <w:r>
        <w:tab/>
      </w:r>
      <w:r>
        <w:fldChar w:fldCharType="begin"/>
      </w:r>
      <w:r>
        <w:instrText xml:space="preserve"> PAGEREF _Toc166897474 \h </w:instrText>
      </w:r>
      <w:r>
        <w:fldChar w:fldCharType="separate"/>
      </w:r>
      <w:r>
        <w:t>108</w:t>
      </w:r>
      <w:r>
        <w:fldChar w:fldCharType="end"/>
      </w:r>
    </w:p>
    <w:p>
      <w:pPr>
        <w:pStyle w:val="TOC8"/>
        <w:rPr>
          <w:sz w:val="24"/>
          <w:szCs w:val="24"/>
        </w:rPr>
      </w:pPr>
      <w:r>
        <w:rPr>
          <w:szCs w:val="24"/>
        </w:rPr>
        <w:t>84</w:t>
      </w:r>
      <w:r>
        <w:rPr>
          <w:snapToGrid w:val="0"/>
          <w:szCs w:val="24"/>
        </w:rPr>
        <w:t>.</w:t>
      </w:r>
      <w:r>
        <w:rPr>
          <w:snapToGrid w:val="0"/>
          <w:szCs w:val="24"/>
        </w:rPr>
        <w:tab/>
        <w:t>Offences connected with Register and certain documents</w:t>
      </w:r>
      <w:r>
        <w:tab/>
      </w:r>
      <w:r>
        <w:fldChar w:fldCharType="begin"/>
      </w:r>
      <w:r>
        <w:instrText xml:space="preserve"> PAGEREF _Toc166897475 \h </w:instrText>
      </w:r>
      <w:r>
        <w:fldChar w:fldCharType="separate"/>
      </w:r>
      <w:r>
        <w:t>108</w:t>
      </w:r>
      <w:r>
        <w:fldChar w:fldCharType="end"/>
      </w:r>
    </w:p>
    <w:p>
      <w:pPr>
        <w:pStyle w:val="TOC8"/>
        <w:rPr>
          <w:sz w:val="24"/>
          <w:szCs w:val="24"/>
        </w:rPr>
      </w:pPr>
      <w:r>
        <w:rPr>
          <w:szCs w:val="24"/>
        </w:rPr>
        <w:t>85</w:t>
      </w:r>
      <w:r>
        <w:rPr>
          <w:snapToGrid w:val="0"/>
          <w:szCs w:val="24"/>
        </w:rPr>
        <w:t>.</w:t>
      </w:r>
      <w:r>
        <w:rPr>
          <w:snapToGrid w:val="0"/>
          <w:szCs w:val="24"/>
        </w:rPr>
        <w:tab/>
        <w:t xml:space="preserve">Assessment of fee payable under </w:t>
      </w:r>
      <w:r>
        <w:rPr>
          <w:i/>
          <w:snapToGrid w:val="0"/>
          <w:szCs w:val="24"/>
        </w:rPr>
        <w:t>Petroleum (Registration Fees) Act 1967</w:t>
      </w:r>
      <w:r>
        <w:tab/>
      </w:r>
      <w:r>
        <w:fldChar w:fldCharType="begin"/>
      </w:r>
      <w:r>
        <w:instrText xml:space="preserve"> PAGEREF _Toc166897476 \h </w:instrText>
      </w:r>
      <w:r>
        <w:fldChar w:fldCharType="separate"/>
      </w:r>
      <w:r>
        <w:t>109</w:t>
      </w:r>
      <w:r>
        <w:fldChar w:fldCharType="end"/>
      </w:r>
    </w:p>
    <w:p>
      <w:pPr>
        <w:pStyle w:val="TOC8"/>
        <w:rPr>
          <w:sz w:val="24"/>
          <w:szCs w:val="24"/>
        </w:rPr>
      </w:pPr>
      <w:r>
        <w:rPr>
          <w:szCs w:val="24"/>
        </w:rPr>
        <w:t>86</w:t>
      </w:r>
      <w:r>
        <w:rPr>
          <w:snapToGrid w:val="0"/>
          <w:szCs w:val="24"/>
        </w:rPr>
        <w:t>.</w:t>
      </w:r>
      <w:r>
        <w:rPr>
          <w:snapToGrid w:val="0"/>
          <w:szCs w:val="24"/>
        </w:rPr>
        <w:tab/>
        <w:t>Exemption from stamp duty</w:t>
      </w:r>
      <w:r>
        <w:tab/>
      </w:r>
      <w:r>
        <w:fldChar w:fldCharType="begin"/>
      </w:r>
      <w:r>
        <w:instrText xml:space="preserve"> PAGEREF _Toc166897477 \h </w:instrText>
      </w:r>
      <w:r>
        <w:fldChar w:fldCharType="separate"/>
      </w:r>
      <w:r>
        <w:t>109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88</w:t>
      </w:r>
      <w:r>
        <w:rPr>
          <w:snapToGrid w:val="0"/>
          <w:szCs w:val="24"/>
        </w:rPr>
        <w:t>.</w:t>
      </w:r>
      <w:r>
        <w:rPr>
          <w:snapToGrid w:val="0"/>
          <w:szCs w:val="24"/>
        </w:rPr>
        <w:tab/>
        <w:t>Notice of grants of permits etc. to be published</w:t>
      </w:r>
      <w:r>
        <w:tab/>
      </w:r>
      <w:r>
        <w:fldChar w:fldCharType="begin"/>
      </w:r>
      <w:r>
        <w:instrText xml:space="preserve"> PAGEREF _Toc166897479 \h </w:instrText>
      </w:r>
      <w:r>
        <w:fldChar w:fldCharType="separate"/>
      </w:r>
      <w:r>
        <w:t>109</w:t>
      </w:r>
      <w:r>
        <w:fldChar w:fldCharType="end"/>
      </w:r>
    </w:p>
    <w:p>
      <w:pPr>
        <w:pStyle w:val="TOC8"/>
        <w:rPr>
          <w:sz w:val="24"/>
          <w:szCs w:val="24"/>
        </w:rPr>
      </w:pPr>
      <w:r>
        <w:rPr>
          <w:szCs w:val="24"/>
        </w:rPr>
        <w:t>89</w:t>
      </w:r>
      <w:r>
        <w:rPr>
          <w:snapToGrid w:val="0"/>
          <w:szCs w:val="24"/>
        </w:rPr>
        <w:t>.</w:t>
      </w:r>
      <w:r>
        <w:rPr>
          <w:snapToGrid w:val="0"/>
          <w:szCs w:val="24"/>
        </w:rPr>
        <w:tab/>
        <w:t>Date of effect of certain surrenders, cancellations and variations</w:t>
      </w:r>
      <w:r>
        <w:tab/>
      </w:r>
      <w:r>
        <w:fldChar w:fldCharType="begin"/>
      </w:r>
      <w:r>
        <w:instrText xml:space="preserve"> PAGEREF _Toc166897480 \h </w:instrText>
      </w:r>
      <w:r>
        <w:fldChar w:fldCharType="separate"/>
      </w:r>
      <w:r>
        <w:t>110</w:t>
      </w:r>
      <w:r>
        <w:fldChar w:fldCharType="end"/>
      </w:r>
    </w:p>
    <w:p>
      <w:pPr>
        <w:pStyle w:val="TOC8"/>
        <w:rPr>
          <w:sz w:val="24"/>
          <w:szCs w:val="24"/>
        </w:rPr>
      </w:pPr>
      <w:r>
        <w:rPr>
          <w:szCs w:val="24"/>
        </w:rPr>
        <w:t>90</w:t>
      </w:r>
      <w:r>
        <w:rPr>
          <w:snapToGrid w:val="0"/>
          <w:szCs w:val="24"/>
        </w:rPr>
        <w:t>.</w:t>
      </w:r>
      <w:r>
        <w:rPr>
          <w:snapToGrid w:val="0"/>
          <w:szCs w:val="24"/>
        </w:rPr>
        <w:tab/>
        <w:t>Commencement of works</w:t>
      </w:r>
      <w:r>
        <w:tab/>
      </w:r>
      <w:r>
        <w:fldChar w:fldCharType="begin"/>
      </w:r>
      <w:r>
        <w:instrText xml:space="preserve"> PAGEREF _Toc166897481 \h </w:instrText>
      </w:r>
      <w:r>
        <w:fldChar w:fldCharType="separate"/>
      </w:r>
      <w:r>
        <w:t>110</w:t>
      </w:r>
      <w:r>
        <w:fldChar w:fldCharType="end"/>
      </w:r>
    </w:p>
    <w:p>
      <w:pPr>
        <w:pStyle w:val="TOC8"/>
        <w:rPr>
          <w:sz w:val="24"/>
          <w:szCs w:val="24"/>
        </w:rPr>
      </w:pPr>
      <w:r>
        <w:rPr>
          <w:szCs w:val="24"/>
        </w:rPr>
        <w:t>91</w:t>
      </w:r>
      <w:r>
        <w:rPr>
          <w:snapToGrid w:val="0"/>
          <w:szCs w:val="24"/>
        </w:rPr>
        <w:t>.</w:t>
      </w:r>
      <w:r>
        <w:rPr>
          <w:snapToGrid w:val="0"/>
          <w:szCs w:val="24"/>
        </w:rPr>
        <w:tab/>
        <w:t>Work practices</w:t>
      </w:r>
      <w:r>
        <w:tab/>
      </w:r>
      <w:r>
        <w:fldChar w:fldCharType="begin"/>
      </w:r>
      <w:r>
        <w:instrText xml:space="preserve"> PAGEREF _Toc166897482 \h </w:instrText>
      </w:r>
      <w:r>
        <w:fldChar w:fldCharType="separate"/>
      </w:r>
      <w:r>
        <w:t>111</w:t>
      </w:r>
      <w:r>
        <w:fldChar w:fldCharType="end"/>
      </w:r>
    </w:p>
    <w:p>
      <w:pPr>
        <w:pStyle w:val="TOC8"/>
        <w:rPr>
          <w:sz w:val="24"/>
          <w:szCs w:val="24"/>
        </w:rPr>
      </w:pPr>
      <w:r>
        <w:rPr>
          <w:szCs w:val="24"/>
        </w:rPr>
        <w:t>91A</w:t>
      </w:r>
      <w:r>
        <w:rPr>
          <w:snapToGrid w:val="0"/>
          <w:szCs w:val="24"/>
        </w:rPr>
        <w:t>.</w:t>
      </w:r>
      <w:r>
        <w:rPr>
          <w:snapToGrid w:val="0"/>
          <w:szCs w:val="24"/>
        </w:rPr>
        <w:tab/>
        <w:t>Conditions relating to insurance</w:t>
      </w:r>
      <w:r>
        <w:tab/>
      </w:r>
      <w:r>
        <w:fldChar w:fldCharType="begin"/>
      </w:r>
      <w:r>
        <w:instrText xml:space="preserve"> PAGEREF _Toc166897483 \h </w:instrText>
      </w:r>
      <w:r>
        <w:fldChar w:fldCharType="separate"/>
      </w:r>
      <w:r>
        <w:t>113</w:t>
      </w:r>
      <w:r>
        <w:fldChar w:fldCharType="end"/>
      </w:r>
    </w:p>
    <w:p>
      <w:pPr>
        <w:pStyle w:val="TOC8"/>
        <w:rPr>
          <w:sz w:val="24"/>
          <w:szCs w:val="24"/>
        </w:rPr>
      </w:pPr>
      <w:r>
        <w:rPr>
          <w:szCs w:val="24"/>
        </w:rPr>
        <w:t>91B</w:t>
      </w:r>
      <w:r>
        <w:rPr>
          <w:snapToGrid w:val="0"/>
          <w:szCs w:val="24"/>
        </w:rPr>
        <w:t>.</w:t>
      </w:r>
      <w:r>
        <w:rPr>
          <w:snapToGrid w:val="0"/>
          <w:szCs w:val="24"/>
        </w:rPr>
        <w:tab/>
        <w:t>Conditions prohibiting entry on certain land</w:t>
      </w:r>
      <w:r>
        <w:tab/>
      </w:r>
      <w:r>
        <w:fldChar w:fldCharType="begin"/>
      </w:r>
      <w:r>
        <w:instrText xml:space="preserve"> PAGEREF _Toc166897484 \h </w:instrText>
      </w:r>
      <w:r>
        <w:fldChar w:fldCharType="separate"/>
      </w:r>
      <w:r>
        <w:t>114</w:t>
      </w:r>
      <w:r>
        <w:fldChar w:fldCharType="end"/>
      </w:r>
    </w:p>
    <w:p>
      <w:pPr>
        <w:pStyle w:val="TOC8"/>
        <w:rPr>
          <w:sz w:val="24"/>
          <w:szCs w:val="24"/>
        </w:rPr>
      </w:pPr>
      <w:r>
        <w:rPr>
          <w:szCs w:val="24"/>
        </w:rPr>
        <w:t>92</w:t>
      </w:r>
      <w:r>
        <w:rPr>
          <w:snapToGrid w:val="0"/>
          <w:szCs w:val="24"/>
        </w:rPr>
        <w:t>.</w:t>
      </w:r>
      <w:r>
        <w:rPr>
          <w:snapToGrid w:val="0"/>
          <w:szCs w:val="24"/>
        </w:rPr>
        <w:tab/>
        <w:t>Maintenance etc. of property</w:t>
      </w:r>
      <w:r>
        <w:tab/>
      </w:r>
      <w:r>
        <w:fldChar w:fldCharType="begin"/>
      </w:r>
      <w:r>
        <w:instrText xml:space="preserve"> PAGEREF _Toc166897485 \h </w:instrText>
      </w:r>
      <w:r>
        <w:fldChar w:fldCharType="separate"/>
      </w:r>
      <w:r>
        <w:t>114</w:t>
      </w:r>
      <w:r>
        <w:fldChar w:fldCharType="end"/>
      </w:r>
    </w:p>
    <w:p>
      <w:pPr>
        <w:pStyle w:val="TOC8"/>
        <w:rPr>
          <w:sz w:val="24"/>
          <w:szCs w:val="24"/>
        </w:rPr>
      </w:pPr>
      <w:r>
        <w:rPr>
          <w:szCs w:val="24"/>
        </w:rPr>
        <w:t>93</w:t>
      </w:r>
      <w:r>
        <w:rPr>
          <w:snapToGrid w:val="0"/>
          <w:szCs w:val="24"/>
        </w:rPr>
        <w:t>.</w:t>
      </w:r>
      <w:r>
        <w:rPr>
          <w:snapToGrid w:val="0"/>
          <w:szCs w:val="24"/>
        </w:rPr>
        <w:tab/>
        <w:t>Sections 91, 91A and 92 have effect subject to this Act</w:t>
      </w:r>
      <w:r>
        <w:tab/>
      </w:r>
      <w:r>
        <w:fldChar w:fldCharType="begin"/>
      </w:r>
      <w:r>
        <w:instrText xml:space="preserve"> PAGEREF _Toc166897486 \h </w:instrText>
      </w:r>
      <w:r>
        <w:fldChar w:fldCharType="separate"/>
      </w:r>
      <w:r>
        <w:t>115</w:t>
      </w:r>
      <w:r>
        <w:fldChar w:fldCharType="end"/>
      </w:r>
    </w:p>
    <w:p>
      <w:pPr>
        <w:pStyle w:val="TOC8"/>
        <w:rPr>
          <w:sz w:val="24"/>
          <w:szCs w:val="24"/>
        </w:rPr>
      </w:pPr>
      <w:r>
        <w:rPr>
          <w:szCs w:val="24"/>
        </w:rPr>
        <w:t>94</w:t>
      </w:r>
      <w:r>
        <w:rPr>
          <w:snapToGrid w:val="0"/>
          <w:szCs w:val="24"/>
        </w:rPr>
        <w:t>.</w:t>
      </w:r>
      <w:r>
        <w:rPr>
          <w:snapToGrid w:val="0"/>
          <w:szCs w:val="24"/>
        </w:rPr>
        <w:tab/>
        <w:t>Drilling near boundaries</w:t>
      </w:r>
      <w:r>
        <w:tab/>
      </w:r>
      <w:r>
        <w:fldChar w:fldCharType="begin"/>
      </w:r>
      <w:r>
        <w:instrText xml:space="preserve"> PAGEREF _Toc166897487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Directions</w:t>
      </w:r>
      <w:r>
        <w:tab/>
      </w:r>
      <w:r>
        <w:fldChar w:fldCharType="begin"/>
      </w:r>
      <w:r>
        <w:instrText xml:space="preserve"> PAGEREF _Toc166897488 \h </w:instrText>
      </w:r>
      <w:r>
        <w:fldChar w:fldCharType="separate"/>
      </w:r>
      <w:r>
        <w:t>116</w:t>
      </w:r>
      <w:r>
        <w:fldChar w:fldCharType="end"/>
      </w:r>
    </w:p>
    <w:p>
      <w:pPr>
        <w:pStyle w:val="TOC8"/>
        <w:rPr>
          <w:sz w:val="24"/>
          <w:szCs w:val="24"/>
        </w:rPr>
      </w:pPr>
      <w:r>
        <w:rPr>
          <w:szCs w:val="24"/>
        </w:rPr>
        <w:t>96</w:t>
      </w:r>
      <w:r>
        <w:rPr>
          <w:snapToGrid w:val="0"/>
          <w:szCs w:val="24"/>
        </w:rPr>
        <w:t>.</w:t>
      </w:r>
      <w:r>
        <w:rPr>
          <w:snapToGrid w:val="0"/>
          <w:szCs w:val="24"/>
        </w:rPr>
        <w:tab/>
        <w:t>Compliance with directions</w:t>
      </w:r>
      <w:r>
        <w:tab/>
      </w:r>
      <w:r>
        <w:fldChar w:fldCharType="begin"/>
      </w:r>
      <w:r>
        <w:instrText xml:space="preserve"> PAGEREF _Toc166897489 \h </w:instrText>
      </w:r>
      <w:r>
        <w:fldChar w:fldCharType="separate"/>
      </w:r>
      <w:r>
        <w:t>119</w:t>
      </w:r>
      <w:r>
        <w:fldChar w:fldCharType="end"/>
      </w:r>
    </w:p>
    <w:p>
      <w:pPr>
        <w:pStyle w:val="TOC8"/>
        <w:rPr>
          <w:sz w:val="24"/>
          <w:szCs w:val="24"/>
        </w:rPr>
      </w:pPr>
      <w:r>
        <w:rPr>
          <w:szCs w:val="24"/>
        </w:rPr>
        <w:t>97</w:t>
      </w:r>
      <w:r>
        <w:rPr>
          <w:snapToGrid w:val="0"/>
          <w:szCs w:val="24"/>
        </w:rPr>
        <w:t>.</w:t>
      </w:r>
      <w:r>
        <w:rPr>
          <w:snapToGrid w:val="0"/>
          <w:szCs w:val="24"/>
        </w:rPr>
        <w:tab/>
        <w:t>Variation and suspension of, and exemption from compliance with, conditions</w:t>
      </w:r>
      <w:r>
        <w:tab/>
      </w:r>
      <w:r>
        <w:fldChar w:fldCharType="begin"/>
      </w:r>
      <w:r>
        <w:instrText xml:space="preserve"> PAGEREF _Toc166897490 \h </w:instrText>
      </w:r>
      <w:r>
        <w:fldChar w:fldCharType="separate"/>
      </w:r>
      <w:r>
        <w:t>119</w:t>
      </w:r>
      <w:r>
        <w:fldChar w:fldCharType="end"/>
      </w:r>
    </w:p>
    <w:p>
      <w:pPr>
        <w:pStyle w:val="TOC8"/>
        <w:rPr>
          <w:sz w:val="24"/>
          <w:szCs w:val="24"/>
        </w:rPr>
      </w:pPr>
      <w:r>
        <w:rPr>
          <w:szCs w:val="24"/>
        </w:rPr>
        <w:t>98</w:t>
      </w:r>
      <w:r>
        <w:rPr>
          <w:snapToGrid w:val="0"/>
          <w:szCs w:val="24"/>
        </w:rPr>
        <w:t>.</w:t>
      </w:r>
      <w:r>
        <w:rPr>
          <w:snapToGrid w:val="0"/>
          <w:szCs w:val="24"/>
        </w:rPr>
        <w:tab/>
        <w:t>Surrender of permits etc.</w:t>
      </w:r>
      <w:r>
        <w:tab/>
      </w:r>
      <w:r>
        <w:fldChar w:fldCharType="begin"/>
      </w:r>
      <w:r>
        <w:instrText xml:space="preserve"> PAGEREF _Toc166897491 \h </w:instrText>
      </w:r>
      <w:r>
        <w:fldChar w:fldCharType="separate"/>
      </w:r>
      <w:r>
        <w:t>121</w:t>
      </w:r>
      <w:r>
        <w:fldChar w:fldCharType="end"/>
      </w:r>
    </w:p>
    <w:p>
      <w:pPr>
        <w:pStyle w:val="TOC8"/>
        <w:rPr>
          <w:sz w:val="24"/>
          <w:szCs w:val="24"/>
        </w:rPr>
      </w:pPr>
      <w:r>
        <w:rPr>
          <w:szCs w:val="24"/>
        </w:rPr>
        <w:t>99</w:t>
      </w:r>
      <w:r>
        <w:rPr>
          <w:snapToGrid w:val="0"/>
          <w:szCs w:val="24"/>
        </w:rPr>
        <w:t>.</w:t>
      </w:r>
      <w:r>
        <w:rPr>
          <w:snapToGrid w:val="0"/>
          <w:szCs w:val="24"/>
        </w:rPr>
        <w:tab/>
        <w:t>Cancellation of permits etc.</w:t>
      </w:r>
      <w:r>
        <w:tab/>
      </w:r>
      <w:r>
        <w:fldChar w:fldCharType="begin"/>
      </w:r>
      <w:r>
        <w:instrText xml:space="preserve"> PAGEREF _Toc166897492 \h </w:instrText>
      </w:r>
      <w:r>
        <w:fldChar w:fldCharType="separate"/>
      </w:r>
      <w:r>
        <w:t>123</w:t>
      </w:r>
      <w:r>
        <w:fldChar w:fldCharType="end"/>
      </w:r>
    </w:p>
    <w:p>
      <w:pPr>
        <w:pStyle w:val="TOC8"/>
        <w:rPr>
          <w:sz w:val="24"/>
          <w:szCs w:val="24"/>
        </w:rPr>
      </w:pPr>
      <w:r>
        <w:rPr>
          <w:szCs w:val="24"/>
        </w:rPr>
        <w:t>100</w:t>
      </w:r>
      <w:r>
        <w:rPr>
          <w:snapToGrid w:val="0"/>
          <w:szCs w:val="24"/>
        </w:rPr>
        <w:t>.</w:t>
      </w:r>
      <w:r>
        <w:rPr>
          <w:snapToGrid w:val="0"/>
          <w:szCs w:val="24"/>
        </w:rPr>
        <w:tab/>
        <w:t>Cancellation of permit etc. not affected by other provisions</w:t>
      </w:r>
      <w:r>
        <w:tab/>
      </w:r>
      <w:r>
        <w:fldChar w:fldCharType="begin"/>
      </w:r>
      <w:r>
        <w:instrText xml:space="preserve"> PAGEREF _Toc166897493 \h </w:instrText>
      </w:r>
      <w:r>
        <w:fldChar w:fldCharType="separate"/>
      </w:r>
      <w:r>
        <w:t>124</w:t>
      </w:r>
      <w:r>
        <w:fldChar w:fldCharType="end"/>
      </w:r>
    </w:p>
    <w:p>
      <w:pPr>
        <w:pStyle w:val="TOC8"/>
        <w:rPr>
          <w:sz w:val="24"/>
          <w:szCs w:val="24"/>
        </w:rPr>
      </w:pPr>
      <w:r>
        <w:rPr>
          <w:szCs w:val="24"/>
        </w:rPr>
        <w:t>101</w:t>
      </w:r>
      <w:r>
        <w:rPr>
          <w:snapToGrid w:val="0"/>
          <w:szCs w:val="24"/>
        </w:rPr>
        <w:t>.</w:t>
      </w:r>
      <w:r>
        <w:rPr>
          <w:snapToGrid w:val="0"/>
          <w:szCs w:val="24"/>
        </w:rPr>
        <w:tab/>
        <w:t>Removal of property etc. by permittee etc.</w:t>
      </w:r>
      <w:r>
        <w:tab/>
      </w:r>
      <w:r>
        <w:fldChar w:fldCharType="begin"/>
      </w:r>
      <w:r>
        <w:instrText xml:space="preserve"> PAGEREF _Toc166897494 \h </w:instrText>
      </w:r>
      <w:r>
        <w:fldChar w:fldCharType="separate"/>
      </w:r>
      <w:r>
        <w:t>125</w:t>
      </w:r>
      <w:r>
        <w:fldChar w:fldCharType="end"/>
      </w:r>
    </w:p>
    <w:p>
      <w:pPr>
        <w:pStyle w:val="TOC8"/>
        <w:rPr>
          <w:sz w:val="24"/>
          <w:szCs w:val="24"/>
        </w:rPr>
      </w:pPr>
      <w:r>
        <w:rPr>
          <w:szCs w:val="24"/>
        </w:rPr>
        <w:t>102</w:t>
      </w:r>
      <w:r>
        <w:rPr>
          <w:snapToGrid w:val="0"/>
          <w:szCs w:val="24"/>
        </w:rPr>
        <w:t>.</w:t>
      </w:r>
      <w:r>
        <w:rPr>
          <w:snapToGrid w:val="0"/>
          <w:szCs w:val="24"/>
        </w:rPr>
        <w:tab/>
        <w:t>Removal of property etc. by Minister</w:t>
      </w:r>
      <w:r>
        <w:tab/>
      </w:r>
      <w:r>
        <w:fldChar w:fldCharType="begin"/>
      </w:r>
      <w:r>
        <w:instrText xml:space="preserve"> PAGEREF _Toc166897495 \h </w:instrText>
      </w:r>
      <w:r>
        <w:fldChar w:fldCharType="separate"/>
      </w:r>
      <w:r>
        <w:t>127</w:t>
      </w:r>
      <w:r>
        <w:fldChar w:fldCharType="end"/>
      </w:r>
    </w:p>
    <w:p>
      <w:pPr>
        <w:pStyle w:val="TOC8"/>
        <w:rPr>
          <w:sz w:val="24"/>
          <w:szCs w:val="24"/>
        </w:rPr>
      </w:pPr>
      <w:r>
        <w:rPr>
          <w:szCs w:val="24"/>
        </w:rPr>
        <w:t>103</w:t>
      </w:r>
      <w:r>
        <w:rPr>
          <w:snapToGrid w:val="0"/>
          <w:szCs w:val="24"/>
        </w:rPr>
        <w:t>.</w:t>
      </w:r>
      <w:r>
        <w:rPr>
          <w:snapToGrid w:val="0"/>
          <w:szCs w:val="24"/>
        </w:rPr>
        <w:tab/>
        <w:t>Payment by instalments</w:t>
      </w:r>
      <w:r>
        <w:tab/>
      </w:r>
      <w:r>
        <w:fldChar w:fldCharType="begin"/>
      </w:r>
      <w:r>
        <w:instrText xml:space="preserve"> PAGEREF _Toc166897496 \h </w:instrText>
      </w:r>
      <w:r>
        <w:fldChar w:fldCharType="separate"/>
      </w:r>
      <w:r>
        <w:t>128</w:t>
      </w:r>
      <w:r>
        <w:fldChar w:fldCharType="end"/>
      </w:r>
    </w:p>
    <w:p>
      <w:pPr>
        <w:pStyle w:val="TOC8"/>
        <w:rPr>
          <w:sz w:val="24"/>
          <w:szCs w:val="24"/>
        </w:rPr>
      </w:pPr>
      <w:r>
        <w:rPr>
          <w:szCs w:val="24"/>
        </w:rPr>
        <w:t>104</w:t>
      </w:r>
      <w:r>
        <w:rPr>
          <w:snapToGrid w:val="0"/>
          <w:szCs w:val="24"/>
        </w:rPr>
        <w:t>.</w:t>
      </w:r>
      <w:r>
        <w:rPr>
          <w:snapToGrid w:val="0"/>
          <w:szCs w:val="24"/>
        </w:rPr>
        <w:tab/>
        <w:t>Penalty for late payments of instalments etc.</w:t>
      </w:r>
      <w:r>
        <w:tab/>
      </w:r>
      <w:r>
        <w:fldChar w:fldCharType="begin"/>
      </w:r>
      <w:r>
        <w:instrText xml:space="preserve"> PAGEREF _Toc166897497 \h </w:instrText>
      </w:r>
      <w:r>
        <w:fldChar w:fldCharType="separate"/>
      </w:r>
      <w:r>
        <w:t>128</w:t>
      </w:r>
      <w:r>
        <w:fldChar w:fldCharType="end"/>
      </w:r>
    </w:p>
    <w:p>
      <w:pPr>
        <w:pStyle w:val="TOC8"/>
        <w:rPr>
          <w:sz w:val="24"/>
          <w:szCs w:val="24"/>
        </w:rPr>
      </w:pPr>
      <w:r>
        <w:rPr>
          <w:szCs w:val="24"/>
        </w:rPr>
        <w:t>105</w:t>
      </w:r>
      <w:r>
        <w:rPr>
          <w:snapToGrid w:val="0"/>
          <w:szCs w:val="24"/>
        </w:rPr>
        <w:t>.</w:t>
      </w:r>
      <w:r>
        <w:rPr>
          <w:snapToGrid w:val="0"/>
          <w:szCs w:val="24"/>
        </w:rPr>
        <w:tab/>
        <w:t>Special prospecting authorities</w:t>
      </w:r>
      <w:r>
        <w:tab/>
      </w:r>
      <w:r>
        <w:fldChar w:fldCharType="begin"/>
      </w:r>
      <w:r>
        <w:instrText xml:space="preserve"> PAGEREF _Toc166897498 \h </w:instrText>
      </w:r>
      <w:r>
        <w:fldChar w:fldCharType="separate"/>
      </w:r>
      <w:r>
        <w:t>129</w:t>
      </w:r>
      <w:r>
        <w:fldChar w:fldCharType="end"/>
      </w:r>
    </w:p>
    <w:p>
      <w:pPr>
        <w:pStyle w:val="TOC8"/>
        <w:rPr>
          <w:sz w:val="24"/>
          <w:szCs w:val="24"/>
        </w:rPr>
      </w:pPr>
      <w:r>
        <w:rPr>
          <w:szCs w:val="24"/>
        </w:rPr>
        <w:t>106</w:t>
      </w:r>
      <w:r>
        <w:rPr>
          <w:snapToGrid w:val="0"/>
          <w:szCs w:val="24"/>
        </w:rPr>
        <w:t>.</w:t>
      </w:r>
      <w:r>
        <w:rPr>
          <w:snapToGrid w:val="0"/>
          <w:szCs w:val="24"/>
        </w:rPr>
        <w:tab/>
        <w:t>Access authorities</w:t>
      </w:r>
      <w:r>
        <w:tab/>
      </w:r>
      <w:r>
        <w:fldChar w:fldCharType="begin"/>
      </w:r>
      <w:r>
        <w:instrText xml:space="preserve"> PAGEREF _Toc166897499 \h </w:instrText>
      </w:r>
      <w:r>
        <w:fldChar w:fldCharType="separate"/>
      </w:r>
      <w:r>
        <w:t>132</w:t>
      </w:r>
      <w:r>
        <w:fldChar w:fldCharType="end"/>
      </w:r>
    </w:p>
    <w:p>
      <w:pPr>
        <w:pStyle w:val="TOC8"/>
        <w:rPr>
          <w:sz w:val="24"/>
          <w:szCs w:val="24"/>
        </w:rPr>
      </w:pPr>
      <w:r>
        <w:rPr>
          <w:szCs w:val="24"/>
        </w:rPr>
        <w:t>107</w:t>
      </w:r>
      <w:r>
        <w:rPr>
          <w:snapToGrid w:val="0"/>
          <w:szCs w:val="24"/>
        </w:rPr>
        <w:t>.</w:t>
      </w:r>
      <w:r>
        <w:rPr>
          <w:snapToGrid w:val="0"/>
          <w:szCs w:val="24"/>
        </w:rPr>
        <w:tab/>
        <w:t>Removal, disposal or sale of property</w:t>
      </w:r>
      <w:r>
        <w:tab/>
      </w:r>
      <w:r>
        <w:fldChar w:fldCharType="begin"/>
      </w:r>
      <w:r>
        <w:instrText xml:space="preserve"> PAGEREF _Toc166897500 \h </w:instrText>
      </w:r>
      <w:r>
        <w:fldChar w:fldCharType="separate"/>
      </w:r>
      <w:r>
        <w:t>136</w:t>
      </w:r>
      <w:r>
        <w:fldChar w:fldCharType="end"/>
      </w:r>
    </w:p>
    <w:p>
      <w:pPr>
        <w:pStyle w:val="TOC8"/>
        <w:rPr>
          <w:sz w:val="24"/>
          <w:szCs w:val="24"/>
        </w:rPr>
      </w:pPr>
      <w:r>
        <w:rPr>
          <w:szCs w:val="24"/>
        </w:rPr>
        <w:t>109</w:t>
      </w:r>
      <w:r>
        <w:rPr>
          <w:snapToGrid w:val="0"/>
          <w:szCs w:val="24"/>
        </w:rPr>
        <w:t>.</w:t>
      </w:r>
      <w:r>
        <w:rPr>
          <w:snapToGrid w:val="0"/>
          <w:szCs w:val="24"/>
        </w:rPr>
        <w:tab/>
        <w:t>Minister etc. may require information to be furnished etc.</w:t>
      </w:r>
      <w:r>
        <w:tab/>
      </w:r>
      <w:r>
        <w:fldChar w:fldCharType="begin"/>
      </w:r>
      <w:r>
        <w:instrText xml:space="preserve"> PAGEREF _Toc166897501 \h </w:instrText>
      </w:r>
      <w:r>
        <w:fldChar w:fldCharType="separate"/>
      </w:r>
      <w:r>
        <w:t>137</w:t>
      </w:r>
      <w:r>
        <w:fldChar w:fldCharType="end"/>
      </w:r>
    </w:p>
    <w:p>
      <w:pPr>
        <w:pStyle w:val="TOC8"/>
        <w:rPr>
          <w:sz w:val="24"/>
          <w:szCs w:val="24"/>
        </w:rPr>
      </w:pPr>
      <w:r>
        <w:rPr>
          <w:szCs w:val="24"/>
        </w:rPr>
        <w:t>110</w:t>
      </w:r>
      <w:r>
        <w:rPr>
          <w:snapToGrid w:val="0"/>
          <w:szCs w:val="24"/>
        </w:rPr>
        <w:t>.</w:t>
      </w:r>
      <w:r>
        <w:rPr>
          <w:snapToGrid w:val="0"/>
          <w:szCs w:val="24"/>
        </w:rPr>
        <w:tab/>
        <w:t>Power to examine on oath</w:t>
      </w:r>
      <w:r>
        <w:tab/>
      </w:r>
      <w:r>
        <w:fldChar w:fldCharType="begin"/>
      </w:r>
      <w:r>
        <w:instrText xml:space="preserve"> PAGEREF _Toc166897502 \h </w:instrText>
      </w:r>
      <w:r>
        <w:fldChar w:fldCharType="separate"/>
      </w:r>
      <w:r>
        <w:t>138</w:t>
      </w:r>
      <w:r>
        <w:fldChar w:fldCharType="end"/>
      </w:r>
    </w:p>
    <w:p>
      <w:pPr>
        <w:pStyle w:val="TOC8"/>
        <w:rPr>
          <w:sz w:val="24"/>
          <w:szCs w:val="24"/>
        </w:rPr>
      </w:pPr>
      <w:r>
        <w:rPr>
          <w:szCs w:val="24"/>
        </w:rPr>
        <w:t>111</w:t>
      </w:r>
      <w:r>
        <w:rPr>
          <w:snapToGrid w:val="0"/>
          <w:szCs w:val="24"/>
        </w:rPr>
        <w:t>.</w:t>
      </w:r>
      <w:r>
        <w:rPr>
          <w:snapToGrid w:val="0"/>
          <w:szCs w:val="24"/>
        </w:rPr>
        <w:tab/>
        <w:t>Failing to furnish information etc.</w:t>
      </w:r>
      <w:r>
        <w:tab/>
      </w:r>
      <w:r>
        <w:fldChar w:fldCharType="begin"/>
      </w:r>
      <w:r>
        <w:instrText xml:space="preserve"> PAGEREF _Toc166897503 \h </w:instrText>
      </w:r>
      <w:r>
        <w:fldChar w:fldCharType="separate"/>
      </w:r>
      <w:r>
        <w:t>138</w:t>
      </w:r>
      <w:r>
        <w:fldChar w:fldCharType="end"/>
      </w:r>
    </w:p>
    <w:p>
      <w:pPr>
        <w:pStyle w:val="TOC8"/>
        <w:rPr>
          <w:sz w:val="24"/>
          <w:szCs w:val="24"/>
        </w:rPr>
      </w:pPr>
      <w:r>
        <w:rPr>
          <w:szCs w:val="24"/>
        </w:rPr>
        <w:t>112</w:t>
      </w:r>
      <w:r>
        <w:rPr>
          <w:snapToGrid w:val="0"/>
          <w:szCs w:val="24"/>
        </w:rPr>
        <w:t>.</w:t>
      </w:r>
      <w:r>
        <w:rPr>
          <w:snapToGrid w:val="0"/>
          <w:szCs w:val="24"/>
        </w:rPr>
        <w:tab/>
        <w:t>Release of information etc.</w:t>
      </w:r>
      <w:r>
        <w:tab/>
      </w:r>
      <w:r>
        <w:fldChar w:fldCharType="begin"/>
      </w:r>
      <w:r>
        <w:instrText xml:space="preserve"> PAGEREF _Toc166897504 \h </w:instrText>
      </w:r>
      <w:r>
        <w:fldChar w:fldCharType="separate"/>
      </w:r>
      <w:r>
        <w:t>139</w:t>
      </w:r>
      <w:r>
        <w:fldChar w:fldCharType="end"/>
      </w:r>
    </w:p>
    <w:p>
      <w:pPr>
        <w:pStyle w:val="TOC8"/>
        <w:rPr>
          <w:sz w:val="24"/>
          <w:szCs w:val="24"/>
        </w:rPr>
      </w:pPr>
      <w:r>
        <w:rPr>
          <w:szCs w:val="24"/>
        </w:rPr>
        <w:t>112A</w:t>
      </w:r>
      <w:r>
        <w:rPr>
          <w:snapToGrid w:val="0"/>
          <w:szCs w:val="24"/>
        </w:rPr>
        <w:t>.</w:t>
      </w:r>
      <w:r>
        <w:rPr>
          <w:snapToGrid w:val="0"/>
          <w:szCs w:val="24"/>
        </w:rPr>
        <w:tab/>
        <w:t>Safety zones</w:t>
      </w:r>
      <w:r>
        <w:tab/>
      </w:r>
      <w:r>
        <w:fldChar w:fldCharType="begin"/>
      </w:r>
      <w:r>
        <w:instrText xml:space="preserve"> PAGEREF _Toc166897505 \h </w:instrText>
      </w:r>
      <w:r>
        <w:fldChar w:fldCharType="separate"/>
      </w:r>
      <w:r>
        <w:t>147</w:t>
      </w:r>
      <w:r>
        <w:fldChar w:fldCharType="end"/>
      </w:r>
    </w:p>
    <w:p>
      <w:pPr>
        <w:pStyle w:val="TOC8"/>
        <w:rPr>
          <w:sz w:val="24"/>
          <w:szCs w:val="24"/>
        </w:rPr>
      </w:pPr>
      <w:r>
        <w:rPr>
          <w:szCs w:val="24"/>
        </w:rPr>
        <w:t>113</w:t>
      </w:r>
      <w:r>
        <w:rPr>
          <w:snapToGrid w:val="0"/>
          <w:szCs w:val="24"/>
        </w:rPr>
        <w:t>.</w:t>
      </w:r>
      <w:r>
        <w:rPr>
          <w:snapToGrid w:val="0"/>
          <w:szCs w:val="24"/>
        </w:rPr>
        <w:tab/>
        <w:t>Discovery of water to be notified</w:t>
      </w:r>
      <w:r>
        <w:tab/>
      </w:r>
      <w:r>
        <w:fldChar w:fldCharType="begin"/>
      </w:r>
      <w:r>
        <w:instrText xml:space="preserve"> PAGEREF _Toc166897506 \h </w:instrText>
      </w:r>
      <w:r>
        <w:fldChar w:fldCharType="separate"/>
      </w:r>
      <w:r>
        <w:t>148</w:t>
      </w:r>
      <w:r>
        <w:fldChar w:fldCharType="end"/>
      </w:r>
    </w:p>
    <w:p>
      <w:pPr>
        <w:pStyle w:val="TOC8"/>
        <w:rPr>
          <w:sz w:val="24"/>
          <w:szCs w:val="24"/>
        </w:rPr>
      </w:pPr>
      <w:r>
        <w:rPr>
          <w:szCs w:val="24"/>
        </w:rPr>
        <w:t>114</w:t>
      </w:r>
      <w:r>
        <w:rPr>
          <w:snapToGrid w:val="0"/>
          <w:szCs w:val="24"/>
        </w:rPr>
        <w:t>.</w:t>
      </w:r>
      <w:r>
        <w:rPr>
          <w:snapToGrid w:val="0"/>
          <w:szCs w:val="24"/>
        </w:rPr>
        <w:tab/>
        <w:t>Survey of wells etc.</w:t>
      </w:r>
      <w:r>
        <w:tab/>
      </w:r>
      <w:r>
        <w:fldChar w:fldCharType="begin"/>
      </w:r>
      <w:r>
        <w:instrText xml:space="preserve"> PAGEREF _Toc166897507 \h </w:instrText>
      </w:r>
      <w:r>
        <w:fldChar w:fldCharType="separate"/>
      </w:r>
      <w:r>
        <w:t>148</w:t>
      </w:r>
      <w:r>
        <w:fldChar w:fldCharType="end"/>
      </w:r>
    </w:p>
    <w:p>
      <w:pPr>
        <w:pStyle w:val="TOC8"/>
        <w:rPr>
          <w:sz w:val="24"/>
          <w:szCs w:val="24"/>
        </w:rPr>
      </w:pPr>
      <w:r>
        <w:rPr>
          <w:szCs w:val="24"/>
        </w:rPr>
        <w:t>115</w:t>
      </w:r>
      <w:r>
        <w:rPr>
          <w:snapToGrid w:val="0"/>
          <w:szCs w:val="24"/>
        </w:rPr>
        <w:t>.</w:t>
      </w:r>
      <w:r>
        <w:rPr>
          <w:snapToGrid w:val="0"/>
          <w:szCs w:val="24"/>
        </w:rPr>
        <w:tab/>
        <w:t>Records etc. to be kept</w:t>
      </w:r>
      <w:r>
        <w:tab/>
      </w:r>
      <w:r>
        <w:fldChar w:fldCharType="begin"/>
      </w:r>
      <w:r>
        <w:instrText xml:space="preserve"> PAGEREF _Toc166897508 \h </w:instrText>
      </w:r>
      <w:r>
        <w:fldChar w:fldCharType="separate"/>
      </w:r>
      <w:r>
        <w:t>149</w:t>
      </w:r>
      <w:r>
        <w:fldChar w:fldCharType="end"/>
      </w:r>
    </w:p>
    <w:p>
      <w:pPr>
        <w:pStyle w:val="TOC8"/>
        <w:rPr>
          <w:sz w:val="24"/>
          <w:szCs w:val="24"/>
        </w:rPr>
      </w:pPr>
      <w:r>
        <w:rPr>
          <w:szCs w:val="24"/>
        </w:rPr>
        <w:t>116</w:t>
      </w:r>
      <w:r>
        <w:rPr>
          <w:snapToGrid w:val="0"/>
          <w:szCs w:val="24"/>
        </w:rPr>
        <w:t>.</w:t>
      </w:r>
      <w:r>
        <w:rPr>
          <w:snapToGrid w:val="0"/>
          <w:szCs w:val="24"/>
        </w:rPr>
        <w:tab/>
        <w:t>Scientific investigations</w:t>
      </w:r>
      <w:r>
        <w:tab/>
      </w:r>
      <w:r>
        <w:fldChar w:fldCharType="begin"/>
      </w:r>
      <w:r>
        <w:instrText xml:space="preserve"> PAGEREF _Toc166897509 \h </w:instrText>
      </w:r>
      <w:r>
        <w:fldChar w:fldCharType="separate"/>
      </w:r>
      <w:r>
        <w:t>149</w:t>
      </w:r>
      <w:r>
        <w:fldChar w:fldCharType="end"/>
      </w:r>
    </w:p>
    <w:p>
      <w:pPr>
        <w:pStyle w:val="TOC8"/>
        <w:rPr>
          <w:sz w:val="24"/>
          <w:szCs w:val="24"/>
        </w:rPr>
      </w:pPr>
      <w:r>
        <w:rPr>
          <w:szCs w:val="24"/>
        </w:rPr>
        <w:t>117</w:t>
      </w:r>
      <w:r>
        <w:rPr>
          <w:snapToGrid w:val="0"/>
          <w:szCs w:val="24"/>
        </w:rPr>
        <w:t>.</w:t>
      </w:r>
      <w:r>
        <w:rPr>
          <w:snapToGrid w:val="0"/>
          <w:szCs w:val="24"/>
        </w:rPr>
        <w:tab/>
        <w:t>Interference with other rights etc.</w:t>
      </w:r>
      <w:r>
        <w:tab/>
      </w:r>
      <w:r>
        <w:fldChar w:fldCharType="begin"/>
      </w:r>
      <w:r>
        <w:instrText xml:space="preserve"> PAGEREF _Toc166897510 \h </w:instrText>
      </w:r>
      <w:r>
        <w:fldChar w:fldCharType="separate"/>
      </w:r>
      <w:r>
        <w:t>150</w:t>
      </w:r>
      <w:r>
        <w:fldChar w:fldCharType="end"/>
      </w:r>
    </w:p>
    <w:p>
      <w:pPr>
        <w:pStyle w:val="TOC8"/>
        <w:rPr>
          <w:sz w:val="24"/>
          <w:szCs w:val="24"/>
        </w:rPr>
      </w:pPr>
      <w:r>
        <w:rPr>
          <w:szCs w:val="24"/>
        </w:rPr>
        <w:t>118</w:t>
      </w:r>
      <w:r>
        <w:rPr>
          <w:snapToGrid w:val="0"/>
          <w:szCs w:val="24"/>
        </w:rPr>
        <w:t>.</w:t>
      </w:r>
      <w:r>
        <w:rPr>
          <w:snapToGrid w:val="0"/>
          <w:szCs w:val="24"/>
        </w:rPr>
        <w:tab/>
        <w:t>Inspectors</w:t>
      </w:r>
      <w:r>
        <w:tab/>
      </w:r>
      <w:r>
        <w:fldChar w:fldCharType="begin"/>
      </w:r>
      <w:r>
        <w:instrText xml:space="preserve"> PAGEREF _Toc166897511 \h </w:instrText>
      </w:r>
      <w:r>
        <w:fldChar w:fldCharType="separate"/>
      </w:r>
      <w:r>
        <w:t>150</w:t>
      </w:r>
      <w:r>
        <w:fldChar w:fldCharType="end"/>
      </w:r>
    </w:p>
    <w:p>
      <w:pPr>
        <w:pStyle w:val="TOC8"/>
        <w:rPr>
          <w:sz w:val="24"/>
          <w:szCs w:val="24"/>
        </w:rPr>
      </w:pPr>
      <w:r>
        <w:rPr>
          <w:szCs w:val="24"/>
        </w:rPr>
        <w:t>119</w:t>
      </w:r>
      <w:r>
        <w:rPr>
          <w:snapToGrid w:val="0"/>
          <w:szCs w:val="24"/>
        </w:rPr>
        <w:t>.</w:t>
      </w:r>
      <w:r>
        <w:rPr>
          <w:snapToGrid w:val="0"/>
          <w:szCs w:val="24"/>
        </w:rPr>
        <w:tab/>
        <w:t>Powers of inspectors</w:t>
      </w:r>
      <w:r>
        <w:tab/>
      </w:r>
      <w:r>
        <w:fldChar w:fldCharType="begin"/>
      </w:r>
      <w:r>
        <w:instrText xml:space="preserve"> PAGEREF _Toc166897512 \h </w:instrText>
      </w:r>
      <w:r>
        <w:fldChar w:fldCharType="separate"/>
      </w:r>
      <w:r>
        <w:t>151</w:t>
      </w:r>
      <w:r>
        <w:fldChar w:fldCharType="end"/>
      </w:r>
    </w:p>
    <w:p>
      <w:pPr>
        <w:pStyle w:val="TOC8"/>
        <w:rPr>
          <w:sz w:val="24"/>
          <w:szCs w:val="24"/>
        </w:rPr>
      </w:pPr>
      <w:r>
        <w:rPr>
          <w:szCs w:val="24"/>
        </w:rPr>
        <w:t>120</w:t>
      </w:r>
      <w:r>
        <w:rPr>
          <w:snapToGrid w:val="0"/>
          <w:szCs w:val="24"/>
        </w:rPr>
        <w:t>.</w:t>
      </w:r>
      <w:r>
        <w:rPr>
          <w:snapToGrid w:val="0"/>
          <w:szCs w:val="24"/>
        </w:rPr>
        <w:tab/>
        <w:t>Property in petroleum</w:t>
      </w:r>
      <w:r>
        <w:tab/>
      </w:r>
      <w:r>
        <w:fldChar w:fldCharType="begin"/>
      </w:r>
      <w:r>
        <w:instrText xml:space="preserve"> PAGEREF _Toc166897513 \h </w:instrText>
      </w:r>
      <w:r>
        <w:fldChar w:fldCharType="separate"/>
      </w:r>
      <w:r>
        <w:t>152</w:t>
      </w:r>
      <w:r>
        <w:fldChar w:fldCharType="end"/>
      </w:r>
    </w:p>
    <w:p>
      <w:pPr>
        <w:pStyle w:val="TOC8"/>
        <w:rPr>
          <w:sz w:val="24"/>
          <w:szCs w:val="24"/>
        </w:rPr>
      </w:pPr>
      <w:r>
        <w:rPr>
          <w:szCs w:val="24"/>
        </w:rPr>
        <w:t>121</w:t>
      </w:r>
      <w:r>
        <w:rPr>
          <w:snapToGrid w:val="0"/>
          <w:szCs w:val="24"/>
        </w:rPr>
        <w:t>.</w:t>
      </w:r>
      <w:r>
        <w:rPr>
          <w:snapToGrid w:val="0"/>
          <w:szCs w:val="24"/>
        </w:rPr>
        <w:tab/>
        <w:t>Continuing offences</w:t>
      </w:r>
      <w:r>
        <w:tab/>
      </w:r>
      <w:r>
        <w:fldChar w:fldCharType="begin"/>
      </w:r>
      <w:r>
        <w:instrText xml:space="preserve"> PAGEREF _Toc166897514 \h </w:instrText>
      </w:r>
      <w:r>
        <w:fldChar w:fldCharType="separate"/>
      </w:r>
      <w:r>
        <w:t>152</w:t>
      </w:r>
      <w:r>
        <w:fldChar w:fldCharType="end"/>
      </w:r>
    </w:p>
    <w:p>
      <w:pPr>
        <w:pStyle w:val="TOC8"/>
        <w:rPr>
          <w:sz w:val="24"/>
          <w:szCs w:val="24"/>
        </w:rPr>
      </w:pPr>
      <w:r>
        <w:rPr>
          <w:szCs w:val="24"/>
        </w:rPr>
        <w:t>122.</w:t>
      </w:r>
      <w:r>
        <w:rPr>
          <w:szCs w:val="24"/>
        </w:rPr>
        <w:tab/>
        <w:t>Crimes and other offences</w:t>
      </w:r>
      <w:r>
        <w:tab/>
      </w:r>
      <w:r>
        <w:fldChar w:fldCharType="begin"/>
      </w:r>
      <w:r>
        <w:instrText xml:space="preserve"> PAGEREF _Toc166897515 \h </w:instrText>
      </w:r>
      <w:r>
        <w:fldChar w:fldCharType="separate"/>
      </w:r>
      <w:r>
        <w:t>153</w:t>
      </w:r>
      <w:r>
        <w:fldChar w:fldCharType="end"/>
      </w:r>
    </w:p>
    <w:p>
      <w:pPr>
        <w:pStyle w:val="TOC8"/>
        <w:rPr>
          <w:sz w:val="24"/>
          <w:szCs w:val="24"/>
        </w:rPr>
      </w:pPr>
      <w:r>
        <w:rPr>
          <w:szCs w:val="24"/>
        </w:rPr>
        <w:t>123</w:t>
      </w:r>
      <w:r>
        <w:rPr>
          <w:snapToGrid w:val="0"/>
          <w:szCs w:val="24"/>
        </w:rPr>
        <w:t>.</w:t>
      </w:r>
      <w:r>
        <w:rPr>
          <w:snapToGrid w:val="0"/>
          <w:szCs w:val="24"/>
        </w:rPr>
        <w:tab/>
        <w:t>Orders for forfeiture etc. in respect of certain offences</w:t>
      </w:r>
      <w:r>
        <w:tab/>
      </w:r>
      <w:r>
        <w:fldChar w:fldCharType="begin"/>
      </w:r>
      <w:r>
        <w:instrText xml:space="preserve"> PAGEREF _Toc166897516 \h </w:instrText>
      </w:r>
      <w:r>
        <w:fldChar w:fldCharType="separate"/>
      </w:r>
      <w:r>
        <w:t>153</w:t>
      </w:r>
      <w:r>
        <w:fldChar w:fldCharType="end"/>
      </w:r>
    </w:p>
    <w:p>
      <w:pPr>
        <w:pStyle w:val="TOC8"/>
        <w:rPr>
          <w:sz w:val="24"/>
          <w:szCs w:val="24"/>
        </w:rPr>
      </w:pPr>
      <w:r>
        <w:rPr>
          <w:szCs w:val="24"/>
        </w:rPr>
        <w:t>124</w:t>
      </w:r>
      <w:r>
        <w:rPr>
          <w:snapToGrid w:val="0"/>
          <w:szCs w:val="24"/>
        </w:rPr>
        <w:t>.</w:t>
      </w:r>
      <w:r>
        <w:rPr>
          <w:snapToGrid w:val="0"/>
          <w:szCs w:val="24"/>
        </w:rPr>
        <w:tab/>
        <w:t>Power of Attorney General to direct disposal of goods</w:t>
      </w:r>
      <w:r>
        <w:tab/>
      </w:r>
      <w:r>
        <w:fldChar w:fldCharType="begin"/>
      </w:r>
      <w:r>
        <w:instrText xml:space="preserve"> PAGEREF _Toc166897517 \h </w:instrText>
      </w:r>
      <w:r>
        <w:fldChar w:fldCharType="separate"/>
      </w:r>
      <w:r>
        <w:t>154</w:t>
      </w:r>
      <w:r>
        <w:fldChar w:fldCharType="end"/>
      </w:r>
    </w:p>
    <w:p>
      <w:pPr>
        <w:pStyle w:val="TOC8"/>
        <w:rPr>
          <w:sz w:val="24"/>
          <w:szCs w:val="24"/>
        </w:rPr>
      </w:pPr>
      <w:r>
        <w:rPr>
          <w:szCs w:val="24"/>
        </w:rPr>
        <w:t>125</w:t>
      </w:r>
      <w:r>
        <w:rPr>
          <w:snapToGrid w:val="0"/>
          <w:szCs w:val="24"/>
        </w:rPr>
        <w:t>.</w:t>
      </w:r>
      <w:r>
        <w:rPr>
          <w:snapToGrid w:val="0"/>
          <w:szCs w:val="24"/>
        </w:rPr>
        <w:tab/>
        <w:t>Time for bringing proceedings for offences</w:t>
      </w:r>
      <w:r>
        <w:tab/>
      </w:r>
      <w:r>
        <w:fldChar w:fldCharType="begin"/>
      </w:r>
      <w:r>
        <w:instrText xml:space="preserve"> PAGEREF _Toc166897518 \h </w:instrText>
      </w:r>
      <w:r>
        <w:fldChar w:fldCharType="separate"/>
      </w:r>
      <w:r>
        <w:t>154</w:t>
      </w:r>
      <w:r>
        <w:fldChar w:fldCharType="end"/>
      </w:r>
    </w:p>
    <w:p>
      <w:pPr>
        <w:pStyle w:val="TOC8"/>
        <w:rPr>
          <w:sz w:val="24"/>
          <w:szCs w:val="24"/>
        </w:rPr>
      </w:pPr>
      <w:r>
        <w:rPr>
          <w:szCs w:val="24"/>
        </w:rPr>
        <w:t>126</w:t>
      </w:r>
      <w:r>
        <w:rPr>
          <w:snapToGrid w:val="0"/>
          <w:szCs w:val="24"/>
        </w:rPr>
        <w:t>.</w:t>
      </w:r>
      <w:r>
        <w:rPr>
          <w:snapToGrid w:val="0"/>
          <w:szCs w:val="24"/>
        </w:rPr>
        <w:tab/>
        <w:t>Judicial notice</w:t>
      </w:r>
      <w:r>
        <w:tab/>
      </w:r>
      <w:r>
        <w:fldChar w:fldCharType="begin"/>
      </w:r>
      <w:r>
        <w:instrText xml:space="preserve"> PAGEREF _Toc166897519 \h </w:instrText>
      </w:r>
      <w:r>
        <w:fldChar w:fldCharType="separate"/>
      </w:r>
      <w:r>
        <w:t>154</w:t>
      </w:r>
      <w:r>
        <w:fldChar w:fldCharType="end"/>
      </w:r>
    </w:p>
    <w:p>
      <w:pPr>
        <w:pStyle w:val="TOC8"/>
        <w:rPr>
          <w:sz w:val="24"/>
          <w:szCs w:val="24"/>
        </w:rPr>
      </w:pPr>
      <w:r>
        <w:rPr>
          <w:szCs w:val="24"/>
        </w:rPr>
        <w:t>127</w:t>
      </w:r>
      <w:r>
        <w:rPr>
          <w:snapToGrid w:val="0"/>
          <w:szCs w:val="24"/>
        </w:rPr>
        <w:t>.</w:t>
      </w:r>
      <w:r>
        <w:rPr>
          <w:snapToGrid w:val="0"/>
          <w:szCs w:val="24"/>
        </w:rPr>
        <w:tab/>
        <w:t>Service of documents</w:t>
      </w:r>
      <w:r>
        <w:tab/>
      </w:r>
      <w:r>
        <w:fldChar w:fldCharType="begin"/>
      </w:r>
      <w:r>
        <w:instrText xml:space="preserve"> PAGEREF _Toc166897520 \h </w:instrText>
      </w:r>
      <w:r>
        <w:fldChar w:fldCharType="separate"/>
      </w:r>
      <w:r>
        <w:t>154</w:t>
      </w:r>
      <w:r>
        <w:fldChar w:fldCharType="end"/>
      </w:r>
    </w:p>
    <w:p>
      <w:pPr>
        <w:pStyle w:val="TOC8"/>
        <w:rPr>
          <w:sz w:val="24"/>
          <w:szCs w:val="24"/>
        </w:rPr>
      </w:pPr>
      <w:r>
        <w:rPr>
          <w:szCs w:val="24"/>
        </w:rPr>
        <w:t>127A</w:t>
      </w:r>
      <w:r>
        <w:rPr>
          <w:snapToGrid w:val="0"/>
          <w:szCs w:val="24"/>
        </w:rPr>
        <w:t>.</w:t>
      </w:r>
      <w:r>
        <w:rPr>
          <w:snapToGrid w:val="0"/>
          <w:szCs w:val="24"/>
        </w:rPr>
        <w:tab/>
        <w:t>Service of documents on 2 or more permittees etc.</w:t>
      </w:r>
      <w:r>
        <w:tab/>
      </w:r>
      <w:r>
        <w:fldChar w:fldCharType="begin"/>
      </w:r>
      <w:r>
        <w:instrText xml:space="preserve"> PAGEREF _Toc166897521 \h </w:instrText>
      </w:r>
      <w:r>
        <w:fldChar w:fldCharType="separate"/>
      </w:r>
      <w:r>
        <w:t>156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Transitional provisions</w:t>
      </w:r>
    </w:p>
    <w:p>
      <w:pPr>
        <w:pStyle w:val="TOC8"/>
        <w:rPr>
          <w:sz w:val="24"/>
          <w:szCs w:val="24"/>
        </w:rPr>
      </w:pPr>
      <w:r>
        <w:rPr>
          <w:szCs w:val="24"/>
        </w:rPr>
        <w:t>128</w:t>
      </w:r>
      <w:r>
        <w:rPr>
          <w:snapToGrid w:val="0"/>
          <w:szCs w:val="24"/>
        </w:rPr>
        <w:t>.</w:t>
      </w:r>
      <w:r>
        <w:rPr>
          <w:snapToGrid w:val="0"/>
          <w:szCs w:val="24"/>
        </w:rPr>
        <w:tab/>
        <w:t>Terms used in this Division</w:t>
      </w:r>
      <w:r>
        <w:tab/>
      </w:r>
      <w:r>
        <w:fldChar w:fldCharType="begin"/>
      </w:r>
      <w:r>
        <w:instrText xml:space="preserve"> PAGEREF _Toc166897523 \h </w:instrText>
      </w:r>
      <w:r>
        <w:fldChar w:fldCharType="separate"/>
      </w:r>
      <w:r>
        <w:t>157</w:t>
      </w:r>
      <w:r>
        <w:fldChar w:fldCharType="end"/>
      </w:r>
    </w:p>
    <w:p>
      <w:pPr>
        <w:pStyle w:val="TOC8"/>
        <w:rPr>
          <w:sz w:val="24"/>
          <w:szCs w:val="24"/>
        </w:rPr>
      </w:pPr>
      <w:r>
        <w:rPr>
          <w:szCs w:val="24"/>
        </w:rPr>
        <w:t>129</w:t>
      </w:r>
      <w:r>
        <w:rPr>
          <w:snapToGrid w:val="0"/>
          <w:szCs w:val="24"/>
        </w:rPr>
        <w:t>.</w:t>
      </w:r>
      <w:r>
        <w:rPr>
          <w:snapToGrid w:val="0"/>
          <w:szCs w:val="24"/>
        </w:rPr>
        <w:tab/>
        <w:t>This Division prevails over other provisions</w:t>
      </w:r>
      <w:r>
        <w:tab/>
      </w:r>
      <w:r>
        <w:fldChar w:fldCharType="begin"/>
      </w:r>
      <w:r>
        <w:instrText xml:space="preserve"> PAGEREF _Toc166897524 \h </w:instrText>
      </w:r>
      <w:r>
        <w:fldChar w:fldCharType="separate"/>
      </w:r>
      <w:r>
        <w:t>158</w:t>
      </w:r>
      <w:r>
        <w:fldChar w:fldCharType="end"/>
      </w:r>
    </w:p>
    <w:p>
      <w:pPr>
        <w:pStyle w:val="TOC8"/>
        <w:rPr>
          <w:sz w:val="24"/>
          <w:szCs w:val="24"/>
        </w:rPr>
      </w:pPr>
      <w:r>
        <w:rPr>
          <w:szCs w:val="24"/>
        </w:rPr>
        <w:t>130</w:t>
      </w:r>
      <w:r>
        <w:rPr>
          <w:snapToGrid w:val="0"/>
          <w:szCs w:val="24"/>
        </w:rPr>
        <w:t>.</w:t>
      </w:r>
      <w:r>
        <w:rPr>
          <w:snapToGrid w:val="0"/>
          <w:szCs w:val="24"/>
        </w:rPr>
        <w:tab/>
        <w:t>Cessation of operation of former provisions</w:t>
      </w:r>
      <w:r>
        <w:tab/>
      </w:r>
      <w:r>
        <w:fldChar w:fldCharType="begin"/>
      </w:r>
      <w:r>
        <w:instrText xml:space="preserve"> PAGEREF _Toc166897525 \h </w:instrText>
      </w:r>
      <w:r>
        <w:fldChar w:fldCharType="separate"/>
      </w:r>
      <w:r>
        <w:t>159</w:t>
      </w:r>
      <w:r>
        <w:fldChar w:fldCharType="end"/>
      </w:r>
    </w:p>
    <w:p>
      <w:pPr>
        <w:pStyle w:val="TOC8"/>
        <w:rPr>
          <w:sz w:val="24"/>
          <w:szCs w:val="24"/>
        </w:rPr>
      </w:pPr>
      <w:r>
        <w:rPr>
          <w:szCs w:val="24"/>
        </w:rPr>
        <w:t>131</w:t>
      </w:r>
      <w:r>
        <w:rPr>
          <w:snapToGrid w:val="0"/>
          <w:szCs w:val="24"/>
        </w:rPr>
        <w:t>.</w:t>
      </w:r>
      <w:r>
        <w:rPr>
          <w:snapToGrid w:val="0"/>
          <w:szCs w:val="24"/>
        </w:rPr>
        <w:tab/>
        <w:t>Prohibition on granting of instruments under former provisions after commencing day</w:t>
      </w:r>
      <w:r>
        <w:tab/>
      </w:r>
      <w:r>
        <w:fldChar w:fldCharType="begin"/>
      </w:r>
      <w:r>
        <w:instrText xml:space="preserve"> PAGEREF _Toc166897526 \h </w:instrText>
      </w:r>
      <w:r>
        <w:fldChar w:fldCharType="separate"/>
      </w:r>
      <w:r>
        <w:t>159</w:t>
      </w:r>
      <w:r>
        <w:fldChar w:fldCharType="end"/>
      </w:r>
    </w:p>
    <w:p>
      <w:pPr>
        <w:pStyle w:val="TOC8"/>
        <w:rPr>
          <w:sz w:val="24"/>
          <w:szCs w:val="24"/>
        </w:rPr>
      </w:pPr>
      <w:r>
        <w:rPr>
          <w:szCs w:val="24"/>
        </w:rPr>
        <w:t>132</w:t>
      </w:r>
      <w:r>
        <w:rPr>
          <w:snapToGrid w:val="0"/>
          <w:szCs w:val="24"/>
        </w:rPr>
        <w:t>.</w:t>
      </w:r>
      <w:r>
        <w:rPr>
          <w:snapToGrid w:val="0"/>
          <w:szCs w:val="24"/>
        </w:rPr>
        <w:tab/>
        <w:t>Rights of holders of existing prescribed instruments</w:t>
      </w:r>
      <w:r>
        <w:tab/>
      </w:r>
      <w:r>
        <w:fldChar w:fldCharType="begin"/>
      </w:r>
      <w:r>
        <w:instrText xml:space="preserve"> PAGEREF _Toc166897527 \h </w:instrText>
      </w:r>
      <w:r>
        <w:fldChar w:fldCharType="separate"/>
      </w:r>
      <w:r>
        <w:t>159</w:t>
      </w:r>
      <w:r>
        <w:fldChar w:fldCharType="end"/>
      </w:r>
    </w:p>
    <w:p>
      <w:pPr>
        <w:pStyle w:val="TOC8"/>
        <w:rPr>
          <w:sz w:val="24"/>
          <w:szCs w:val="24"/>
        </w:rPr>
      </w:pPr>
      <w:r>
        <w:rPr>
          <w:szCs w:val="24"/>
        </w:rPr>
        <w:t>133</w:t>
      </w:r>
      <w:r>
        <w:rPr>
          <w:snapToGrid w:val="0"/>
          <w:szCs w:val="24"/>
        </w:rPr>
        <w:t>.</w:t>
      </w:r>
      <w:r>
        <w:rPr>
          <w:snapToGrid w:val="0"/>
          <w:szCs w:val="24"/>
        </w:rPr>
        <w:tab/>
        <w:t>Holders of existing instruments may be granted permits under this Part</w:t>
      </w:r>
      <w:r>
        <w:tab/>
      </w:r>
      <w:r>
        <w:fldChar w:fldCharType="begin"/>
      </w:r>
      <w:r>
        <w:instrText xml:space="preserve"> PAGEREF _Toc166897528 \h </w:instrText>
      </w:r>
      <w:r>
        <w:fldChar w:fldCharType="separate"/>
      </w:r>
      <w:r>
        <w:t>160</w:t>
      </w:r>
      <w:r>
        <w:fldChar w:fldCharType="end"/>
      </w:r>
    </w:p>
    <w:p>
      <w:pPr>
        <w:pStyle w:val="TOC8"/>
        <w:rPr>
          <w:sz w:val="24"/>
          <w:szCs w:val="24"/>
        </w:rPr>
      </w:pPr>
      <w:r>
        <w:rPr>
          <w:szCs w:val="24"/>
        </w:rPr>
        <w:t>134</w:t>
      </w:r>
      <w:r>
        <w:rPr>
          <w:snapToGrid w:val="0"/>
          <w:szCs w:val="24"/>
        </w:rPr>
        <w:t>.</w:t>
      </w:r>
      <w:r>
        <w:rPr>
          <w:snapToGrid w:val="0"/>
          <w:szCs w:val="24"/>
        </w:rPr>
        <w:tab/>
        <w:t>Transitional provisions relating to Barrow Island lease</w:t>
      </w:r>
      <w:r>
        <w:tab/>
      </w:r>
      <w:r>
        <w:fldChar w:fldCharType="begin"/>
      </w:r>
      <w:r>
        <w:instrText xml:space="preserve"> PAGEREF _Toc166897529 \h </w:instrText>
      </w:r>
      <w:r>
        <w:fldChar w:fldCharType="separate"/>
      </w:r>
      <w:r>
        <w:t>161</w:t>
      </w:r>
      <w:r>
        <w:fldChar w:fldCharType="end"/>
      </w:r>
    </w:p>
    <w:p>
      <w:pPr>
        <w:pStyle w:val="TOC8"/>
        <w:rPr>
          <w:sz w:val="24"/>
          <w:szCs w:val="24"/>
        </w:rPr>
      </w:pPr>
      <w:r>
        <w:rPr>
          <w:szCs w:val="24"/>
        </w:rPr>
        <w:t>134A</w:t>
      </w:r>
      <w:r>
        <w:rPr>
          <w:snapToGrid w:val="0"/>
          <w:szCs w:val="24"/>
        </w:rPr>
        <w:t>.</w:t>
      </w:r>
      <w:r>
        <w:rPr>
          <w:snapToGrid w:val="0"/>
          <w:szCs w:val="24"/>
        </w:rPr>
        <w:tab/>
        <w:t>Application of former provisions after coming into operation of variation agreement</w:t>
      </w:r>
      <w:r>
        <w:tab/>
      </w:r>
      <w:r>
        <w:fldChar w:fldCharType="begin"/>
      </w:r>
      <w:r>
        <w:instrText xml:space="preserve"> PAGEREF _Toc166897530 \h </w:instrText>
      </w:r>
      <w:r>
        <w:fldChar w:fldCharType="separate"/>
      </w:r>
      <w:r>
        <w:t>162</w:t>
      </w:r>
      <w:r>
        <w:fldChar w:fldCharType="end"/>
      </w:r>
    </w:p>
    <w:p>
      <w:pPr>
        <w:pStyle w:val="TOC8"/>
        <w:rPr>
          <w:sz w:val="24"/>
          <w:szCs w:val="24"/>
        </w:rPr>
      </w:pPr>
      <w:r>
        <w:rPr>
          <w:szCs w:val="24"/>
        </w:rPr>
        <w:t>135</w:t>
      </w:r>
      <w:r>
        <w:rPr>
          <w:snapToGrid w:val="0"/>
          <w:szCs w:val="24"/>
        </w:rPr>
        <w:t>.</w:t>
      </w:r>
      <w:r>
        <w:rPr>
          <w:snapToGrid w:val="0"/>
          <w:szCs w:val="24"/>
        </w:rPr>
        <w:tab/>
        <w:t>Certain portions of blocks to be blocks</w:t>
      </w:r>
      <w:r>
        <w:tab/>
      </w:r>
      <w:r>
        <w:fldChar w:fldCharType="begin"/>
      </w:r>
      <w:r>
        <w:instrText xml:space="preserve"> PAGEREF _Toc166897531 \h </w:instrText>
      </w:r>
      <w:r>
        <w:fldChar w:fldCharType="separate"/>
      </w:r>
      <w:r>
        <w:t>165</w:t>
      </w:r>
      <w:r>
        <w:fldChar w:fldCharType="end"/>
      </w:r>
    </w:p>
    <w:p>
      <w:pPr>
        <w:pStyle w:val="TOC8"/>
        <w:rPr>
          <w:sz w:val="24"/>
          <w:szCs w:val="24"/>
        </w:rPr>
      </w:pPr>
      <w:r>
        <w:rPr>
          <w:szCs w:val="24"/>
        </w:rPr>
        <w:t>136</w:t>
      </w:r>
      <w:r>
        <w:rPr>
          <w:snapToGrid w:val="0"/>
          <w:szCs w:val="24"/>
        </w:rPr>
        <w:t>.</w:t>
      </w:r>
      <w:r>
        <w:rPr>
          <w:snapToGrid w:val="0"/>
          <w:szCs w:val="24"/>
        </w:rPr>
        <w:tab/>
        <w:t>Certain petroleum exploration or recovery activities not prohibited by section 29 or 49</w:t>
      </w:r>
      <w:r>
        <w:tab/>
      </w:r>
      <w:r>
        <w:fldChar w:fldCharType="begin"/>
      </w:r>
      <w:r>
        <w:instrText xml:space="preserve"> PAGEREF _Toc166897532 \h </w:instrText>
      </w:r>
      <w:r>
        <w:fldChar w:fldCharType="separate"/>
      </w:r>
      <w:r>
        <w:t>166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137</w:t>
      </w:r>
      <w:r>
        <w:rPr>
          <w:snapToGrid w:val="0"/>
          <w:szCs w:val="24"/>
        </w:rPr>
        <w:t>.</w:t>
      </w:r>
      <w:r>
        <w:rPr>
          <w:snapToGrid w:val="0"/>
          <w:szCs w:val="24"/>
        </w:rPr>
        <w:tab/>
        <w:t>Permit and drilling reservation fees</w:t>
      </w:r>
      <w:r>
        <w:tab/>
      </w:r>
      <w:r>
        <w:fldChar w:fldCharType="begin"/>
      </w:r>
      <w:r>
        <w:instrText xml:space="preserve"> PAGEREF _Toc166897534 \h </w:instrText>
      </w:r>
      <w:r>
        <w:fldChar w:fldCharType="separate"/>
      </w:r>
      <w:r>
        <w:t>166</w:t>
      </w:r>
      <w:r>
        <w:fldChar w:fldCharType="end"/>
      </w:r>
    </w:p>
    <w:p>
      <w:pPr>
        <w:pStyle w:val="TOC8"/>
        <w:rPr>
          <w:sz w:val="24"/>
          <w:szCs w:val="24"/>
        </w:rPr>
      </w:pPr>
      <w:r>
        <w:rPr>
          <w:szCs w:val="24"/>
        </w:rPr>
        <w:t>137A</w:t>
      </w:r>
      <w:r>
        <w:rPr>
          <w:snapToGrid w:val="0"/>
          <w:szCs w:val="24"/>
        </w:rPr>
        <w:t>.</w:t>
      </w:r>
      <w:r>
        <w:rPr>
          <w:snapToGrid w:val="0"/>
          <w:szCs w:val="24"/>
        </w:rPr>
        <w:tab/>
        <w:t>Lease fees</w:t>
      </w:r>
      <w:r>
        <w:tab/>
      </w:r>
      <w:r>
        <w:fldChar w:fldCharType="begin"/>
      </w:r>
      <w:r>
        <w:instrText xml:space="preserve"> PAGEREF _Toc166897535 \h </w:instrText>
      </w:r>
      <w:r>
        <w:fldChar w:fldCharType="separate"/>
      </w:r>
      <w:r>
        <w:t>167</w:t>
      </w:r>
      <w:r>
        <w:fldChar w:fldCharType="end"/>
      </w:r>
    </w:p>
    <w:p>
      <w:pPr>
        <w:pStyle w:val="TOC8"/>
        <w:rPr>
          <w:sz w:val="24"/>
          <w:szCs w:val="24"/>
        </w:rPr>
      </w:pPr>
      <w:r>
        <w:rPr>
          <w:szCs w:val="24"/>
        </w:rPr>
        <w:t>138</w:t>
      </w:r>
      <w:r>
        <w:rPr>
          <w:snapToGrid w:val="0"/>
          <w:szCs w:val="24"/>
        </w:rPr>
        <w:t>.</w:t>
      </w:r>
      <w:r>
        <w:rPr>
          <w:snapToGrid w:val="0"/>
          <w:szCs w:val="24"/>
        </w:rPr>
        <w:tab/>
        <w:t>Licence fees</w:t>
      </w:r>
      <w:r>
        <w:tab/>
      </w:r>
      <w:r>
        <w:fldChar w:fldCharType="begin"/>
      </w:r>
      <w:r>
        <w:instrText xml:space="preserve"> PAGEREF _Toc166897536 \h </w:instrText>
      </w:r>
      <w:r>
        <w:fldChar w:fldCharType="separate"/>
      </w:r>
      <w:r>
        <w:t>167</w:t>
      </w:r>
      <w:r>
        <w:fldChar w:fldCharType="end"/>
      </w:r>
    </w:p>
    <w:p>
      <w:pPr>
        <w:pStyle w:val="TOC8"/>
        <w:rPr>
          <w:sz w:val="24"/>
          <w:szCs w:val="24"/>
        </w:rPr>
      </w:pPr>
      <w:r>
        <w:rPr>
          <w:szCs w:val="24"/>
        </w:rPr>
        <w:t>139</w:t>
      </w:r>
      <w:r>
        <w:rPr>
          <w:snapToGrid w:val="0"/>
          <w:szCs w:val="24"/>
        </w:rPr>
        <w:t>.</w:t>
      </w:r>
      <w:r>
        <w:rPr>
          <w:snapToGrid w:val="0"/>
          <w:szCs w:val="24"/>
        </w:rPr>
        <w:tab/>
        <w:t>Time of payment of fees</w:t>
      </w:r>
      <w:r>
        <w:tab/>
      </w:r>
      <w:r>
        <w:fldChar w:fldCharType="begin"/>
      </w:r>
      <w:r>
        <w:instrText xml:space="preserve"> PAGEREF _Toc166897537 \h </w:instrText>
      </w:r>
      <w:r>
        <w:fldChar w:fldCharType="separate"/>
      </w:r>
      <w:r>
        <w:t>167</w:t>
      </w:r>
      <w:r>
        <w:fldChar w:fldCharType="end"/>
      </w:r>
    </w:p>
    <w:p>
      <w:pPr>
        <w:pStyle w:val="TOC8"/>
        <w:rPr>
          <w:sz w:val="24"/>
          <w:szCs w:val="24"/>
        </w:rPr>
      </w:pPr>
      <w:r>
        <w:rPr>
          <w:szCs w:val="24"/>
        </w:rPr>
        <w:t>140</w:t>
      </w:r>
      <w:r>
        <w:rPr>
          <w:snapToGrid w:val="0"/>
          <w:szCs w:val="24"/>
        </w:rPr>
        <w:t>.</w:t>
      </w:r>
      <w:r>
        <w:rPr>
          <w:snapToGrid w:val="0"/>
          <w:szCs w:val="24"/>
        </w:rPr>
        <w:tab/>
        <w:t>Penalty for late payment of fees</w:t>
      </w:r>
      <w:r>
        <w:tab/>
      </w:r>
      <w:r>
        <w:fldChar w:fldCharType="begin"/>
      </w:r>
      <w:r>
        <w:instrText xml:space="preserve"> PAGEREF _Toc166897538 \h </w:instrText>
      </w:r>
      <w:r>
        <w:fldChar w:fldCharType="separate"/>
      </w:r>
      <w:r>
        <w:t>168</w:t>
      </w:r>
      <w:r>
        <w:fldChar w:fldCharType="end"/>
      </w:r>
    </w:p>
    <w:p>
      <w:pPr>
        <w:pStyle w:val="TOC8"/>
        <w:rPr>
          <w:sz w:val="24"/>
          <w:szCs w:val="24"/>
        </w:rPr>
      </w:pPr>
      <w:r>
        <w:rPr>
          <w:szCs w:val="24"/>
        </w:rPr>
        <w:t>141</w:t>
      </w:r>
      <w:r>
        <w:rPr>
          <w:snapToGrid w:val="0"/>
          <w:szCs w:val="24"/>
        </w:rPr>
        <w:t>.</w:t>
      </w:r>
      <w:r>
        <w:rPr>
          <w:snapToGrid w:val="0"/>
          <w:szCs w:val="24"/>
        </w:rPr>
        <w:tab/>
        <w:t>Fees and penalties debts due to the Crown</w:t>
      </w:r>
      <w:r>
        <w:tab/>
      </w:r>
      <w:r>
        <w:fldChar w:fldCharType="begin"/>
      </w:r>
      <w:r>
        <w:instrText xml:space="preserve"> PAGEREF _Toc166897539 \h </w:instrText>
      </w:r>
      <w:r>
        <w:fldChar w:fldCharType="separate"/>
      </w:r>
      <w:r>
        <w:t>168</w:t>
      </w:r>
      <w:r>
        <w:fldChar w:fldCharType="end"/>
      </w:r>
    </w:p>
    <w:p>
      <w:pPr>
        <w:pStyle w:val="TOC8"/>
        <w:rPr>
          <w:sz w:val="24"/>
          <w:szCs w:val="24"/>
        </w:rPr>
      </w:pPr>
      <w:r>
        <w:rPr>
          <w:szCs w:val="24"/>
        </w:rPr>
        <w:t>142</w:t>
      </w:r>
      <w:r>
        <w:rPr>
          <w:snapToGrid w:val="0"/>
          <w:szCs w:val="24"/>
        </w:rPr>
        <w:t>.</w:t>
      </w:r>
      <w:r>
        <w:rPr>
          <w:snapToGrid w:val="0"/>
          <w:szCs w:val="24"/>
        </w:rPr>
        <w:tab/>
        <w:t>Royalty</w:t>
      </w:r>
      <w:r>
        <w:tab/>
      </w:r>
      <w:r>
        <w:fldChar w:fldCharType="begin"/>
      </w:r>
      <w:r>
        <w:instrText xml:space="preserve"> PAGEREF _Toc166897540 \h </w:instrText>
      </w:r>
      <w:r>
        <w:fldChar w:fldCharType="separate"/>
      </w:r>
      <w:r>
        <w:t>168</w:t>
      </w:r>
      <w:r>
        <w:fldChar w:fldCharType="end"/>
      </w:r>
    </w:p>
    <w:p>
      <w:pPr>
        <w:pStyle w:val="TOC8"/>
        <w:rPr>
          <w:sz w:val="24"/>
          <w:szCs w:val="24"/>
        </w:rPr>
      </w:pPr>
      <w:r>
        <w:rPr>
          <w:szCs w:val="24"/>
        </w:rPr>
        <w:t>143</w:t>
      </w:r>
      <w:r>
        <w:rPr>
          <w:snapToGrid w:val="0"/>
          <w:szCs w:val="24"/>
        </w:rPr>
        <w:t>.</w:t>
      </w:r>
      <w:r>
        <w:rPr>
          <w:snapToGrid w:val="0"/>
          <w:szCs w:val="24"/>
        </w:rPr>
        <w:tab/>
        <w:t>Reduction of royalty in certain cases</w:t>
      </w:r>
      <w:r>
        <w:tab/>
      </w:r>
      <w:r>
        <w:fldChar w:fldCharType="begin"/>
      </w:r>
      <w:r>
        <w:instrText xml:space="preserve"> PAGEREF _Toc166897541 \h </w:instrText>
      </w:r>
      <w:r>
        <w:fldChar w:fldCharType="separate"/>
      </w:r>
      <w:r>
        <w:t>170</w:t>
      </w:r>
      <w:r>
        <w:fldChar w:fldCharType="end"/>
      </w:r>
    </w:p>
    <w:p>
      <w:pPr>
        <w:pStyle w:val="TOC8"/>
        <w:rPr>
          <w:sz w:val="24"/>
          <w:szCs w:val="24"/>
        </w:rPr>
      </w:pPr>
      <w:r>
        <w:rPr>
          <w:szCs w:val="24"/>
        </w:rPr>
        <w:t>144</w:t>
      </w:r>
      <w:r>
        <w:rPr>
          <w:snapToGrid w:val="0"/>
          <w:szCs w:val="24"/>
        </w:rPr>
        <w:t>.</w:t>
      </w:r>
      <w:r>
        <w:rPr>
          <w:snapToGrid w:val="0"/>
          <w:szCs w:val="24"/>
        </w:rPr>
        <w:tab/>
        <w:t>Royalty not payable in certain cases</w:t>
      </w:r>
      <w:r>
        <w:tab/>
      </w:r>
      <w:r>
        <w:fldChar w:fldCharType="begin"/>
      </w:r>
      <w:r>
        <w:instrText xml:space="preserve"> PAGEREF _Toc166897542 \h </w:instrText>
      </w:r>
      <w:r>
        <w:fldChar w:fldCharType="separate"/>
      </w:r>
      <w:r>
        <w:t>171</w:t>
      </w:r>
      <w:r>
        <w:fldChar w:fldCharType="end"/>
      </w:r>
    </w:p>
    <w:p>
      <w:pPr>
        <w:pStyle w:val="TOC8"/>
        <w:rPr>
          <w:sz w:val="24"/>
          <w:szCs w:val="24"/>
        </w:rPr>
      </w:pPr>
      <w:r>
        <w:rPr>
          <w:szCs w:val="24"/>
        </w:rPr>
        <w:t>144A</w:t>
      </w:r>
      <w:r>
        <w:rPr>
          <w:snapToGrid w:val="0"/>
          <w:szCs w:val="24"/>
        </w:rPr>
        <w:t>.</w:t>
      </w:r>
      <w:r>
        <w:rPr>
          <w:snapToGrid w:val="0"/>
          <w:szCs w:val="24"/>
        </w:rPr>
        <w:tab/>
        <w:t>Royalty value</w:t>
      </w:r>
      <w:r>
        <w:tab/>
      </w:r>
      <w:r>
        <w:fldChar w:fldCharType="begin"/>
      </w:r>
      <w:r>
        <w:instrText xml:space="preserve"> PAGEREF _Toc166897543 \h </w:instrText>
      </w:r>
      <w:r>
        <w:fldChar w:fldCharType="separate"/>
      </w:r>
      <w:r>
        <w:t>172</w:t>
      </w:r>
      <w:r>
        <w:fldChar w:fldCharType="end"/>
      </w:r>
    </w:p>
    <w:p>
      <w:pPr>
        <w:pStyle w:val="TOC8"/>
        <w:rPr>
          <w:sz w:val="24"/>
          <w:szCs w:val="24"/>
        </w:rPr>
      </w:pPr>
      <w:r>
        <w:rPr>
          <w:szCs w:val="24"/>
        </w:rPr>
        <w:t>145</w:t>
      </w:r>
      <w:r>
        <w:rPr>
          <w:snapToGrid w:val="0"/>
          <w:szCs w:val="24"/>
        </w:rPr>
        <w:t>.</w:t>
      </w:r>
      <w:r>
        <w:rPr>
          <w:snapToGrid w:val="0"/>
          <w:szCs w:val="24"/>
        </w:rPr>
        <w:tab/>
        <w:t>Ascertainment of value of petroleum</w:t>
      </w:r>
      <w:r>
        <w:tab/>
      </w:r>
      <w:r>
        <w:fldChar w:fldCharType="begin"/>
      </w:r>
      <w:r>
        <w:instrText xml:space="preserve"> PAGEREF _Toc166897544 \h </w:instrText>
      </w:r>
      <w:r>
        <w:fldChar w:fldCharType="separate"/>
      </w:r>
      <w:r>
        <w:t>172</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_Toc166897545 \h </w:instrText>
      </w:r>
      <w:r>
        <w:fldChar w:fldCharType="separate"/>
      </w:r>
      <w:r>
        <w:t>173</w:t>
      </w:r>
      <w:r>
        <w:fldChar w:fldCharType="end"/>
      </w:r>
    </w:p>
    <w:p>
      <w:pPr>
        <w:pStyle w:val="TOC8"/>
        <w:rPr>
          <w:sz w:val="24"/>
          <w:szCs w:val="24"/>
        </w:rPr>
      </w:pPr>
      <w:r>
        <w:rPr>
          <w:szCs w:val="24"/>
        </w:rPr>
        <w:t>147</w:t>
      </w:r>
      <w:r>
        <w:rPr>
          <w:snapToGrid w:val="0"/>
          <w:szCs w:val="24"/>
        </w:rPr>
        <w:t>.</w:t>
      </w:r>
      <w:r>
        <w:rPr>
          <w:snapToGrid w:val="0"/>
          <w:szCs w:val="24"/>
        </w:rPr>
        <w:tab/>
        <w:t>Ascertainment of quantity of petroleum recovered</w:t>
      </w:r>
      <w:r>
        <w:tab/>
      </w:r>
      <w:r>
        <w:fldChar w:fldCharType="begin"/>
      </w:r>
      <w:r>
        <w:instrText xml:space="preserve"> PAGEREF _Toc166897546 \h </w:instrText>
      </w:r>
      <w:r>
        <w:fldChar w:fldCharType="separate"/>
      </w:r>
      <w:r>
        <w:t>173</w:t>
      </w:r>
      <w:r>
        <w:fldChar w:fldCharType="end"/>
      </w:r>
    </w:p>
    <w:p>
      <w:pPr>
        <w:pStyle w:val="TOC8"/>
        <w:rPr>
          <w:sz w:val="24"/>
          <w:szCs w:val="24"/>
        </w:rPr>
      </w:pPr>
      <w:r>
        <w:rPr>
          <w:szCs w:val="24"/>
        </w:rPr>
        <w:t>148</w:t>
      </w:r>
      <w:r>
        <w:rPr>
          <w:snapToGrid w:val="0"/>
          <w:szCs w:val="24"/>
        </w:rPr>
        <w:t>.</w:t>
      </w:r>
      <w:r>
        <w:rPr>
          <w:snapToGrid w:val="0"/>
          <w:szCs w:val="24"/>
        </w:rPr>
        <w:tab/>
        <w:t>Payment of royalty and penalty for late payment</w:t>
      </w:r>
      <w:r>
        <w:tab/>
      </w:r>
      <w:r>
        <w:fldChar w:fldCharType="begin"/>
      </w:r>
      <w:r>
        <w:instrText xml:space="preserve"> PAGEREF _Toc166897547 \h </w:instrText>
      </w:r>
      <w:r>
        <w:fldChar w:fldCharType="separate"/>
      </w:r>
      <w:r>
        <w:t>174</w:t>
      </w:r>
      <w:r>
        <w:fldChar w:fldCharType="end"/>
      </w:r>
    </w:p>
    <w:p>
      <w:pPr>
        <w:pStyle w:val="TOC8"/>
        <w:rPr>
          <w:sz w:val="24"/>
          <w:szCs w:val="24"/>
        </w:rPr>
      </w:pPr>
      <w:r>
        <w:rPr>
          <w:szCs w:val="24"/>
        </w:rPr>
        <w:t>149</w:t>
      </w:r>
      <w:r>
        <w:rPr>
          <w:snapToGrid w:val="0"/>
          <w:szCs w:val="24"/>
        </w:rPr>
        <w:t>.</w:t>
      </w:r>
      <w:r>
        <w:rPr>
          <w:snapToGrid w:val="0"/>
          <w:szCs w:val="24"/>
        </w:rPr>
        <w:tab/>
        <w:t>Amount of royalty and late payment thereof debt due to Crown</w:t>
      </w:r>
      <w:r>
        <w:tab/>
      </w:r>
      <w:r>
        <w:fldChar w:fldCharType="begin"/>
      </w:r>
      <w:r>
        <w:instrText xml:space="preserve"> PAGEREF _Toc166897548 \h </w:instrText>
      </w:r>
      <w:r>
        <w:fldChar w:fldCharType="separate"/>
      </w:r>
      <w:r>
        <w:t>174</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150</w:t>
      </w:r>
      <w:r>
        <w:rPr>
          <w:snapToGrid w:val="0"/>
          <w:szCs w:val="24"/>
        </w:rPr>
        <w:t>.</w:t>
      </w:r>
      <w:r>
        <w:rPr>
          <w:snapToGrid w:val="0"/>
          <w:szCs w:val="24"/>
        </w:rPr>
        <w:tab/>
        <w:t>Jurisdiction of Magistrates Court</w:t>
      </w:r>
      <w:r>
        <w:tab/>
      </w:r>
      <w:r>
        <w:fldChar w:fldCharType="begin"/>
      </w:r>
      <w:r>
        <w:instrText xml:space="preserve"> PAGEREF _Toc166897550 \h </w:instrText>
      </w:r>
      <w:r>
        <w:fldChar w:fldCharType="separate"/>
      </w:r>
      <w:r>
        <w:t>175</w:t>
      </w:r>
      <w:r>
        <w:fldChar w:fldCharType="end"/>
      </w:r>
    </w:p>
    <w:p>
      <w:pPr>
        <w:pStyle w:val="TOC8"/>
        <w:rPr>
          <w:sz w:val="24"/>
          <w:szCs w:val="24"/>
        </w:rPr>
      </w:pPr>
      <w:r>
        <w:rPr>
          <w:szCs w:val="24"/>
        </w:rPr>
        <w:t>151</w:t>
      </w:r>
      <w:r>
        <w:rPr>
          <w:snapToGrid w:val="0"/>
          <w:szCs w:val="24"/>
        </w:rPr>
        <w:t>.</w:t>
      </w:r>
      <w:r>
        <w:rPr>
          <w:snapToGrid w:val="0"/>
          <w:szCs w:val="24"/>
        </w:rPr>
        <w:tab/>
        <w:t>Special case may be reserved for Supreme Court</w:t>
      </w:r>
      <w:r>
        <w:tab/>
      </w:r>
      <w:r>
        <w:fldChar w:fldCharType="begin"/>
      </w:r>
      <w:r>
        <w:instrText xml:space="preserve"> PAGEREF _Toc166897551 \h </w:instrText>
      </w:r>
      <w:r>
        <w:fldChar w:fldCharType="separate"/>
      </w:r>
      <w:r>
        <w:t>175</w:t>
      </w:r>
      <w:r>
        <w:fldChar w:fldCharType="end"/>
      </w:r>
    </w:p>
    <w:p>
      <w:pPr>
        <w:pStyle w:val="TOC8"/>
        <w:rPr>
          <w:sz w:val="24"/>
          <w:szCs w:val="24"/>
        </w:rPr>
      </w:pPr>
      <w:r>
        <w:rPr>
          <w:szCs w:val="24"/>
        </w:rPr>
        <w:t>153</w:t>
      </w:r>
      <w:r>
        <w:rPr>
          <w:snapToGrid w:val="0"/>
          <w:szCs w:val="24"/>
        </w:rPr>
        <w:t>.</w:t>
      </w:r>
      <w:r>
        <w:rPr>
          <w:snapToGrid w:val="0"/>
          <w:szCs w:val="24"/>
        </w:rPr>
        <w:tab/>
        <w:t>Regulations</w:t>
      </w:r>
      <w:r>
        <w:tab/>
      </w:r>
      <w:r>
        <w:fldChar w:fldCharType="begin"/>
      </w:r>
      <w:r>
        <w:instrText xml:space="preserve"> PAGEREF _Toc166897552 \h </w:instrText>
      </w:r>
      <w:r>
        <w:fldChar w:fldCharType="separate"/>
      </w:r>
      <w:r>
        <w:t>176</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_Toc166897555 \h </w:instrText>
      </w:r>
      <w:r>
        <w:fldChar w:fldCharType="separate"/>
      </w:r>
      <w:r>
        <w:t>180</w:t>
      </w:r>
      <w:r>
        <w:fldChar w:fldCharType="end"/>
      </w:r>
    </w:p>
    <w:p>
      <w:pPr>
        <w:pStyle w:val="TOC8"/>
        <w:rPr>
          <w:sz w:val="24"/>
        </w:rPr>
      </w:pPr>
      <w:r>
        <w:tab/>
        <w:t>Provisions that have not come into operation</w:t>
      </w:r>
      <w:r>
        <w:tab/>
      </w:r>
      <w:r>
        <w:fldChar w:fldCharType="begin"/>
      </w:r>
      <w:r>
        <w:instrText xml:space="preserve"> PAGEREF _Toc166897556 \h </w:instrText>
      </w:r>
      <w:r>
        <w:fldChar w:fldCharType="separate"/>
      </w:r>
      <w:r>
        <w:t>182</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13</w:t>
            </w:r>
            <w:r>
              <w:rPr>
                <w:b/>
                <w:snapToGrid w:val="0"/>
                <w:sz w:val="22"/>
              </w:rPr>
              <w:t xml:space="preserve"> April 2007</w:t>
            </w:r>
          </w:p>
        </w:tc>
      </w:tr>
    </w:tbl>
    <w:p>
      <w:pPr>
        <w:pStyle w:val="WA"/>
        <w:spacing w:before="120"/>
      </w:pPr>
      <w:r>
        <w:t>Western Australia</w:t>
      </w:r>
    </w:p>
    <w:p>
      <w:pPr>
        <w:pStyle w:val="NameofActReg"/>
        <w:spacing w:before="1800" w:after="1200"/>
        <w:outlineLvl w:val="0"/>
      </w:pPr>
      <w:r>
        <w:t>Petroleum Act 1967</w:t>
      </w:r>
    </w:p>
    <w:p>
      <w:pPr>
        <w:pStyle w:val="LongTitle"/>
        <w:rPr>
          <w:snapToGrid w:val="0"/>
        </w:rPr>
      </w:pPr>
      <w:r>
        <w:rPr>
          <w:snapToGrid w:val="0"/>
        </w:rPr>
        <w:t xml:space="preserve">An Act relating to the exploration for, and the exploitation of, petroleum resources, and certain other resources, within certain lands of the State; to repeal the </w:t>
      </w:r>
      <w:r>
        <w:rPr>
          <w:i/>
          <w:snapToGrid w:val="0"/>
        </w:rPr>
        <w:t>Petroleum Act 1936</w:t>
      </w:r>
      <w:r>
        <w:rPr>
          <w:snapToGrid w:val="0"/>
        </w:rPr>
        <w:t>, and for incidental and other purposes.</w:t>
      </w:r>
    </w:p>
    <w:p>
      <w:pPr>
        <w:pStyle w:val="Heading2"/>
      </w:pPr>
      <w:bookmarkStart w:id="1" w:name="_Toc72913420"/>
      <w:bookmarkStart w:id="2" w:name="_Toc89574846"/>
      <w:bookmarkStart w:id="3" w:name="_Toc91304843"/>
      <w:bookmarkStart w:id="4" w:name="_Toc92690071"/>
      <w:bookmarkStart w:id="5" w:name="_Toc113770124"/>
      <w:bookmarkStart w:id="6" w:name="_Toc161551224"/>
      <w:bookmarkStart w:id="7" w:name="_Toc161552152"/>
      <w:bookmarkStart w:id="8" w:name="_Toc161552548"/>
      <w:bookmarkStart w:id="9" w:name="_Toc161717745"/>
      <w:bookmarkStart w:id="10" w:name="_Toc163274527"/>
      <w:bookmarkStart w:id="11" w:name="_Toc163288564"/>
      <w:bookmarkStart w:id="12" w:name="_Toc16689735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57624941"/>
      <w:bookmarkStart w:id="14" w:name="_Toc469729262"/>
      <w:bookmarkStart w:id="15" w:name="_Toc501860425"/>
      <w:bookmarkStart w:id="16" w:name="_Toc166897360"/>
      <w:r>
        <w:rPr>
          <w:rStyle w:val="CharSectno"/>
        </w:rPr>
        <w:t>1</w:t>
      </w:r>
      <w:r>
        <w:rPr>
          <w:snapToGrid w:val="0"/>
        </w:rPr>
        <w:t>.</w:t>
      </w:r>
      <w:r>
        <w:rPr>
          <w:snapToGrid w:val="0"/>
        </w:rPr>
        <w:tab/>
        <w:t>Short title</w:t>
      </w:r>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Petroleum Act 1967</w:t>
      </w:r>
      <w:r>
        <w:rPr>
          <w:snapToGrid w:val="0"/>
        </w:rPr>
        <w:t xml:space="preserve"> </w:t>
      </w:r>
      <w:r>
        <w:rPr>
          <w:snapToGrid w:val="0"/>
          <w:vertAlign w:val="superscript"/>
        </w:rPr>
        <w:t>1</w:t>
      </w:r>
      <w:r>
        <w:rPr>
          <w:snapToGrid w:val="0"/>
        </w:rPr>
        <w:t>.</w:t>
      </w:r>
    </w:p>
    <w:p>
      <w:pPr>
        <w:pStyle w:val="Heading5"/>
        <w:rPr>
          <w:snapToGrid w:val="0"/>
        </w:rPr>
      </w:pPr>
      <w:bookmarkStart w:id="17" w:name="_Toc457624942"/>
      <w:bookmarkStart w:id="18" w:name="_Toc469729263"/>
      <w:bookmarkStart w:id="19" w:name="_Toc501860426"/>
      <w:bookmarkStart w:id="20" w:name="_Toc166897361"/>
      <w:r>
        <w:rPr>
          <w:rStyle w:val="CharSectno"/>
        </w:rPr>
        <w:t>2</w:t>
      </w:r>
      <w:r>
        <w:rPr>
          <w:snapToGrid w:val="0"/>
        </w:rPr>
        <w:t>.</w:t>
      </w:r>
      <w:r>
        <w:rPr>
          <w:snapToGrid w:val="0"/>
        </w:rPr>
        <w:tab/>
        <w:t>Commencement</w:t>
      </w:r>
      <w:bookmarkEnd w:id="17"/>
      <w:bookmarkEnd w:id="18"/>
      <w:bookmarkEnd w:id="19"/>
      <w:bookmarkEnd w:id="20"/>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21" w:name="_Toc457624943"/>
      <w:bookmarkStart w:id="22" w:name="_Toc469729264"/>
      <w:bookmarkStart w:id="23" w:name="_Toc501860427"/>
      <w:bookmarkStart w:id="24" w:name="_Toc166897362"/>
      <w:r>
        <w:rPr>
          <w:rStyle w:val="CharSectno"/>
        </w:rPr>
        <w:t>3</w:t>
      </w:r>
      <w:r>
        <w:rPr>
          <w:snapToGrid w:val="0"/>
        </w:rPr>
        <w:t>.</w:t>
      </w:r>
      <w:r>
        <w:rPr>
          <w:snapToGrid w:val="0"/>
        </w:rPr>
        <w:tab/>
        <w:t>Repeal</w:t>
      </w:r>
      <w:bookmarkEnd w:id="21"/>
      <w:bookmarkEnd w:id="22"/>
      <w:bookmarkEnd w:id="23"/>
      <w:bookmarkEnd w:id="24"/>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pPr>
      <w:r>
        <w:t>[</w:t>
      </w:r>
      <w:r>
        <w:rPr>
          <w:b/>
        </w:rPr>
        <w:t>4.</w:t>
      </w:r>
      <w:r>
        <w:rPr>
          <w:b/>
        </w:rPr>
        <w:tab/>
      </w:r>
      <w:r>
        <w:t>Repealed by No. 12 of 1990 s. 4.]</w:t>
      </w:r>
    </w:p>
    <w:p>
      <w:pPr>
        <w:pStyle w:val="Heading5"/>
        <w:rPr>
          <w:snapToGrid w:val="0"/>
        </w:rPr>
      </w:pPr>
      <w:bookmarkStart w:id="25" w:name="_Toc457624944"/>
      <w:bookmarkStart w:id="26" w:name="_Toc469729265"/>
      <w:bookmarkStart w:id="27" w:name="_Toc501860428"/>
      <w:bookmarkStart w:id="28" w:name="_Toc166897363"/>
      <w:r>
        <w:rPr>
          <w:rStyle w:val="CharSectno"/>
        </w:rPr>
        <w:t>5</w:t>
      </w:r>
      <w:r>
        <w:rPr>
          <w:snapToGrid w:val="0"/>
        </w:rPr>
        <w:t>.</w:t>
      </w:r>
      <w:r>
        <w:rPr>
          <w:snapToGrid w:val="0"/>
        </w:rPr>
        <w:tab/>
      </w:r>
      <w:bookmarkEnd w:id="25"/>
      <w:bookmarkEnd w:id="26"/>
      <w:bookmarkEnd w:id="27"/>
      <w:r>
        <w:rPr>
          <w:snapToGrid w:val="0"/>
        </w:rPr>
        <w:t>Terms used in this Act</w:t>
      </w:r>
      <w:bookmarkEnd w:id="28"/>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application for a primary licence</w:t>
      </w:r>
      <w:r>
        <w:rPr>
          <w:b/>
        </w:rPr>
        <w:t>”</w:t>
      </w:r>
      <w:r>
        <w:t xml:space="preserve"> means an application under section 50(1) or (2) or 50A(1) or (2) and </w:t>
      </w:r>
      <w:r>
        <w:rPr>
          <w:b/>
        </w:rPr>
        <w:t>“</w:t>
      </w:r>
      <w:r>
        <w:rPr>
          <w:rStyle w:val="CharDefText"/>
        </w:rPr>
        <w:t>primary licence</w:t>
      </w:r>
      <w:r>
        <w:rPr>
          <w:b/>
        </w:rPr>
        <w:t>”</w:t>
      </w:r>
      <w:r>
        <w:t xml:space="preserve"> means a licence granted on such an application;</w:t>
      </w:r>
    </w:p>
    <w:p>
      <w:pPr>
        <w:pStyle w:val="Defstart"/>
      </w:pPr>
      <w:r>
        <w:rPr>
          <w:b/>
        </w:rPr>
        <w:tab/>
        <w:t>“</w:t>
      </w:r>
      <w:r>
        <w:rPr>
          <w:rStyle w:val="CharDefText"/>
        </w:rPr>
        <w:t>application for a secondary licence</w:t>
      </w:r>
      <w:r>
        <w:rPr>
          <w:b/>
        </w:rPr>
        <w:t>”</w:t>
      </w:r>
      <w:r>
        <w:t xml:space="preserve"> means an application under section 50(3) or 50A(3) and </w:t>
      </w:r>
      <w:r>
        <w:rPr>
          <w:b/>
        </w:rPr>
        <w:t>“</w:t>
      </w:r>
      <w:r>
        <w:rPr>
          <w:rStyle w:val="CharDefText"/>
        </w:rPr>
        <w:t>secondary licence</w:t>
      </w:r>
      <w:r>
        <w:rPr>
          <w:b/>
        </w:rPr>
        <w:t>”</w:t>
      </w:r>
      <w:r>
        <w:t xml:space="preserve"> means a licence granted on such an application;</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27 or 135;</w:t>
      </w:r>
    </w:p>
    <w:p>
      <w:pPr>
        <w:pStyle w:val="Defstart"/>
      </w:pPr>
      <w:r>
        <w:rPr>
          <w:b/>
        </w:rPr>
        <w:tab/>
        <w:t>“</w:t>
      </w:r>
      <w:r>
        <w:rPr>
          <w:rStyle w:val="CharDefText"/>
        </w:rPr>
        <w:t>construct</w:t>
      </w:r>
      <w:r>
        <w:rPr>
          <w:b/>
        </w:rPr>
        <w:t>”</w:t>
      </w:r>
      <w:r>
        <w:t xml:space="preserve"> includes “place” and </w:t>
      </w:r>
      <w:r>
        <w:rPr>
          <w:b/>
        </w:rPr>
        <w:t>“</w:t>
      </w:r>
      <w:r>
        <w:rPr>
          <w:rStyle w:val="CharDefText"/>
        </w:rPr>
        <w:t>construction</w:t>
      </w:r>
      <w:r>
        <w:rPr>
          <w:b/>
        </w:rPr>
        <w:t>”</w:t>
      </w:r>
      <w:r>
        <w:t xml:space="preserve"> has a corresponding meaning;</w:t>
      </w:r>
    </w:p>
    <w:p>
      <w:pPr>
        <w:pStyle w:val="Defstart"/>
      </w:pPr>
      <w:r>
        <w:rPr>
          <w:b/>
        </w:rPr>
        <w:tab/>
        <w:t>“</w:t>
      </w:r>
      <w:r>
        <w:rPr>
          <w:rStyle w:val="CharDefText"/>
        </w:rPr>
        <w:t>Crown land</w:t>
      </w:r>
      <w:r>
        <w:rPr>
          <w:b/>
        </w:rPr>
        <w:t>”</w:t>
      </w:r>
      <w:r>
        <w:t xml:space="preserve"> means all land in the State —</w:t>
      </w:r>
    </w:p>
    <w:p>
      <w:pPr>
        <w:pStyle w:val="Ednotedefpara"/>
        <w:spacing w:before="80"/>
      </w:pPr>
      <w:r>
        <w:tab/>
        <w:t>[(a)</w:t>
      </w:r>
      <w: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r>
      <w:r>
        <w:tab/>
        <w:t>and includes —</w:t>
      </w:r>
    </w:p>
    <w:p>
      <w:pPr>
        <w:pStyle w:val="Defpara"/>
      </w:pPr>
      <w:r>
        <w:tab/>
        <w:t>(d)</w:t>
      </w:r>
      <w:r>
        <w:tab/>
        <w:t xml:space="preserve">any land reserved, declared or otherwise dedicated under the </w:t>
      </w:r>
      <w:r>
        <w:rPr>
          <w:i/>
        </w:rPr>
        <w:t>Land Administration Act 1997</w:t>
      </w:r>
      <w:r>
        <w:t xml:space="preserve"> or any other written law;</w:t>
      </w:r>
    </w:p>
    <w:p>
      <w:pPr>
        <w:pStyle w:val="Defpara"/>
      </w:pPr>
      <w:r>
        <w:tab/>
        <w:t>(e)</w:t>
      </w:r>
      <w:r>
        <w:tab/>
        <w:t xml:space="preserve">without limiting paragraph (d), State forests and timber reserves within the meaning of the </w:t>
      </w:r>
      <w:r>
        <w:rPr>
          <w:i/>
        </w:rPr>
        <w:t>Conservation and Land Management Act 1984</w:t>
      </w:r>
      <w:r>
        <w:t>;</w:t>
      </w:r>
    </w:p>
    <w:p>
      <w:pPr>
        <w:pStyle w:val="Ednotedefpara"/>
      </w:pPr>
      <w:r>
        <w:tab/>
        <w:t>[(f), (g)</w:t>
      </w:r>
      <w: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t>“</w:t>
      </w:r>
      <w:r>
        <w:rPr>
          <w:rStyle w:val="CharDefText"/>
        </w:rPr>
        <w:t>document</w:t>
      </w:r>
      <w:r>
        <w:rPr>
          <w:b/>
        </w:rPr>
        <w:t>”</w:t>
      </w:r>
      <w:r>
        <w:t xml:space="preserve"> includes any map, book, record or writing;</w:t>
      </w:r>
    </w:p>
    <w:p>
      <w:pPr>
        <w:pStyle w:val="Defstart"/>
      </w:pPr>
      <w:r>
        <w:rPr>
          <w:b/>
        </w:rPr>
        <w:tab/>
        <w:t>“</w:t>
      </w:r>
      <w:r>
        <w:rPr>
          <w:rStyle w:val="CharDefText"/>
        </w:rPr>
        <w:t>drilling reservation</w:t>
      </w:r>
      <w:r>
        <w:rPr>
          <w:b/>
        </w:rPr>
        <w:t>”</w:t>
      </w:r>
      <w:r>
        <w:t xml:space="preserve"> means a drilling reservation referred to in section 43D;</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the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27;</w:t>
      </w:r>
    </w:p>
    <w:p>
      <w:pPr>
        <w:pStyle w:val="Defstart"/>
      </w:pPr>
      <w:r>
        <w:rPr>
          <w:b/>
        </w:rPr>
        <w:tab/>
        <w:t>“</w:t>
      </w:r>
      <w:r>
        <w:rPr>
          <w:rStyle w:val="CharDefText"/>
        </w:rPr>
        <w:t>holder of a drilling reservation</w:t>
      </w:r>
      <w:r>
        <w:rPr>
          <w:b/>
        </w:rPr>
        <w:t>”</w:t>
      </w:r>
      <w:r>
        <w:t xml:space="preserve"> means the registered holder of a drilling reservation;</w:t>
      </w:r>
    </w:p>
    <w:p>
      <w:pPr>
        <w:pStyle w:val="Defstart"/>
      </w:pPr>
      <w:r>
        <w:rPr>
          <w:b/>
        </w:rPr>
        <w:tab/>
        <w:t>“</w:t>
      </w:r>
      <w:r>
        <w:rPr>
          <w:rStyle w:val="CharDefText"/>
        </w:rPr>
        <w:t>inspector</w:t>
      </w:r>
      <w:r>
        <w:rPr>
          <w:b/>
        </w:rPr>
        <w:t>”</w:t>
      </w:r>
      <w:r>
        <w:t xml:space="preserve"> means a person appointed under section 118;</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location</w:t>
      </w:r>
      <w:r>
        <w:rPr>
          <w:b/>
        </w:rPr>
        <w:t>”</w:t>
      </w:r>
      <w:r>
        <w:t xml:space="preserve"> means a block or blocks in respect of which a declaration under section 47 is in force;</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pPr>
      <w:r>
        <w:rPr>
          <w:b/>
        </w:rPr>
        <w:tab/>
        <w:t>“</w:t>
      </w:r>
      <w:r>
        <w:rPr>
          <w:rStyle w:val="CharDefText"/>
        </w:rPr>
        <w:t>partly cancelled</w:t>
      </w:r>
      <w:r>
        <w:rPr>
          <w:b/>
        </w:rPr>
        <w:t>”</w:t>
      </w:r>
      <w:r>
        <w:t xml:space="preserve"> means — in relation to a permit, drilling reservation or licence — cancelled as to one or more but not all of the blocks the subject of the permit, drilling reservation or licence;</w:t>
      </w:r>
    </w:p>
    <w:p>
      <w:pPr>
        <w:pStyle w:val="Defstart"/>
      </w:pPr>
      <w:r>
        <w:rPr>
          <w:b/>
        </w:rPr>
        <w:tab/>
        <w:t>“</w:t>
      </w:r>
      <w:r>
        <w:rPr>
          <w:rStyle w:val="CharDefText"/>
        </w:rPr>
        <w:t>partly determined</w:t>
      </w:r>
      <w:r>
        <w:rPr>
          <w:b/>
        </w:rPr>
        <w:t>”</w:t>
      </w:r>
      <w:r>
        <w:t>, in relation to a permit, drilling reservation or lease, means determined as to one or more but not all of the blocks the subject of the permit, drilling reservation or lease;</w:t>
      </w:r>
    </w:p>
    <w:p>
      <w:pPr>
        <w:pStyle w:val="Defstart"/>
      </w:pPr>
      <w:r>
        <w:rPr>
          <w:b/>
        </w:rPr>
        <w:tab/>
        <w:t>“</w:t>
      </w:r>
      <w:r>
        <w:rPr>
          <w:rStyle w:val="CharDefText"/>
        </w:rPr>
        <w:t>permit</w:t>
      </w:r>
      <w:r>
        <w:rPr>
          <w:b/>
        </w:rPr>
        <w:t>”</w:t>
      </w:r>
      <w:r>
        <w:t xml:space="preserve"> means an exploration permit for petroleum referred to in section 38;</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keepNext/>
      </w:pPr>
      <w:r>
        <w:rPr>
          <w:b/>
        </w:rPr>
        <w:tab/>
        <w:t>“</w:t>
      </w:r>
      <w:r>
        <w:rPr>
          <w:rStyle w:val="CharDefText"/>
        </w:rPr>
        <w:t>petroleum</w:t>
      </w:r>
      <w:r>
        <w:rPr>
          <w:b/>
        </w:rPr>
        <w:t>”</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r>
      <w:r>
        <w:tab/>
        <w:t>and includes any petroleum as defined by paragraph (a), (b) or (c) that has been returned to a natural reservoir, but excludes oil shale;</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primary entitlement</w:t>
      </w:r>
      <w:r>
        <w:rPr>
          <w:b/>
        </w:rPr>
        <w:t>”</w:t>
      </w:r>
      <w:r>
        <w:t xml:space="preserve"> means —</w:t>
      </w:r>
    </w:p>
    <w:p>
      <w:pPr>
        <w:pStyle w:val="Defpara"/>
      </w:pPr>
      <w:r>
        <w:tab/>
        <w:t>(a)</w:t>
      </w:r>
      <w:r>
        <w:tab/>
        <w:t>in relation to a permittee, the number of blocks forming part of a location in the permit area in respect of which that permittee may make an application under section 50(1); and</w:t>
      </w:r>
    </w:p>
    <w:p>
      <w:pPr>
        <w:pStyle w:val="Defpara"/>
      </w:pPr>
      <w:r>
        <w:tab/>
        <w:t>(b)</w:t>
      </w:r>
      <w:r>
        <w:tab/>
        <w:t>in relation to a lessee, the number of blocks in the lease area in respect of which that lessee may make an application under section 50A(1);</w:t>
      </w:r>
    </w:p>
    <w:p>
      <w:pPr>
        <w:pStyle w:val="Defstart"/>
      </w:pPr>
      <w:r>
        <w:rPr>
          <w:b/>
        </w:rPr>
        <w:tab/>
        <w:t>“</w:t>
      </w:r>
      <w:r>
        <w:rPr>
          <w:rStyle w:val="CharDefText"/>
        </w:rPr>
        <w:t>private land</w:t>
      </w:r>
      <w:r>
        <w:rPr>
          <w:b/>
        </w:rPr>
        <w:t>”</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t>“</w:t>
      </w:r>
      <w:r>
        <w:rPr>
          <w:rStyle w:val="CharDefText"/>
        </w:rPr>
        <w:t>Register</w:t>
      </w:r>
      <w:r>
        <w:rPr>
          <w:b/>
        </w:rPr>
        <w:t>”</w:t>
      </w:r>
      <w:r>
        <w:t xml:space="preserve"> means the Register kept by the Minister in pursuance of Division 4 of Part III;</w:t>
      </w:r>
    </w:p>
    <w:p>
      <w:pPr>
        <w:pStyle w:val="Defstart"/>
      </w:pPr>
      <w:r>
        <w:rPr>
          <w:b/>
        </w:rPr>
        <w:tab/>
        <w:t>“</w:t>
      </w:r>
      <w:r>
        <w:rPr>
          <w:rStyle w:val="CharDefText"/>
        </w:rPr>
        <w:t>registered holder</w:t>
      </w:r>
      <w:r>
        <w:rPr>
          <w:b/>
        </w:rPr>
        <w:t>”</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t>“</w:t>
      </w:r>
      <w:r>
        <w:rPr>
          <w:rStyle w:val="CharDefText"/>
        </w:rPr>
        <w:t>regulations</w:t>
      </w:r>
      <w:r>
        <w:rPr>
          <w:b/>
        </w:rPr>
        <w:t>”</w:t>
      </w:r>
      <w:r>
        <w:t xml:space="preserve"> means regulations made under section 153;</w:t>
      </w:r>
    </w:p>
    <w:p>
      <w:pPr>
        <w:pStyle w:val="Defstart"/>
      </w:pPr>
      <w:r>
        <w:rPr>
          <w:b/>
        </w:rPr>
        <w:tab/>
        <w:t>“</w:t>
      </w:r>
      <w:r>
        <w:rPr>
          <w:rStyle w:val="CharDefText"/>
        </w:rPr>
        <w:t>royalty period</w:t>
      </w:r>
      <w:r>
        <w:rPr>
          <w:b/>
        </w:rPr>
        <w:t>”</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144A(1) or (2);</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the relinquished area</w:t>
      </w:r>
      <w:r>
        <w:rPr>
          <w:b/>
        </w:rPr>
        <w:t>”</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w:t>
      </w:r>
    </w:p>
    <w:p>
      <w:pPr>
        <w:pStyle w:val="Defpara"/>
      </w:pPr>
      <w:r>
        <w:tab/>
        <w:t>(ca)</w:t>
      </w:r>
      <w:r>
        <w:tab/>
        <w:t>in relation to a lease that has been wholly cancelled — the area constituted by the blocks in respect of which the lease was in force; and</w:t>
      </w:r>
    </w:p>
    <w:p>
      <w:pPr>
        <w:pStyle w:val="Defpara"/>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rPr>
          <w:b/>
        </w:rPr>
        <w:tab/>
        <w:t>“</w:t>
      </w:r>
      <w:r>
        <w:rPr>
          <w:rStyle w:val="CharDefText"/>
        </w:rPr>
        <w:t>vessel</w:t>
      </w:r>
      <w:r>
        <w:rPr>
          <w:b/>
        </w:rPr>
        <w:t>”</w:t>
      </w:r>
      <w:r>
        <w:t xml:space="preserve"> means a vessel used in navigation, other than air navigation, and includes a barge or other vessel;</w:t>
      </w:r>
    </w:p>
    <w:p>
      <w:pPr>
        <w:pStyle w:val="Defstart"/>
      </w:pPr>
      <w:r>
        <w:rPr>
          <w:b/>
        </w:rPr>
        <w:tab/>
        <w:t>“</w:t>
      </w:r>
      <w:r>
        <w:rPr>
          <w:rStyle w:val="CharDefText"/>
        </w:rPr>
        <w:t>well</w:t>
      </w:r>
      <w:r>
        <w:rPr>
          <w:b/>
        </w:rPr>
        <w:t>”</w:t>
      </w:r>
      <w:r>
        <w:t xml:space="preserve"> means a hole in the Earth’s crust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drilling reservation, lease or licence, means cancelled as to all the blocks the subject of the permit, drilling reservation, lease or licence;</w:t>
      </w:r>
    </w:p>
    <w:p>
      <w:pPr>
        <w:pStyle w:val="Defstart"/>
      </w:pPr>
      <w:r>
        <w:rPr>
          <w:b/>
        </w:rPr>
        <w:tab/>
        <w:t>“</w:t>
      </w:r>
      <w:r>
        <w:rPr>
          <w:rStyle w:val="CharDefText"/>
        </w:rPr>
        <w:t>wholly determined</w:t>
      </w:r>
      <w:r>
        <w:rPr>
          <w:b/>
        </w:rPr>
        <w:t>”</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w:t>
      </w:r>
    </w:p>
    <w:p>
      <w:pPr>
        <w:pStyle w:val="Heading2"/>
      </w:pPr>
      <w:bookmarkStart w:id="29" w:name="_Toc72913425"/>
      <w:bookmarkStart w:id="30" w:name="_Toc89574851"/>
      <w:bookmarkStart w:id="31" w:name="_Toc91304848"/>
      <w:bookmarkStart w:id="32" w:name="_Toc92690076"/>
      <w:bookmarkStart w:id="33" w:name="_Toc113770129"/>
      <w:bookmarkStart w:id="34" w:name="_Toc161551229"/>
      <w:bookmarkStart w:id="35" w:name="_Toc161552157"/>
      <w:bookmarkStart w:id="36" w:name="_Toc161552553"/>
      <w:bookmarkStart w:id="37" w:name="_Toc161717750"/>
      <w:bookmarkStart w:id="38" w:name="_Toc163274532"/>
      <w:bookmarkStart w:id="39" w:name="_Toc163288569"/>
      <w:bookmarkStart w:id="40" w:name="_Toc166897364"/>
      <w:r>
        <w:rPr>
          <w:rStyle w:val="CharPartNo"/>
        </w:rPr>
        <w:t>Part II</w:t>
      </w:r>
      <w:r>
        <w:rPr>
          <w:rStyle w:val="CharDivNo"/>
        </w:rPr>
        <w:t> </w:t>
      </w:r>
      <w:r>
        <w:t>—</w:t>
      </w:r>
      <w:r>
        <w:rPr>
          <w:rStyle w:val="CharDivText"/>
        </w:rPr>
        <w:t> </w:t>
      </w:r>
      <w:r>
        <w:rPr>
          <w:rStyle w:val="CharPartText"/>
        </w:rPr>
        <w:t>General</w:t>
      </w:r>
      <w:bookmarkEnd w:id="29"/>
      <w:bookmarkEnd w:id="30"/>
      <w:bookmarkEnd w:id="31"/>
      <w:bookmarkEnd w:id="32"/>
      <w:bookmarkEnd w:id="33"/>
      <w:bookmarkEnd w:id="34"/>
      <w:bookmarkEnd w:id="35"/>
      <w:bookmarkEnd w:id="36"/>
      <w:bookmarkEnd w:id="37"/>
      <w:bookmarkEnd w:id="38"/>
      <w:bookmarkEnd w:id="39"/>
      <w:bookmarkEnd w:id="40"/>
    </w:p>
    <w:p>
      <w:pPr>
        <w:pStyle w:val="Heading5"/>
        <w:spacing w:before="180"/>
        <w:rPr>
          <w:snapToGrid w:val="0"/>
        </w:rPr>
      </w:pPr>
      <w:bookmarkStart w:id="41" w:name="_Toc457624945"/>
      <w:bookmarkStart w:id="42" w:name="_Toc469729266"/>
      <w:bookmarkStart w:id="43" w:name="_Toc501860429"/>
      <w:bookmarkStart w:id="44" w:name="_Toc166897365"/>
      <w:r>
        <w:rPr>
          <w:rStyle w:val="CharSectno"/>
        </w:rPr>
        <w:t>6</w:t>
      </w:r>
      <w:r>
        <w:rPr>
          <w:snapToGrid w:val="0"/>
        </w:rPr>
        <w:t>.</w:t>
      </w:r>
      <w:r>
        <w:rPr>
          <w:snapToGrid w:val="0"/>
        </w:rPr>
        <w:tab/>
        <w:t>Act to be construed subject to legislative powers of the State</w:t>
      </w:r>
      <w:bookmarkEnd w:id="41"/>
      <w:bookmarkEnd w:id="42"/>
      <w:bookmarkEnd w:id="43"/>
      <w:bookmarkEnd w:id="44"/>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45" w:name="_Toc457624946"/>
      <w:bookmarkStart w:id="46" w:name="_Toc469729267"/>
      <w:bookmarkStart w:id="47" w:name="_Toc501860430"/>
      <w:bookmarkStart w:id="48" w:name="_Toc166897366"/>
      <w:r>
        <w:rPr>
          <w:rStyle w:val="CharSectno"/>
        </w:rPr>
        <w:t>7</w:t>
      </w:r>
      <w:r>
        <w:rPr>
          <w:snapToGrid w:val="0"/>
        </w:rPr>
        <w:t>.</w:t>
      </w:r>
      <w:r>
        <w:rPr>
          <w:snapToGrid w:val="0"/>
        </w:rPr>
        <w:tab/>
        <w:t>Application of Act</w:t>
      </w:r>
      <w:bookmarkEnd w:id="45"/>
      <w:bookmarkEnd w:id="46"/>
      <w:bookmarkEnd w:id="47"/>
      <w:bookmarkEnd w:id="48"/>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Footnotesection"/>
        <w:spacing w:before="80"/>
        <w:ind w:left="890" w:hanging="890"/>
      </w:pPr>
      <w:r>
        <w:tab/>
        <w:t>[Section 7 amended by No. 107 of 1982 s. 6; No. 12 of 1990 s. 6; No. 78 of 1990 s. 7.]</w:t>
      </w:r>
    </w:p>
    <w:p>
      <w:pPr>
        <w:pStyle w:val="Heading5"/>
        <w:spacing w:before="180"/>
        <w:rPr>
          <w:snapToGrid w:val="0"/>
        </w:rPr>
      </w:pPr>
      <w:bookmarkStart w:id="49" w:name="_Toc457624947"/>
      <w:bookmarkStart w:id="50" w:name="_Toc469729268"/>
      <w:bookmarkStart w:id="51" w:name="_Toc501860431"/>
      <w:bookmarkStart w:id="52" w:name="_Toc166897367"/>
      <w:r>
        <w:rPr>
          <w:rStyle w:val="CharSectno"/>
        </w:rPr>
        <w:t>7A</w:t>
      </w:r>
      <w:r>
        <w:rPr>
          <w:snapToGrid w:val="0"/>
        </w:rPr>
        <w:t>.</w:t>
      </w:r>
      <w:r>
        <w:rPr>
          <w:snapToGrid w:val="0"/>
        </w:rPr>
        <w:tab/>
        <w:t>Petroleum pool extending into 2 licence areas</w:t>
      </w:r>
      <w:bookmarkEnd w:id="49"/>
      <w:bookmarkEnd w:id="50"/>
      <w:bookmarkEnd w:id="51"/>
      <w:bookmarkEnd w:id="52"/>
    </w:p>
    <w:p>
      <w:pPr>
        <w:pStyle w:val="Subsection"/>
        <w:spacing w:before="14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4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 is partly in a licence area and partly in another area in which the licensee has authority under another written law or a law of another State to explore for, or recover, petroleum, and petroleum is recovered from that pool through a well or wells in the licence area, the other area or both, there shall be deemed to have been recovered in the licence area such proportion of all petroleum so recovered as may reasonably be treated as being derived from the licence area, having regard to the nature and probable extent of the pool,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Subsection"/>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State or not, in respect of which another person has authority, whether under this Act or another written law or under the law of another State, to explore for or recover petroleum;</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 is wholly or partly situated.</w:t>
      </w:r>
    </w:p>
    <w:p>
      <w:pPr>
        <w:pStyle w:val="Footnotesection"/>
        <w:spacing w:before="80"/>
        <w:ind w:left="890" w:hanging="890"/>
      </w:pPr>
      <w:r>
        <w:tab/>
        <w:t>[Section 7A inserted by No. 12 of 1990 s. 7.]</w:t>
      </w:r>
    </w:p>
    <w:p>
      <w:pPr>
        <w:pStyle w:val="Heading5"/>
      </w:pPr>
      <w:bookmarkStart w:id="53" w:name="_Toc501860432"/>
      <w:bookmarkStart w:id="54" w:name="_Toc166897368"/>
      <w:bookmarkStart w:id="55" w:name="_Toc457624949"/>
      <w:bookmarkStart w:id="56" w:name="_Toc469729270"/>
      <w:r>
        <w:rPr>
          <w:rStyle w:val="CharSectno"/>
        </w:rPr>
        <w:t>8</w:t>
      </w:r>
      <w:r>
        <w:t>.</w:t>
      </w:r>
      <w:r>
        <w:tab/>
        <w:t>Position on the Earth’s surface</w:t>
      </w:r>
      <w:bookmarkEnd w:id="53"/>
      <w:bookmarkEnd w:id="54"/>
    </w:p>
    <w:p>
      <w:pPr>
        <w:pStyle w:val="Subsection"/>
      </w:pPr>
      <w:r>
        <w:tab/>
        <w:t>(1)</w:t>
      </w:r>
      <w:r>
        <w:tab/>
        <w:t>Where, for the purposes of this Act or the regulations, or for the purposes of an instrument under this Act or the regulations,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w:t>
      </w:r>
    </w:p>
    <w:p>
      <w:pPr>
        <w:pStyle w:val="Heading5"/>
        <w:rPr>
          <w:snapToGrid w:val="0"/>
        </w:rPr>
      </w:pPr>
      <w:bookmarkStart w:id="57" w:name="_Toc501860433"/>
      <w:bookmarkStart w:id="58" w:name="_Toc166897369"/>
      <w:r>
        <w:rPr>
          <w:rStyle w:val="CharSectno"/>
        </w:rPr>
        <w:t>9</w:t>
      </w:r>
      <w:r>
        <w:rPr>
          <w:snapToGrid w:val="0"/>
        </w:rPr>
        <w:t>.</w:t>
      </w:r>
      <w:r>
        <w:rPr>
          <w:snapToGrid w:val="0"/>
        </w:rPr>
        <w:tab/>
        <w:t>Petroleum declared to be property of the Crown</w:t>
      </w:r>
      <w:bookmarkEnd w:id="55"/>
      <w:bookmarkEnd w:id="56"/>
      <w:bookmarkEnd w:id="57"/>
      <w:bookmarkEnd w:id="58"/>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 on or below the surface of all land within this State, whether alienated in fee simple or not so alienated from the Crown, is and shall be deemed always to have been the property of the Crown.</w:t>
      </w:r>
    </w:p>
    <w:p>
      <w:pPr>
        <w:pStyle w:val="Heading5"/>
        <w:rPr>
          <w:snapToGrid w:val="0"/>
        </w:rPr>
      </w:pPr>
      <w:bookmarkStart w:id="59" w:name="_Toc457624950"/>
      <w:bookmarkStart w:id="60" w:name="_Toc469729271"/>
      <w:bookmarkStart w:id="61" w:name="_Toc501860434"/>
      <w:bookmarkStart w:id="62" w:name="_Toc166897370"/>
      <w:r>
        <w:rPr>
          <w:rStyle w:val="CharSectno"/>
        </w:rPr>
        <w:t>10</w:t>
      </w:r>
      <w:r>
        <w:rPr>
          <w:snapToGrid w:val="0"/>
        </w:rPr>
        <w:t>.</w:t>
      </w:r>
      <w:r>
        <w:rPr>
          <w:snapToGrid w:val="0"/>
        </w:rPr>
        <w:tab/>
        <w:t>Reservations in Crown grants and leases</w:t>
      </w:r>
      <w:bookmarkEnd w:id="59"/>
      <w:bookmarkEnd w:id="60"/>
      <w:bookmarkEnd w:id="61"/>
      <w:bookmarkEnd w:id="62"/>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 on or below the surface of the land comprised therein, and also a reservation of the right of access, subject to and in accordance with the provisions hereinafter contained, for the purpose of searching for and for the operations of obtaining petroleum in any part of the land.</w:t>
      </w:r>
    </w:p>
    <w:p>
      <w:pPr>
        <w:pStyle w:val="Footnotesection"/>
      </w:pPr>
      <w:r>
        <w:tab/>
        <w:t>[Section 10 amended by No. 31 of 1997 s. 76(1).]</w:t>
      </w:r>
    </w:p>
    <w:p>
      <w:pPr>
        <w:pStyle w:val="Heading5"/>
        <w:rPr>
          <w:snapToGrid w:val="0"/>
        </w:rPr>
      </w:pPr>
      <w:bookmarkStart w:id="63" w:name="_Toc457624951"/>
      <w:bookmarkStart w:id="64" w:name="_Toc469729272"/>
      <w:bookmarkStart w:id="65" w:name="_Toc501860435"/>
      <w:bookmarkStart w:id="66" w:name="_Toc166897371"/>
      <w:r>
        <w:rPr>
          <w:rStyle w:val="CharSectno"/>
        </w:rPr>
        <w:t>11</w:t>
      </w:r>
      <w:r>
        <w:rPr>
          <w:snapToGrid w:val="0"/>
        </w:rPr>
        <w:t>.</w:t>
      </w:r>
      <w:r>
        <w:rPr>
          <w:snapToGrid w:val="0"/>
        </w:rPr>
        <w:tab/>
        <w:t>Power to obtain petroleum</w:t>
      </w:r>
      <w:bookmarkEnd w:id="63"/>
      <w:bookmarkEnd w:id="64"/>
      <w:bookmarkEnd w:id="65"/>
      <w:bookmarkEnd w:id="66"/>
    </w:p>
    <w:p>
      <w:pPr>
        <w:pStyle w:val="Subsection"/>
        <w:rPr>
          <w:snapToGrid w:val="0"/>
        </w:rPr>
      </w:pPr>
      <w:r>
        <w:rPr>
          <w:snapToGrid w:val="0"/>
        </w:rPr>
        <w:tab/>
        <w:t>(1)</w:t>
      </w:r>
      <w:r>
        <w:rPr>
          <w:snapToGrid w:val="0"/>
        </w:rPr>
        <w:tab/>
        <w:t>The Minister may by his officers, agents, or workmen search for petroleum, and conduct all operations deemed necessary for or incidental to searching for, obtaining, refining, or disposing of petroleum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spacing w:before="140"/>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w:t>
      </w:r>
    </w:p>
    <w:p>
      <w:pPr>
        <w:pStyle w:val="Heading5"/>
        <w:spacing w:before="200"/>
        <w:rPr>
          <w:snapToGrid w:val="0"/>
        </w:rPr>
      </w:pPr>
      <w:bookmarkStart w:id="67" w:name="_Toc457624952"/>
      <w:bookmarkStart w:id="68" w:name="_Toc469729273"/>
      <w:bookmarkStart w:id="69" w:name="_Toc501860436"/>
      <w:bookmarkStart w:id="70" w:name="_Toc166897372"/>
      <w:r>
        <w:rPr>
          <w:rStyle w:val="CharSectno"/>
        </w:rPr>
        <w:t>12</w:t>
      </w:r>
      <w:r>
        <w:rPr>
          <w:snapToGrid w:val="0"/>
        </w:rPr>
        <w:t>.</w:t>
      </w:r>
      <w:r>
        <w:rPr>
          <w:snapToGrid w:val="0"/>
        </w:rPr>
        <w:tab/>
        <w:t>Land may be resumed</w:t>
      </w:r>
      <w:bookmarkEnd w:id="67"/>
      <w:bookmarkEnd w:id="68"/>
      <w:bookmarkEnd w:id="69"/>
      <w:bookmarkEnd w:id="70"/>
    </w:p>
    <w:p>
      <w:pPr>
        <w:pStyle w:val="Subsection"/>
        <w:spacing w:before="140"/>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spacing w:before="140"/>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spacing w:before="140"/>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71" w:name="_Toc457624953"/>
      <w:bookmarkStart w:id="72" w:name="_Toc469729274"/>
      <w:bookmarkStart w:id="73" w:name="_Toc501860437"/>
      <w:bookmarkStart w:id="74" w:name="_Toc166897373"/>
      <w:r>
        <w:rPr>
          <w:rStyle w:val="CharSectno"/>
        </w:rPr>
        <w:t>13</w:t>
      </w:r>
      <w:r>
        <w:rPr>
          <w:snapToGrid w:val="0"/>
        </w:rPr>
        <w:t>.</w:t>
      </w:r>
      <w:r>
        <w:rPr>
          <w:snapToGrid w:val="0"/>
        </w:rPr>
        <w:tab/>
        <w:t>Governor to have right of pre</w:t>
      </w:r>
      <w:r>
        <w:rPr>
          <w:snapToGrid w:val="0"/>
        </w:rPr>
        <w:noBreakHyphen/>
        <w:t>emption of petroleum</w:t>
      </w:r>
      <w:bookmarkEnd w:id="71"/>
      <w:r>
        <w:rPr>
          <w:snapToGrid w:val="0"/>
        </w:rPr>
        <w:t xml:space="preserve"> in emergency</w:t>
      </w:r>
      <w:bookmarkEnd w:id="72"/>
      <w:bookmarkEnd w:id="73"/>
      <w:bookmarkEnd w:id="74"/>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w:t>
      </w:r>
    </w:p>
    <w:p>
      <w:pPr>
        <w:pStyle w:val="Heading5"/>
        <w:rPr>
          <w:snapToGrid w:val="0"/>
        </w:rPr>
      </w:pPr>
      <w:bookmarkStart w:id="75" w:name="_Toc457624954"/>
      <w:bookmarkStart w:id="76" w:name="_Toc469729275"/>
      <w:bookmarkStart w:id="77" w:name="_Toc501860438"/>
      <w:bookmarkStart w:id="78" w:name="_Toc166897374"/>
      <w:r>
        <w:rPr>
          <w:rStyle w:val="CharSectno"/>
        </w:rPr>
        <w:t>14</w:t>
      </w:r>
      <w:r>
        <w:rPr>
          <w:snapToGrid w:val="0"/>
        </w:rPr>
        <w:t>.</w:t>
      </w:r>
      <w:r>
        <w:rPr>
          <w:snapToGrid w:val="0"/>
        </w:rPr>
        <w:tab/>
        <w:t>Land comprised in a permit, drilling reservation, lease or licence may be entered for certain purposes</w:t>
      </w:r>
      <w:bookmarkEnd w:id="75"/>
      <w:bookmarkEnd w:id="76"/>
      <w:bookmarkEnd w:id="77"/>
      <w:bookmarkEnd w:id="78"/>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w:t>
      </w:r>
    </w:p>
    <w:p>
      <w:pPr>
        <w:pStyle w:val="Indenta"/>
        <w:rPr>
          <w:snapToGrid w:val="0"/>
        </w:rPr>
      </w:pPr>
      <w:r>
        <w:rPr>
          <w:snapToGrid w:val="0"/>
        </w:rPr>
        <w:tab/>
        <w:t>(b)</w:t>
      </w:r>
      <w:r>
        <w:rPr>
          <w:snapToGrid w:val="0"/>
        </w:rPr>
        <w:tab/>
        <w:t>make or construct any tramways thereon, and from time to time repair, alter, or remove the same;</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0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0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20"/>
        <w:rPr>
          <w:snapToGrid w:val="0"/>
        </w:rPr>
      </w:pPr>
      <w:bookmarkStart w:id="79" w:name="_Toc457624955"/>
      <w:bookmarkStart w:id="80" w:name="_Toc469729276"/>
      <w:bookmarkStart w:id="81" w:name="_Toc501860439"/>
      <w:bookmarkStart w:id="82" w:name="_Toc166897375"/>
      <w:r>
        <w:rPr>
          <w:rStyle w:val="CharSectno"/>
        </w:rPr>
        <w:t>15</w:t>
      </w:r>
      <w:r>
        <w:rPr>
          <w:snapToGrid w:val="0"/>
        </w:rPr>
        <w:t>.</w:t>
      </w:r>
      <w:r>
        <w:rPr>
          <w:snapToGrid w:val="0"/>
        </w:rPr>
        <w:tab/>
        <w:t>Authority conferred by permit, drilling reservation, lease or licence</w:t>
      </w:r>
      <w:bookmarkEnd w:id="79"/>
      <w:bookmarkEnd w:id="80"/>
      <w:bookmarkEnd w:id="81"/>
      <w:bookmarkEnd w:id="82"/>
    </w:p>
    <w:p>
      <w:pPr>
        <w:pStyle w:val="Subsection"/>
        <w:spacing w:before="10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repealed]</w:t>
      </w:r>
    </w:p>
    <w:p>
      <w:pPr>
        <w:pStyle w:val="Footnotesection"/>
      </w:pPr>
      <w:r>
        <w:tab/>
        <w:t>[Section 15 amended by No. 12 of 1990 s. 10; No. 78 of 1990 s. 7; No. 31 of 1997 s. 141; No. 17 of 1999 s. 22(1) and (2).]</w:t>
      </w:r>
    </w:p>
    <w:p>
      <w:pPr>
        <w:pStyle w:val="Heading5"/>
        <w:spacing w:before="120"/>
        <w:rPr>
          <w:snapToGrid w:val="0"/>
        </w:rPr>
      </w:pPr>
      <w:bookmarkStart w:id="83" w:name="_Toc457624956"/>
      <w:bookmarkStart w:id="84" w:name="_Toc469729277"/>
      <w:bookmarkStart w:id="85" w:name="_Toc501860440"/>
      <w:bookmarkStart w:id="86" w:name="_Toc166897376"/>
      <w:r>
        <w:rPr>
          <w:rStyle w:val="CharSectno"/>
        </w:rPr>
        <w:t>15A</w:t>
      </w:r>
      <w:r>
        <w:rPr>
          <w:snapToGrid w:val="0"/>
        </w:rPr>
        <w:t>.</w:t>
      </w:r>
      <w:r>
        <w:rPr>
          <w:snapToGrid w:val="0"/>
        </w:rPr>
        <w:tab/>
        <w:t>Consent of Minister required for entry on reserves for purposes of exploration etc.</w:t>
      </w:r>
      <w:bookmarkEnd w:id="83"/>
      <w:bookmarkEnd w:id="84"/>
      <w:bookmarkEnd w:id="85"/>
      <w:bookmarkEnd w:id="86"/>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spacing w:before="120"/>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 or</w:t>
      </w:r>
    </w:p>
    <w:p>
      <w:pPr>
        <w:pStyle w:val="Indenta"/>
        <w:rPr>
          <w:snapToGrid w:val="0"/>
        </w:rPr>
      </w:pPr>
      <w:r>
        <w:rPr>
          <w:snapToGrid w:val="0"/>
        </w:rPr>
        <w:tab/>
        <w:t>(d)</w:t>
      </w:r>
      <w:r>
        <w:rPr>
          <w:snapToGrid w:val="0"/>
        </w:rPr>
        <w:tab/>
        <w:t>carrying out operations for the recovery of petroleum,</w:t>
      </w:r>
    </w:p>
    <w:p>
      <w:pPr>
        <w:pStyle w:val="Subsection"/>
        <w:spacing w:before="120"/>
        <w:rPr>
          <w:snapToGrid w:val="0"/>
        </w:rPr>
      </w:pPr>
      <w:r>
        <w:rPr>
          <w:snapToGrid w:val="0"/>
        </w:rPr>
        <w:tab/>
      </w:r>
      <w:r>
        <w:rPr>
          <w:snapToGrid w:val="0"/>
        </w:rPr>
        <w:tab/>
        <w:t>unless the consent in writing of the Minister has been first obtained.</w:t>
      </w:r>
    </w:p>
    <w:p>
      <w:pPr>
        <w:pStyle w:val="Subsection"/>
        <w:spacing w:before="120"/>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spacing w:before="120"/>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w:t>
      </w:r>
    </w:p>
    <w:p>
      <w:pPr>
        <w:pStyle w:val="Heading5"/>
        <w:rPr>
          <w:snapToGrid w:val="0"/>
        </w:rPr>
      </w:pPr>
      <w:bookmarkStart w:id="87" w:name="_Toc457624957"/>
      <w:bookmarkStart w:id="88" w:name="_Toc469729278"/>
      <w:bookmarkStart w:id="89" w:name="_Toc501860441"/>
      <w:bookmarkStart w:id="90" w:name="_Toc166897377"/>
      <w:r>
        <w:rPr>
          <w:rStyle w:val="CharSectno"/>
        </w:rPr>
        <w:t>16</w:t>
      </w:r>
      <w:r>
        <w:rPr>
          <w:snapToGrid w:val="0"/>
        </w:rPr>
        <w:t>.</w:t>
      </w:r>
      <w:r>
        <w:rPr>
          <w:snapToGrid w:val="0"/>
        </w:rPr>
        <w:tab/>
        <w:t>Consent of owner or trustees required in certain cases for exploration etc.</w:t>
      </w:r>
      <w:bookmarkEnd w:id="87"/>
      <w:bookmarkEnd w:id="88"/>
      <w:bookmarkEnd w:id="89"/>
      <w:bookmarkEnd w:id="90"/>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 or</w:t>
      </w:r>
    </w:p>
    <w:p>
      <w:pPr>
        <w:pStyle w:val="Indenta"/>
        <w:keepNext/>
        <w:rPr>
          <w:snapToGrid w:val="0"/>
        </w:rPr>
      </w:pPr>
      <w:r>
        <w:rPr>
          <w:snapToGrid w:val="0"/>
        </w:rPr>
        <w:tab/>
        <w:t>(b)</w:t>
      </w:r>
      <w:r>
        <w:rPr>
          <w:snapToGrid w:val="0"/>
        </w:rPr>
        <w:tab/>
        <w:t>carrying out operations for the recovery of petroleum,</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r>
      <w:r>
        <w:rPr>
          <w:b/>
          <w:snapToGrid w:val="0"/>
        </w:rPr>
        <w:t>“</w:t>
      </w:r>
      <w:r>
        <w:rPr>
          <w:rStyle w:val="CharDefText"/>
        </w:rPr>
        <w:t>reservoir</w:t>
      </w:r>
      <w:r>
        <w:rPr>
          <w:b/>
          <w:snapToGrid w:val="0"/>
        </w:rPr>
        <w:t>”</w:t>
      </w:r>
      <w:r>
        <w:rPr>
          <w:snapToGrid w:val="0"/>
        </w:rPr>
        <w:t xml:space="preserve"> includes any natural or artificial storage or accumulation of water, spring, dam, bore, and artesian well; and</w:t>
      </w:r>
    </w:p>
    <w:p>
      <w:pPr>
        <w:pStyle w:val="Indenta"/>
        <w:rPr>
          <w:snapToGrid w:val="0"/>
        </w:rPr>
      </w:pPr>
      <w:r>
        <w:rPr>
          <w:snapToGrid w:val="0"/>
        </w:rPr>
        <w:tab/>
        <w:t>(b)</w:t>
      </w:r>
      <w:r>
        <w:rPr>
          <w:snapToGrid w:val="0"/>
        </w:rPr>
        <w:tab/>
        <w:t>the Minister is the sole judge of whether any improvement is substantial.</w:t>
      </w:r>
    </w:p>
    <w:p>
      <w:pPr>
        <w:pStyle w:val="Footnotesection"/>
      </w:pPr>
      <w:r>
        <w:tab/>
        <w:t>[Section 16 amended by No. 94 of 1972 s. 4; No. 12 of 1990 s. 11; No. 78 of 1990 s. 7; No. 73 of 1994 s. 4; No. 14 of 1996 s. 4; No. 17 of 1999 s. 24.]</w:t>
      </w:r>
    </w:p>
    <w:p>
      <w:pPr>
        <w:pStyle w:val="Heading5"/>
        <w:rPr>
          <w:snapToGrid w:val="0"/>
        </w:rPr>
      </w:pPr>
      <w:bookmarkStart w:id="91" w:name="_Toc457624958"/>
      <w:bookmarkStart w:id="92" w:name="_Toc469729279"/>
      <w:bookmarkStart w:id="93" w:name="_Toc501860442"/>
      <w:bookmarkStart w:id="94" w:name="_Toc166897378"/>
      <w:r>
        <w:rPr>
          <w:rStyle w:val="CharSectno"/>
        </w:rPr>
        <w:t>17</w:t>
      </w:r>
      <w:r>
        <w:rPr>
          <w:snapToGrid w:val="0"/>
        </w:rPr>
        <w:t>.</w:t>
      </w:r>
      <w:r>
        <w:rPr>
          <w:snapToGrid w:val="0"/>
        </w:rPr>
        <w:tab/>
        <w:t>Compensation to owners and occupiers of private land</w:t>
      </w:r>
      <w:bookmarkEnd w:id="91"/>
      <w:bookmarkEnd w:id="92"/>
      <w:bookmarkEnd w:id="93"/>
      <w:bookmarkEnd w:id="94"/>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In assessing the amount of compensation no allowance shall be made to the owner or occupier for any gold, minerals, or petroleum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w:t>
      </w:r>
    </w:p>
    <w:p>
      <w:pPr>
        <w:pStyle w:val="Heading5"/>
        <w:rPr>
          <w:snapToGrid w:val="0"/>
        </w:rPr>
      </w:pPr>
      <w:bookmarkStart w:id="95" w:name="_Toc457624959"/>
      <w:bookmarkStart w:id="96" w:name="_Toc469729280"/>
      <w:bookmarkStart w:id="97" w:name="_Toc501860443"/>
      <w:bookmarkStart w:id="98" w:name="_Toc166897379"/>
      <w:r>
        <w:rPr>
          <w:rStyle w:val="CharSectno"/>
        </w:rPr>
        <w:t>18</w:t>
      </w:r>
      <w:r>
        <w:rPr>
          <w:snapToGrid w:val="0"/>
        </w:rPr>
        <w:t>.</w:t>
      </w:r>
      <w:r>
        <w:rPr>
          <w:snapToGrid w:val="0"/>
        </w:rPr>
        <w:tab/>
        <w:t>Owner of private land in vicinity of permit area, drilling reservation, lease area or licence area may be entitled to compensation</w:t>
      </w:r>
      <w:bookmarkEnd w:id="95"/>
      <w:bookmarkEnd w:id="96"/>
      <w:bookmarkEnd w:id="97"/>
      <w:bookmarkEnd w:id="98"/>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99" w:name="_Toc457624960"/>
      <w:bookmarkStart w:id="100" w:name="_Toc469729281"/>
      <w:bookmarkStart w:id="101" w:name="_Toc501860444"/>
      <w:bookmarkStart w:id="102" w:name="_Toc166897380"/>
      <w:r>
        <w:rPr>
          <w:rStyle w:val="CharSectno"/>
        </w:rPr>
        <w:t>19</w:t>
      </w:r>
      <w:r>
        <w:rPr>
          <w:snapToGrid w:val="0"/>
        </w:rPr>
        <w:t>.</w:t>
      </w:r>
      <w:r>
        <w:rPr>
          <w:snapToGrid w:val="0"/>
        </w:rPr>
        <w:tab/>
        <w:t>Compensation for further damage</w:t>
      </w:r>
      <w:bookmarkEnd w:id="99"/>
      <w:bookmarkEnd w:id="100"/>
      <w:bookmarkEnd w:id="101"/>
      <w:bookmarkEnd w:id="102"/>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pPr>
      <w:r>
        <w:tab/>
        <w:t>[Section 19 amended by No. 12 of 1990 s. 14; No. 78 of 1990 s. 7.]</w:t>
      </w:r>
    </w:p>
    <w:p>
      <w:pPr>
        <w:pStyle w:val="Heading5"/>
        <w:rPr>
          <w:snapToGrid w:val="0"/>
        </w:rPr>
      </w:pPr>
      <w:bookmarkStart w:id="103" w:name="_Toc457624961"/>
      <w:bookmarkStart w:id="104" w:name="_Toc469729282"/>
      <w:bookmarkStart w:id="105" w:name="_Toc501860445"/>
      <w:bookmarkStart w:id="106" w:name="_Toc166897381"/>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03"/>
      <w:bookmarkEnd w:id="104"/>
      <w:bookmarkEnd w:id="105"/>
      <w:bookmarkEnd w:id="106"/>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pPr>
      <w:r>
        <w:tab/>
        <w:t>[Section 20 amended by No. 12 of 1990 s. 15; No. 78 of 1990 s. 7.]</w:t>
      </w:r>
    </w:p>
    <w:p>
      <w:pPr>
        <w:pStyle w:val="Heading5"/>
        <w:rPr>
          <w:snapToGrid w:val="0"/>
        </w:rPr>
      </w:pPr>
      <w:bookmarkStart w:id="107" w:name="_Toc457624962"/>
      <w:bookmarkStart w:id="108" w:name="_Toc469729283"/>
      <w:bookmarkStart w:id="109" w:name="_Toc501860446"/>
      <w:bookmarkStart w:id="110" w:name="_Toc166897382"/>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07"/>
      <w:bookmarkEnd w:id="108"/>
      <w:bookmarkEnd w:id="109"/>
      <w:bookmarkEnd w:id="110"/>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rPr>
          <w:b/>
          <w:snapToGrid w:val="0"/>
        </w:rPr>
        <w:t>“</w:t>
      </w:r>
      <w:r>
        <w:rPr>
          <w:rStyle w:val="CharDefText"/>
        </w:rPr>
        <w:t>the compensable lessee</w:t>
      </w:r>
      <w:r>
        <w:rPr>
          <w:b/>
          <w:snapToGrid w:val="0"/>
        </w:rPr>
        <w:t>”</w:t>
      </w:r>
      <w:r>
        <w:rPr>
          <w:snapToGrid w:val="0"/>
        </w:rPr>
        <w:t xml:space="preserve"> or </w:t>
      </w:r>
      <w:r>
        <w:rPr>
          <w:b/>
          <w:snapToGrid w:val="0"/>
        </w:rPr>
        <w:t>“</w:t>
      </w:r>
      <w:r>
        <w:rPr>
          <w:rStyle w:val="CharDefText"/>
        </w:rPr>
        <w:t>a compensable lessee</w:t>
      </w:r>
      <w:r>
        <w:rPr>
          <w:b/>
          <w:snapToGrid w:val="0"/>
        </w:rPr>
        <w:t>”</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60"/>
        <w:ind w:left="890" w:hanging="890"/>
      </w:pPr>
      <w:r>
        <w:tab/>
        <w:t>[Section 21 amended by No. 12 of 1990 s. 16; No. 78 of 1990 s. 7; No. 31 of 1997 s. 141; No. 59 of 2004 s. 141.]</w:t>
      </w:r>
    </w:p>
    <w:p>
      <w:pPr>
        <w:pStyle w:val="Heading5"/>
        <w:rPr>
          <w:snapToGrid w:val="0"/>
        </w:rPr>
      </w:pPr>
      <w:bookmarkStart w:id="111" w:name="_Toc457624963"/>
      <w:bookmarkStart w:id="112" w:name="_Toc469729284"/>
      <w:bookmarkStart w:id="113" w:name="_Toc501860447"/>
      <w:bookmarkStart w:id="114" w:name="_Toc166897383"/>
      <w:r>
        <w:rPr>
          <w:rStyle w:val="CharSectno"/>
        </w:rPr>
        <w:t>22</w:t>
      </w:r>
      <w:r>
        <w:rPr>
          <w:snapToGrid w:val="0"/>
        </w:rPr>
        <w:t>.</w:t>
      </w:r>
      <w:r>
        <w:rPr>
          <w:snapToGrid w:val="0"/>
        </w:rPr>
        <w:tab/>
        <w:t>Determination of partial compensation</w:t>
      </w:r>
      <w:bookmarkEnd w:id="111"/>
      <w:bookmarkEnd w:id="112"/>
      <w:bookmarkEnd w:id="113"/>
      <w:bookmarkEnd w:id="114"/>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115" w:name="_Toc457624964"/>
      <w:bookmarkStart w:id="116" w:name="_Toc469729285"/>
      <w:bookmarkStart w:id="117" w:name="_Toc501860448"/>
      <w:bookmarkStart w:id="118" w:name="_Toc166897384"/>
      <w:r>
        <w:rPr>
          <w:rStyle w:val="CharSectno"/>
        </w:rPr>
        <w:t>23</w:t>
      </w:r>
      <w:r>
        <w:rPr>
          <w:snapToGrid w:val="0"/>
        </w:rPr>
        <w:t>.</w:t>
      </w:r>
      <w:r>
        <w:rPr>
          <w:snapToGrid w:val="0"/>
        </w:rPr>
        <w:tab/>
        <w:t>Security for compensation</w:t>
      </w:r>
      <w:bookmarkEnd w:id="115"/>
      <w:bookmarkEnd w:id="116"/>
      <w:bookmarkEnd w:id="117"/>
      <w:bookmarkEnd w:id="118"/>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19" w:name="_Toc457624965"/>
      <w:bookmarkStart w:id="120" w:name="_Toc469729286"/>
      <w:bookmarkStart w:id="121" w:name="_Toc501860449"/>
      <w:bookmarkStart w:id="122" w:name="_Toc166897385"/>
      <w:r>
        <w:rPr>
          <w:rStyle w:val="CharSectno"/>
        </w:rPr>
        <w:t>24</w:t>
      </w:r>
      <w:r>
        <w:rPr>
          <w:snapToGrid w:val="0"/>
        </w:rPr>
        <w:t>.</w:t>
      </w:r>
      <w:r>
        <w:rPr>
          <w:snapToGrid w:val="0"/>
        </w:rPr>
        <w:tab/>
        <w:t>Matters for which compensation not payable</w:t>
      </w:r>
      <w:bookmarkEnd w:id="119"/>
      <w:bookmarkEnd w:id="120"/>
      <w:bookmarkEnd w:id="121"/>
      <w:bookmarkEnd w:id="122"/>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b/>
          <w:snapToGrid w:val="0"/>
        </w:rPr>
        <w:t>“</w:t>
      </w:r>
      <w:r>
        <w:rPr>
          <w:rStyle w:val="CharDefText"/>
        </w:rPr>
        <w:t>affected lessee</w:t>
      </w:r>
      <w:r>
        <w:rPr>
          <w:b/>
          <w:snapToGrid w:val="0"/>
        </w:rPr>
        <w:t>”</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Compensation is not payable for any gold, minerals or petroleum known or supposed to be on or under the land.</w:t>
      </w:r>
    </w:p>
    <w:p>
      <w:pPr>
        <w:pStyle w:val="Footnotesection"/>
      </w:pPr>
      <w:r>
        <w:tab/>
        <w:t>[Section 24 amended by No. 12 of 1990 s. 18; No. 31 of 1997 s. 141.]</w:t>
      </w:r>
    </w:p>
    <w:p>
      <w:pPr>
        <w:pStyle w:val="Heading5"/>
        <w:rPr>
          <w:snapToGrid w:val="0"/>
        </w:rPr>
      </w:pPr>
      <w:bookmarkStart w:id="123" w:name="_Toc457624966"/>
      <w:bookmarkStart w:id="124" w:name="_Toc469729287"/>
      <w:bookmarkStart w:id="125" w:name="_Toc501860450"/>
      <w:bookmarkStart w:id="126" w:name="_Toc166897386"/>
      <w:r>
        <w:rPr>
          <w:rStyle w:val="CharSectno"/>
        </w:rPr>
        <w:t>24A</w:t>
      </w:r>
      <w:r>
        <w:rPr>
          <w:snapToGrid w:val="0"/>
        </w:rPr>
        <w:t>.</w:t>
      </w:r>
      <w:r>
        <w:rPr>
          <w:snapToGrid w:val="0"/>
        </w:rPr>
        <w:tab/>
        <w:t>Liability for payment of compensation to native title holders</w:t>
      </w:r>
      <w:bookmarkEnd w:id="123"/>
      <w:bookmarkEnd w:id="124"/>
      <w:bookmarkEnd w:id="125"/>
      <w:bookmarkEnd w:id="126"/>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b/>
        </w:rPr>
        <w:t>“</w:t>
      </w:r>
      <w:r>
        <w:rPr>
          <w:rStyle w:val="CharDefText"/>
        </w:rPr>
        <w:t>authorisation</w:t>
      </w:r>
      <w:r>
        <w:rPr>
          <w:b/>
        </w:rPr>
        <w:t>”</w:t>
      </w:r>
      <w:r>
        <w:t xml:space="preserve"> means a permit, drilling reservation, lease,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127" w:name="_Toc457624967"/>
      <w:bookmarkStart w:id="128" w:name="_Toc469729288"/>
      <w:bookmarkStart w:id="129" w:name="_Toc501860451"/>
      <w:bookmarkStart w:id="130" w:name="_Toc166897387"/>
      <w:r>
        <w:rPr>
          <w:rStyle w:val="CharSectno"/>
        </w:rPr>
        <w:t>25</w:t>
      </w:r>
      <w:r>
        <w:rPr>
          <w:snapToGrid w:val="0"/>
        </w:rPr>
        <w:t>.</w:t>
      </w:r>
      <w:r>
        <w:rPr>
          <w:snapToGrid w:val="0"/>
        </w:rPr>
        <w:tab/>
        <w:t>Delegation</w:t>
      </w:r>
      <w:bookmarkEnd w:id="127"/>
      <w:bookmarkEnd w:id="128"/>
      <w:bookmarkEnd w:id="129"/>
      <w:bookmarkEnd w:id="13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or the regulations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Heading2"/>
      </w:pPr>
      <w:bookmarkStart w:id="131" w:name="_Toc72913449"/>
      <w:bookmarkStart w:id="132" w:name="_Toc89574875"/>
      <w:bookmarkStart w:id="133" w:name="_Toc91304872"/>
      <w:bookmarkStart w:id="134" w:name="_Toc92690100"/>
      <w:bookmarkStart w:id="135" w:name="_Toc113770153"/>
      <w:bookmarkStart w:id="136" w:name="_Toc161551253"/>
      <w:bookmarkStart w:id="137" w:name="_Toc161552181"/>
      <w:bookmarkStart w:id="138" w:name="_Toc161552577"/>
      <w:bookmarkStart w:id="139" w:name="_Toc161717774"/>
      <w:bookmarkStart w:id="140" w:name="_Toc163274556"/>
      <w:bookmarkStart w:id="141" w:name="_Toc163288593"/>
      <w:bookmarkStart w:id="142" w:name="_Toc166897388"/>
      <w:r>
        <w:rPr>
          <w:rStyle w:val="CharPartNo"/>
        </w:rPr>
        <w:t>Part III</w:t>
      </w:r>
      <w:r>
        <w:t> — </w:t>
      </w:r>
      <w:r>
        <w:rPr>
          <w:rStyle w:val="CharPartText"/>
        </w:rPr>
        <w:t>Mining for petroleum</w:t>
      </w:r>
      <w:bookmarkEnd w:id="131"/>
      <w:bookmarkEnd w:id="132"/>
      <w:bookmarkEnd w:id="133"/>
      <w:bookmarkEnd w:id="134"/>
      <w:bookmarkEnd w:id="135"/>
      <w:bookmarkEnd w:id="136"/>
      <w:bookmarkEnd w:id="137"/>
      <w:bookmarkEnd w:id="138"/>
      <w:bookmarkEnd w:id="139"/>
      <w:bookmarkEnd w:id="140"/>
      <w:bookmarkEnd w:id="141"/>
      <w:bookmarkEnd w:id="142"/>
    </w:p>
    <w:p>
      <w:pPr>
        <w:pStyle w:val="Heading3"/>
      </w:pPr>
      <w:bookmarkStart w:id="143" w:name="_Toc72913450"/>
      <w:bookmarkStart w:id="144" w:name="_Toc89574876"/>
      <w:bookmarkStart w:id="145" w:name="_Toc91304873"/>
      <w:bookmarkStart w:id="146" w:name="_Toc92690101"/>
      <w:bookmarkStart w:id="147" w:name="_Toc113770154"/>
      <w:bookmarkStart w:id="148" w:name="_Toc161551254"/>
      <w:bookmarkStart w:id="149" w:name="_Toc161552182"/>
      <w:bookmarkStart w:id="150" w:name="_Toc161552578"/>
      <w:bookmarkStart w:id="151" w:name="_Toc161717775"/>
      <w:bookmarkStart w:id="152" w:name="_Toc163274557"/>
      <w:bookmarkStart w:id="153" w:name="_Toc163288594"/>
      <w:bookmarkStart w:id="154" w:name="_Toc166897389"/>
      <w:r>
        <w:rPr>
          <w:rStyle w:val="CharDivNo"/>
        </w:rPr>
        <w:t>Division 1</w:t>
      </w:r>
      <w:r>
        <w:rPr>
          <w:snapToGrid w:val="0"/>
        </w:rPr>
        <w:t> — </w:t>
      </w:r>
      <w:r>
        <w:rPr>
          <w:rStyle w:val="CharDivText"/>
        </w:rPr>
        <w:t>Preliminary</w:t>
      </w:r>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166897390"/>
      <w:r>
        <w:rPr>
          <w:rStyle w:val="CharSectno"/>
        </w:rPr>
        <w:t>26</w:t>
      </w:r>
      <w:r>
        <w:rPr>
          <w:snapToGrid w:val="0"/>
        </w:rPr>
        <w:t>.</w:t>
      </w:r>
      <w:r>
        <w:rPr>
          <w:snapToGrid w:val="0"/>
        </w:rPr>
        <w:tab/>
        <w:t>Term used in this Part</w:t>
      </w:r>
      <w:bookmarkEnd w:id="155"/>
    </w:p>
    <w:p>
      <w:pPr>
        <w:pStyle w:val="Subsection"/>
        <w:rPr>
          <w:snapToGrid w:val="0"/>
        </w:rPr>
      </w:pPr>
      <w:r>
        <w:rPr>
          <w:snapToGrid w:val="0"/>
        </w:rPr>
        <w:tab/>
      </w:r>
      <w:r>
        <w:rPr>
          <w:snapToGrid w:val="0"/>
        </w:rPr>
        <w:tab/>
        <w:t xml:space="preserve">In this Part </w:t>
      </w:r>
      <w:r>
        <w:rPr>
          <w:b/>
          <w:snapToGrid w:val="0"/>
        </w:rPr>
        <w:t>“</w:t>
      </w:r>
      <w:r>
        <w:rPr>
          <w:rStyle w:val="CharDefText"/>
        </w:rPr>
        <w:t>the State</w:t>
      </w:r>
      <w:r>
        <w:rPr>
          <w:b/>
          <w:snapToGrid w:val="0"/>
        </w:rPr>
        <w:t>”</w:t>
      </w:r>
      <w:r>
        <w:rPr>
          <w:snapToGrid w:val="0"/>
        </w:rPr>
        <w:t xml:space="preserve"> means all that part of the State of Western Australia that is not comprised in the </w:t>
      </w:r>
      <w:r>
        <w:rPr>
          <w:bCs/>
          <w:snapToGrid w:val="0"/>
        </w:rPr>
        <w:t>“</w:t>
      </w:r>
      <w:r>
        <w:rPr>
          <w:rStyle w:val="CharDefText"/>
          <w:b w:val="0"/>
        </w:rPr>
        <w:t>adjacent area</w:t>
      </w:r>
      <w:r>
        <w:rPr>
          <w:bCs/>
          <w:snapToGrid w:val="0"/>
        </w:rPr>
        <w:t>”</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156" w:name="_Toc457624969"/>
      <w:bookmarkStart w:id="157" w:name="_Toc469729290"/>
      <w:bookmarkStart w:id="158" w:name="_Toc501860453"/>
      <w:bookmarkStart w:id="159" w:name="_Toc166897391"/>
      <w:r>
        <w:rPr>
          <w:rStyle w:val="CharSectno"/>
        </w:rPr>
        <w:t>27</w:t>
      </w:r>
      <w:r>
        <w:rPr>
          <w:snapToGrid w:val="0"/>
        </w:rPr>
        <w:t>.</w:t>
      </w:r>
      <w:r>
        <w:rPr>
          <w:snapToGrid w:val="0"/>
        </w:rPr>
        <w:tab/>
        <w:t>Graticulation of Earth’s surface and constitution of blocks</w:t>
      </w:r>
      <w:bookmarkEnd w:id="156"/>
      <w:bookmarkEnd w:id="157"/>
      <w:bookmarkEnd w:id="158"/>
      <w:bookmarkEnd w:id="159"/>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160" w:name="_Toc457624970"/>
      <w:bookmarkStart w:id="161" w:name="_Toc469729291"/>
      <w:bookmarkStart w:id="162" w:name="_Toc501860454"/>
      <w:bookmarkStart w:id="163" w:name="_Toc166897392"/>
      <w:r>
        <w:rPr>
          <w:rStyle w:val="CharSectno"/>
        </w:rPr>
        <w:t>28</w:t>
      </w:r>
      <w:r>
        <w:rPr>
          <w:snapToGrid w:val="0"/>
        </w:rPr>
        <w:t>.</w:t>
      </w:r>
      <w:r>
        <w:rPr>
          <w:snapToGrid w:val="0"/>
        </w:rPr>
        <w:tab/>
        <w:t>Reservation of blocks</w:t>
      </w:r>
      <w:bookmarkEnd w:id="160"/>
      <w:bookmarkEnd w:id="161"/>
      <w:bookmarkEnd w:id="162"/>
      <w:bookmarkEnd w:id="163"/>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drilling reservation, lease or licence is in force) shall not be the subject of a permit, drilling reservation, lease, licence, special prospecting authority or access authority.</w:t>
      </w:r>
    </w:p>
    <w:p>
      <w:pPr>
        <w:pStyle w:val="Subsection"/>
        <w:rPr>
          <w:snapToGrid w:val="0"/>
        </w:rPr>
      </w:pPr>
      <w:r>
        <w:rPr>
          <w:snapToGrid w:val="0"/>
        </w:rPr>
        <w:tab/>
        <w:t>(2)</w:t>
      </w:r>
      <w:r>
        <w:rPr>
          <w:snapToGrid w:val="0"/>
        </w:rPr>
        <w:tab/>
        <w:t>While a declaration under subsection (1) remains in force in respect of a block, a permit, drilling reservation, lease, licence, special prospecting authority or access authority shall not be granted in respect of that block.</w:t>
      </w:r>
    </w:p>
    <w:p>
      <w:pPr>
        <w:pStyle w:val="Footnotesection"/>
      </w:pPr>
      <w:r>
        <w:tab/>
        <w:t>[Section 28 amended by No. 12 of 1990 s. 19; No. 78 of 1990 s. 7.]</w:t>
      </w:r>
    </w:p>
    <w:p>
      <w:pPr>
        <w:pStyle w:val="Heading5"/>
        <w:rPr>
          <w:snapToGrid w:val="0"/>
        </w:rPr>
      </w:pPr>
      <w:bookmarkStart w:id="164" w:name="_Toc457624971"/>
      <w:bookmarkStart w:id="165" w:name="_Toc469729292"/>
      <w:bookmarkStart w:id="166" w:name="_Toc501860455"/>
      <w:bookmarkStart w:id="167" w:name="_Toc166897393"/>
      <w:r>
        <w:rPr>
          <w:rStyle w:val="CharSectno"/>
        </w:rPr>
        <w:t>28A</w:t>
      </w:r>
      <w:r>
        <w:rPr>
          <w:snapToGrid w:val="0"/>
        </w:rPr>
        <w:t>.</w:t>
      </w:r>
      <w:r>
        <w:rPr>
          <w:snapToGrid w:val="0"/>
        </w:rPr>
        <w:tab/>
        <w:t>Issue of permits etc. in marine reserves</w:t>
      </w:r>
      <w:bookmarkEnd w:id="164"/>
      <w:bookmarkEnd w:id="165"/>
      <w:bookmarkEnd w:id="166"/>
      <w:bookmarkEnd w:id="167"/>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repealed]</w:t>
      </w:r>
    </w:p>
    <w:p>
      <w:pPr>
        <w:pStyle w:val="Subsection"/>
        <w:keepNext/>
        <w:rPr>
          <w:snapToGrid w:val="0"/>
        </w:rPr>
      </w:pPr>
      <w:r>
        <w:rPr>
          <w:snapToGrid w:val="0"/>
        </w:rPr>
        <w:tab/>
        <w:t>(3)</w:t>
      </w:r>
      <w:r>
        <w:rPr>
          <w:snapToGrid w:val="0"/>
        </w:rPr>
        <w:tab/>
        <w:t>In this section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168" w:name="_Toc72913455"/>
      <w:bookmarkStart w:id="169" w:name="_Toc89574881"/>
      <w:bookmarkStart w:id="170" w:name="_Toc91304878"/>
      <w:bookmarkStart w:id="171" w:name="_Toc92690106"/>
      <w:bookmarkStart w:id="172" w:name="_Toc113770159"/>
      <w:bookmarkStart w:id="173" w:name="_Toc161551259"/>
      <w:bookmarkStart w:id="174" w:name="_Toc161552187"/>
      <w:bookmarkStart w:id="175" w:name="_Toc161552583"/>
      <w:bookmarkStart w:id="176" w:name="_Toc161717780"/>
      <w:bookmarkStart w:id="177" w:name="_Toc163274562"/>
      <w:bookmarkStart w:id="178" w:name="_Toc163288599"/>
      <w:bookmarkStart w:id="179" w:name="_Toc166897394"/>
      <w:r>
        <w:rPr>
          <w:rStyle w:val="CharDivNo"/>
        </w:rPr>
        <w:t>Division 2</w:t>
      </w:r>
      <w:r>
        <w:rPr>
          <w:snapToGrid w:val="0"/>
        </w:rPr>
        <w:t> — </w:t>
      </w:r>
      <w:r>
        <w:rPr>
          <w:rStyle w:val="CharDivText"/>
        </w:rPr>
        <w:t>Permits and drilling reservations</w:t>
      </w:r>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by No. 78 of 1990 s. 5.]</w:t>
      </w:r>
    </w:p>
    <w:p>
      <w:pPr>
        <w:pStyle w:val="Heading5"/>
        <w:spacing w:before="200"/>
        <w:rPr>
          <w:snapToGrid w:val="0"/>
        </w:rPr>
      </w:pPr>
      <w:bookmarkStart w:id="180" w:name="_Toc457624972"/>
      <w:bookmarkStart w:id="181" w:name="_Toc469729293"/>
      <w:bookmarkStart w:id="182" w:name="_Toc501860456"/>
      <w:bookmarkStart w:id="183" w:name="_Toc166897395"/>
      <w:r>
        <w:rPr>
          <w:rStyle w:val="CharSectno"/>
        </w:rPr>
        <w:t>29</w:t>
      </w:r>
      <w:r>
        <w:rPr>
          <w:snapToGrid w:val="0"/>
        </w:rPr>
        <w:t>.</w:t>
      </w:r>
      <w:r>
        <w:rPr>
          <w:snapToGrid w:val="0"/>
        </w:rPr>
        <w:tab/>
        <w:t>Exploration for petroleum</w:t>
      </w:r>
      <w:bookmarkEnd w:id="180"/>
      <w:bookmarkEnd w:id="181"/>
      <w:bookmarkEnd w:id="182"/>
      <w:bookmarkEnd w:id="183"/>
    </w:p>
    <w:p>
      <w:pPr>
        <w:pStyle w:val="Subsection"/>
        <w:spacing w:before="14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under and in accordance with a permit or drilling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40"/>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spacing w:before="100"/>
        <w:ind w:left="890" w:hanging="890"/>
      </w:pPr>
      <w:r>
        <w:tab/>
        <w:t>[Section 29 inserted by No. 12 of 1990 s. 20; amended by No. 78 of 1990 s. 7; No. 28 of 1994 s. 6.]</w:t>
      </w:r>
    </w:p>
    <w:p>
      <w:pPr>
        <w:pStyle w:val="Heading5"/>
        <w:spacing w:before="200"/>
        <w:rPr>
          <w:snapToGrid w:val="0"/>
        </w:rPr>
      </w:pPr>
      <w:bookmarkStart w:id="184" w:name="_Toc457624973"/>
      <w:bookmarkStart w:id="185" w:name="_Toc469729294"/>
      <w:bookmarkStart w:id="186" w:name="_Toc501860457"/>
      <w:bookmarkStart w:id="187" w:name="_Toc166897396"/>
      <w:r>
        <w:rPr>
          <w:rStyle w:val="CharSectno"/>
        </w:rPr>
        <w:t>30</w:t>
      </w:r>
      <w:r>
        <w:rPr>
          <w:snapToGrid w:val="0"/>
        </w:rPr>
        <w:t>.</w:t>
      </w:r>
      <w:r>
        <w:rPr>
          <w:snapToGrid w:val="0"/>
        </w:rPr>
        <w:tab/>
        <w:t>Advertisement of blocks</w:t>
      </w:r>
      <w:bookmarkEnd w:id="184"/>
      <w:bookmarkEnd w:id="185"/>
      <w:bookmarkEnd w:id="186"/>
      <w:bookmarkEnd w:id="187"/>
    </w:p>
    <w:p>
      <w:pPr>
        <w:pStyle w:val="Subsection"/>
        <w:spacing w:before="140"/>
        <w:rPr>
          <w:snapToGrid w:val="0"/>
        </w:rPr>
      </w:pPr>
      <w:r>
        <w:rPr>
          <w:snapToGrid w:val="0"/>
        </w:rPr>
        <w:tab/>
        <w:t>(1)</w:t>
      </w:r>
      <w:r>
        <w:rPr>
          <w:snapToGrid w:val="0"/>
        </w:rPr>
        <w:tab/>
        <w:t xml:space="preserve">The Minister may, by instrument published in the </w:t>
      </w:r>
      <w:r>
        <w:rPr>
          <w:i/>
          <w:snapToGrid w:val="0"/>
        </w:rPr>
        <w:t>Gazette</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spacing w:before="140"/>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188" w:name="_Toc457624974"/>
      <w:bookmarkStart w:id="189" w:name="_Toc469729295"/>
      <w:bookmarkStart w:id="190" w:name="_Toc501860458"/>
      <w:bookmarkStart w:id="191" w:name="_Toc166897397"/>
      <w:r>
        <w:rPr>
          <w:rStyle w:val="CharSectno"/>
        </w:rPr>
        <w:t>31</w:t>
      </w:r>
      <w:r>
        <w:rPr>
          <w:snapToGrid w:val="0"/>
        </w:rPr>
        <w:t>.</w:t>
      </w:r>
      <w:r>
        <w:rPr>
          <w:snapToGrid w:val="0"/>
        </w:rPr>
        <w:tab/>
        <w:t>Application for permit</w:t>
      </w:r>
      <w:bookmarkEnd w:id="188"/>
      <w:bookmarkEnd w:id="189"/>
      <w:bookmarkEnd w:id="190"/>
      <w:bookmarkEnd w:id="191"/>
    </w:p>
    <w:p>
      <w:pPr>
        <w:pStyle w:val="Subsection"/>
        <w:rPr>
          <w:snapToGrid w:val="0"/>
        </w:rPr>
      </w:pPr>
      <w:r>
        <w:rPr>
          <w:snapToGrid w:val="0"/>
        </w:rPr>
        <w:tab/>
        <w:t>(1)</w:t>
      </w:r>
      <w:r>
        <w:rPr>
          <w:snapToGrid w:val="0"/>
        </w:rPr>
        <w:tab/>
        <w:t>An application under section 30 or 105(3)(a)(ii)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w:t>
      </w:r>
    </w:p>
    <w:p>
      <w:pPr>
        <w:pStyle w:val="Heading5"/>
        <w:rPr>
          <w:snapToGrid w:val="0"/>
        </w:rPr>
      </w:pPr>
      <w:bookmarkStart w:id="192" w:name="_Toc457624975"/>
      <w:bookmarkStart w:id="193" w:name="_Toc469729296"/>
      <w:bookmarkStart w:id="194" w:name="_Toc501860459"/>
      <w:bookmarkStart w:id="195" w:name="_Toc166897398"/>
      <w:r>
        <w:rPr>
          <w:rStyle w:val="CharSectno"/>
        </w:rPr>
        <w:t>32</w:t>
      </w:r>
      <w:r>
        <w:rPr>
          <w:snapToGrid w:val="0"/>
        </w:rPr>
        <w:t>.</w:t>
      </w:r>
      <w:r>
        <w:rPr>
          <w:snapToGrid w:val="0"/>
        </w:rPr>
        <w:tab/>
        <w:t>Grant or refusal of permit in relation to application</w:t>
      </w:r>
      <w:bookmarkEnd w:id="192"/>
      <w:bookmarkEnd w:id="193"/>
      <w:bookmarkEnd w:id="194"/>
      <w:bookmarkEnd w:id="195"/>
    </w:p>
    <w:p>
      <w:pPr>
        <w:pStyle w:val="Subsection"/>
        <w:rPr>
          <w:snapToGrid w:val="0"/>
        </w:rPr>
      </w:pPr>
      <w:r>
        <w:rPr>
          <w:snapToGrid w:val="0"/>
        </w:rPr>
        <w:tab/>
        <w:t>(1)</w:t>
      </w:r>
      <w:r>
        <w:rPr>
          <w:snapToGrid w:val="0"/>
        </w:rPr>
        <w:tab/>
        <w:t>Where an application has been made under section 30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w:t>
      </w:r>
    </w:p>
    <w:p>
      <w:pPr>
        <w:pStyle w:val="Heading5"/>
        <w:rPr>
          <w:snapToGrid w:val="0"/>
        </w:rPr>
      </w:pPr>
      <w:bookmarkStart w:id="196" w:name="_Toc457624976"/>
      <w:bookmarkStart w:id="197" w:name="_Toc469729297"/>
      <w:bookmarkStart w:id="198" w:name="_Toc501860460"/>
      <w:bookmarkStart w:id="199" w:name="_Toc166897399"/>
      <w:r>
        <w:rPr>
          <w:rStyle w:val="CharSectno"/>
        </w:rPr>
        <w:t>33</w:t>
      </w:r>
      <w:r>
        <w:rPr>
          <w:snapToGrid w:val="0"/>
        </w:rPr>
        <w:t>.</w:t>
      </w:r>
      <w:r>
        <w:rPr>
          <w:snapToGrid w:val="0"/>
        </w:rPr>
        <w:tab/>
        <w:t>Application for permit in respect of surrendered etc. blocks</w:t>
      </w:r>
      <w:bookmarkEnd w:id="196"/>
      <w:bookmarkEnd w:id="197"/>
      <w:bookmarkEnd w:id="198"/>
      <w:bookmarkEnd w:id="19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pPr>
      <w:r>
        <w:tab/>
        <w:t>[(2), (3)</w:t>
      </w:r>
      <w:r>
        <w:tab/>
        <w:t>repealed]</w:t>
      </w:r>
    </w:p>
    <w:p>
      <w:pPr>
        <w:pStyle w:val="Subsection"/>
        <w:rPr>
          <w:snapToGrid w:val="0"/>
        </w:rPr>
      </w:pPr>
      <w:r>
        <w:rPr>
          <w:snapToGrid w:val="0"/>
        </w:rPr>
        <w:tab/>
        <w:t>(4)</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31(1)(d);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w:t>
      </w:r>
    </w:p>
    <w:p>
      <w:pPr>
        <w:pStyle w:val="Heading5"/>
        <w:spacing w:before="120"/>
        <w:rPr>
          <w:snapToGrid w:val="0"/>
        </w:rPr>
      </w:pPr>
      <w:bookmarkStart w:id="200" w:name="_Toc457624977"/>
      <w:bookmarkStart w:id="201" w:name="_Toc469729298"/>
      <w:bookmarkStart w:id="202" w:name="_Toc501860461"/>
      <w:bookmarkStart w:id="203" w:name="_Toc166897400"/>
      <w:r>
        <w:rPr>
          <w:rStyle w:val="CharSectno"/>
        </w:rPr>
        <w:t>34</w:t>
      </w:r>
      <w:r>
        <w:rPr>
          <w:snapToGrid w:val="0"/>
        </w:rPr>
        <w:t>.</w:t>
      </w:r>
      <w:r>
        <w:rPr>
          <w:snapToGrid w:val="0"/>
        </w:rPr>
        <w:tab/>
        <w:t>Application fee etc.</w:t>
      </w:r>
      <w:bookmarkEnd w:id="200"/>
      <w:bookmarkEnd w:id="201"/>
      <w:bookmarkEnd w:id="202"/>
      <w:bookmarkEnd w:id="203"/>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 34; No. 12 of 1990 s. 24.]</w:t>
      </w:r>
    </w:p>
    <w:p>
      <w:pPr>
        <w:pStyle w:val="Heading5"/>
        <w:rPr>
          <w:snapToGrid w:val="0"/>
        </w:rPr>
      </w:pPr>
      <w:bookmarkStart w:id="204" w:name="_Toc457624978"/>
      <w:bookmarkStart w:id="205" w:name="_Toc469729299"/>
      <w:bookmarkStart w:id="206" w:name="_Toc501860462"/>
      <w:bookmarkStart w:id="207" w:name="_Toc166897401"/>
      <w:r>
        <w:rPr>
          <w:rStyle w:val="CharSectno"/>
        </w:rPr>
        <w:t>35</w:t>
      </w:r>
      <w:r>
        <w:rPr>
          <w:snapToGrid w:val="0"/>
        </w:rPr>
        <w:t>.</w:t>
      </w:r>
      <w:r>
        <w:rPr>
          <w:snapToGrid w:val="0"/>
        </w:rPr>
        <w:tab/>
        <w:t>Consideration of application</w:t>
      </w:r>
      <w:bookmarkEnd w:id="204"/>
      <w:bookmarkEnd w:id="205"/>
      <w:bookmarkEnd w:id="206"/>
      <w:bookmarkEnd w:id="207"/>
    </w:p>
    <w:p>
      <w:pPr>
        <w:pStyle w:val="Subsection"/>
        <w:spacing w:before="100"/>
        <w:rPr>
          <w:snapToGrid w:val="0"/>
        </w:rPr>
      </w:pPr>
      <w:r>
        <w:rPr>
          <w:snapToGrid w:val="0"/>
        </w:rPr>
        <w:tab/>
        <w:t>(1)</w:t>
      </w:r>
      <w:r>
        <w:rPr>
          <w:snapToGrid w:val="0"/>
        </w:rPr>
        <w:tab/>
        <w:t>Where, at the expiration of the period specified in an instrument under section 33(1),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00"/>
        <w:rPr>
          <w:snapToGrid w:val="0"/>
        </w:rPr>
      </w:pPr>
      <w:r>
        <w:rPr>
          <w:snapToGrid w:val="0"/>
        </w:rPr>
        <w:tab/>
        <w:t>(2)</w:t>
      </w:r>
      <w:r>
        <w:rPr>
          <w:snapToGrid w:val="0"/>
        </w:rPr>
        <w:tab/>
        <w:t>Where, at the expiration of the period specified in an instrument under section 33(1),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00"/>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repealed]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pPr>
      <w:r>
        <w:tab/>
        <w:t>[Section 35 amended by No. 12 of 1990 s. 25; No. 28 of 1994 s. 10.]</w:t>
      </w:r>
    </w:p>
    <w:p>
      <w:pPr>
        <w:pStyle w:val="Heading5"/>
        <w:rPr>
          <w:snapToGrid w:val="0"/>
        </w:rPr>
      </w:pPr>
      <w:bookmarkStart w:id="208" w:name="_Toc457624979"/>
      <w:bookmarkStart w:id="209" w:name="_Toc469729300"/>
      <w:bookmarkStart w:id="210" w:name="_Toc501860463"/>
      <w:bookmarkStart w:id="211" w:name="_Toc166897402"/>
      <w:r>
        <w:rPr>
          <w:rStyle w:val="CharSectno"/>
        </w:rPr>
        <w:t>36</w:t>
      </w:r>
      <w:r>
        <w:rPr>
          <w:snapToGrid w:val="0"/>
        </w:rPr>
        <w:t>.</w:t>
      </w:r>
      <w:r>
        <w:rPr>
          <w:snapToGrid w:val="0"/>
        </w:rPr>
        <w:tab/>
        <w:t>Request by applicant for grant of permit in respect of advertised block</w:t>
      </w:r>
      <w:bookmarkEnd w:id="208"/>
      <w:bookmarkEnd w:id="209"/>
      <w:bookmarkEnd w:id="210"/>
      <w:bookmarkEnd w:id="211"/>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100"/>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w:t>
      </w:r>
    </w:p>
    <w:p>
      <w:pPr>
        <w:pStyle w:val="Heading5"/>
        <w:rPr>
          <w:snapToGrid w:val="0"/>
        </w:rPr>
      </w:pPr>
      <w:bookmarkStart w:id="212" w:name="_Toc457624980"/>
      <w:bookmarkStart w:id="213" w:name="_Toc469729301"/>
      <w:bookmarkStart w:id="214" w:name="_Toc501860464"/>
      <w:bookmarkStart w:id="215" w:name="_Toc166897403"/>
      <w:r>
        <w:rPr>
          <w:rStyle w:val="CharSectno"/>
        </w:rPr>
        <w:t>37</w:t>
      </w:r>
      <w:r>
        <w:rPr>
          <w:snapToGrid w:val="0"/>
        </w:rPr>
        <w:t>.</w:t>
      </w:r>
      <w:r>
        <w:rPr>
          <w:snapToGrid w:val="0"/>
        </w:rPr>
        <w:tab/>
        <w:t>Grant of permit on request</w:t>
      </w:r>
      <w:bookmarkEnd w:id="212"/>
      <w:bookmarkEnd w:id="213"/>
      <w:bookmarkEnd w:id="214"/>
      <w:bookmarkEnd w:id="215"/>
    </w:p>
    <w:p>
      <w:pPr>
        <w:pStyle w:val="Subsection"/>
        <w:spacing w:before="120"/>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spacing w:before="120"/>
        <w:rPr>
          <w:snapToGrid w:val="0"/>
        </w:rPr>
      </w:pPr>
      <w:r>
        <w:rPr>
          <w:snapToGrid w:val="0"/>
        </w:rPr>
        <w:tab/>
      </w:r>
      <w:r>
        <w:rPr>
          <w:snapToGrid w:val="0"/>
        </w:rPr>
        <w:tab/>
        <w:t>within the period applicable under that subsection, the Minister shall grant to that person an exploration permit for petroleum in respect of the block or blocks specified in the instrument.</w:t>
      </w:r>
    </w:p>
    <w:p>
      <w:pPr>
        <w:pStyle w:val="Footnotesection"/>
      </w:pPr>
      <w:r>
        <w:tab/>
        <w:t>[Section 37 amended by No. 28 of 1994 s. 12.]</w:t>
      </w:r>
    </w:p>
    <w:p>
      <w:pPr>
        <w:pStyle w:val="Heading5"/>
        <w:rPr>
          <w:snapToGrid w:val="0"/>
        </w:rPr>
      </w:pPr>
      <w:bookmarkStart w:id="216" w:name="_Toc457624981"/>
      <w:bookmarkStart w:id="217" w:name="_Toc469729302"/>
      <w:bookmarkStart w:id="218" w:name="_Toc501860465"/>
      <w:bookmarkStart w:id="219" w:name="_Toc166897404"/>
      <w:r>
        <w:rPr>
          <w:rStyle w:val="CharSectno"/>
        </w:rPr>
        <w:t>37A</w:t>
      </w:r>
      <w:r>
        <w:rPr>
          <w:snapToGrid w:val="0"/>
        </w:rPr>
        <w:t>.</w:t>
      </w:r>
      <w:r>
        <w:rPr>
          <w:snapToGrid w:val="0"/>
        </w:rPr>
        <w:tab/>
        <w:t>Permit for 2 or more blocks may be divided into 2 or more permits</w:t>
      </w:r>
      <w:bookmarkEnd w:id="216"/>
      <w:bookmarkEnd w:id="217"/>
      <w:bookmarkEnd w:id="218"/>
      <w:bookmarkEnd w:id="219"/>
    </w:p>
    <w:p>
      <w:pPr>
        <w:pStyle w:val="Subsection"/>
        <w:spacing w:before="120"/>
        <w:rPr>
          <w:snapToGrid w:val="0"/>
        </w:rPr>
      </w:pPr>
      <w:r>
        <w:rPr>
          <w:snapToGrid w:val="0"/>
        </w:rPr>
        <w:tab/>
        <w:t>(1)</w:t>
      </w:r>
      <w:r>
        <w:rPr>
          <w:snapToGrid w:val="0"/>
        </w:rPr>
        <w:tab/>
        <w:t xml:space="preserve">Where a permit (in this section called </w:t>
      </w:r>
      <w:r>
        <w:rPr>
          <w:b/>
          <w:snapToGrid w:val="0"/>
        </w:rPr>
        <w:t>“</w:t>
      </w:r>
      <w:r>
        <w:rPr>
          <w:rStyle w:val="CharDefText"/>
        </w:rPr>
        <w:t>the original permit</w:t>
      </w:r>
      <w:r>
        <w:rPr>
          <w:b/>
          <w:snapToGrid w:val="0"/>
        </w:rPr>
        <w:t>”</w:t>
      </w:r>
      <w:r>
        <w:rPr>
          <w:snapToGrid w:val="0"/>
        </w:rPr>
        <w:t>) is in force in respect of 2 or more blocks (not being blocks that form, or form part of, a location), the permittee may make an application to the Minister for the grant to him of 2 or more permits in respect of the blocks the subject of the original permit in exchange for the original permit.</w:t>
      </w:r>
    </w:p>
    <w:p>
      <w:pPr>
        <w:pStyle w:val="Subsection"/>
        <w:spacing w:before="120"/>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permits required;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p>
    <w:p>
      <w:pPr>
        <w:pStyle w:val="Indenta"/>
        <w:rPr>
          <w:snapToGrid w:val="0"/>
        </w:rPr>
      </w:pPr>
      <w:r>
        <w:rPr>
          <w:snapToGrid w:val="0"/>
        </w:rPr>
        <w:tab/>
        <w:t>(e)</w:t>
      </w:r>
      <w:r>
        <w:rPr>
          <w:snapToGrid w:val="0"/>
        </w:rPr>
        <w:tab/>
        <w:t>shall be accompanied by the prescribed fee;</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w:t>
      </w:r>
    </w:p>
    <w:p>
      <w:pPr>
        <w:pStyle w:val="Heading5"/>
        <w:rPr>
          <w:snapToGrid w:val="0"/>
        </w:rPr>
      </w:pPr>
      <w:bookmarkStart w:id="220" w:name="_Toc457624982"/>
      <w:bookmarkStart w:id="221" w:name="_Toc469729303"/>
      <w:bookmarkStart w:id="222" w:name="_Toc501860466"/>
      <w:bookmarkStart w:id="223" w:name="_Toc166897405"/>
      <w:r>
        <w:rPr>
          <w:rStyle w:val="CharSectno"/>
        </w:rPr>
        <w:t>38</w:t>
      </w:r>
      <w:r>
        <w:rPr>
          <w:snapToGrid w:val="0"/>
        </w:rPr>
        <w:t>.</w:t>
      </w:r>
      <w:r>
        <w:rPr>
          <w:snapToGrid w:val="0"/>
        </w:rPr>
        <w:tab/>
        <w:t>Rights conferred by permit</w:t>
      </w:r>
      <w:bookmarkEnd w:id="220"/>
      <w:bookmarkEnd w:id="221"/>
      <w:bookmarkEnd w:id="222"/>
      <w:bookmarkEnd w:id="223"/>
    </w:p>
    <w:p>
      <w:pPr>
        <w:pStyle w:val="Subsection"/>
        <w:rPr>
          <w:snapToGrid w:val="0"/>
        </w:rPr>
      </w:pPr>
      <w:r>
        <w:rPr>
          <w:snapToGrid w:val="0"/>
        </w:rPr>
        <w:tab/>
      </w:r>
      <w:r>
        <w:rPr>
          <w:snapToGrid w:val="0"/>
        </w:rPr>
        <w:tab/>
        <w:t>A permit, while it remains in force, authorises the permittee, subject to this Act and the regulations and in accordance with the conditions to which the permit is subject, to explore for petroleum, and to carry on such operations and execute such works as are necessary for that purpose, in the permit area.</w:t>
      </w:r>
    </w:p>
    <w:p>
      <w:pPr>
        <w:pStyle w:val="Heading5"/>
        <w:rPr>
          <w:snapToGrid w:val="0"/>
        </w:rPr>
      </w:pPr>
      <w:bookmarkStart w:id="224" w:name="_Toc457624983"/>
      <w:bookmarkStart w:id="225" w:name="_Toc469729304"/>
      <w:bookmarkStart w:id="226" w:name="_Toc501860467"/>
      <w:bookmarkStart w:id="227" w:name="_Toc166897406"/>
      <w:r>
        <w:rPr>
          <w:rStyle w:val="CharSectno"/>
        </w:rPr>
        <w:t>39</w:t>
      </w:r>
      <w:r>
        <w:rPr>
          <w:snapToGrid w:val="0"/>
        </w:rPr>
        <w:t>.</w:t>
      </w:r>
      <w:r>
        <w:rPr>
          <w:snapToGrid w:val="0"/>
        </w:rPr>
        <w:tab/>
        <w:t>Term of permit</w:t>
      </w:r>
      <w:bookmarkEnd w:id="224"/>
      <w:bookmarkEnd w:id="225"/>
      <w:bookmarkEnd w:id="226"/>
      <w:bookmarkEnd w:id="227"/>
    </w:p>
    <w:p>
      <w:pPr>
        <w:pStyle w:val="Subsection"/>
        <w:rPr>
          <w:snapToGrid w:val="0"/>
        </w:rPr>
      </w:pPr>
      <w:r>
        <w:rPr>
          <w:snapToGrid w:val="0"/>
        </w:rPr>
        <w:tab/>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pPr>
      <w:r>
        <w:tab/>
        <w:t>[Section 39 amended by No. 12 of 1990 s. 26; No. 28 of 1994 s. 14.]</w:t>
      </w:r>
    </w:p>
    <w:p>
      <w:pPr>
        <w:pStyle w:val="Heading5"/>
        <w:rPr>
          <w:snapToGrid w:val="0"/>
        </w:rPr>
      </w:pPr>
      <w:bookmarkStart w:id="228" w:name="_Toc457624984"/>
      <w:bookmarkStart w:id="229" w:name="_Toc469729305"/>
      <w:bookmarkStart w:id="230" w:name="_Toc501860468"/>
      <w:bookmarkStart w:id="231" w:name="_Toc166897407"/>
      <w:r>
        <w:rPr>
          <w:rStyle w:val="CharSectno"/>
        </w:rPr>
        <w:t>40</w:t>
      </w:r>
      <w:r>
        <w:rPr>
          <w:snapToGrid w:val="0"/>
        </w:rPr>
        <w:t>.</w:t>
      </w:r>
      <w:r>
        <w:rPr>
          <w:snapToGrid w:val="0"/>
        </w:rPr>
        <w:tab/>
        <w:t>Application for renewal of permit</w:t>
      </w:r>
      <w:bookmarkEnd w:id="228"/>
      <w:bookmarkEnd w:id="229"/>
      <w:bookmarkEnd w:id="230"/>
      <w:bookmarkEnd w:id="231"/>
    </w:p>
    <w:p>
      <w:pPr>
        <w:pStyle w:val="Subsection"/>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w:t>
      </w:r>
    </w:p>
    <w:p>
      <w:pPr>
        <w:pStyle w:val="Heading5"/>
        <w:rPr>
          <w:snapToGrid w:val="0"/>
        </w:rPr>
      </w:pPr>
      <w:bookmarkStart w:id="232" w:name="_Toc457624985"/>
      <w:bookmarkStart w:id="233" w:name="_Toc469729306"/>
      <w:bookmarkStart w:id="234" w:name="_Toc501860469"/>
      <w:bookmarkStart w:id="235" w:name="_Toc166897408"/>
      <w:r>
        <w:rPr>
          <w:rStyle w:val="CharSectno"/>
        </w:rPr>
        <w:t>41</w:t>
      </w:r>
      <w:r>
        <w:rPr>
          <w:snapToGrid w:val="0"/>
        </w:rPr>
        <w:t>.</w:t>
      </w:r>
      <w:r>
        <w:rPr>
          <w:snapToGrid w:val="0"/>
        </w:rPr>
        <w:tab/>
        <w:t>Application for renewal of permit to be in respect of reduced area</w:t>
      </w:r>
      <w:bookmarkEnd w:id="232"/>
      <w:bookmarkEnd w:id="233"/>
      <w:bookmarkEnd w:id="234"/>
      <w:bookmarkEnd w:id="235"/>
    </w:p>
    <w:p>
      <w:pPr>
        <w:pStyle w:val="Subsection"/>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p>
    <w:p>
      <w:pPr>
        <w:pStyle w:val="Indenta"/>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 28; No. 28 of 1994 s. 15.]</w:t>
      </w:r>
    </w:p>
    <w:p>
      <w:pPr>
        <w:pStyle w:val="Heading5"/>
        <w:rPr>
          <w:snapToGrid w:val="0"/>
        </w:rPr>
      </w:pPr>
      <w:bookmarkStart w:id="236" w:name="_Toc457624986"/>
      <w:bookmarkStart w:id="237" w:name="_Toc469729307"/>
      <w:bookmarkStart w:id="238" w:name="_Toc501860470"/>
      <w:bookmarkStart w:id="239" w:name="_Toc166897409"/>
      <w:r>
        <w:rPr>
          <w:rStyle w:val="CharSectno"/>
        </w:rPr>
        <w:t>42</w:t>
      </w:r>
      <w:r>
        <w:rPr>
          <w:snapToGrid w:val="0"/>
        </w:rPr>
        <w:t>.</w:t>
      </w:r>
      <w:r>
        <w:rPr>
          <w:snapToGrid w:val="0"/>
        </w:rPr>
        <w:tab/>
        <w:t>Grant or refusal of renewal of permit</w:t>
      </w:r>
      <w:bookmarkEnd w:id="236"/>
      <w:bookmarkEnd w:id="237"/>
      <w:bookmarkEnd w:id="238"/>
      <w:bookmarkEnd w:id="239"/>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240" w:name="_Toc457624987"/>
      <w:bookmarkStart w:id="241" w:name="_Toc469729308"/>
      <w:bookmarkStart w:id="242" w:name="_Toc501860471"/>
      <w:bookmarkStart w:id="243" w:name="_Toc166897410"/>
      <w:r>
        <w:rPr>
          <w:rStyle w:val="CharSectno"/>
        </w:rPr>
        <w:t>43</w:t>
      </w:r>
      <w:r>
        <w:rPr>
          <w:snapToGrid w:val="0"/>
        </w:rPr>
        <w:t>.</w:t>
      </w:r>
      <w:r>
        <w:rPr>
          <w:snapToGrid w:val="0"/>
        </w:rPr>
        <w:tab/>
        <w:t>Conditions of permit</w:t>
      </w:r>
      <w:bookmarkEnd w:id="240"/>
      <w:bookmarkEnd w:id="241"/>
      <w:bookmarkEnd w:id="242"/>
      <w:bookmarkEnd w:id="243"/>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rPr>
          <w:snapToGrid w:val="0"/>
        </w:rPr>
      </w:pPr>
      <w:bookmarkStart w:id="244" w:name="_Toc457624988"/>
      <w:bookmarkStart w:id="245" w:name="_Toc469729309"/>
      <w:bookmarkStart w:id="246" w:name="_Toc501860472"/>
      <w:bookmarkStart w:id="247" w:name="_Toc166897411"/>
      <w:r>
        <w:rPr>
          <w:rStyle w:val="CharSectno"/>
        </w:rPr>
        <w:t>43A</w:t>
      </w:r>
      <w:r>
        <w:rPr>
          <w:snapToGrid w:val="0"/>
        </w:rPr>
        <w:t>.</w:t>
      </w:r>
      <w:r>
        <w:rPr>
          <w:snapToGrid w:val="0"/>
        </w:rPr>
        <w:tab/>
        <w:t>Advertisement of blocks for drilling reservations</w:t>
      </w:r>
      <w:bookmarkEnd w:id="244"/>
      <w:bookmarkEnd w:id="245"/>
      <w:bookmarkEnd w:id="246"/>
      <w:bookmarkEnd w:id="247"/>
    </w:p>
    <w:p>
      <w:pPr>
        <w:pStyle w:val="Subsection"/>
        <w:keepNext/>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rPr>
          <w:snapToGrid w:val="0"/>
        </w:rPr>
      </w:pPr>
      <w:r>
        <w:rPr>
          <w:snapToGrid w:val="0"/>
        </w:rPr>
        <w:tab/>
        <w:t>(2)</w:t>
      </w:r>
      <w:r>
        <w:rPr>
          <w:snapToGrid w:val="0"/>
        </w:rPr>
        <w:tab/>
        <w:t>Applications shall not be invited under subsection (1) over any area that is included in an existing permit or an application for a permit, drilling reservation, lease or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w:t>
      </w:r>
    </w:p>
    <w:p>
      <w:pPr>
        <w:pStyle w:val="Heading5"/>
        <w:rPr>
          <w:snapToGrid w:val="0"/>
        </w:rPr>
      </w:pPr>
      <w:bookmarkStart w:id="248" w:name="_Toc457624989"/>
      <w:bookmarkStart w:id="249" w:name="_Toc469729310"/>
      <w:bookmarkStart w:id="250" w:name="_Toc501860473"/>
      <w:bookmarkStart w:id="251" w:name="_Toc166897412"/>
      <w:r>
        <w:rPr>
          <w:rStyle w:val="CharSectno"/>
        </w:rPr>
        <w:t>43B</w:t>
      </w:r>
      <w:r>
        <w:rPr>
          <w:snapToGrid w:val="0"/>
        </w:rPr>
        <w:t>.</w:t>
      </w:r>
      <w:r>
        <w:rPr>
          <w:snapToGrid w:val="0"/>
        </w:rPr>
        <w:tab/>
        <w:t>Application for drilling reservation</w:t>
      </w:r>
      <w:bookmarkEnd w:id="248"/>
      <w:bookmarkEnd w:id="249"/>
      <w:bookmarkEnd w:id="250"/>
      <w:bookmarkEnd w:id="251"/>
    </w:p>
    <w:p>
      <w:pPr>
        <w:pStyle w:val="Subsection"/>
        <w:rPr>
          <w:snapToGrid w:val="0"/>
        </w:rPr>
      </w:pPr>
      <w:r>
        <w:rPr>
          <w:snapToGrid w:val="0"/>
        </w:rPr>
        <w:tab/>
        <w:t>(1)</w:t>
      </w:r>
      <w:r>
        <w:rPr>
          <w:snapToGrid w:val="0"/>
        </w:rPr>
        <w:tab/>
        <w:t>An application under section 43A or 105(3)(a)(ii)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to a block or blocks containing potential sites of petroleum deposits;</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w:t>
      </w:r>
    </w:p>
    <w:p>
      <w:pPr>
        <w:pStyle w:val="Indenti"/>
        <w:rPr>
          <w:snapToGrid w:val="0"/>
        </w:rPr>
      </w:pPr>
      <w:r>
        <w:rPr>
          <w:snapToGrid w:val="0"/>
        </w:rPr>
        <w:tab/>
        <w:t>(ii)</w:t>
      </w:r>
      <w:r>
        <w:rPr>
          <w:snapToGrid w:val="0"/>
        </w:rPr>
        <w:tab/>
        <w:t>the technical qualifications of the applicant and of the employees of the applicant;</w:t>
      </w:r>
    </w:p>
    <w:p>
      <w:pPr>
        <w:pStyle w:val="Indenti"/>
        <w:rPr>
          <w:snapToGrid w:val="0"/>
        </w:rPr>
      </w:pPr>
      <w:r>
        <w:rPr>
          <w:snapToGrid w:val="0"/>
        </w:rPr>
        <w:tab/>
        <w:t>(iii)</w:t>
      </w:r>
      <w:r>
        <w:rPr>
          <w:snapToGrid w:val="0"/>
        </w:rPr>
        <w:tab/>
        <w:t>the technical advice available to the applicant;</w:t>
      </w:r>
    </w:p>
    <w:p>
      <w:pPr>
        <w:pStyle w:val="Indenti"/>
        <w:rPr>
          <w:snapToGrid w:val="0"/>
        </w:rPr>
      </w:pPr>
      <w:r>
        <w:rPr>
          <w:snapToGrid w:val="0"/>
        </w:rPr>
        <w:tab/>
        <w:t>(iv)</w:t>
      </w:r>
      <w:r>
        <w:rPr>
          <w:snapToGrid w:val="0"/>
        </w:rPr>
        <w:tab/>
        <w:t>a statement as to the size and configuration of the potential petroleum deposit and a geological prognosis of the well;</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the financial resources available to the applicant;</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w:t>
      </w:r>
    </w:p>
    <w:p>
      <w:pPr>
        <w:pStyle w:val="Heading5"/>
        <w:rPr>
          <w:snapToGrid w:val="0"/>
        </w:rPr>
      </w:pPr>
      <w:bookmarkStart w:id="252" w:name="_Toc457624990"/>
      <w:bookmarkStart w:id="253" w:name="_Toc469729311"/>
      <w:bookmarkStart w:id="254" w:name="_Toc501860474"/>
      <w:bookmarkStart w:id="255" w:name="_Toc166897413"/>
      <w:r>
        <w:rPr>
          <w:rStyle w:val="CharSectno"/>
        </w:rPr>
        <w:t>43C</w:t>
      </w:r>
      <w:r>
        <w:rPr>
          <w:snapToGrid w:val="0"/>
        </w:rPr>
        <w:t>.</w:t>
      </w:r>
      <w:r>
        <w:rPr>
          <w:snapToGrid w:val="0"/>
        </w:rPr>
        <w:tab/>
        <w:t>Grant or refusal in relation to applications for drilling reservations</w:t>
      </w:r>
      <w:bookmarkEnd w:id="252"/>
      <w:bookmarkEnd w:id="253"/>
      <w:bookmarkEnd w:id="254"/>
      <w:bookmarkEnd w:id="255"/>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43C inserted by No. 78 of 1990 s. 6; amended by No. 28 of 1994 s. 19.]</w:t>
      </w:r>
    </w:p>
    <w:p>
      <w:pPr>
        <w:pStyle w:val="Heading5"/>
        <w:rPr>
          <w:snapToGrid w:val="0"/>
        </w:rPr>
      </w:pPr>
      <w:bookmarkStart w:id="256" w:name="_Toc457624991"/>
      <w:bookmarkStart w:id="257" w:name="_Toc469729312"/>
      <w:bookmarkStart w:id="258" w:name="_Toc501860475"/>
      <w:bookmarkStart w:id="259" w:name="_Toc166897414"/>
      <w:r>
        <w:rPr>
          <w:rStyle w:val="CharSectno"/>
        </w:rPr>
        <w:t>43D</w:t>
      </w:r>
      <w:r>
        <w:rPr>
          <w:snapToGrid w:val="0"/>
        </w:rPr>
        <w:t>.</w:t>
      </w:r>
      <w:r>
        <w:rPr>
          <w:snapToGrid w:val="0"/>
        </w:rPr>
        <w:tab/>
        <w:t>Rights conferred by drilling reservation</w:t>
      </w:r>
      <w:bookmarkEnd w:id="256"/>
      <w:bookmarkEnd w:id="257"/>
      <w:bookmarkEnd w:id="258"/>
      <w:bookmarkEnd w:id="259"/>
    </w:p>
    <w:p>
      <w:pPr>
        <w:pStyle w:val="Subsection"/>
        <w:rPr>
          <w:snapToGrid w:val="0"/>
        </w:rPr>
      </w:pPr>
      <w:r>
        <w:rPr>
          <w:snapToGrid w:val="0"/>
        </w:rPr>
        <w:tab/>
      </w:r>
      <w:r>
        <w:rPr>
          <w:snapToGrid w:val="0"/>
        </w:rPr>
        <w:tab/>
        <w:t>A drilling reservation, while it remains in force, authorises the holder of the drilling reservation, subject to this Act and the regulations and in accordance with the conditions to which the drilling reservation is subject, to drill for petroleum, and to carry on such operations and execute such works as are necessary for that purpose, in the drilling reservation area.</w:t>
      </w:r>
    </w:p>
    <w:p>
      <w:pPr>
        <w:pStyle w:val="Footnotesection"/>
      </w:pPr>
      <w:r>
        <w:tab/>
        <w:t>[Section 43D inserted by No. 78 of 1990 s. 6.]</w:t>
      </w:r>
    </w:p>
    <w:p>
      <w:pPr>
        <w:pStyle w:val="Heading5"/>
        <w:rPr>
          <w:snapToGrid w:val="0"/>
        </w:rPr>
      </w:pPr>
      <w:bookmarkStart w:id="260" w:name="_Toc457624992"/>
      <w:bookmarkStart w:id="261" w:name="_Toc469729313"/>
      <w:bookmarkStart w:id="262" w:name="_Toc501860476"/>
      <w:bookmarkStart w:id="263" w:name="_Toc166897415"/>
      <w:r>
        <w:rPr>
          <w:rStyle w:val="CharSectno"/>
        </w:rPr>
        <w:t>43E</w:t>
      </w:r>
      <w:r>
        <w:rPr>
          <w:snapToGrid w:val="0"/>
        </w:rPr>
        <w:t>.</w:t>
      </w:r>
      <w:r>
        <w:rPr>
          <w:snapToGrid w:val="0"/>
        </w:rPr>
        <w:tab/>
        <w:t>Term of drilling reservation</w:t>
      </w:r>
      <w:bookmarkEnd w:id="260"/>
      <w:bookmarkEnd w:id="261"/>
      <w:bookmarkEnd w:id="262"/>
      <w:bookmarkEnd w:id="263"/>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264" w:name="_Toc457624993"/>
      <w:bookmarkStart w:id="265" w:name="_Toc469729314"/>
      <w:bookmarkStart w:id="266" w:name="_Toc501860477"/>
      <w:bookmarkStart w:id="267" w:name="_Toc166897416"/>
      <w:r>
        <w:rPr>
          <w:rStyle w:val="CharSectno"/>
        </w:rPr>
        <w:t>43F</w:t>
      </w:r>
      <w:r>
        <w:rPr>
          <w:snapToGrid w:val="0"/>
        </w:rPr>
        <w:t>.</w:t>
      </w:r>
      <w:r>
        <w:rPr>
          <w:snapToGrid w:val="0"/>
        </w:rPr>
        <w:tab/>
        <w:t>Extension of term of drilling reservation</w:t>
      </w:r>
      <w:bookmarkEnd w:id="264"/>
      <w:bookmarkEnd w:id="265"/>
      <w:bookmarkEnd w:id="266"/>
      <w:bookmarkEnd w:id="267"/>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268" w:name="_Toc457624994"/>
      <w:bookmarkStart w:id="269" w:name="_Toc469729315"/>
      <w:bookmarkStart w:id="270" w:name="_Toc501860478"/>
      <w:bookmarkStart w:id="271" w:name="_Toc166897417"/>
      <w:r>
        <w:rPr>
          <w:rStyle w:val="CharSectno"/>
        </w:rPr>
        <w:t>44</w:t>
      </w:r>
      <w:r>
        <w:rPr>
          <w:snapToGrid w:val="0"/>
        </w:rPr>
        <w:t>.</w:t>
      </w:r>
      <w:r>
        <w:rPr>
          <w:snapToGrid w:val="0"/>
        </w:rPr>
        <w:tab/>
        <w:t>Discovery of petroleum to be notified etc.</w:t>
      </w:r>
      <w:bookmarkEnd w:id="268"/>
      <w:bookmarkEnd w:id="269"/>
      <w:bookmarkEnd w:id="270"/>
      <w:bookmarkEnd w:id="271"/>
    </w:p>
    <w:p>
      <w:pPr>
        <w:pStyle w:val="Subsection"/>
        <w:rPr>
          <w:snapToGrid w:val="0"/>
        </w:rPr>
      </w:pPr>
      <w:r>
        <w:rPr>
          <w:snapToGrid w:val="0"/>
        </w:rPr>
        <w:tab/>
        <w:t>(1)</w:t>
      </w:r>
      <w:r>
        <w:rPr>
          <w:snapToGrid w:val="0"/>
        </w:rPr>
        <w:tab/>
        <w:t>Where petroleum is discovered in a permit area or 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or 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44 amended by No. 12 of 1990 s. 30; No. 78 of 1990 s. 7.]</w:t>
      </w:r>
    </w:p>
    <w:p>
      <w:pPr>
        <w:pStyle w:val="Heading5"/>
        <w:rPr>
          <w:snapToGrid w:val="0"/>
        </w:rPr>
      </w:pPr>
      <w:bookmarkStart w:id="272" w:name="_Toc457624995"/>
      <w:bookmarkStart w:id="273" w:name="_Toc469729316"/>
      <w:bookmarkStart w:id="274" w:name="_Toc501860479"/>
      <w:bookmarkStart w:id="275" w:name="_Toc166897418"/>
      <w:r>
        <w:rPr>
          <w:rStyle w:val="CharSectno"/>
        </w:rPr>
        <w:t>45</w:t>
      </w:r>
      <w:r>
        <w:rPr>
          <w:snapToGrid w:val="0"/>
        </w:rPr>
        <w:t>.</w:t>
      </w:r>
      <w:r>
        <w:rPr>
          <w:snapToGrid w:val="0"/>
        </w:rPr>
        <w:tab/>
        <w:t>Direction by Minister on discovery of petroleum</w:t>
      </w:r>
      <w:bookmarkEnd w:id="272"/>
      <w:bookmarkEnd w:id="273"/>
      <w:bookmarkEnd w:id="274"/>
      <w:bookmarkEnd w:id="275"/>
    </w:p>
    <w:p>
      <w:pPr>
        <w:pStyle w:val="Subsection"/>
        <w:rPr>
          <w:snapToGrid w:val="0"/>
        </w:rPr>
      </w:pPr>
      <w:r>
        <w:rPr>
          <w:snapToGrid w:val="0"/>
        </w:rPr>
        <w:tab/>
        <w:t>(1)</w:t>
      </w:r>
      <w:r>
        <w:rPr>
          <w:snapToGrid w:val="0"/>
        </w:rPr>
        <w:tab/>
        <w:t>Where petroleum is discovered in a permit area or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45 amended by No. 12 of 1990 s. 31; No. 78 of 1990 s. 7.]</w:t>
      </w:r>
    </w:p>
    <w:p>
      <w:pPr>
        <w:pStyle w:val="Heading5"/>
        <w:rPr>
          <w:snapToGrid w:val="0"/>
        </w:rPr>
      </w:pPr>
      <w:bookmarkStart w:id="276" w:name="_Toc457624996"/>
      <w:bookmarkStart w:id="277" w:name="_Toc469729317"/>
      <w:bookmarkStart w:id="278" w:name="_Toc501860480"/>
      <w:bookmarkStart w:id="279" w:name="_Toc166897419"/>
      <w:r>
        <w:rPr>
          <w:rStyle w:val="CharSectno"/>
        </w:rPr>
        <w:t>46</w:t>
      </w:r>
      <w:r>
        <w:rPr>
          <w:snapToGrid w:val="0"/>
        </w:rPr>
        <w:t>.</w:t>
      </w:r>
      <w:r>
        <w:rPr>
          <w:snapToGrid w:val="0"/>
        </w:rPr>
        <w:tab/>
        <w:t>Nomination of blocks as location</w:t>
      </w:r>
      <w:bookmarkEnd w:id="276"/>
      <w:bookmarkEnd w:id="277"/>
      <w:bookmarkEnd w:id="278"/>
      <w:bookmarkEnd w:id="279"/>
    </w:p>
    <w:p>
      <w:pPr>
        <w:pStyle w:val="Subsection"/>
        <w:rPr>
          <w:snapToGrid w:val="0"/>
        </w:rPr>
      </w:pPr>
      <w:r>
        <w:rPr>
          <w:snapToGrid w:val="0"/>
        </w:rPr>
        <w:tab/>
        <w:t>(1)</w:t>
      </w:r>
      <w:r>
        <w:rPr>
          <w:snapToGrid w:val="0"/>
        </w:rPr>
        <w:tab/>
        <w:t>Where a petroleum pool is identified in a permit area or 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rPr>
          <w:snapToGrid w:val="0"/>
        </w:rPr>
      </w:pPr>
      <w:r>
        <w:rPr>
          <w:snapToGrid w:val="0"/>
        </w:rPr>
        <w:tab/>
        <w:t>(2)</w:t>
      </w:r>
      <w:r>
        <w:rPr>
          <w:snapToGrid w:val="0"/>
        </w:rPr>
        <w:tab/>
        <w:t>Where 2 or more petroleum pools are identified in a permit area or 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 to which the nomination relates or, if the nomination relates to more than one pool, from each of those pools.</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 or (2);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w:t>
      </w:r>
    </w:p>
    <w:p>
      <w:pPr>
        <w:pStyle w:val="Heading5"/>
        <w:rPr>
          <w:snapToGrid w:val="0"/>
        </w:rPr>
      </w:pPr>
      <w:bookmarkStart w:id="280" w:name="_Toc457624997"/>
      <w:bookmarkStart w:id="281" w:name="_Toc469729318"/>
      <w:bookmarkStart w:id="282" w:name="_Toc501860481"/>
      <w:bookmarkStart w:id="283" w:name="_Toc166897420"/>
      <w:r>
        <w:rPr>
          <w:rStyle w:val="CharSectno"/>
        </w:rPr>
        <w:t>47</w:t>
      </w:r>
      <w:r>
        <w:rPr>
          <w:snapToGrid w:val="0"/>
        </w:rPr>
        <w:t>.</w:t>
      </w:r>
      <w:r>
        <w:rPr>
          <w:snapToGrid w:val="0"/>
        </w:rPr>
        <w:tab/>
        <w:t>Declaration of location</w:t>
      </w:r>
      <w:bookmarkEnd w:id="280"/>
      <w:bookmarkEnd w:id="281"/>
      <w:bookmarkEnd w:id="282"/>
      <w:bookmarkEnd w:id="283"/>
    </w:p>
    <w:p>
      <w:pPr>
        <w:pStyle w:val="Subsection"/>
        <w:spacing w:before="10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spacing w:before="10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spacing w:before="100"/>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spacing w:before="100"/>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spacing w:before="100"/>
        <w:rPr>
          <w:snapToGrid w:val="0"/>
        </w:rPr>
      </w:pPr>
      <w:r>
        <w:rPr>
          <w:snapToGrid w:val="0"/>
        </w:rPr>
        <w:tab/>
        <w:t>(4)</w:t>
      </w:r>
      <w:r>
        <w:rPr>
          <w:snapToGrid w:val="0"/>
        </w:rPr>
        <w:tab/>
        <w:t>The Minister may vary a declaration by —</w:t>
      </w:r>
    </w:p>
    <w:p>
      <w:pPr>
        <w:pStyle w:val="Indenta"/>
        <w:spacing w:before="60"/>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spacing w:before="60"/>
        <w:rPr>
          <w:snapToGrid w:val="0"/>
        </w:rPr>
      </w:pPr>
      <w:r>
        <w:rPr>
          <w:snapToGrid w:val="0"/>
        </w:rPr>
        <w:tab/>
        <w:t>(b)</w:t>
      </w:r>
      <w:r>
        <w:rPr>
          <w:snapToGrid w:val="0"/>
        </w:rPr>
        <w:tab/>
        <w:t>deleting from the location a block to which, in the opinion of the Minister, no petroleum pool within the location extends.</w:t>
      </w:r>
    </w:p>
    <w:p>
      <w:pPr>
        <w:pStyle w:val="Subsection"/>
        <w:spacing w:before="100"/>
        <w:rPr>
          <w:snapToGrid w:val="0"/>
        </w:rPr>
      </w:pPr>
      <w:r>
        <w:rPr>
          <w:snapToGrid w:val="0"/>
        </w:rPr>
        <w:tab/>
        <w:t>(5)</w:t>
      </w:r>
      <w:r>
        <w:rPr>
          <w:snapToGrid w:val="0"/>
        </w:rPr>
        <w:tab/>
        <w:t>The Minister may not vary a declaration unless —</w:t>
      </w:r>
    </w:p>
    <w:p>
      <w:pPr>
        <w:pStyle w:val="Indenta"/>
        <w:spacing w:before="60"/>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w:t>
      </w:r>
    </w:p>
    <w:p>
      <w:pPr>
        <w:pStyle w:val="Indenta"/>
        <w:spacing w:before="60"/>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pPr>
      <w:r>
        <w:tab/>
        <w:t>[Section 47 inserted by No. 12 of 1990 s. 32; amended by No. 78 of 1990 s. 7.]</w:t>
      </w:r>
    </w:p>
    <w:p>
      <w:pPr>
        <w:pStyle w:val="Heading5"/>
        <w:rPr>
          <w:snapToGrid w:val="0"/>
        </w:rPr>
      </w:pPr>
      <w:bookmarkStart w:id="284" w:name="_Toc457624998"/>
      <w:bookmarkStart w:id="285" w:name="_Toc469729319"/>
      <w:bookmarkStart w:id="286" w:name="_Toc501860482"/>
      <w:bookmarkStart w:id="287" w:name="_Toc166897421"/>
      <w:r>
        <w:rPr>
          <w:rStyle w:val="CharSectno"/>
        </w:rPr>
        <w:t>48</w:t>
      </w:r>
      <w:r>
        <w:rPr>
          <w:snapToGrid w:val="0"/>
        </w:rPr>
        <w:t>.</w:t>
      </w:r>
      <w:r>
        <w:rPr>
          <w:snapToGrid w:val="0"/>
        </w:rPr>
        <w:tab/>
        <w:t>Immediately adjoining blocks</w:t>
      </w:r>
      <w:bookmarkEnd w:id="284"/>
      <w:bookmarkEnd w:id="285"/>
      <w:bookmarkEnd w:id="286"/>
      <w:bookmarkEnd w:id="287"/>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pPr>
      <w:r>
        <w:tab/>
        <w:t>[Section 48 amended by No. 12 of 1990 s. 33.]</w:t>
      </w:r>
    </w:p>
    <w:p>
      <w:pPr>
        <w:pStyle w:val="Heading3"/>
      </w:pPr>
      <w:bookmarkStart w:id="288" w:name="_Toc72913483"/>
      <w:bookmarkStart w:id="289" w:name="_Toc89574909"/>
      <w:bookmarkStart w:id="290" w:name="_Toc91304906"/>
      <w:bookmarkStart w:id="291" w:name="_Toc92690134"/>
      <w:bookmarkStart w:id="292" w:name="_Toc113770187"/>
      <w:bookmarkStart w:id="293" w:name="_Toc161551287"/>
      <w:bookmarkStart w:id="294" w:name="_Toc161552215"/>
      <w:bookmarkStart w:id="295" w:name="_Toc161552611"/>
      <w:bookmarkStart w:id="296" w:name="_Toc161717808"/>
      <w:bookmarkStart w:id="297" w:name="_Toc163274590"/>
      <w:bookmarkStart w:id="298" w:name="_Toc163288627"/>
      <w:bookmarkStart w:id="299" w:name="_Toc166897422"/>
      <w:r>
        <w:rPr>
          <w:rStyle w:val="CharDivNo"/>
        </w:rPr>
        <w:t>Division 2A</w:t>
      </w:r>
      <w:r>
        <w:rPr>
          <w:snapToGrid w:val="0"/>
        </w:rPr>
        <w:t> — </w:t>
      </w:r>
      <w:r>
        <w:rPr>
          <w:rStyle w:val="CharDivText"/>
        </w:rPr>
        <w:t>Retention leases for petroleum</w:t>
      </w:r>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pPr>
      <w:r>
        <w:tab/>
        <w:t>[Heading inserted by No. 12 of 1990 s. 34.]</w:t>
      </w:r>
    </w:p>
    <w:p>
      <w:pPr>
        <w:pStyle w:val="Heading5"/>
        <w:rPr>
          <w:snapToGrid w:val="0"/>
        </w:rPr>
      </w:pPr>
      <w:bookmarkStart w:id="300" w:name="_Toc457624999"/>
      <w:bookmarkStart w:id="301" w:name="_Toc469729320"/>
      <w:bookmarkStart w:id="302" w:name="_Toc501860483"/>
      <w:bookmarkStart w:id="303" w:name="_Toc166897423"/>
      <w:r>
        <w:rPr>
          <w:rStyle w:val="CharSectno"/>
        </w:rPr>
        <w:t>48A</w:t>
      </w:r>
      <w:r>
        <w:rPr>
          <w:snapToGrid w:val="0"/>
        </w:rPr>
        <w:t>.</w:t>
      </w:r>
      <w:r>
        <w:rPr>
          <w:snapToGrid w:val="0"/>
        </w:rPr>
        <w:tab/>
        <w:t>Application by permittee or holder of drilling reservation for lease</w:t>
      </w:r>
      <w:bookmarkEnd w:id="300"/>
      <w:bookmarkEnd w:id="301"/>
      <w:bookmarkEnd w:id="302"/>
      <w:bookmarkEnd w:id="303"/>
    </w:p>
    <w:p>
      <w:pPr>
        <w:pStyle w:val="Subsection"/>
        <w:rPr>
          <w:snapToGrid w:val="0"/>
        </w:rPr>
      </w:pPr>
      <w:r>
        <w:rPr>
          <w:snapToGrid w:val="0"/>
        </w:rPr>
        <w:tab/>
        <w:t>(1)</w:t>
      </w:r>
      <w:r>
        <w:rPr>
          <w:snapToGrid w:val="0"/>
        </w:rPr>
        <w:tab/>
        <w:t>A permittee whose permit is in force, or, the holder of a drilling reservation whose drilling reservation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be accompanied by particulars of —</w:t>
      </w:r>
    </w:p>
    <w:p>
      <w:pPr>
        <w:pStyle w:val="Indenti"/>
        <w:spacing w:before="100"/>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w:t>
      </w:r>
    </w:p>
    <w:p>
      <w:pPr>
        <w:pStyle w:val="Heading5"/>
        <w:rPr>
          <w:snapToGrid w:val="0"/>
        </w:rPr>
      </w:pPr>
      <w:bookmarkStart w:id="304" w:name="_Toc457625000"/>
      <w:bookmarkStart w:id="305" w:name="_Toc469729321"/>
      <w:bookmarkStart w:id="306" w:name="_Toc501860484"/>
      <w:bookmarkStart w:id="307" w:name="_Toc166897424"/>
      <w:r>
        <w:rPr>
          <w:rStyle w:val="CharSectno"/>
        </w:rPr>
        <w:t>48B</w:t>
      </w:r>
      <w:r>
        <w:rPr>
          <w:snapToGrid w:val="0"/>
        </w:rPr>
        <w:t>.</w:t>
      </w:r>
      <w:r>
        <w:rPr>
          <w:snapToGrid w:val="0"/>
        </w:rPr>
        <w:tab/>
        <w:t>Grant or refusal of lease in relation to application</w:t>
      </w:r>
      <w:bookmarkEnd w:id="304"/>
      <w:bookmarkEnd w:id="305"/>
      <w:bookmarkEnd w:id="306"/>
      <w:bookmarkEnd w:id="30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has been made under section 48A;</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the Minister is satisfied that recovery of petroleum from the area comprised in the blocks specified in the application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keepNext/>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w:t>
      </w:r>
    </w:p>
    <w:p>
      <w:pPr>
        <w:pStyle w:val="Heading5"/>
        <w:rPr>
          <w:snapToGrid w:val="0"/>
        </w:rPr>
      </w:pPr>
      <w:bookmarkStart w:id="308" w:name="_Toc457625001"/>
      <w:bookmarkStart w:id="309" w:name="_Toc469729322"/>
      <w:bookmarkStart w:id="310" w:name="_Toc501860485"/>
      <w:bookmarkStart w:id="311" w:name="_Toc166897425"/>
      <w:r>
        <w:rPr>
          <w:rStyle w:val="CharSectno"/>
        </w:rPr>
        <w:t>48BA</w:t>
      </w:r>
      <w:r>
        <w:rPr>
          <w:snapToGrid w:val="0"/>
        </w:rPr>
        <w:t>.</w:t>
      </w:r>
      <w:r>
        <w:rPr>
          <w:snapToGrid w:val="0"/>
        </w:rPr>
        <w:tab/>
        <w:t>Application of sections 48A and 48B where permit is transferred</w:t>
      </w:r>
      <w:bookmarkEnd w:id="308"/>
      <w:bookmarkEnd w:id="309"/>
      <w:bookmarkEnd w:id="310"/>
      <w:bookmarkEnd w:id="31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48B(1) or (2) in relation to the application,</w:t>
      </w:r>
    </w:p>
    <w:p>
      <w:pPr>
        <w:pStyle w:val="Subsection"/>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w:t>
      </w:r>
    </w:p>
    <w:p>
      <w:pPr>
        <w:pStyle w:val="Heading5"/>
        <w:rPr>
          <w:snapToGrid w:val="0"/>
        </w:rPr>
      </w:pPr>
      <w:bookmarkStart w:id="312" w:name="_Toc457625002"/>
      <w:bookmarkStart w:id="313" w:name="_Toc469729323"/>
      <w:bookmarkStart w:id="314" w:name="_Toc501860486"/>
      <w:bookmarkStart w:id="315" w:name="_Toc166897426"/>
      <w:r>
        <w:rPr>
          <w:rStyle w:val="CharSectno"/>
        </w:rPr>
        <w:t>48C</w:t>
      </w:r>
      <w:r>
        <w:rPr>
          <w:snapToGrid w:val="0"/>
        </w:rPr>
        <w:t>.</w:t>
      </w:r>
      <w:r>
        <w:rPr>
          <w:snapToGrid w:val="0"/>
        </w:rPr>
        <w:tab/>
        <w:t>Rights conferred by lease</w:t>
      </w:r>
      <w:bookmarkEnd w:id="312"/>
      <w:bookmarkEnd w:id="313"/>
      <w:bookmarkEnd w:id="314"/>
      <w:bookmarkEnd w:id="315"/>
    </w:p>
    <w:p>
      <w:pPr>
        <w:pStyle w:val="Subsection"/>
        <w:keepNext/>
        <w:rPr>
          <w:snapToGrid w:val="0"/>
        </w:rPr>
      </w:pPr>
      <w:r>
        <w:rPr>
          <w:snapToGrid w:val="0"/>
        </w:rPr>
        <w:tab/>
      </w:r>
      <w:r>
        <w:rPr>
          <w:snapToGrid w:val="0"/>
        </w:rPr>
        <w:tab/>
        <w:t>A lease, while it remains in force, authorises the lessee, subject to this Act and the regulations and in accordance with the conditions to which the lease is subject, to explore for petroleum, and to carry on such operations and execute such works as are necessary for that purpose, in the lease area.</w:t>
      </w:r>
    </w:p>
    <w:p>
      <w:pPr>
        <w:pStyle w:val="Footnotesection"/>
      </w:pPr>
      <w:r>
        <w:tab/>
        <w:t>[Section 48C inserted by No. 12 of 1990 s. 34.]</w:t>
      </w:r>
    </w:p>
    <w:p>
      <w:pPr>
        <w:pStyle w:val="Heading5"/>
        <w:rPr>
          <w:snapToGrid w:val="0"/>
        </w:rPr>
      </w:pPr>
      <w:bookmarkStart w:id="316" w:name="_Toc457625003"/>
      <w:bookmarkStart w:id="317" w:name="_Toc469729324"/>
      <w:bookmarkStart w:id="318" w:name="_Toc501860487"/>
      <w:bookmarkStart w:id="319" w:name="_Toc166897427"/>
      <w:r>
        <w:rPr>
          <w:rStyle w:val="CharSectno"/>
        </w:rPr>
        <w:t>48D</w:t>
      </w:r>
      <w:r>
        <w:rPr>
          <w:snapToGrid w:val="0"/>
        </w:rPr>
        <w:t>.</w:t>
      </w:r>
      <w:r>
        <w:rPr>
          <w:snapToGrid w:val="0"/>
        </w:rPr>
        <w:tab/>
        <w:t>Term of lease</w:t>
      </w:r>
      <w:bookmarkEnd w:id="316"/>
      <w:bookmarkEnd w:id="317"/>
      <w:bookmarkEnd w:id="318"/>
      <w:bookmarkEnd w:id="319"/>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48D inserted by No. 12 of 1990 s. 34.]</w:t>
      </w:r>
    </w:p>
    <w:p>
      <w:pPr>
        <w:pStyle w:val="Heading5"/>
        <w:rPr>
          <w:snapToGrid w:val="0"/>
        </w:rPr>
      </w:pPr>
      <w:bookmarkStart w:id="320" w:name="_Toc457625004"/>
      <w:bookmarkStart w:id="321" w:name="_Toc469729325"/>
      <w:bookmarkStart w:id="322" w:name="_Toc501860488"/>
      <w:bookmarkStart w:id="323" w:name="_Toc166897428"/>
      <w:r>
        <w:rPr>
          <w:rStyle w:val="CharSectno"/>
        </w:rPr>
        <w:t>48E</w:t>
      </w:r>
      <w:r>
        <w:rPr>
          <w:snapToGrid w:val="0"/>
        </w:rPr>
        <w:t>.</w:t>
      </w:r>
      <w:r>
        <w:rPr>
          <w:snapToGrid w:val="0"/>
        </w:rPr>
        <w:tab/>
        <w:t>Notice of intention to cancel lease</w:t>
      </w:r>
      <w:bookmarkEnd w:id="320"/>
      <w:bookmarkEnd w:id="321"/>
      <w:bookmarkEnd w:id="322"/>
      <w:bookmarkEnd w:id="323"/>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w:t>
      </w:r>
    </w:p>
    <w:p>
      <w:pPr>
        <w:pStyle w:val="Heading5"/>
        <w:rPr>
          <w:snapToGrid w:val="0"/>
        </w:rPr>
      </w:pPr>
      <w:bookmarkStart w:id="324" w:name="_Toc457625005"/>
      <w:bookmarkStart w:id="325" w:name="_Toc469729326"/>
      <w:bookmarkStart w:id="326" w:name="_Toc501860489"/>
      <w:bookmarkStart w:id="327" w:name="_Toc166897429"/>
      <w:r>
        <w:rPr>
          <w:rStyle w:val="CharSectno"/>
        </w:rPr>
        <w:t>48F</w:t>
      </w:r>
      <w:r>
        <w:rPr>
          <w:snapToGrid w:val="0"/>
        </w:rPr>
        <w:t>.</w:t>
      </w:r>
      <w:r>
        <w:rPr>
          <w:snapToGrid w:val="0"/>
        </w:rPr>
        <w:tab/>
        <w:t>Application for renewal of lease</w:t>
      </w:r>
      <w:bookmarkEnd w:id="324"/>
      <w:bookmarkEnd w:id="325"/>
      <w:bookmarkEnd w:id="326"/>
      <w:bookmarkEnd w:id="327"/>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w:t>
      </w:r>
    </w:p>
    <w:p>
      <w:pPr>
        <w:pStyle w:val="Heading5"/>
        <w:rPr>
          <w:snapToGrid w:val="0"/>
        </w:rPr>
      </w:pPr>
      <w:bookmarkStart w:id="328" w:name="_Toc457625006"/>
      <w:bookmarkStart w:id="329" w:name="_Toc469729327"/>
      <w:bookmarkStart w:id="330" w:name="_Toc501860490"/>
      <w:bookmarkStart w:id="331" w:name="_Toc166897430"/>
      <w:r>
        <w:rPr>
          <w:rStyle w:val="CharSectno"/>
        </w:rPr>
        <w:t>48G</w:t>
      </w:r>
      <w:r>
        <w:rPr>
          <w:snapToGrid w:val="0"/>
        </w:rPr>
        <w:t>.</w:t>
      </w:r>
      <w:r>
        <w:rPr>
          <w:snapToGrid w:val="0"/>
        </w:rPr>
        <w:tab/>
        <w:t>Grant or refusal of renewal of lease</w:t>
      </w:r>
      <w:bookmarkEnd w:id="328"/>
      <w:bookmarkEnd w:id="329"/>
      <w:bookmarkEnd w:id="330"/>
      <w:bookmarkEnd w:id="33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 lease area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0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spacing w:before="10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0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00"/>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0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00"/>
        <w:rPr>
          <w:snapToGrid w:val="0"/>
        </w:rPr>
      </w:pPr>
      <w:r>
        <w:rPr>
          <w:snapToGrid w:val="0"/>
        </w:rPr>
        <w:tab/>
      </w:r>
      <w:r>
        <w:rPr>
          <w:snapToGrid w:val="0"/>
        </w:rPr>
        <w:tab/>
        <w:t>whichever first happens.</w:t>
      </w:r>
    </w:p>
    <w:p>
      <w:pPr>
        <w:pStyle w:val="Subsection"/>
        <w:spacing w:before="10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48G inserted by No. 12 of 1990 s. 34; amended by No. 28 of 1994 s. 24.]</w:t>
      </w:r>
    </w:p>
    <w:p>
      <w:pPr>
        <w:pStyle w:val="Heading5"/>
        <w:rPr>
          <w:snapToGrid w:val="0"/>
        </w:rPr>
      </w:pPr>
      <w:bookmarkStart w:id="332" w:name="_Toc457625007"/>
      <w:bookmarkStart w:id="333" w:name="_Toc469729328"/>
      <w:bookmarkStart w:id="334" w:name="_Toc501860491"/>
      <w:bookmarkStart w:id="335" w:name="_Toc166897431"/>
      <w:r>
        <w:rPr>
          <w:rStyle w:val="CharSectno"/>
        </w:rPr>
        <w:t>48H</w:t>
      </w:r>
      <w:r>
        <w:rPr>
          <w:snapToGrid w:val="0"/>
        </w:rPr>
        <w:t>.</w:t>
      </w:r>
      <w:r>
        <w:rPr>
          <w:snapToGrid w:val="0"/>
        </w:rPr>
        <w:tab/>
        <w:t>Conditions of lease</w:t>
      </w:r>
      <w:bookmarkEnd w:id="332"/>
      <w:bookmarkEnd w:id="333"/>
      <w:bookmarkEnd w:id="334"/>
      <w:bookmarkEnd w:id="335"/>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60"/>
        <w:ind w:left="890" w:hanging="890"/>
      </w:pPr>
      <w:r>
        <w:tab/>
        <w:t>[Section 48H inserted by No. 12 of 1990 s. 34.]</w:t>
      </w:r>
    </w:p>
    <w:p>
      <w:pPr>
        <w:pStyle w:val="Heading5"/>
        <w:rPr>
          <w:snapToGrid w:val="0"/>
        </w:rPr>
      </w:pPr>
      <w:bookmarkStart w:id="336" w:name="_Toc457625008"/>
      <w:bookmarkStart w:id="337" w:name="_Toc469729329"/>
      <w:bookmarkStart w:id="338" w:name="_Toc501860492"/>
      <w:bookmarkStart w:id="339" w:name="_Toc166897432"/>
      <w:r>
        <w:rPr>
          <w:rStyle w:val="CharSectno"/>
        </w:rPr>
        <w:t>48J</w:t>
      </w:r>
      <w:r>
        <w:rPr>
          <w:snapToGrid w:val="0"/>
        </w:rPr>
        <w:t>.</w:t>
      </w:r>
      <w:r>
        <w:rPr>
          <w:snapToGrid w:val="0"/>
        </w:rPr>
        <w:tab/>
        <w:t>Discovery of petroleum to be notified</w:t>
      </w:r>
      <w:bookmarkEnd w:id="336"/>
      <w:bookmarkEnd w:id="337"/>
      <w:bookmarkEnd w:id="338"/>
      <w:bookmarkEnd w:id="339"/>
    </w:p>
    <w:p>
      <w:pPr>
        <w:pStyle w:val="Subsection"/>
        <w:spacing w:before="180"/>
        <w:rPr>
          <w:snapToGrid w:val="0"/>
        </w:rPr>
      </w:pPr>
      <w:r>
        <w:rPr>
          <w:snapToGrid w:val="0"/>
        </w:rPr>
        <w:tab/>
        <w:t>(1)</w:t>
      </w:r>
      <w:r>
        <w:rPr>
          <w:snapToGrid w:val="0"/>
        </w:rPr>
        <w:tab/>
        <w:t>Where petroleum is discovered in a lease area, the lessee —</w:t>
      </w:r>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48J inserted by No. 12 of 1990 s. 34.]</w:t>
      </w:r>
    </w:p>
    <w:p>
      <w:pPr>
        <w:pStyle w:val="Heading5"/>
        <w:rPr>
          <w:snapToGrid w:val="0"/>
        </w:rPr>
      </w:pPr>
      <w:bookmarkStart w:id="340" w:name="_Toc457625009"/>
      <w:bookmarkStart w:id="341" w:name="_Toc469729330"/>
      <w:bookmarkStart w:id="342" w:name="_Toc501860493"/>
      <w:bookmarkStart w:id="343" w:name="_Toc166897433"/>
      <w:r>
        <w:rPr>
          <w:rStyle w:val="CharSectno"/>
        </w:rPr>
        <w:t>48K</w:t>
      </w:r>
      <w:r>
        <w:rPr>
          <w:snapToGrid w:val="0"/>
        </w:rPr>
        <w:t>.</w:t>
      </w:r>
      <w:r>
        <w:rPr>
          <w:snapToGrid w:val="0"/>
        </w:rPr>
        <w:tab/>
        <w:t>Directions by Minister on discovery of petroleum</w:t>
      </w:r>
      <w:bookmarkEnd w:id="340"/>
      <w:bookmarkEnd w:id="341"/>
      <w:bookmarkEnd w:id="342"/>
      <w:bookmarkEnd w:id="343"/>
    </w:p>
    <w:p>
      <w:pPr>
        <w:pStyle w:val="Subsection"/>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48K inserted by No. 12 of 1990 s. 34.]</w:t>
      </w:r>
    </w:p>
    <w:p>
      <w:pPr>
        <w:pStyle w:val="Heading3"/>
      </w:pPr>
      <w:bookmarkStart w:id="344" w:name="_Toc72913495"/>
      <w:bookmarkStart w:id="345" w:name="_Toc89574921"/>
      <w:bookmarkStart w:id="346" w:name="_Toc91304918"/>
      <w:bookmarkStart w:id="347" w:name="_Toc92690146"/>
      <w:bookmarkStart w:id="348" w:name="_Toc113770199"/>
      <w:bookmarkStart w:id="349" w:name="_Toc161551299"/>
      <w:bookmarkStart w:id="350" w:name="_Toc161552227"/>
      <w:bookmarkStart w:id="351" w:name="_Toc161552623"/>
      <w:bookmarkStart w:id="352" w:name="_Toc161717820"/>
      <w:bookmarkStart w:id="353" w:name="_Toc163274602"/>
      <w:bookmarkStart w:id="354" w:name="_Toc163288639"/>
      <w:bookmarkStart w:id="355" w:name="_Toc166897434"/>
      <w:r>
        <w:rPr>
          <w:rStyle w:val="CharDivNo"/>
        </w:rPr>
        <w:t>Division 3</w:t>
      </w:r>
      <w:r>
        <w:rPr>
          <w:snapToGrid w:val="0"/>
        </w:rPr>
        <w:t> — </w:t>
      </w:r>
      <w:r>
        <w:rPr>
          <w:rStyle w:val="CharDivText"/>
        </w:rPr>
        <w:t>Production licences for petroleum</w:t>
      </w:r>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457625010"/>
      <w:bookmarkStart w:id="357" w:name="_Toc469729331"/>
      <w:bookmarkStart w:id="358" w:name="_Toc501860494"/>
      <w:bookmarkStart w:id="359" w:name="_Toc166897435"/>
      <w:r>
        <w:rPr>
          <w:rStyle w:val="CharSectno"/>
        </w:rPr>
        <w:t>49</w:t>
      </w:r>
      <w:r>
        <w:rPr>
          <w:snapToGrid w:val="0"/>
        </w:rPr>
        <w:t>.</w:t>
      </w:r>
      <w:r>
        <w:rPr>
          <w:snapToGrid w:val="0"/>
        </w:rPr>
        <w:tab/>
        <w:t>Recovery of petroleum in State</w:t>
      </w:r>
      <w:bookmarkEnd w:id="356"/>
      <w:bookmarkEnd w:id="357"/>
      <w:bookmarkEnd w:id="358"/>
      <w:bookmarkEnd w:id="359"/>
    </w:p>
    <w:p>
      <w:pPr>
        <w:pStyle w:val="Subsection"/>
        <w:rPr>
          <w:snapToGrid w:val="0"/>
        </w:rPr>
      </w:pPr>
      <w:r>
        <w:rPr>
          <w:snapToGrid w:val="0"/>
        </w:rPr>
        <w:tab/>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Footnotesection"/>
      </w:pPr>
      <w:r>
        <w:tab/>
        <w:t>[Section 49 inserted by No. 12 of 1990 s. 35.]</w:t>
      </w:r>
    </w:p>
    <w:p>
      <w:pPr>
        <w:pStyle w:val="Heading5"/>
        <w:rPr>
          <w:snapToGrid w:val="0"/>
        </w:rPr>
      </w:pPr>
      <w:bookmarkStart w:id="360" w:name="_Toc457625011"/>
      <w:bookmarkStart w:id="361" w:name="_Toc469729332"/>
      <w:bookmarkStart w:id="362" w:name="_Toc501860495"/>
      <w:bookmarkStart w:id="363" w:name="_Toc166897436"/>
      <w:r>
        <w:rPr>
          <w:rStyle w:val="CharSectno"/>
        </w:rPr>
        <w:t>50</w:t>
      </w:r>
      <w:r>
        <w:rPr>
          <w:snapToGrid w:val="0"/>
        </w:rPr>
        <w:t>.</w:t>
      </w:r>
      <w:r>
        <w:rPr>
          <w:snapToGrid w:val="0"/>
        </w:rPr>
        <w:tab/>
        <w:t>Application by permittee for licence</w:t>
      </w:r>
      <w:bookmarkEnd w:id="360"/>
      <w:bookmarkEnd w:id="361"/>
      <w:bookmarkEnd w:id="362"/>
      <w:bookmarkEnd w:id="363"/>
    </w:p>
    <w:p>
      <w:pPr>
        <w:pStyle w:val="Subsection"/>
        <w:rPr>
          <w:snapToGrid w:val="0"/>
        </w:rPr>
      </w:pPr>
      <w:r>
        <w:rPr>
          <w:snapToGrid w:val="0"/>
        </w:rPr>
        <w:tab/>
        <w:t>(1)</w:t>
      </w:r>
      <w:r>
        <w:rPr>
          <w:snapToGrid w:val="0"/>
        </w:rPr>
        <w:tab/>
        <w:t>A permittee whose permit is in force, or, the holder of a drilling reservation whose drilling reservation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or the holder of a drilling reservation makes an application under subsection (1) in respect of his primary entitlement; or</w:t>
      </w:r>
    </w:p>
    <w:p>
      <w:pPr>
        <w:pStyle w:val="Indenta"/>
        <w:rPr>
          <w:snapToGrid w:val="0"/>
        </w:rPr>
      </w:pPr>
      <w:r>
        <w:rPr>
          <w:snapToGrid w:val="0"/>
        </w:rPr>
        <w:tab/>
        <w:t>(b)</w:t>
      </w:r>
      <w:r>
        <w:rPr>
          <w:snapToGrid w:val="0"/>
        </w:rPr>
        <w:tab/>
        <w:t>a permittee or the holder of a drilling reservation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w:t>
      </w:r>
    </w:p>
    <w:p>
      <w:pPr>
        <w:pStyle w:val="Heading5"/>
        <w:rPr>
          <w:snapToGrid w:val="0"/>
        </w:rPr>
      </w:pPr>
      <w:bookmarkStart w:id="364" w:name="_Toc457625012"/>
      <w:bookmarkStart w:id="365" w:name="_Toc469729333"/>
      <w:bookmarkStart w:id="366" w:name="_Toc501860496"/>
      <w:bookmarkStart w:id="367" w:name="_Toc166897437"/>
      <w:r>
        <w:rPr>
          <w:rStyle w:val="CharSectno"/>
        </w:rPr>
        <w:t>50A</w:t>
      </w:r>
      <w:r>
        <w:rPr>
          <w:snapToGrid w:val="0"/>
        </w:rPr>
        <w:t>.</w:t>
      </w:r>
      <w:r>
        <w:rPr>
          <w:snapToGrid w:val="0"/>
        </w:rPr>
        <w:tab/>
        <w:t>Application by lessee for licence</w:t>
      </w:r>
      <w:bookmarkEnd w:id="364"/>
      <w:bookmarkEnd w:id="365"/>
      <w:bookmarkEnd w:id="366"/>
      <w:bookmarkEnd w:id="367"/>
    </w:p>
    <w:p>
      <w:pPr>
        <w:pStyle w:val="Subsection"/>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w:t>
      </w:r>
    </w:p>
    <w:p>
      <w:pPr>
        <w:pStyle w:val="Heading5"/>
        <w:rPr>
          <w:snapToGrid w:val="0"/>
        </w:rPr>
      </w:pPr>
      <w:bookmarkStart w:id="368" w:name="_Toc457625013"/>
      <w:bookmarkStart w:id="369" w:name="_Toc469729334"/>
      <w:bookmarkStart w:id="370" w:name="_Toc501860497"/>
      <w:bookmarkStart w:id="371" w:name="_Toc166897438"/>
      <w:r>
        <w:rPr>
          <w:rStyle w:val="CharSectno"/>
        </w:rPr>
        <w:t>51</w:t>
      </w:r>
      <w:r>
        <w:rPr>
          <w:snapToGrid w:val="0"/>
        </w:rPr>
        <w:t>.</w:t>
      </w:r>
      <w:r>
        <w:rPr>
          <w:snapToGrid w:val="0"/>
        </w:rPr>
        <w:tab/>
        <w:t>Application for licence</w:t>
      </w:r>
      <w:bookmarkEnd w:id="368"/>
      <w:bookmarkEnd w:id="369"/>
      <w:bookmarkEnd w:id="370"/>
      <w:bookmarkEnd w:id="371"/>
    </w:p>
    <w:p>
      <w:pPr>
        <w:pStyle w:val="Subsection"/>
        <w:rPr>
          <w:snapToGrid w:val="0"/>
        </w:rPr>
      </w:pPr>
      <w:r>
        <w:rPr>
          <w:snapToGrid w:val="0"/>
        </w:rPr>
        <w:tab/>
        <w:t>(1)</w:t>
      </w:r>
      <w:r>
        <w:rPr>
          <w:snapToGrid w:val="0"/>
        </w:rPr>
        <w:tab/>
        <w:t>An application under section 50 or 50A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w:t>
      </w:r>
    </w:p>
    <w:p>
      <w:pPr>
        <w:pStyle w:val="Heading5"/>
        <w:rPr>
          <w:snapToGrid w:val="0"/>
        </w:rPr>
      </w:pPr>
      <w:bookmarkStart w:id="372" w:name="_Toc457625014"/>
      <w:bookmarkStart w:id="373" w:name="_Toc469729335"/>
      <w:bookmarkStart w:id="374" w:name="_Toc501860498"/>
      <w:bookmarkStart w:id="375" w:name="_Toc166897439"/>
      <w:r>
        <w:rPr>
          <w:rStyle w:val="CharSectno"/>
        </w:rPr>
        <w:t>52</w:t>
      </w:r>
      <w:r>
        <w:rPr>
          <w:snapToGrid w:val="0"/>
        </w:rPr>
        <w:t>.</w:t>
      </w:r>
      <w:r>
        <w:rPr>
          <w:snapToGrid w:val="0"/>
        </w:rPr>
        <w:tab/>
        <w:t>Determination of rate of royalty</w:t>
      </w:r>
      <w:bookmarkEnd w:id="372"/>
      <w:bookmarkEnd w:id="373"/>
      <w:bookmarkEnd w:id="374"/>
      <w:bookmarkEnd w:id="375"/>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w:t>
      </w:r>
    </w:p>
    <w:p>
      <w:pPr>
        <w:pStyle w:val="Heading5"/>
        <w:rPr>
          <w:snapToGrid w:val="0"/>
        </w:rPr>
      </w:pPr>
      <w:bookmarkStart w:id="376" w:name="_Toc457625015"/>
      <w:bookmarkStart w:id="377" w:name="_Toc469729336"/>
      <w:bookmarkStart w:id="378" w:name="_Toc501860499"/>
      <w:bookmarkStart w:id="379" w:name="_Toc166897440"/>
      <w:r>
        <w:rPr>
          <w:rStyle w:val="CharSectno"/>
        </w:rPr>
        <w:t>53</w:t>
      </w:r>
      <w:r>
        <w:rPr>
          <w:snapToGrid w:val="0"/>
        </w:rPr>
        <w:t>.</w:t>
      </w:r>
      <w:r>
        <w:rPr>
          <w:snapToGrid w:val="0"/>
        </w:rPr>
        <w:tab/>
        <w:t>Notification as to grant of licence</w:t>
      </w:r>
      <w:bookmarkEnd w:id="376"/>
      <w:bookmarkEnd w:id="377"/>
      <w:bookmarkEnd w:id="378"/>
      <w:bookmarkEnd w:id="379"/>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keepNext/>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 39; No. 28 of 1994 s. 26.]</w:t>
      </w:r>
    </w:p>
    <w:p>
      <w:pPr>
        <w:pStyle w:val="Heading5"/>
        <w:rPr>
          <w:snapToGrid w:val="0"/>
        </w:rPr>
      </w:pPr>
      <w:bookmarkStart w:id="380" w:name="_Toc457625016"/>
      <w:bookmarkStart w:id="381" w:name="_Toc469729337"/>
      <w:bookmarkStart w:id="382" w:name="_Toc501860500"/>
      <w:bookmarkStart w:id="383" w:name="_Toc166897441"/>
      <w:r>
        <w:rPr>
          <w:rStyle w:val="CharSectno"/>
        </w:rPr>
        <w:t>54</w:t>
      </w:r>
      <w:r>
        <w:rPr>
          <w:snapToGrid w:val="0"/>
        </w:rPr>
        <w:t>.</w:t>
      </w:r>
      <w:r>
        <w:rPr>
          <w:snapToGrid w:val="0"/>
        </w:rPr>
        <w:tab/>
        <w:t>Grant of licence</w:t>
      </w:r>
      <w:bookmarkEnd w:id="380"/>
      <w:bookmarkEnd w:id="381"/>
      <w:bookmarkEnd w:id="382"/>
      <w:bookmarkEnd w:id="383"/>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Where an applicant on whom there has been served an instrument under section 53(1)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w:t>
      </w:r>
    </w:p>
    <w:p>
      <w:pPr>
        <w:pStyle w:val="Heading5"/>
        <w:rPr>
          <w:snapToGrid w:val="0"/>
        </w:rPr>
      </w:pPr>
      <w:bookmarkStart w:id="384" w:name="_Toc457625017"/>
      <w:bookmarkStart w:id="385" w:name="_Toc469729338"/>
      <w:bookmarkStart w:id="386" w:name="_Toc501860501"/>
      <w:bookmarkStart w:id="387" w:name="_Toc166897442"/>
      <w:r>
        <w:rPr>
          <w:rStyle w:val="CharSectno"/>
        </w:rPr>
        <w:t>54A</w:t>
      </w:r>
      <w:r>
        <w:rPr>
          <w:snapToGrid w:val="0"/>
        </w:rPr>
        <w:t>.</w:t>
      </w:r>
      <w:r>
        <w:rPr>
          <w:snapToGrid w:val="0"/>
        </w:rPr>
        <w:tab/>
        <w:t>Application of sections 51 to 54 where permit etc. transferred</w:t>
      </w:r>
      <w:bookmarkEnd w:id="384"/>
      <w:bookmarkEnd w:id="385"/>
      <w:bookmarkEnd w:id="386"/>
      <w:bookmarkEnd w:id="387"/>
    </w:p>
    <w:p>
      <w:pPr>
        <w:pStyle w:val="Subsection"/>
        <w:keepNext/>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388" w:name="_Toc457625018"/>
      <w:bookmarkStart w:id="389" w:name="_Toc469729339"/>
      <w:bookmarkStart w:id="390" w:name="_Toc501860502"/>
      <w:bookmarkStart w:id="391" w:name="_Toc166897443"/>
      <w:r>
        <w:rPr>
          <w:rStyle w:val="CharSectno"/>
        </w:rPr>
        <w:t>55</w:t>
      </w:r>
      <w:r>
        <w:rPr>
          <w:snapToGrid w:val="0"/>
        </w:rPr>
        <w:t>.</w:t>
      </w:r>
      <w:r>
        <w:rPr>
          <w:snapToGrid w:val="0"/>
        </w:rPr>
        <w:tab/>
        <w:t>Variation of licence area</w:t>
      </w:r>
      <w:bookmarkEnd w:id="388"/>
      <w:bookmarkEnd w:id="389"/>
      <w:bookmarkEnd w:id="390"/>
      <w:bookmarkEnd w:id="391"/>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55 amended by No. 12 of 1990 s. 41.]</w:t>
      </w:r>
    </w:p>
    <w:p>
      <w:pPr>
        <w:pStyle w:val="Heading5"/>
        <w:rPr>
          <w:snapToGrid w:val="0"/>
        </w:rPr>
      </w:pPr>
      <w:bookmarkStart w:id="392" w:name="_Toc457625019"/>
      <w:bookmarkStart w:id="393" w:name="_Toc469729340"/>
      <w:bookmarkStart w:id="394" w:name="_Toc501860503"/>
      <w:bookmarkStart w:id="395" w:name="_Toc166897444"/>
      <w:r>
        <w:rPr>
          <w:rStyle w:val="CharSectno"/>
        </w:rPr>
        <w:t>56</w:t>
      </w:r>
      <w:r>
        <w:rPr>
          <w:snapToGrid w:val="0"/>
        </w:rPr>
        <w:t>.</w:t>
      </w:r>
      <w:r>
        <w:rPr>
          <w:snapToGrid w:val="0"/>
        </w:rPr>
        <w:tab/>
        <w:t>Determination of permit as to blocks not taken up by licensee</w:t>
      </w:r>
      <w:bookmarkEnd w:id="392"/>
      <w:bookmarkEnd w:id="393"/>
      <w:bookmarkEnd w:id="394"/>
      <w:bookmarkEnd w:id="395"/>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spacing w:before="180"/>
        <w:rPr>
          <w:snapToGrid w:val="0"/>
        </w:rPr>
      </w:pPr>
      <w:r>
        <w:rPr>
          <w:snapToGrid w:val="0"/>
        </w:rPr>
        <w:tab/>
        <w:t>(6)</w:t>
      </w:r>
      <w:r>
        <w:rPr>
          <w:snapToGrid w:val="0"/>
        </w:rPr>
        <w:tab/>
        <w:t>Where —</w:t>
      </w:r>
    </w:p>
    <w:p>
      <w:pPr>
        <w:pStyle w:val="Indenta"/>
        <w:spacing w:before="120"/>
        <w:rPr>
          <w:snapToGrid w:val="0"/>
        </w:rPr>
      </w:pPr>
      <w:r>
        <w:rPr>
          <w:snapToGrid w:val="0"/>
        </w:rPr>
        <w:tab/>
        <w:t>(a)</w:t>
      </w:r>
      <w:r>
        <w:rPr>
          <w:snapToGrid w:val="0"/>
        </w:rPr>
        <w:tab/>
        <w:t>the Minister refuses to grant a lease in respect of a block or blocks constituting or forming part of a location; and</w:t>
      </w:r>
    </w:p>
    <w:p>
      <w:pPr>
        <w:pStyle w:val="Indenta"/>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8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396" w:name="_Toc457625020"/>
      <w:bookmarkStart w:id="397" w:name="_Toc469729341"/>
      <w:bookmarkStart w:id="398" w:name="_Toc501860504"/>
      <w:bookmarkStart w:id="399" w:name="_Toc166897445"/>
      <w:r>
        <w:rPr>
          <w:rStyle w:val="CharSectno"/>
        </w:rPr>
        <w:t>57</w:t>
      </w:r>
      <w:r>
        <w:rPr>
          <w:snapToGrid w:val="0"/>
        </w:rPr>
        <w:t>.</w:t>
      </w:r>
      <w:r>
        <w:rPr>
          <w:snapToGrid w:val="0"/>
        </w:rPr>
        <w:tab/>
        <w:t>Application for licence in respect of surrendered etc. blocks</w:t>
      </w:r>
      <w:bookmarkEnd w:id="396"/>
      <w:bookmarkEnd w:id="397"/>
      <w:bookmarkEnd w:id="398"/>
      <w:bookmarkEnd w:id="399"/>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a licence is surrendered or cancelled as to a block;</w:t>
      </w:r>
    </w:p>
    <w:p>
      <w:pPr>
        <w:pStyle w:val="Indenta"/>
        <w:spacing w:before="120"/>
        <w:rPr>
          <w:snapToGrid w:val="0"/>
        </w:rPr>
      </w:pPr>
      <w:r>
        <w:rPr>
          <w:snapToGrid w:val="0"/>
        </w:rPr>
        <w:tab/>
        <w:t>(b)</w:t>
      </w:r>
      <w:r>
        <w:rPr>
          <w:snapToGrid w:val="0"/>
        </w:rPr>
        <w:tab/>
        <w:t>a permit, drilling reservation or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a petroleum pool from which petrol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repealed]</w:t>
      </w:r>
    </w:p>
    <w:p>
      <w:pPr>
        <w:pStyle w:val="Subsection"/>
        <w:rPr>
          <w:snapToGrid w:val="0"/>
        </w:rPr>
      </w:pPr>
      <w:r>
        <w:rPr>
          <w:snapToGrid w:val="0"/>
        </w:rPr>
        <w:tab/>
        <w:t>(6)</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51(1)(c);</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rPr>
          <w:snapToGrid w:val="0"/>
        </w:rPr>
      </w:pPr>
      <w:r>
        <w:rPr>
          <w:snapToGrid w:val="0"/>
        </w:rPr>
        <w:tab/>
        <w:t>[(e)</w:t>
      </w:r>
      <w:r>
        <w:rPr>
          <w:snapToGrid w:val="0"/>
        </w:rPr>
        <w:tab/>
        <w:t>deleted]</w:t>
      </w:r>
    </w:p>
    <w:p>
      <w:pPr>
        <w:pStyle w:val="Indenta"/>
        <w:spacing w:before="120"/>
        <w:rPr>
          <w:snapToGrid w:val="0"/>
        </w:rPr>
      </w:pPr>
      <w:r>
        <w:rPr>
          <w:snapToGrid w:val="0"/>
        </w:rPr>
        <w:tab/>
        <w:t>(f)</w:t>
      </w:r>
      <w:r>
        <w:rPr>
          <w:snapToGrid w:val="0"/>
        </w:rPr>
        <w:tab/>
        <w:t>may set out any other matters that the applicant wishes the Minister to consider.</w:t>
      </w:r>
    </w:p>
    <w:p>
      <w:pPr>
        <w:pStyle w:val="Subsection"/>
        <w:spacing w:before="12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w:t>
      </w:r>
    </w:p>
    <w:p>
      <w:pPr>
        <w:pStyle w:val="Heading5"/>
        <w:rPr>
          <w:snapToGrid w:val="0"/>
        </w:rPr>
      </w:pPr>
      <w:bookmarkStart w:id="400" w:name="_Toc457625021"/>
      <w:bookmarkStart w:id="401" w:name="_Toc469729342"/>
      <w:bookmarkStart w:id="402" w:name="_Toc501860505"/>
      <w:bookmarkStart w:id="403" w:name="_Toc166897446"/>
      <w:r>
        <w:rPr>
          <w:rStyle w:val="CharSectno"/>
        </w:rPr>
        <w:t>58</w:t>
      </w:r>
      <w:r>
        <w:rPr>
          <w:snapToGrid w:val="0"/>
        </w:rPr>
        <w:t>.</w:t>
      </w:r>
      <w:r>
        <w:rPr>
          <w:snapToGrid w:val="0"/>
        </w:rPr>
        <w:tab/>
        <w:t>Application fee etc.</w:t>
      </w:r>
      <w:bookmarkEnd w:id="400"/>
      <w:bookmarkEnd w:id="401"/>
      <w:bookmarkEnd w:id="402"/>
      <w:bookmarkEnd w:id="403"/>
    </w:p>
    <w:p>
      <w:pPr>
        <w:pStyle w:val="Subsection"/>
        <w:rPr>
          <w:snapToGrid w:val="0"/>
        </w:rPr>
      </w:pPr>
      <w:r>
        <w:rPr>
          <w:snapToGrid w:val="0"/>
        </w:rPr>
        <w:tab/>
        <w:t>(1)</w:t>
      </w:r>
      <w:r>
        <w:rPr>
          <w:snapToGrid w:val="0"/>
        </w:rPr>
        <w:tab/>
        <w:t>An application under section 57 shall be accompanied by —</w:t>
      </w:r>
    </w:p>
    <w:p>
      <w:pPr>
        <w:pStyle w:val="Indenta"/>
        <w:spacing w:before="120"/>
        <w:rPr>
          <w:snapToGrid w:val="0"/>
        </w:rPr>
      </w:pPr>
      <w:r>
        <w:rPr>
          <w:snapToGrid w:val="0"/>
        </w:rPr>
        <w:tab/>
        <w:t>(a)</w:t>
      </w:r>
      <w:r>
        <w:rPr>
          <w:snapToGrid w:val="0"/>
        </w:rPr>
        <w:tab/>
        <w:t>the prescribed fee; and</w:t>
      </w:r>
    </w:p>
    <w:p>
      <w:pPr>
        <w:pStyle w:val="Indenta"/>
        <w:spacing w:before="120"/>
        <w:rPr>
          <w:snapToGrid w:val="0"/>
        </w:rPr>
      </w:pPr>
      <w:r>
        <w:rPr>
          <w:snapToGrid w:val="0"/>
        </w:rPr>
        <w:tab/>
        <w:t>(b)</w:t>
      </w:r>
      <w:r>
        <w:rPr>
          <w:snapToGrid w:val="0"/>
        </w:rPr>
        <w:tab/>
        <w:t>a deposit —</w:t>
      </w:r>
    </w:p>
    <w:p>
      <w:pPr>
        <w:pStyle w:val="Indenti"/>
        <w:spacing w:before="120"/>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spacing w:before="120"/>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spacing w:before="120"/>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 34; No. 12 of 1990 s. 44. (Error in reprint: Gazette 26 Feb 1993 p. 1362.)]</w:t>
      </w:r>
    </w:p>
    <w:p>
      <w:pPr>
        <w:pStyle w:val="Heading5"/>
        <w:rPr>
          <w:snapToGrid w:val="0"/>
        </w:rPr>
      </w:pPr>
      <w:bookmarkStart w:id="404" w:name="_Toc457625022"/>
      <w:bookmarkStart w:id="405" w:name="_Toc469729343"/>
      <w:bookmarkStart w:id="406" w:name="_Toc501860506"/>
      <w:bookmarkStart w:id="407" w:name="_Toc166897447"/>
      <w:r>
        <w:rPr>
          <w:rStyle w:val="CharSectno"/>
        </w:rPr>
        <w:t>59</w:t>
      </w:r>
      <w:r>
        <w:rPr>
          <w:snapToGrid w:val="0"/>
        </w:rPr>
        <w:t>.</w:t>
      </w:r>
      <w:r>
        <w:rPr>
          <w:snapToGrid w:val="0"/>
        </w:rPr>
        <w:tab/>
        <w:t>Request by applicant for grant of licence</w:t>
      </w:r>
      <w:bookmarkEnd w:id="404"/>
      <w:bookmarkEnd w:id="405"/>
      <w:bookmarkEnd w:id="406"/>
      <w:bookmarkEnd w:id="407"/>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repealed]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keepNext/>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w:t>
      </w:r>
    </w:p>
    <w:p>
      <w:pPr>
        <w:pStyle w:val="Heading5"/>
        <w:rPr>
          <w:snapToGrid w:val="0"/>
        </w:rPr>
      </w:pPr>
      <w:bookmarkStart w:id="408" w:name="_Toc457625023"/>
      <w:bookmarkStart w:id="409" w:name="_Toc469729344"/>
      <w:bookmarkStart w:id="410" w:name="_Toc501860507"/>
      <w:bookmarkStart w:id="411" w:name="_Toc166897448"/>
      <w:r>
        <w:rPr>
          <w:rStyle w:val="CharSectno"/>
        </w:rPr>
        <w:t>60</w:t>
      </w:r>
      <w:r>
        <w:rPr>
          <w:snapToGrid w:val="0"/>
        </w:rPr>
        <w:t>.</w:t>
      </w:r>
      <w:r>
        <w:rPr>
          <w:snapToGrid w:val="0"/>
        </w:rPr>
        <w:tab/>
        <w:t>Grant of licence on request</w:t>
      </w:r>
      <w:bookmarkEnd w:id="408"/>
      <w:bookmarkEnd w:id="409"/>
      <w:bookmarkEnd w:id="410"/>
      <w:bookmarkEnd w:id="411"/>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within the period applicable under section 59(6), the Minister shall grant to him a production licence for petroleum in respect of the block specified in the instrument.</w:t>
      </w:r>
    </w:p>
    <w:p>
      <w:pPr>
        <w:pStyle w:val="Footnotesection"/>
      </w:pPr>
      <w:r>
        <w:tab/>
        <w:t>[Section 60 amended by No. 28 of 1994 s. 31.]</w:t>
      </w:r>
    </w:p>
    <w:p>
      <w:pPr>
        <w:pStyle w:val="Heading5"/>
        <w:rPr>
          <w:snapToGrid w:val="0"/>
        </w:rPr>
      </w:pPr>
      <w:bookmarkStart w:id="412" w:name="_Toc457625024"/>
      <w:bookmarkStart w:id="413" w:name="_Toc469729345"/>
      <w:bookmarkStart w:id="414" w:name="_Toc501860508"/>
      <w:bookmarkStart w:id="415" w:name="_Toc166897449"/>
      <w:r>
        <w:rPr>
          <w:rStyle w:val="CharSectno"/>
        </w:rPr>
        <w:t>61</w:t>
      </w:r>
      <w:r>
        <w:rPr>
          <w:snapToGrid w:val="0"/>
        </w:rPr>
        <w:t>.</w:t>
      </w:r>
      <w:r>
        <w:rPr>
          <w:snapToGrid w:val="0"/>
        </w:rPr>
        <w:tab/>
        <w:t>Licence for 2 or more blocks may be divided into 2 or more licences</w:t>
      </w:r>
      <w:bookmarkEnd w:id="412"/>
      <w:bookmarkEnd w:id="413"/>
      <w:bookmarkEnd w:id="414"/>
      <w:bookmarkEnd w:id="415"/>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w:t>
      </w:r>
    </w:p>
    <w:p>
      <w:pPr>
        <w:pStyle w:val="Heading5"/>
        <w:rPr>
          <w:snapToGrid w:val="0"/>
        </w:rPr>
      </w:pPr>
      <w:bookmarkStart w:id="416" w:name="_Toc457625025"/>
      <w:bookmarkStart w:id="417" w:name="_Toc469729346"/>
      <w:bookmarkStart w:id="418" w:name="_Toc501860509"/>
      <w:bookmarkStart w:id="419" w:name="_Toc166897450"/>
      <w:r>
        <w:rPr>
          <w:rStyle w:val="CharSectno"/>
        </w:rPr>
        <w:t>62</w:t>
      </w:r>
      <w:r>
        <w:rPr>
          <w:snapToGrid w:val="0"/>
        </w:rPr>
        <w:t>.</w:t>
      </w:r>
      <w:r>
        <w:rPr>
          <w:snapToGrid w:val="0"/>
        </w:rPr>
        <w:tab/>
        <w:t>Rights conferred by licence</w:t>
      </w:r>
      <w:bookmarkEnd w:id="416"/>
      <w:bookmarkEnd w:id="417"/>
      <w:bookmarkEnd w:id="418"/>
      <w:bookmarkEnd w:id="419"/>
    </w:p>
    <w:p>
      <w:pPr>
        <w:pStyle w:val="Subsection"/>
        <w:rPr>
          <w:snapToGrid w:val="0"/>
        </w:rPr>
      </w:pPr>
      <w:r>
        <w:rPr>
          <w:snapToGrid w:val="0"/>
        </w:rPr>
        <w:tab/>
      </w:r>
      <w:r>
        <w:rPr>
          <w:snapToGrid w:val="0"/>
        </w:rPr>
        <w:tab/>
        <w:t>A licence, while it remains in force, authorises the licensee, subject to this Act and the regulations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62 amended by No. 12 of 1990 s. 47.]</w:t>
      </w:r>
    </w:p>
    <w:p>
      <w:pPr>
        <w:pStyle w:val="Ednotesection"/>
      </w:pPr>
      <w:r>
        <w:t>[</w:t>
      </w:r>
      <w:r>
        <w:rPr>
          <w:b/>
        </w:rPr>
        <w:t>62A.</w:t>
      </w:r>
      <w:r>
        <w:tab/>
        <w:t>Repealed by No. 52 of 1995 s. 36.]</w:t>
      </w:r>
    </w:p>
    <w:p>
      <w:pPr>
        <w:pStyle w:val="Heading5"/>
        <w:rPr>
          <w:snapToGrid w:val="0"/>
        </w:rPr>
      </w:pPr>
      <w:bookmarkStart w:id="420" w:name="_Toc457625026"/>
      <w:bookmarkStart w:id="421" w:name="_Toc469729347"/>
      <w:bookmarkStart w:id="422" w:name="_Toc501860510"/>
      <w:bookmarkStart w:id="423" w:name="_Toc166897451"/>
      <w:r>
        <w:rPr>
          <w:rStyle w:val="CharSectno"/>
        </w:rPr>
        <w:t>63</w:t>
      </w:r>
      <w:r>
        <w:rPr>
          <w:snapToGrid w:val="0"/>
        </w:rPr>
        <w:t>.</w:t>
      </w:r>
      <w:r>
        <w:rPr>
          <w:snapToGrid w:val="0"/>
        </w:rPr>
        <w:tab/>
        <w:t>Term of licence</w:t>
      </w:r>
      <w:bookmarkEnd w:id="420"/>
      <w:bookmarkEnd w:id="421"/>
      <w:bookmarkEnd w:id="422"/>
      <w:bookmarkEnd w:id="423"/>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 48.]</w:t>
      </w:r>
    </w:p>
    <w:p>
      <w:pPr>
        <w:pStyle w:val="Heading5"/>
        <w:rPr>
          <w:snapToGrid w:val="0"/>
        </w:rPr>
      </w:pPr>
      <w:bookmarkStart w:id="424" w:name="_Toc457625027"/>
      <w:bookmarkStart w:id="425" w:name="_Toc469729348"/>
      <w:bookmarkStart w:id="426" w:name="_Toc501860511"/>
      <w:bookmarkStart w:id="427" w:name="_Toc166897452"/>
      <w:r>
        <w:rPr>
          <w:rStyle w:val="CharSectno"/>
        </w:rPr>
        <w:t>64</w:t>
      </w:r>
      <w:r>
        <w:rPr>
          <w:snapToGrid w:val="0"/>
        </w:rPr>
        <w:t>.</w:t>
      </w:r>
      <w:r>
        <w:rPr>
          <w:snapToGrid w:val="0"/>
        </w:rPr>
        <w:tab/>
        <w:t>Application for renewal of licence</w:t>
      </w:r>
      <w:bookmarkEnd w:id="424"/>
      <w:bookmarkEnd w:id="425"/>
      <w:bookmarkEnd w:id="426"/>
      <w:bookmarkEnd w:id="427"/>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w:t>
      </w:r>
    </w:p>
    <w:p>
      <w:pPr>
        <w:pStyle w:val="Heading5"/>
        <w:rPr>
          <w:snapToGrid w:val="0"/>
        </w:rPr>
      </w:pPr>
      <w:bookmarkStart w:id="428" w:name="_Toc457625028"/>
      <w:bookmarkStart w:id="429" w:name="_Toc469729349"/>
      <w:bookmarkStart w:id="430" w:name="_Toc501860512"/>
      <w:bookmarkStart w:id="431" w:name="_Toc166897453"/>
      <w:r>
        <w:rPr>
          <w:rStyle w:val="CharSectno"/>
        </w:rPr>
        <w:t>65</w:t>
      </w:r>
      <w:r>
        <w:rPr>
          <w:snapToGrid w:val="0"/>
        </w:rPr>
        <w:t>.</w:t>
      </w:r>
      <w:r>
        <w:rPr>
          <w:snapToGrid w:val="0"/>
        </w:rPr>
        <w:tab/>
        <w:t>Grant or refusal of renewal of licence</w:t>
      </w:r>
      <w:bookmarkEnd w:id="428"/>
      <w:bookmarkEnd w:id="429"/>
      <w:bookmarkEnd w:id="430"/>
      <w:bookmarkEnd w:id="43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w:t>
      </w:r>
    </w:p>
    <w:p>
      <w:pPr>
        <w:pStyle w:val="Heading5"/>
        <w:rPr>
          <w:snapToGrid w:val="0"/>
        </w:rPr>
      </w:pPr>
      <w:bookmarkStart w:id="432" w:name="_Toc457625029"/>
      <w:bookmarkStart w:id="433" w:name="_Toc469729350"/>
      <w:bookmarkStart w:id="434" w:name="_Toc501860513"/>
      <w:bookmarkStart w:id="435" w:name="_Toc166897454"/>
      <w:r>
        <w:rPr>
          <w:rStyle w:val="CharSectno"/>
        </w:rPr>
        <w:t>66</w:t>
      </w:r>
      <w:r>
        <w:rPr>
          <w:snapToGrid w:val="0"/>
        </w:rPr>
        <w:t>.</w:t>
      </w:r>
      <w:r>
        <w:rPr>
          <w:snapToGrid w:val="0"/>
        </w:rPr>
        <w:tab/>
        <w:t>Conditions of licence</w:t>
      </w:r>
      <w:bookmarkEnd w:id="432"/>
      <w:bookmarkEnd w:id="433"/>
      <w:bookmarkEnd w:id="434"/>
      <w:bookmarkEnd w:id="435"/>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Heading5"/>
        <w:rPr>
          <w:snapToGrid w:val="0"/>
        </w:rPr>
      </w:pPr>
      <w:bookmarkStart w:id="436" w:name="_Toc457625030"/>
      <w:bookmarkStart w:id="437" w:name="_Toc469729351"/>
      <w:bookmarkStart w:id="438" w:name="_Toc501860514"/>
      <w:bookmarkStart w:id="439" w:name="_Toc166897455"/>
      <w:r>
        <w:rPr>
          <w:rStyle w:val="CharSectno"/>
        </w:rPr>
        <w:t>67</w:t>
      </w:r>
      <w:r>
        <w:rPr>
          <w:snapToGrid w:val="0"/>
        </w:rPr>
        <w:t>.</w:t>
      </w:r>
      <w:r>
        <w:rPr>
          <w:snapToGrid w:val="0"/>
        </w:rPr>
        <w:tab/>
        <w:t>Storage of petroleum underground</w:t>
      </w:r>
      <w:bookmarkEnd w:id="436"/>
      <w:bookmarkEnd w:id="437"/>
      <w:bookmarkEnd w:id="438"/>
      <w:bookmarkEnd w:id="439"/>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w:t>
      </w:r>
    </w:p>
    <w:p>
      <w:pPr>
        <w:pStyle w:val="Heading5"/>
        <w:rPr>
          <w:snapToGrid w:val="0"/>
        </w:rPr>
      </w:pPr>
      <w:bookmarkStart w:id="440" w:name="_Toc457625031"/>
      <w:bookmarkStart w:id="441" w:name="_Toc469729352"/>
      <w:bookmarkStart w:id="442" w:name="_Toc501860515"/>
      <w:bookmarkStart w:id="443" w:name="_Toc166897456"/>
      <w:r>
        <w:rPr>
          <w:rStyle w:val="CharSectno"/>
        </w:rPr>
        <w:t>68</w:t>
      </w:r>
      <w:r>
        <w:rPr>
          <w:snapToGrid w:val="0"/>
        </w:rPr>
        <w:t>.</w:t>
      </w:r>
      <w:r>
        <w:rPr>
          <w:snapToGrid w:val="0"/>
        </w:rPr>
        <w:tab/>
        <w:t>Directions as to recovery of petroleum</w:t>
      </w:r>
      <w:bookmarkEnd w:id="440"/>
      <w:bookmarkEnd w:id="441"/>
      <w:bookmarkEnd w:id="442"/>
      <w:bookmarkEnd w:id="443"/>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444" w:name="_Toc457625032"/>
      <w:bookmarkStart w:id="445" w:name="_Toc469729353"/>
      <w:bookmarkStart w:id="446" w:name="_Toc501860516"/>
      <w:bookmarkStart w:id="447" w:name="_Toc166897457"/>
      <w:r>
        <w:rPr>
          <w:rStyle w:val="CharSectno"/>
        </w:rPr>
        <w:t>69</w:t>
      </w:r>
      <w:r>
        <w:rPr>
          <w:snapToGrid w:val="0"/>
        </w:rPr>
        <w:t>.</w:t>
      </w:r>
      <w:r>
        <w:rPr>
          <w:snapToGrid w:val="0"/>
        </w:rPr>
        <w:tab/>
        <w:t>Unit development</w:t>
      </w:r>
      <w:bookmarkEnd w:id="444"/>
      <w:bookmarkEnd w:id="445"/>
      <w:bookmarkEnd w:id="446"/>
      <w:bookmarkEnd w:id="447"/>
    </w:p>
    <w:p>
      <w:pPr>
        <w:pStyle w:val="Subsection"/>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bCs/>
          <w:snapToGrid w:val="0"/>
        </w:rPr>
        <w:t> </w:t>
      </w:r>
      <w:r>
        <w:rPr>
          <w:snapToGrid w:val="0"/>
        </w:rPr>
        <w:t>—</w:t>
      </w:r>
    </w:p>
    <w:p>
      <w:pPr>
        <w:pStyle w:val="Indenta"/>
        <w:rPr>
          <w:snapToGrid w:val="0"/>
        </w:rPr>
      </w:pPr>
      <w:r>
        <w:rPr>
          <w:snapToGrid w:val="0"/>
        </w:rPr>
        <w:tab/>
        <w:t>(a)</w:t>
      </w:r>
      <w:r>
        <w:rPr>
          <w:snapToGrid w:val="0"/>
        </w:rPr>
        <w:tab/>
        <w:t>applies in relation to a petroleum pool that is partly in a particular licence area of a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and</w:t>
      </w:r>
    </w:p>
    <w:p>
      <w:pPr>
        <w:pStyle w:val="Indenta"/>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75(2).</w:t>
      </w:r>
    </w:p>
    <w:p>
      <w:pPr>
        <w:pStyle w:val="Subsection"/>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 or</w:t>
      </w:r>
    </w:p>
    <w:p>
      <w:pPr>
        <w:pStyle w:val="Indenta"/>
        <w:rPr>
          <w:snapToGrid w:val="0"/>
        </w:rPr>
      </w:pPr>
      <w:r>
        <w:rPr>
          <w:snapToGrid w:val="0"/>
        </w:rPr>
        <w:tab/>
        <w:t>(b)</w:t>
      </w:r>
      <w:r>
        <w:rPr>
          <w:snapToGrid w:val="0"/>
        </w:rPr>
        <w:tab/>
        <w:t>a person who is lawfully entitled to carry on operations for the recovery of petroleum in an area outside the State that includes part of a particular petroleum pool that extends into the State,</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that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75 applies.</w:t>
      </w:r>
    </w:p>
    <w:p>
      <w:pPr>
        <w:pStyle w:val="Subsection"/>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Where subsection (1) applies in relation to a petroleum pool, a Minister shall not approve an agreement under this section, or give a direction under this section, in relation to that petroleum pool except with the approval of any other Minister concerned and any State or Territory authority concerned.</w:t>
      </w:r>
    </w:p>
    <w:p>
      <w:pPr>
        <w:pStyle w:val="Footnotesection"/>
      </w:pPr>
      <w:r>
        <w:tab/>
        <w:t>[Section 69 amended by No. 12 of 1990 s. 52.]</w:t>
      </w:r>
    </w:p>
    <w:p>
      <w:pPr>
        <w:pStyle w:val="Ednotedivision"/>
      </w:pPr>
      <w:r>
        <w:t>[Division 3A (s. 69A</w:t>
      </w:r>
      <w:r>
        <w:noBreakHyphen/>
        <w:t>69I) repealed by No. 52 of 1995 s. 37.]</w:t>
      </w:r>
    </w:p>
    <w:p>
      <w:pPr>
        <w:pStyle w:val="Heading3"/>
      </w:pPr>
      <w:bookmarkStart w:id="448" w:name="_Toc72913519"/>
      <w:bookmarkStart w:id="449" w:name="_Toc89574945"/>
      <w:bookmarkStart w:id="450" w:name="_Toc91304942"/>
      <w:bookmarkStart w:id="451" w:name="_Toc92690170"/>
      <w:bookmarkStart w:id="452" w:name="_Toc113770223"/>
      <w:bookmarkStart w:id="453" w:name="_Toc161551323"/>
      <w:bookmarkStart w:id="454" w:name="_Toc161552251"/>
      <w:bookmarkStart w:id="455" w:name="_Toc161552647"/>
      <w:bookmarkStart w:id="456" w:name="_Toc161717844"/>
      <w:bookmarkStart w:id="457" w:name="_Toc163274626"/>
      <w:bookmarkStart w:id="458" w:name="_Toc163288663"/>
      <w:bookmarkStart w:id="459" w:name="_Toc166897458"/>
      <w:r>
        <w:rPr>
          <w:rStyle w:val="CharDivNo"/>
        </w:rPr>
        <w:t>Division 4</w:t>
      </w:r>
      <w:r>
        <w:rPr>
          <w:snapToGrid w:val="0"/>
        </w:rPr>
        <w:t> — </w:t>
      </w:r>
      <w:r>
        <w:rPr>
          <w:rStyle w:val="CharDivText"/>
        </w:rPr>
        <w:t>Registration of instruments</w:t>
      </w:r>
      <w:bookmarkEnd w:id="448"/>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457625033"/>
      <w:bookmarkStart w:id="461" w:name="_Toc469729354"/>
      <w:bookmarkStart w:id="462" w:name="_Toc501860517"/>
      <w:bookmarkStart w:id="463" w:name="_Toc166897459"/>
      <w:r>
        <w:rPr>
          <w:rStyle w:val="CharSectno"/>
        </w:rPr>
        <w:t>69J</w:t>
      </w:r>
      <w:r>
        <w:rPr>
          <w:snapToGrid w:val="0"/>
        </w:rPr>
        <w:t>.</w:t>
      </w:r>
      <w:r>
        <w:rPr>
          <w:snapToGrid w:val="0"/>
        </w:rPr>
        <w:tab/>
      </w:r>
      <w:bookmarkEnd w:id="460"/>
      <w:bookmarkEnd w:id="461"/>
      <w:bookmarkEnd w:id="462"/>
      <w:r>
        <w:rPr>
          <w:snapToGrid w:val="0"/>
        </w:rPr>
        <w:t>Term used in this Division</w:t>
      </w:r>
      <w:bookmarkEnd w:id="463"/>
    </w:p>
    <w:p>
      <w:pPr>
        <w:pStyle w:val="Subsection"/>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464" w:name="_Toc457625034"/>
      <w:bookmarkStart w:id="465" w:name="_Toc469729355"/>
      <w:bookmarkStart w:id="466" w:name="_Toc501860518"/>
      <w:bookmarkStart w:id="467" w:name="_Toc166897460"/>
      <w:r>
        <w:rPr>
          <w:rStyle w:val="CharSectno"/>
        </w:rPr>
        <w:t>70</w:t>
      </w:r>
      <w:r>
        <w:rPr>
          <w:snapToGrid w:val="0"/>
        </w:rPr>
        <w:t>.</w:t>
      </w:r>
      <w:r>
        <w:rPr>
          <w:snapToGrid w:val="0"/>
        </w:rPr>
        <w:tab/>
        <w:t>Register of certain instruments to be kept</w:t>
      </w:r>
      <w:bookmarkEnd w:id="464"/>
      <w:bookmarkEnd w:id="465"/>
      <w:bookmarkEnd w:id="466"/>
      <w:bookmarkEnd w:id="467"/>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specifying the term of the title or special prospecting authority;</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p>
    <w:p>
      <w:pPr>
        <w:pStyle w:val="Indenta"/>
        <w:rPr>
          <w:snapToGrid w:val="0"/>
        </w:rPr>
      </w:pPr>
      <w:r>
        <w:rPr>
          <w:snapToGrid w:val="0"/>
        </w:rPr>
        <w:tab/>
        <w:t>(b)</w:t>
      </w:r>
      <w:r>
        <w:rPr>
          <w:snapToGrid w:val="0"/>
        </w:rPr>
        <w:tab/>
        <w:t>any instrument under section 69(5), (6) or (7);</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repealed]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w:t>
      </w:r>
    </w:p>
    <w:p>
      <w:pPr>
        <w:pStyle w:val="Heading5"/>
        <w:rPr>
          <w:snapToGrid w:val="0"/>
        </w:rPr>
      </w:pPr>
      <w:bookmarkStart w:id="468" w:name="_Toc457625035"/>
      <w:bookmarkStart w:id="469" w:name="_Toc469729356"/>
      <w:bookmarkStart w:id="470" w:name="_Toc501860519"/>
      <w:bookmarkStart w:id="471" w:name="_Toc166897461"/>
      <w:r>
        <w:rPr>
          <w:rStyle w:val="CharSectno"/>
        </w:rPr>
        <w:t>71</w:t>
      </w:r>
      <w:r>
        <w:rPr>
          <w:snapToGrid w:val="0"/>
        </w:rPr>
        <w:t>.</w:t>
      </w:r>
      <w:r>
        <w:rPr>
          <w:snapToGrid w:val="0"/>
        </w:rPr>
        <w:tab/>
        <w:t>Memorials to be entered of permits determined etc.</w:t>
      </w:r>
      <w:bookmarkEnd w:id="468"/>
      <w:bookmarkEnd w:id="469"/>
      <w:bookmarkEnd w:id="470"/>
      <w:bookmarkEnd w:id="47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w:t>
      </w:r>
    </w:p>
    <w:p>
      <w:pPr>
        <w:pStyle w:val="Indenta"/>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472" w:name="_Toc457625036"/>
      <w:bookmarkStart w:id="473" w:name="_Toc469729357"/>
      <w:bookmarkStart w:id="474" w:name="_Toc501860520"/>
      <w:bookmarkStart w:id="475" w:name="_Toc166897462"/>
      <w:r>
        <w:rPr>
          <w:rStyle w:val="CharSectno"/>
        </w:rPr>
        <w:t>72</w:t>
      </w:r>
      <w:r>
        <w:rPr>
          <w:snapToGrid w:val="0"/>
        </w:rPr>
        <w:t>.</w:t>
      </w:r>
      <w:r>
        <w:rPr>
          <w:snapToGrid w:val="0"/>
        </w:rPr>
        <w:tab/>
        <w:t>Approval and registration of transfers</w:t>
      </w:r>
      <w:bookmarkEnd w:id="472"/>
      <w:bookmarkEnd w:id="473"/>
      <w:bookmarkEnd w:id="474"/>
      <w:bookmarkEnd w:id="475"/>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spacing w:before="120"/>
        <w:rPr>
          <w:snapToGrid w:val="0"/>
        </w:rPr>
      </w:pPr>
      <w:r>
        <w:rPr>
          <w:snapToGrid w:val="0"/>
        </w:rPr>
        <w:tab/>
        <w:t>(i)</w:t>
      </w:r>
      <w:r>
        <w:rPr>
          <w:snapToGrid w:val="0"/>
        </w:rPr>
        <w:tab/>
        <w:t>the technical qualifications of that transferee or those transferees;</w:t>
      </w:r>
    </w:p>
    <w:p>
      <w:pPr>
        <w:pStyle w:val="Indenti"/>
        <w:spacing w:before="120"/>
        <w:rPr>
          <w:snapToGrid w:val="0"/>
        </w:rPr>
      </w:pPr>
      <w:r>
        <w:rPr>
          <w:snapToGrid w:val="0"/>
        </w:rPr>
        <w:tab/>
        <w:t>(ii)</w:t>
      </w:r>
      <w:r>
        <w:rPr>
          <w:snapToGrid w:val="0"/>
        </w:rPr>
        <w:tab/>
        <w:t>details of the technical advice that is or will be available to that transferee or those transferees; and</w:t>
      </w:r>
    </w:p>
    <w:p>
      <w:pPr>
        <w:pStyle w:val="Indenti"/>
        <w:spacing w:before="120"/>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0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0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0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0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spacing w:before="100"/>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Petroleum (Registration Fees) Act 1967</w:t>
      </w:r>
      <w:r>
        <w:rPr>
          <w:snapToGrid w:val="0"/>
        </w:rPr>
        <w:t>, enter in the Register a memorandum of the transfer and the name of the transferee or of each transferee.</w:t>
      </w:r>
    </w:p>
    <w:p>
      <w:pPr>
        <w:pStyle w:val="Subsection"/>
        <w:spacing w:before="10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w:t>
      </w:r>
    </w:p>
    <w:p>
      <w:pPr>
        <w:pStyle w:val="Heading5"/>
        <w:rPr>
          <w:snapToGrid w:val="0"/>
        </w:rPr>
      </w:pPr>
      <w:bookmarkStart w:id="476" w:name="_Toc457625037"/>
      <w:bookmarkStart w:id="477" w:name="_Toc469729358"/>
      <w:bookmarkStart w:id="478" w:name="_Toc501860521"/>
      <w:bookmarkStart w:id="479" w:name="_Toc166897463"/>
      <w:r>
        <w:rPr>
          <w:rStyle w:val="CharSectno"/>
        </w:rPr>
        <w:t>73</w:t>
      </w:r>
      <w:r>
        <w:rPr>
          <w:snapToGrid w:val="0"/>
        </w:rPr>
        <w:t>.</w:t>
      </w:r>
      <w:r>
        <w:rPr>
          <w:snapToGrid w:val="0"/>
        </w:rPr>
        <w:tab/>
        <w:t>Entries in Register on devolution of title</w:t>
      </w:r>
      <w:bookmarkEnd w:id="476"/>
      <w:bookmarkEnd w:id="477"/>
      <w:bookmarkEnd w:id="478"/>
      <w:bookmarkEnd w:id="479"/>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120"/>
        <w:ind w:left="890" w:hanging="890"/>
      </w:pPr>
      <w:r>
        <w:t>[</w:t>
      </w:r>
      <w:r>
        <w:rPr>
          <w:b/>
        </w:rPr>
        <w:t>74.</w:t>
      </w:r>
      <w:r>
        <w:tab/>
        <w:t>Repealed by No. 12 of 1990 s. 58.]</w:t>
      </w:r>
    </w:p>
    <w:p>
      <w:pPr>
        <w:pStyle w:val="Heading5"/>
        <w:spacing w:before="120"/>
        <w:rPr>
          <w:snapToGrid w:val="0"/>
        </w:rPr>
      </w:pPr>
      <w:bookmarkStart w:id="480" w:name="_Toc457625038"/>
      <w:bookmarkStart w:id="481" w:name="_Toc469729359"/>
      <w:bookmarkStart w:id="482" w:name="_Toc501860522"/>
      <w:bookmarkStart w:id="483" w:name="_Toc166897464"/>
      <w:r>
        <w:rPr>
          <w:rStyle w:val="CharSectno"/>
        </w:rPr>
        <w:t>75</w:t>
      </w:r>
      <w:r>
        <w:rPr>
          <w:snapToGrid w:val="0"/>
        </w:rPr>
        <w:t>.</w:t>
      </w:r>
      <w:r>
        <w:rPr>
          <w:snapToGrid w:val="0"/>
        </w:rPr>
        <w:tab/>
        <w:t>Approval of dealings creating interests etc. in existing titles</w:t>
      </w:r>
      <w:bookmarkEnd w:id="480"/>
      <w:bookmarkEnd w:id="481"/>
      <w:bookmarkEnd w:id="482"/>
      <w:bookmarkEnd w:id="483"/>
    </w:p>
    <w:p>
      <w:pPr>
        <w:pStyle w:val="Subsection"/>
        <w:spacing w:before="100"/>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4"/>
        </w:rPr>
      </w:pPr>
      <w:r>
        <w:rPr>
          <w:snapToGrid w:val="0"/>
          <w:spacing w:val="-4"/>
        </w:rPr>
        <w:tab/>
        <w:t>(a)</w:t>
      </w:r>
      <w:r>
        <w:rPr>
          <w:snapToGrid w:val="0"/>
          <w:spacing w:val="-4"/>
        </w:rPr>
        <w:tab/>
        <w:t xml:space="preserve">if the dealing was approved before the commencement of section 58 of the </w:t>
      </w:r>
      <w:r>
        <w:rPr>
          <w:i/>
          <w:snapToGrid w:val="0"/>
          <w:spacing w:val="-4"/>
        </w:rPr>
        <w:t>Acts Amendment (Petroleum) Act 1990</w:t>
      </w:r>
      <w:r>
        <w:rPr>
          <w:snapToGrid w:val="0"/>
          <w:spacing w:val="-4"/>
        </w:rPr>
        <w:t xml:space="preserve"> </w:t>
      </w:r>
      <w:r>
        <w:rPr>
          <w:snapToGrid w:val="0"/>
          <w:spacing w:val="-4"/>
          <w:vertAlign w:val="superscript"/>
        </w:rPr>
        <w:t>1</w:t>
      </w:r>
      <w:r>
        <w:rPr>
          <w:snapToGrid w:val="0"/>
          <w:spacing w:val="-4"/>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spacing w:before="60"/>
        <w:rPr>
          <w:snapToGrid w:val="0"/>
        </w:rPr>
      </w:pPr>
      <w:r>
        <w:rPr>
          <w:snapToGrid w:val="0"/>
        </w:rPr>
        <w:tab/>
        <w:t>(b)</w:t>
      </w:r>
      <w:r>
        <w:rPr>
          <w:snapToGrid w:val="0"/>
        </w:rPr>
        <w:tab/>
        <w:t xml:space="preserve">if the </w:t>
      </w:r>
      <w:r>
        <w:rPr>
          <w:snapToGrid w:val="0"/>
          <w:spacing w:val="-4"/>
        </w:rPr>
        <w:t>application</w:t>
      </w:r>
      <w:r>
        <w:rPr>
          <w:snapToGrid w:val="0"/>
        </w:rPr>
        <w:t xml:space="preserve">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 xml:space="preserve">the </w:t>
      </w:r>
      <w:r>
        <w:rPr>
          <w:snapToGrid w:val="0"/>
          <w:spacing w:val="-4"/>
        </w:rPr>
        <w:t>original</w:t>
      </w:r>
      <w:r>
        <w:rPr>
          <w:snapToGrid w:val="0"/>
        </w:rPr>
        <w:t xml:space="preserve">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w:t>
      </w:r>
    </w:p>
    <w:p>
      <w:pPr>
        <w:pStyle w:val="Heading5"/>
        <w:rPr>
          <w:snapToGrid w:val="0"/>
        </w:rPr>
      </w:pPr>
      <w:bookmarkStart w:id="484" w:name="_Toc457625039"/>
      <w:bookmarkStart w:id="485" w:name="_Toc469729360"/>
      <w:bookmarkStart w:id="486" w:name="_Toc501860523"/>
      <w:bookmarkStart w:id="487" w:name="_Toc166897465"/>
      <w:r>
        <w:rPr>
          <w:rStyle w:val="CharSectno"/>
        </w:rPr>
        <w:t>75A</w:t>
      </w:r>
      <w:r>
        <w:rPr>
          <w:snapToGrid w:val="0"/>
        </w:rPr>
        <w:t>.</w:t>
      </w:r>
      <w:r>
        <w:rPr>
          <w:snapToGrid w:val="0"/>
        </w:rPr>
        <w:tab/>
        <w:t>Approval of dealings in future interests etc.</w:t>
      </w:r>
      <w:bookmarkEnd w:id="484"/>
      <w:bookmarkEnd w:id="485"/>
      <w:bookmarkEnd w:id="486"/>
      <w:bookmarkEnd w:id="487"/>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488" w:name="_Toc457625040"/>
      <w:bookmarkStart w:id="489" w:name="_Toc469729361"/>
      <w:bookmarkStart w:id="490" w:name="_Toc501860524"/>
      <w:bookmarkStart w:id="491" w:name="_Toc166897466"/>
      <w:r>
        <w:rPr>
          <w:rStyle w:val="CharSectno"/>
        </w:rPr>
        <w:t>76</w:t>
      </w:r>
      <w:r>
        <w:rPr>
          <w:snapToGrid w:val="0"/>
        </w:rPr>
        <w:t>.</w:t>
      </w:r>
      <w:r>
        <w:rPr>
          <w:snapToGrid w:val="0"/>
        </w:rPr>
        <w:tab/>
        <w:t>True consideration to be shown</w:t>
      </w:r>
      <w:bookmarkEnd w:id="488"/>
      <w:bookmarkEnd w:id="489"/>
      <w:bookmarkEnd w:id="490"/>
      <w:bookmarkEnd w:id="491"/>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Petroleum (Registration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w:t>
      </w:r>
    </w:p>
    <w:p>
      <w:pPr>
        <w:pStyle w:val="Heading5"/>
        <w:rPr>
          <w:snapToGrid w:val="0"/>
        </w:rPr>
      </w:pPr>
      <w:bookmarkStart w:id="492" w:name="_Toc457625041"/>
      <w:bookmarkStart w:id="493" w:name="_Toc469729362"/>
      <w:bookmarkStart w:id="494" w:name="_Toc501860525"/>
      <w:bookmarkStart w:id="495" w:name="_Toc166897467"/>
      <w:r>
        <w:rPr>
          <w:rStyle w:val="CharSectno"/>
        </w:rPr>
        <w:t>77</w:t>
      </w:r>
      <w:r>
        <w:rPr>
          <w:snapToGrid w:val="0"/>
        </w:rPr>
        <w:t>.</w:t>
      </w:r>
      <w:r>
        <w:rPr>
          <w:snapToGrid w:val="0"/>
        </w:rPr>
        <w:tab/>
        <w:t>Minister not concerned with certain matters</w:t>
      </w:r>
      <w:bookmarkEnd w:id="492"/>
      <w:bookmarkEnd w:id="493"/>
      <w:bookmarkEnd w:id="494"/>
      <w:bookmarkEnd w:id="495"/>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496" w:name="_Toc457625042"/>
      <w:bookmarkStart w:id="497" w:name="_Toc469729363"/>
      <w:bookmarkStart w:id="498" w:name="_Toc501860526"/>
      <w:bookmarkStart w:id="499" w:name="_Toc166897468"/>
      <w:r>
        <w:rPr>
          <w:rStyle w:val="CharSectno"/>
        </w:rPr>
        <w:t>78</w:t>
      </w:r>
      <w:r>
        <w:rPr>
          <w:snapToGrid w:val="0"/>
        </w:rPr>
        <w:t>.</w:t>
      </w:r>
      <w:r>
        <w:rPr>
          <w:snapToGrid w:val="0"/>
        </w:rPr>
        <w:tab/>
        <w:t>Power of Minister to require information as to transfers or dealings</w:t>
      </w:r>
      <w:bookmarkEnd w:id="496"/>
      <w:bookmarkEnd w:id="497"/>
      <w:bookmarkEnd w:id="498"/>
      <w:bookmarkEnd w:id="499"/>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 61; No. 28 of 1994 s. 38.]</w:t>
      </w:r>
    </w:p>
    <w:p>
      <w:pPr>
        <w:pStyle w:val="Heading5"/>
        <w:rPr>
          <w:snapToGrid w:val="0"/>
        </w:rPr>
      </w:pPr>
      <w:bookmarkStart w:id="500" w:name="_Toc457625043"/>
      <w:bookmarkStart w:id="501" w:name="_Toc469729364"/>
      <w:bookmarkStart w:id="502" w:name="_Toc501860527"/>
      <w:bookmarkStart w:id="503" w:name="_Toc166897469"/>
      <w:r>
        <w:rPr>
          <w:rStyle w:val="CharSectno"/>
        </w:rPr>
        <w:t>79</w:t>
      </w:r>
      <w:r>
        <w:rPr>
          <w:snapToGrid w:val="0"/>
        </w:rPr>
        <w:t>.</w:t>
      </w:r>
      <w:r>
        <w:rPr>
          <w:snapToGrid w:val="0"/>
        </w:rPr>
        <w:tab/>
        <w:t>Production and inspection of documents</w:t>
      </w:r>
      <w:bookmarkEnd w:id="500"/>
      <w:bookmarkEnd w:id="501"/>
      <w:bookmarkEnd w:id="502"/>
      <w:bookmarkEnd w:id="503"/>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 62.]</w:t>
      </w:r>
    </w:p>
    <w:p>
      <w:pPr>
        <w:pStyle w:val="Heading5"/>
        <w:rPr>
          <w:snapToGrid w:val="0"/>
        </w:rPr>
      </w:pPr>
      <w:bookmarkStart w:id="504" w:name="_Toc457625044"/>
      <w:bookmarkStart w:id="505" w:name="_Toc469729365"/>
      <w:bookmarkStart w:id="506" w:name="_Toc501860528"/>
      <w:bookmarkStart w:id="507" w:name="_Toc166897470"/>
      <w:r>
        <w:rPr>
          <w:rStyle w:val="CharSectno"/>
        </w:rPr>
        <w:t>80</w:t>
      </w:r>
      <w:r>
        <w:rPr>
          <w:snapToGrid w:val="0"/>
        </w:rPr>
        <w:t>.</w:t>
      </w:r>
      <w:r>
        <w:rPr>
          <w:snapToGrid w:val="0"/>
        </w:rPr>
        <w:tab/>
        <w:t>Inspection of Register and instruments</w:t>
      </w:r>
      <w:bookmarkEnd w:id="504"/>
      <w:bookmarkEnd w:id="505"/>
      <w:bookmarkEnd w:id="506"/>
      <w:bookmarkEnd w:id="507"/>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pPr>
      <w:r>
        <w:tab/>
        <w:t>[(2)</w:t>
      </w:r>
      <w:r>
        <w:tab/>
        <w:t>repealed]</w:t>
      </w:r>
    </w:p>
    <w:p>
      <w:pPr>
        <w:pStyle w:val="Footnotesection"/>
        <w:keepLines w:val="0"/>
      </w:pPr>
      <w:r>
        <w:tab/>
        <w:t>[Section 80 amended by No. 69 of 1981 s. 34; No. 12 of 1990 s. 63.]</w:t>
      </w:r>
    </w:p>
    <w:p>
      <w:pPr>
        <w:pStyle w:val="Heading5"/>
        <w:rPr>
          <w:snapToGrid w:val="0"/>
        </w:rPr>
      </w:pPr>
      <w:bookmarkStart w:id="508" w:name="_Toc457625045"/>
      <w:bookmarkStart w:id="509" w:name="_Toc469729366"/>
      <w:bookmarkStart w:id="510" w:name="_Toc501860529"/>
      <w:bookmarkStart w:id="511" w:name="_Toc166897471"/>
      <w:r>
        <w:rPr>
          <w:rStyle w:val="CharSectno"/>
        </w:rPr>
        <w:t>81</w:t>
      </w:r>
      <w:r>
        <w:rPr>
          <w:snapToGrid w:val="0"/>
        </w:rPr>
        <w:t>.</w:t>
      </w:r>
      <w:r>
        <w:rPr>
          <w:snapToGrid w:val="0"/>
        </w:rPr>
        <w:tab/>
        <w:t>Evidentiary provisions</w:t>
      </w:r>
      <w:bookmarkEnd w:id="508"/>
      <w:bookmarkEnd w:id="509"/>
      <w:bookmarkEnd w:id="510"/>
      <w:bookmarkEnd w:id="511"/>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0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0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512" w:name="_Toc457625046"/>
      <w:bookmarkStart w:id="513" w:name="_Toc469729367"/>
      <w:bookmarkStart w:id="514" w:name="_Toc501860530"/>
      <w:bookmarkStart w:id="515" w:name="_Toc166897472"/>
      <w:r>
        <w:rPr>
          <w:rStyle w:val="CharSectno"/>
        </w:rPr>
        <w:t>81A</w:t>
      </w:r>
      <w:r>
        <w:rPr>
          <w:snapToGrid w:val="0"/>
        </w:rPr>
        <w:t>.</w:t>
      </w:r>
      <w:r>
        <w:rPr>
          <w:snapToGrid w:val="0"/>
        </w:rPr>
        <w:tab/>
        <w:t>Minister may make corrections to, and entries in, Register</w:t>
      </w:r>
      <w:bookmarkEnd w:id="512"/>
      <w:bookmarkEnd w:id="513"/>
      <w:bookmarkEnd w:id="514"/>
      <w:bookmarkEnd w:id="515"/>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0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0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spacing w:before="60"/>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20"/>
        <w:rPr>
          <w:snapToGrid w:val="0"/>
        </w:rPr>
      </w:pPr>
      <w:bookmarkStart w:id="516" w:name="_Toc457625047"/>
      <w:bookmarkStart w:id="517" w:name="_Toc469729368"/>
      <w:bookmarkStart w:id="518" w:name="_Toc501860531"/>
      <w:bookmarkStart w:id="519" w:name="_Toc166897473"/>
      <w:r>
        <w:rPr>
          <w:rStyle w:val="CharSectno"/>
        </w:rPr>
        <w:t>82</w:t>
      </w:r>
      <w:r>
        <w:rPr>
          <w:snapToGrid w:val="0"/>
        </w:rPr>
        <w:t>.</w:t>
      </w:r>
      <w:r>
        <w:rPr>
          <w:snapToGrid w:val="0"/>
        </w:rPr>
        <w:tab/>
      </w:r>
      <w:bookmarkEnd w:id="516"/>
      <w:bookmarkEnd w:id="517"/>
      <w:bookmarkEnd w:id="518"/>
      <w:r>
        <w:rPr>
          <w:snapToGrid w:val="0"/>
        </w:rPr>
        <w:t>Application to State Administrative Tribunal for orders</w:t>
      </w:r>
      <w:bookmarkEnd w:id="519"/>
    </w:p>
    <w:p>
      <w:pPr>
        <w:pStyle w:val="Subsection"/>
        <w:spacing w:before="100"/>
        <w:rPr>
          <w:snapToGrid w:val="0"/>
        </w:rPr>
      </w:pPr>
      <w:r>
        <w:rPr>
          <w:snapToGrid w:val="0"/>
        </w:rPr>
        <w:tab/>
        <w:t>(1)</w:t>
      </w:r>
      <w:r>
        <w:rPr>
          <w:snapToGrid w:val="0"/>
        </w:rPr>
        <w:tab/>
        <w:t>A person aggrieved by —</w:t>
      </w:r>
    </w:p>
    <w:p>
      <w:pPr>
        <w:pStyle w:val="Indenta"/>
        <w:spacing w:before="60"/>
        <w:rPr>
          <w:snapToGrid w:val="0"/>
        </w:rPr>
      </w:pPr>
      <w:r>
        <w:rPr>
          <w:snapToGrid w:val="0"/>
        </w:rPr>
        <w:tab/>
        <w:t>(a)</w:t>
      </w:r>
      <w:r>
        <w:rPr>
          <w:snapToGrid w:val="0"/>
        </w:rPr>
        <w:tab/>
        <w:t>the omission of an entry from the Register;</w:t>
      </w:r>
    </w:p>
    <w:p>
      <w:pPr>
        <w:pStyle w:val="Indenta"/>
        <w:spacing w:before="60"/>
        <w:rPr>
          <w:snapToGrid w:val="0"/>
        </w:rPr>
      </w:pPr>
      <w:r>
        <w:rPr>
          <w:snapToGrid w:val="0"/>
        </w:rPr>
        <w:tab/>
        <w:t>(b)</w:t>
      </w:r>
      <w:r>
        <w:rPr>
          <w:snapToGrid w:val="0"/>
        </w:rPr>
        <w:tab/>
        <w:t>an entry made in the Register without sufficient cause;</w:t>
      </w:r>
    </w:p>
    <w:p>
      <w:pPr>
        <w:pStyle w:val="Indenta"/>
        <w:spacing w:before="60"/>
        <w:rPr>
          <w:snapToGrid w:val="0"/>
        </w:rPr>
      </w:pPr>
      <w:r>
        <w:rPr>
          <w:snapToGrid w:val="0"/>
        </w:rPr>
        <w:tab/>
        <w:t>(c)</w:t>
      </w:r>
      <w:r>
        <w:rPr>
          <w:snapToGrid w:val="0"/>
        </w:rPr>
        <w:tab/>
        <w:t>an entry wrongly existing in the Register; or</w:t>
      </w:r>
    </w:p>
    <w:p>
      <w:pPr>
        <w:pStyle w:val="Indenta"/>
        <w:spacing w:before="60"/>
        <w:rPr>
          <w:snapToGrid w:val="0"/>
        </w:rPr>
      </w:pPr>
      <w:r>
        <w:rPr>
          <w:snapToGrid w:val="0"/>
        </w:rPr>
        <w:tab/>
        <w:t>(d)</w:t>
      </w:r>
      <w:r>
        <w:rPr>
          <w:snapToGrid w:val="0"/>
        </w:rPr>
        <w:tab/>
        <w:t>an error or defect in an entry in the Register,</w:t>
      </w:r>
    </w:p>
    <w:p>
      <w:pPr>
        <w:pStyle w:val="Subsection"/>
        <w:spacing w:before="10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0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0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0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Heading5"/>
        <w:rPr>
          <w:snapToGrid w:val="0"/>
        </w:rPr>
      </w:pPr>
      <w:bookmarkStart w:id="520" w:name="_Toc457625048"/>
      <w:bookmarkStart w:id="521" w:name="_Toc469729369"/>
      <w:bookmarkStart w:id="522" w:name="_Toc501860532"/>
      <w:bookmarkStart w:id="523" w:name="_Toc166897474"/>
      <w:r>
        <w:rPr>
          <w:rStyle w:val="CharSectno"/>
        </w:rPr>
        <w:t>83</w:t>
      </w:r>
      <w:r>
        <w:rPr>
          <w:snapToGrid w:val="0"/>
        </w:rPr>
        <w:t>.</w:t>
      </w:r>
      <w:r>
        <w:rPr>
          <w:snapToGrid w:val="0"/>
        </w:rPr>
        <w:tab/>
        <w:t>Minister not liable to certain actions</w:t>
      </w:r>
      <w:bookmarkEnd w:id="520"/>
      <w:bookmarkEnd w:id="521"/>
      <w:bookmarkEnd w:id="522"/>
      <w:bookmarkEnd w:id="523"/>
    </w:p>
    <w:p>
      <w:pPr>
        <w:pStyle w:val="Subsection"/>
        <w:rPr>
          <w:snapToGrid w:val="0"/>
        </w:rPr>
      </w:pPr>
      <w:r>
        <w:rPr>
          <w:snapToGrid w:val="0"/>
        </w:rPr>
        <w:tab/>
      </w:r>
      <w:r>
        <w:rPr>
          <w:snapToGrid w:val="0"/>
        </w:rPr>
        <w:tab/>
        <w:t>Subject to section 82, neither the Minister nor a person acting under his direction or authority is liable to an action, suit or proceeding for or in respect of an act or matter in good faith done or omitted to be done in exercise or purported exercise of any power or authority conferred by this Division.</w:t>
      </w:r>
    </w:p>
    <w:p>
      <w:pPr>
        <w:pStyle w:val="Heading5"/>
        <w:rPr>
          <w:snapToGrid w:val="0"/>
        </w:rPr>
      </w:pPr>
      <w:bookmarkStart w:id="524" w:name="_Toc457625049"/>
      <w:bookmarkStart w:id="525" w:name="_Toc469729370"/>
      <w:bookmarkStart w:id="526" w:name="_Toc501860533"/>
      <w:bookmarkStart w:id="527" w:name="_Toc166897475"/>
      <w:r>
        <w:rPr>
          <w:rStyle w:val="CharSectno"/>
        </w:rPr>
        <w:t>84</w:t>
      </w:r>
      <w:r>
        <w:rPr>
          <w:snapToGrid w:val="0"/>
        </w:rPr>
        <w:t>.</w:t>
      </w:r>
      <w:r>
        <w:rPr>
          <w:snapToGrid w:val="0"/>
        </w:rPr>
        <w:tab/>
        <w:t>Offences connected with Register and certain documents</w:t>
      </w:r>
      <w:bookmarkEnd w:id="524"/>
      <w:bookmarkEnd w:id="525"/>
      <w:bookmarkEnd w:id="526"/>
      <w:bookmarkEnd w:id="527"/>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pPr>
      <w:r>
        <w:tab/>
        <w:t>[Section 84 amended by No. 12 of 1990 s. 66.]</w:t>
      </w:r>
    </w:p>
    <w:p>
      <w:pPr>
        <w:pStyle w:val="Heading5"/>
        <w:rPr>
          <w:snapToGrid w:val="0"/>
        </w:rPr>
      </w:pPr>
      <w:bookmarkStart w:id="528" w:name="_Toc457625050"/>
      <w:bookmarkStart w:id="529" w:name="_Toc469729371"/>
      <w:bookmarkStart w:id="530" w:name="_Toc501860534"/>
      <w:bookmarkStart w:id="531" w:name="_Toc166897476"/>
      <w:r>
        <w:rPr>
          <w:rStyle w:val="CharSectno"/>
        </w:rPr>
        <w:t>85</w:t>
      </w:r>
      <w:r>
        <w:rPr>
          <w:snapToGrid w:val="0"/>
        </w:rPr>
        <w:t>.</w:t>
      </w:r>
      <w:r>
        <w:rPr>
          <w:snapToGrid w:val="0"/>
        </w:rPr>
        <w:tab/>
        <w:t xml:space="preserve">Assessment of fee payable under </w:t>
      </w:r>
      <w:r>
        <w:rPr>
          <w:i/>
          <w:snapToGrid w:val="0"/>
        </w:rPr>
        <w:t>Petroleum (Registration Fees) Act 1967</w:t>
      </w:r>
      <w:bookmarkEnd w:id="528"/>
      <w:bookmarkEnd w:id="529"/>
      <w:bookmarkEnd w:id="530"/>
      <w:bookmarkEnd w:id="531"/>
    </w:p>
    <w:p>
      <w:pPr>
        <w:pStyle w:val="Subsection"/>
        <w:rPr>
          <w:snapToGrid w:val="0"/>
        </w:rPr>
      </w:pPr>
      <w:r>
        <w:rPr>
          <w:snapToGrid w:val="0"/>
        </w:rPr>
        <w:tab/>
        <w:t>(1)</w:t>
      </w:r>
      <w:r>
        <w:rPr>
          <w:snapToGrid w:val="0"/>
        </w:rPr>
        <w:tab/>
        <w:t xml:space="preserve">The Minister may determine the amount of the fee payable under the </w:t>
      </w:r>
      <w:r>
        <w:rPr>
          <w:i/>
          <w:snapToGrid w:val="0"/>
        </w:rPr>
        <w:t>Petroleum (Registration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pPr>
      <w:r>
        <w:tab/>
        <w:t>[Section 85 amended by No. 55 of 2004 s. 919.]</w:t>
      </w:r>
    </w:p>
    <w:p>
      <w:pPr>
        <w:pStyle w:val="Heading5"/>
        <w:rPr>
          <w:snapToGrid w:val="0"/>
        </w:rPr>
      </w:pPr>
      <w:bookmarkStart w:id="532" w:name="_Toc457625051"/>
      <w:bookmarkStart w:id="533" w:name="_Toc469729372"/>
      <w:bookmarkStart w:id="534" w:name="_Toc501860535"/>
      <w:bookmarkStart w:id="535" w:name="_Toc166897477"/>
      <w:r>
        <w:rPr>
          <w:rStyle w:val="CharSectno"/>
        </w:rPr>
        <w:t>86</w:t>
      </w:r>
      <w:r>
        <w:rPr>
          <w:snapToGrid w:val="0"/>
        </w:rPr>
        <w:t>.</w:t>
      </w:r>
      <w:r>
        <w:rPr>
          <w:snapToGrid w:val="0"/>
        </w:rPr>
        <w:tab/>
        <w:t>Exemption from stamp duty</w:t>
      </w:r>
      <w:bookmarkEnd w:id="532"/>
      <w:bookmarkEnd w:id="533"/>
      <w:bookmarkEnd w:id="534"/>
      <w:bookmarkEnd w:id="535"/>
    </w:p>
    <w:p>
      <w:pPr>
        <w:pStyle w:val="Subsection"/>
        <w:rPr>
          <w:snapToGrid w:val="0"/>
        </w:rPr>
      </w:pPr>
      <w:r>
        <w:rPr>
          <w:snapToGrid w:val="0"/>
        </w:rPr>
        <w:tab/>
      </w:r>
      <w:r>
        <w:rPr>
          <w:snapToGrid w:val="0"/>
        </w:rPr>
        <w:tab/>
        <w:t xml:space="preserve">Duty under the </w:t>
      </w:r>
      <w:r>
        <w:rPr>
          <w:i/>
          <w:snapToGrid w:val="0"/>
        </w:rPr>
        <w:t>Stamp Act 1921</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pPr>
      <w:r>
        <w:tab/>
        <w:t>[Section 86 amended by No. 12 of 1990 s. 67; No. 78 of 1990 s. 7.]</w:t>
      </w:r>
    </w:p>
    <w:p>
      <w:pPr>
        <w:pStyle w:val="Heading3"/>
      </w:pPr>
      <w:bookmarkStart w:id="536" w:name="_Toc72913539"/>
      <w:bookmarkStart w:id="537" w:name="_Toc89574965"/>
      <w:bookmarkStart w:id="538" w:name="_Toc91304962"/>
      <w:bookmarkStart w:id="539" w:name="_Toc92690190"/>
      <w:bookmarkStart w:id="540" w:name="_Toc113770243"/>
      <w:bookmarkStart w:id="541" w:name="_Toc161551343"/>
      <w:bookmarkStart w:id="542" w:name="_Toc161552271"/>
      <w:bookmarkStart w:id="543" w:name="_Toc161552667"/>
      <w:bookmarkStart w:id="544" w:name="_Toc161717864"/>
      <w:bookmarkStart w:id="545" w:name="_Toc163274646"/>
      <w:bookmarkStart w:id="546" w:name="_Toc163288683"/>
      <w:bookmarkStart w:id="547" w:name="_Toc166897478"/>
      <w:r>
        <w:rPr>
          <w:rStyle w:val="CharDivNo"/>
        </w:rPr>
        <w:t>Division 5</w:t>
      </w:r>
      <w:r>
        <w:rPr>
          <w:snapToGrid w:val="0"/>
        </w:rPr>
        <w:t> — </w:t>
      </w:r>
      <w:r>
        <w:rPr>
          <w:rStyle w:val="CharDivText"/>
        </w:rPr>
        <w:t>General</w:t>
      </w:r>
      <w:bookmarkEnd w:id="536"/>
      <w:bookmarkEnd w:id="537"/>
      <w:bookmarkEnd w:id="538"/>
      <w:bookmarkEnd w:id="539"/>
      <w:bookmarkEnd w:id="540"/>
      <w:bookmarkEnd w:id="541"/>
      <w:bookmarkEnd w:id="542"/>
      <w:bookmarkEnd w:id="543"/>
      <w:bookmarkEnd w:id="544"/>
      <w:bookmarkEnd w:id="545"/>
      <w:bookmarkEnd w:id="546"/>
      <w:bookmarkEnd w:id="547"/>
    </w:p>
    <w:p>
      <w:pPr>
        <w:pStyle w:val="Ednotesection"/>
      </w:pPr>
      <w:r>
        <w:t>[</w:t>
      </w:r>
      <w:r>
        <w:rPr>
          <w:b/>
        </w:rPr>
        <w:t>87.</w:t>
      </w:r>
      <w:r>
        <w:tab/>
        <w:t>Repealed by No. 12 of 1990 s. 68.]</w:t>
      </w:r>
    </w:p>
    <w:p>
      <w:pPr>
        <w:pStyle w:val="Heading5"/>
        <w:rPr>
          <w:snapToGrid w:val="0"/>
        </w:rPr>
      </w:pPr>
      <w:bookmarkStart w:id="548" w:name="_Toc457625052"/>
      <w:bookmarkStart w:id="549" w:name="_Toc469729373"/>
      <w:bookmarkStart w:id="550" w:name="_Toc501860536"/>
      <w:bookmarkStart w:id="551" w:name="_Toc166897479"/>
      <w:r>
        <w:rPr>
          <w:rStyle w:val="CharSectno"/>
        </w:rPr>
        <w:t>88</w:t>
      </w:r>
      <w:r>
        <w:rPr>
          <w:snapToGrid w:val="0"/>
        </w:rPr>
        <w:t>.</w:t>
      </w:r>
      <w:r>
        <w:rPr>
          <w:snapToGrid w:val="0"/>
        </w:rPr>
        <w:tab/>
        <w:t>Notice of grants of permits etc. to be published</w:t>
      </w:r>
      <w:bookmarkEnd w:id="548"/>
      <w:bookmarkEnd w:id="549"/>
      <w:bookmarkEnd w:id="550"/>
      <w:bookmarkEnd w:id="551"/>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w:t>
      </w:r>
    </w:p>
    <w:p>
      <w:pPr>
        <w:pStyle w:val="Indenta"/>
        <w:rPr>
          <w:snapToGrid w:val="0"/>
        </w:rPr>
      </w:pPr>
      <w:r>
        <w:rPr>
          <w:snapToGrid w:val="0"/>
        </w:rPr>
        <w:tab/>
        <w:t>(aa)</w:t>
      </w:r>
      <w:r>
        <w:rPr>
          <w:snapToGrid w:val="0"/>
        </w:rPr>
        <w:tab/>
        <w:t>the grant, and the extension of, a drilling reservation;</w:t>
      </w:r>
    </w:p>
    <w:p>
      <w:pPr>
        <w:pStyle w:val="Indenta"/>
        <w:rPr>
          <w:snapToGrid w:val="0"/>
        </w:rPr>
      </w:pPr>
      <w:r>
        <w:rPr>
          <w:snapToGrid w:val="0"/>
        </w:rPr>
        <w:tab/>
        <w:t>(b)</w:t>
      </w:r>
      <w:r>
        <w:rPr>
          <w:snapToGrid w:val="0"/>
        </w:rPr>
        <w:tab/>
        <w:t>the variation of a licence;</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552" w:name="_Toc457625053"/>
      <w:bookmarkStart w:id="553" w:name="_Toc469729374"/>
      <w:bookmarkStart w:id="554" w:name="_Toc501860537"/>
      <w:bookmarkStart w:id="555" w:name="_Toc166897480"/>
      <w:r>
        <w:rPr>
          <w:rStyle w:val="CharSectno"/>
        </w:rPr>
        <w:t>89</w:t>
      </w:r>
      <w:r>
        <w:rPr>
          <w:snapToGrid w:val="0"/>
        </w:rPr>
        <w:t>.</w:t>
      </w:r>
      <w:r>
        <w:rPr>
          <w:snapToGrid w:val="0"/>
        </w:rPr>
        <w:tab/>
        <w:t>Date of effect of certain surrenders, cancellations and variations</w:t>
      </w:r>
      <w:bookmarkEnd w:id="552"/>
      <w:bookmarkEnd w:id="553"/>
      <w:bookmarkEnd w:id="554"/>
      <w:bookmarkEnd w:id="555"/>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pPr>
      <w:r>
        <w:tab/>
        <w:t>[Section 89 amended by No. 12 of 1990 s. 70; No. 78 of 1990 s. 7.]</w:t>
      </w:r>
    </w:p>
    <w:p>
      <w:pPr>
        <w:pStyle w:val="Heading5"/>
        <w:rPr>
          <w:snapToGrid w:val="0"/>
        </w:rPr>
      </w:pPr>
      <w:bookmarkStart w:id="556" w:name="_Toc457625054"/>
      <w:bookmarkStart w:id="557" w:name="_Toc469729375"/>
      <w:bookmarkStart w:id="558" w:name="_Toc501860538"/>
      <w:bookmarkStart w:id="559" w:name="_Toc166897481"/>
      <w:r>
        <w:rPr>
          <w:rStyle w:val="CharSectno"/>
        </w:rPr>
        <w:t>90</w:t>
      </w:r>
      <w:r>
        <w:rPr>
          <w:snapToGrid w:val="0"/>
        </w:rPr>
        <w:t>.</w:t>
      </w:r>
      <w:r>
        <w:rPr>
          <w:snapToGrid w:val="0"/>
        </w:rPr>
        <w:tab/>
        <w:t>Commencement of works</w:t>
      </w:r>
      <w:bookmarkEnd w:id="556"/>
      <w:bookmarkEnd w:id="557"/>
      <w:bookmarkEnd w:id="558"/>
      <w:bookmarkEnd w:id="559"/>
    </w:p>
    <w:p>
      <w:pPr>
        <w:pStyle w:val="Subsection"/>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 71; No. 78 of 1990 s. 7.]</w:t>
      </w:r>
    </w:p>
    <w:p>
      <w:pPr>
        <w:pStyle w:val="Heading5"/>
        <w:rPr>
          <w:snapToGrid w:val="0"/>
        </w:rPr>
      </w:pPr>
      <w:bookmarkStart w:id="560" w:name="_Toc457625055"/>
      <w:bookmarkStart w:id="561" w:name="_Toc469729376"/>
      <w:bookmarkStart w:id="562" w:name="_Toc501860539"/>
      <w:bookmarkStart w:id="563" w:name="_Toc166897482"/>
      <w:r>
        <w:rPr>
          <w:rStyle w:val="CharSectno"/>
        </w:rPr>
        <w:t>91</w:t>
      </w:r>
      <w:r>
        <w:rPr>
          <w:snapToGrid w:val="0"/>
        </w:rPr>
        <w:t>.</w:t>
      </w:r>
      <w:r>
        <w:rPr>
          <w:snapToGrid w:val="0"/>
        </w:rPr>
        <w:tab/>
        <w:t>Work practices</w:t>
      </w:r>
      <w:bookmarkEnd w:id="560"/>
      <w:bookmarkEnd w:id="561"/>
      <w:bookmarkEnd w:id="562"/>
      <w:bookmarkEnd w:id="563"/>
    </w:p>
    <w:p>
      <w:pPr>
        <w:pStyle w:val="Subsection"/>
        <w:rPr>
          <w:snapToGrid w:val="0"/>
        </w:rPr>
      </w:pPr>
      <w:r>
        <w:rPr>
          <w:snapToGrid w:val="0"/>
        </w:rPr>
        <w:tab/>
        <w:t>(1)</w:t>
      </w:r>
      <w:r>
        <w:rPr>
          <w:snapToGrid w:val="0"/>
        </w:rPr>
        <w:tab/>
        <w:t>A permittee, holder of a drilling reservation, lessee or licensee shall carry out all petroleum exploration operations and operations for the recovery of petroleum in the permit area, drilling reservation, lease area or licence area in a proper and workmanlike manner and in accordance with good oil</w:t>
      </w:r>
      <w:r>
        <w:rPr>
          <w:snapToGrid w:val="0"/>
        </w:rPr>
        <w:noBreakHyphen/>
        <w:t>field practice and shall secure the safety, health and welfare of persons engaged in those operations in or about the permit area, drilling reservation, lease area or licence area.</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holder of a drilling reservation, lessee or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 and shall secure the safety, health and welfare of persons engaged in those operations in or about that area.</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 (1), (2) or (3), $10 000.</w:t>
      </w:r>
    </w:p>
    <w:p>
      <w:pPr>
        <w:pStyle w:val="Footnotesection"/>
      </w:pPr>
      <w:r>
        <w:tab/>
        <w:t>[Section 91 amended by No. 12 of 1990 s. 72; No. 78 of 1990 s. 7; No. 28 of 1994 s. 40.]</w:t>
      </w:r>
    </w:p>
    <w:p>
      <w:pPr>
        <w:pStyle w:val="Heading5"/>
        <w:rPr>
          <w:snapToGrid w:val="0"/>
        </w:rPr>
      </w:pPr>
      <w:bookmarkStart w:id="564" w:name="_Toc457625056"/>
      <w:bookmarkStart w:id="565" w:name="_Toc469729377"/>
      <w:bookmarkStart w:id="566" w:name="_Toc501860540"/>
      <w:bookmarkStart w:id="567" w:name="_Toc166897483"/>
      <w:r>
        <w:rPr>
          <w:rStyle w:val="CharSectno"/>
        </w:rPr>
        <w:t>91A</w:t>
      </w:r>
      <w:r>
        <w:rPr>
          <w:snapToGrid w:val="0"/>
        </w:rPr>
        <w:t>.</w:t>
      </w:r>
      <w:r>
        <w:rPr>
          <w:snapToGrid w:val="0"/>
        </w:rPr>
        <w:tab/>
        <w:t>Conditions relating to insurance</w:t>
      </w:r>
      <w:bookmarkEnd w:id="564"/>
      <w:bookmarkEnd w:id="565"/>
      <w:bookmarkEnd w:id="566"/>
      <w:bookmarkEnd w:id="567"/>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soft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w:t>
      </w:r>
    </w:p>
    <w:p>
      <w:pPr>
        <w:pStyle w:val="Heading5"/>
        <w:rPr>
          <w:snapToGrid w:val="0"/>
        </w:rPr>
      </w:pPr>
      <w:bookmarkStart w:id="568" w:name="_Toc457625057"/>
      <w:bookmarkStart w:id="569" w:name="_Toc469729378"/>
      <w:bookmarkStart w:id="570" w:name="_Toc501860541"/>
      <w:bookmarkStart w:id="571" w:name="_Toc166897484"/>
      <w:r>
        <w:rPr>
          <w:rStyle w:val="CharSectno"/>
        </w:rPr>
        <w:t>91B</w:t>
      </w:r>
      <w:r>
        <w:rPr>
          <w:snapToGrid w:val="0"/>
        </w:rPr>
        <w:t>.</w:t>
      </w:r>
      <w:r>
        <w:rPr>
          <w:snapToGrid w:val="0"/>
        </w:rPr>
        <w:tab/>
        <w:t>Conditions prohibiting entry on certain land</w:t>
      </w:r>
      <w:bookmarkEnd w:id="568"/>
      <w:bookmarkEnd w:id="569"/>
      <w:bookmarkEnd w:id="570"/>
      <w:bookmarkEnd w:id="571"/>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holder</w:t>
      </w:r>
      <w:r>
        <w:rPr>
          <w:b/>
        </w:rPr>
        <w:t>”</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rPr>
          <w:snapToGrid w:val="0"/>
        </w:rPr>
      </w:pPr>
      <w:bookmarkStart w:id="572" w:name="_Toc457625058"/>
      <w:bookmarkStart w:id="573" w:name="_Toc469729379"/>
      <w:bookmarkStart w:id="574" w:name="_Toc501860542"/>
      <w:bookmarkStart w:id="575" w:name="_Toc166897485"/>
      <w:r>
        <w:rPr>
          <w:rStyle w:val="CharSectno"/>
        </w:rPr>
        <w:t>92</w:t>
      </w:r>
      <w:r>
        <w:rPr>
          <w:snapToGrid w:val="0"/>
        </w:rPr>
        <w:t>.</w:t>
      </w:r>
      <w:r>
        <w:rPr>
          <w:snapToGrid w:val="0"/>
        </w:rPr>
        <w:tab/>
        <w:t>Maintenance etc. of property</w:t>
      </w:r>
      <w:bookmarkEnd w:id="572"/>
      <w:bookmarkEnd w:id="573"/>
      <w:bookmarkEnd w:id="574"/>
      <w:bookmarkEnd w:id="575"/>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operator</w:t>
      </w:r>
      <w:r>
        <w:rPr>
          <w:b/>
        </w:rPr>
        <w:t>”</w:t>
      </w:r>
      <w:r>
        <w:t xml:space="preserve"> means a permittee, holder of a drilling reservation, lessee, licensee or holder of a special prospecting authority or access authority;</w:t>
      </w:r>
    </w:p>
    <w:p>
      <w:pPr>
        <w:pStyle w:val="Defstart"/>
      </w:pPr>
      <w:r>
        <w:rPr>
          <w:b/>
        </w:rPr>
        <w:tab/>
        <w:t>“</w:t>
      </w:r>
      <w:r>
        <w:rPr>
          <w:rStyle w:val="CharDefText"/>
        </w:rPr>
        <w:t>the 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para"/>
      </w:pPr>
      <w:r>
        <w:tab/>
        <w:t>(b)</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92 amended by No. 12 of 1990 s. 74; No. 78 of 1990 s. 7; No. 28 of 1994 s. 42.]</w:t>
      </w:r>
    </w:p>
    <w:p>
      <w:pPr>
        <w:pStyle w:val="Heading5"/>
        <w:rPr>
          <w:snapToGrid w:val="0"/>
        </w:rPr>
      </w:pPr>
      <w:bookmarkStart w:id="576" w:name="_Toc457625059"/>
      <w:bookmarkStart w:id="577" w:name="_Toc469729380"/>
      <w:bookmarkStart w:id="578" w:name="_Toc501860543"/>
      <w:bookmarkStart w:id="579" w:name="_Toc166897486"/>
      <w:r>
        <w:rPr>
          <w:rStyle w:val="CharSectno"/>
        </w:rPr>
        <w:t>93</w:t>
      </w:r>
      <w:r>
        <w:rPr>
          <w:snapToGrid w:val="0"/>
        </w:rPr>
        <w:t>.</w:t>
      </w:r>
      <w:r>
        <w:rPr>
          <w:snapToGrid w:val="0"/>
        </w:rPr>
        <w:tab/>
        <w:t>Sections 91, 91A and 92 have effect subject to this Act</w:t>
      </w:r>
      <w:bookmarkEnd w:id="576"/>
      <w:bookmarkEnd w:id="577"/>
      <w:bookmarkEnd w:id="578"/>
      <w:bookmarkEnd w:id="579"/>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pPr>
      <w:r>
        <w:tab/>
        <w:t>[Section 93 amended by No. 28 of 1994 s. 43.]</w:t>
      </w:r>
    </w:p>
    <w:p>
      <w:pPr>
        <w:pStyle w:val="Heading5"/>
        <w:rPr>
          <w:snapToGrid w:val="0"/>
        </w:rPr>
      </w:pPr>
      <w:bookmarkStart w:id="580" w:name="_Toc457625060"/>
      <w:bookmarkStart w:id="581" w:name="_Toc469729381"/>
      <w:bookmarkStart w:id="582" w:name="_Toc501860544"/>
      <w:bookmarkStart w:id="583" w:name="_Toc166897487"/>
      <w:r>
        <w:rPr>
          <w:rStyle w:val="CharSectno"/>
        </w:rPr>
        <w:t>94</w:t>
      </w:r>
      <w:r>
        <w:rPr>
          <w:snapToGrid w:val="0"/>
        </w:rPr>
        <w:t>.</w:t>
      </w:r>
      <w:r>
        <w:rPr>
          <w:snapToGrid w:val="0"/>
        </w:rPr>
        <w:tab/>
        <w:t>Drilling near boundaries</w:t>
      </w:r>
      <w:bookmarkEnd w:id="580"/>
      <w:bookmarkEnd w:id="581"/>
      <w:bookmarkEnd w:id="582"/>
      <w:bookmarkEnd w:id="583"/>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p>
    <w:p>
      <w:pPr>
        <w:pStyle w:val="Indenta"/>
        <w:rPr>
          <w:snapToGrid w:val="0"/>
        </w:rPr>
      </w:pPr>
      <w:r>
        <w:rPr>
          <w:snapToGrid w:val="0"/>
        </w:rPr>
        <w:tab/>
        <w:t>(a)</w:t>
      </w:r>
      <w:r>
        <w:rPr>
          <w:snapToGrid w:val="0"/>
        </w:rPr>
        <w:tab/>
        <w:t>to plug the well;</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 4; No. 12 of 1990 s. 75; No. 78 of 1990 s. 7.]</w:t>
      </w:r>
    </w:p>
    <w:p>
      <w:pPr>
        <w:pStyle w:val="Heading5"/>
        <w:rPr>
          <w:snapToGrid w:val="0"/>
        </w:rPr>
      </w:pPr>
      <w:bookmarkStart w:id="584" w:name="_Toc457625061"/>
      <w:bookmarkStart w:id="585" w:name="_Toc469729382"/>
      <w:bookmarkStart w:id="586" w:name="_Toc501860545"/>
      <w:bookmarkStart w:id="587" w:name="_Toc166897488"/>
      <w:r>
        <w:rPr>
          <w:rStyle w:val="CharSectno"/>
        </w:rPr>
        <w:t>95</w:t>
      </w:r>
      <w:r>
        <w:rPr>
          <w:snapToGrid w:val="0"/>
        </w:rPr>
        <w:t>.</w:t>
      </w:r>
      <w:r>
        <w:rPr>
          <w:snapToGrid w:val="0"/>
        </w:rPr>
        <w:tab/>
        <w:t>Directions</w:t>
      </w:r>
      <w:bookmarkEnd w:id="584"/>
      <w:bookmarkEnd w:id="585"/>
      <w:bookmarkEnd w:id="586"/>
      <w:bookmarkEnd w:id="587"/>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(not being a person to whom the direction applies otherwise than in accordance with this paragraph) who is in the State for any reason touching, concerning, arising out of or connected with exploration for, or the exploitation of, petroleum 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pPr>
      <w:r>
        <w:tab/>
        <w:t>[Section 95 inserted by No. 12 of 1990 s. 76; amended by No. 78 of 1990 s. 7.]</w:t>
      </w:r>
    </w:p>
    <w:p>
      <w:pPr>
        <w:pStyle w:val="Heading5"/>
        <w:rPr>
          <w:snapToGrid w:val="0"/>
        </w:rPr>
      </w:pPr>
      <w:bookmarkStart w:id="588" w:name="_Toc457625062"/>
      <w:bookmarkStart w:id="589" w:name="_Toc469729383"/>
      <w:bookmarkStart w:id="590" w:name="_Toc501860546"/>
      <w:bookmarkStart w:id="591" w:name="_Toc166897489"/>
      <w:r>
        <w:rPr>
          <w:rStyle w:val="CharSectno"/>
        </w:rPr>
        <w:t>96</w:t>
      </w:r>
      <w:r>
        <w:rPr>
          <w:snapToGrid w:val="0"/>
        </w:rPr>
        <w:t>.</w:t>
      </w:r>
      <w:r>
        <w:rPr>
          <w:snapToGrid w:val="0"/>
        </w:rPr>
        <w:tab/>
        <w:t>Compliance with directions</w:t>
      </w:r>
      <w:bookmarkEnd w:id="588"/>
      <w:bookmarkEnd w:id="589"/>
      <w:bookmarkEnd w:id="590"/>
      <w:bookmarkEnd w:id="591"/>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rPr>
          <w:snapToGrid w:val="0"/>
        </w:rPr>
      </w:pPr>
      <w:bookmarkStart w:id="592" w:name="_Toc457625063"/>
      <w:bookmarkStart w:id="593" w:name="_Toc469729384"/>
      <w:bookmarkStart w:id="594" w:name="_Toc501860547"/>
      <w:bookmarkStart w:id="595" w:name="_Toc166897490"/>
      <w:r>
        <w:rPr>
          <w:rStyle w:val="CharSectno"/>
        </w:rPr>
        <w:t>97</w:t>
      </w:r>
      <w:r>
        <w:rPr>
          <w:snapToGrid w:val="0"/>
        </w:rPr>
        <w:t>.</w:t>
      </w:r>
      <w:r>
        <w:rPr>
          <w:snapToGrid w:val="0"/>
        </w:rPr>
        <w:tab/>
        <w:t>Variation and suspension of, and exemption from compliance with, conditions</w:t>
      </w:r>
      <w:bookmarkEnd w:id="592"/>
      <w:bookmarkEnd w:id="593"/>
      <w:bookmarkEnd w:id="594"/>
      <w:bookmarkEnd w:id="59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w:t>
      </w:r>
    </w:p>
    <w:p>
      <w:pPr>
        <w:pStyle w:val="Indenta"/>
        <w:rPr>
          <w:snapToGrid w:val="0"/>
        </w:rPr>
      </w:pPr>
      <w:r>
        <w:rPr>
          <w:snapToGrid w:val="0"/>
        </w:rPr>
        <w:tab/>
        <w:t>(b)</w:t>
      </w:r>
      <w:r>
        <w:rPr>
          <w:snapToGrid w:val="0"/>
        </w:rPr>
        <w:tab/>
        <w:t>a licence is varied under section 55;</w:t>
      </w:r>
    </w:p>
    <w:p>
      <w:pPr>
        <w:pStyle w:val="Indenta"/>
        <w:rPr>
          <w:snapToGrid w:val="0"/>
        </w:rPr>
      </w:pPr>
      <w:r>
        <w:rPr>
          <w:snapToGrid w:val="0"/>
        </w:rPr>
        <w:tab/>
        <w:t>(c)</w:t>
      </w:r>
      <w:r>
        <w:rPr>
          <w:snapToGrid w:val="0"/>
        </w:rPr>
        <w:tab/>
        <w:t>a licensee enters into an agreement under section 69, or a direction is given to a licensee under that section;</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w:t>
      </w:r>
    </w:p>
    <w:p>
      <w:pPr>
        <w:pStyle w:val="Indenta"/>
        <w:spacing w:before="60"/>
        <w:rPr>
          <w:snapToGrid w:val="0"/>
        </w:rPr>
      </w:pPr>
      <w:r>
        <w:rPr>
          <w:snapToGrid w:val="0"/>
        </w:rPr>
        <w:tab/>
        <w:t>(e)</w:t>
      </w:r>
      <w:r>
        <w:rPr>
          <w:snapToGrid w:val="0"/>
        </w:rPr>
        <w:tab/>
        <w:t>a permittee, holder of a drilling reservation, lessee or licensee consents to the making of a determination under section 135;</w:t>
      </w:r>
    </w:p>
    <w:p>
      <w:pPr>
        <w:pStyle w:val="Indenta"/>
        <w:spacing w:before="60"/>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w:t>
      </w:r>
    </w:p>
    <w:p>
      <w:pPr>
        <w:pStyle w:val="Indenta"/>
        <w:spacing w:before="60"/>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rPr>
          <w:snapToGrid w:val="0"/>
        </w:rPr>
      </w:pPr>
      <w:r>
        <w:rPr>
          <w:snapToGrid w:val="0"/>
        </w:rPr>
        <w:tab/>
        <w:t>(ii)</w:t>
      </w:r>
      <w:r>
        <w:rPr>
          <w:snapToGrid w:val="0"/>
        </w:rPr>
        <w:tab/>
        <w:t>for exemption from compliance with,</w:t>
      </w:r>
    </w:p>
    <w:p>
      <w:pPr>
        <w:pStyle w:val="Indenta"/>
        <w:spacing w:before="60"/>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spacing w:before="60"/>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spacing w:before="80"/>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spacing w:before="60"/>
        <w:rPr>
          <w:snapToGrid w:val="0"/>
        </w:rPr>
      </w:pPr>
      <w:r>
        <w:rPr>
          <w:snapToGrid w:val="0"/>
        </w:rPr>
        <w:tab/>
        <w:t>(i)</w:t>
      </w:r>
      <w:r>
        <w:rPr>
          <w:snapToGrid w:val="0"/>
        </w:rPr>
        <w:tab/>
        <w:t>vary or suspend; or</w:t>
      </w:r>
    </w:p>
    <w:p>
      <w:pPr>
        <w:pStyle w:val="Indenta"/>
        <w:spacing w:before="60"/>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spacing w:before="80"/>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spacing w:before="100"/>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pPr>
      <w:r>
        <w:tab/>
        <w:t>[Section 97 amended by No. 12 of 1990 s. 78; No. 78 of 1990 s. 7; No. 28 of 1994 s. 44.]</w:t>
      </w:r>
    </w:p>
    <w:p>
      <w:pPr>
        <w:pStyle w:val="Heading5"/>
        <w:spacing w:before="120"/>
        <w:rPr>
          <w:snapToGrid w:val="0"/>
        </w:rPr>
      </w:pPr>
      <w:bookmarkStart w:id="596" w:name="_Toc457625064"/>
      <w:bookmarkStart w:id="597" w:name="_Toc469729385"/>
      <w:bookmarkStart w:id="598" w:name="_Toc501860548"/>
      <w:bookmarkStart w:id="599" w:name="_Toc166897491"/>
      <w:r>
        <w:rPr>
          <w:rStyle w:val="CharSectno"/>
        </w:rPr>
        <w:t>98</w:t>
      </w:r>
      <w:r>
        <w:rPr>
          <w:snapToGrid w:val="0"/>
        </w:rPr>
        <w:t>.</w:t>
      </w:r>
      <w:r>
        <w:rPr>
          <w:snapToGrid w:val="0"/>
        </w:rPr>
        <w:tab/>
        <w:t>Surrender of permits etc.</w:t>
      </w:r>
      <w:bookmarkEnd w:id="596"/>
      <w:bookmarkEnd w:id="597"/>
      <w:bookmarkEnd w:id="598"/>
      <w:bookmarkEnd w:id="599"/>
    </w:p>
    <w:p>
      <w:pPr>
        <w:pStyle w:val="Subsection"/>
        <w:spacing w:before="10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0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10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0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0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rPr>
          <w:snapToGrid w:val="0"/>
        </w:rPr>
      </w:pPr>
      <w:bookmarkStart w:id="600" w:name="_Toc457625065"/>
      <w:bookmarkStart w:id="601" w:name="_Toc469729386"/>
      <w:bookmarkStart w:id="602" w:name="_Toc501860549"/>
      <w:bookmarkStart w:id="603" w:name="_Toc166897492"/>
      <w:r>
        <w:rPr>
          <w:rStyle w:val="CharSectno"/>
        </w:rPr>
        <w:t>99</w:t>
      </w:r>
      <w:r>
        <w:rPr>
          <w:snapToGrid w:val="0"/>
        </w:rPr>
        <w:t>.</w:t>
      </w:r>
      <w:r>
        <w:rPr>
          <w:snapToGrid w:val="0"/>
        </w:rPr>
        <w:tab/>
        <w:t>Cancellation of permits etc.</w:t>
      </w:r>
      <w:bookmarkEnd w:id="600"/>
      <w:bookmarkEnd w:id="601"/>
      <w:bookmarkEnd w:id="602"/>
      <w:bookmarkEnd w:id="603"/>
    </w:p>
    <w:p>
      <w:pPr>
        <w:pStyle w:val="Subsection"/>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w:t>
      </w:r>
    </w:p>
    <w:p>
      <w:pPr>
        <w:pStyle w:val="Indenta"/>
        <w:rPr>
          <w:snapToGrid w:val="0"/>
        </w:rPr>
      </w:pPr>
      <w:r>
        <w:rPr>
          <w:snapToGrid w:val="0"/>
        </w:rPr>
        <w:tab/>
        <w:t>(b)</w:t>
      </w:r>
      <w:r>
        <w:rPr>
          <w:snapToGrid w:val="0"/>
        </w:rPr>
        <w:tab/>
        <w:t>has not complied with a direction given to him under this Part by the Minister;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spacing w:before="100"/>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spacing w:before="100"/>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spacing w:before="120"/>
        <w:rPr>
          <w:snapToGrid w:val="0"/>
        </w:rPr>
      </w:pPr>
      <w:bookmarkStart w:id="604" w:name="_Toc457625066"/>
      <w:bookmarkStart w:id="605" w:name="_Toc469729387"/>
      <w:bookmarkStart w:id="606" w:name="_Toc501860550"/>
      <w:bookmarkStart w:id="607" w:name="_Toc166897493"/>
      <w:r>
        <w:rPr>
          <w:rStyle w:val="CharSectno"/>
        </w:rPr>
        <w:t>100</w:t>
      </w:r>
      <w:r>
        <w:rPr>
          <w:snapToGrid w:val="0"/>
        </w:rPr>
        <w:t>.</w:t>
      </w:r>
      <w:r>
        <w:rPr>
          <w:snapToGrid w:val="0"/>
        </w:rPr>
        <w:tab/>
        <w:t>Cancellation of permit etc. not affected by other provisions</w:t>
      </w:r>
      <w:bookmarkEnd w:id="604"/>
      <w:bookmarkEnd w:id="605"/>
      <w:bookmarkEnd w:id="606"/>
      <w:bookmarkEnd w:id="607"/>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pPr>
      <w:r>
        <w:tab/>
        <w:t>[Section 100 amended by No. 12 of 1990 s. 81; No. 78 of 1990 s. 7.]</w:t>
      </w:r>
    </w:p>
    <w:p>
      <w:pPr>
        <w:pStyle w:val="Heading5"/>
        <w:spacing w:before="120"/>
        <w:rPr>
          <w:snapToGrid w:val="0"/>
        </w:rPr>
      </w:pPr>
      <w:bookmarkStart w:id="608" w:name="_Toc457625067"/>
      <w:bookmarkStart w:id="609" w:name="_Toc469729388"/>
      <w:bookmarkStart w:id="610" w:name="_Toc501860551"/>
      <w:bookmarkStart w:id="611" w:name="_Toc166897494"/>
      <w:r>
        <w:rPr>
          <w:rStyle w:val="CharSectno"/>
        </w:rPr>
        <w:t>101</w:t>
      </w:r>
      <w:r>
        <w:rPr>
          <w:snapToGrid w:val="0"/>
        </w:rPr>
        <w:t>.</w:t>
      </w:r>
      <w:r>
        <w:rPr>
          <w:snapToGrid w:val="0"/>
        </w:rPr>
        <w:tab/>
        <w:t>Removal of property etc. by permittee etc.</w:t>
      </w:r>
      <w:bookmarkEnd w:id="608"/>
      <w:bookmarkEnd w:id="609"/>
      <w:bookmarkEnd w:id="610"/>
      <w:bookmarkEnd w:id="611"/>
    </w:p>
    <w:p>
      <w:pPr>
        <w:pStyle w:val="Subsection"/>
        <w:spacing w:before="100"/>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spacing w:before="100"/>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spacing w:before="100"/>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pPr>
      <w:r>
        <w:tab/>
        <w:t>[Section 101 amended by No. 12 of 1990 s. 82; No. 78 of 1990 s. 7.]</w:t>
      </w:r>
    </w:p>
    <w:p>
      <w:pPr>
        <w:pStyle w:val="Heading5"/>
        <w:rPr>
          <w:snapToGrid w:val="0"/>
        </w:rPr>
      </w:pPr>
      <w:bookmarkStart w:id="612" w:name="_Toc457625068"/>
      <w:bookmarkStart w:id="613" w:name="_Toc469729389"/>
      <w:bookmarkStart w:id="614" w:name="_Toc501860552"/>
      <w:bookmarkStart w:id="615" w:name="_Toc166897495"/>
      <w:r>
        <w:rPr>
          <w:rStyle w:val="CharSectno"/>
        </w:rPr>
        <w:t>102</w:t>
      </w:r>
      <w:r>
        <w:rPr>
          <w:snapToGrid w:val="0"/>
        </w:rPr>
        <w:t>.</w:t>
      </w:r>
      <w:r>
        <w:rPr>
          <w:snapToGrid w:val="0"/>
        </w:rPr>
        <w:tab/>
        <w:t>Removal of property etc. by Minister</w:t>
      </w:r>
      <w:bookmarkEnd w:id="612"/>
      <w:bookmarkEnd w:id="613"/>
      <w:bookmarkEnd w:id="614"/>
      <w:bookmarkEnd w:id="615"/>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snapToGrid w:val="0"/>
        </w:rPr>
      </w:pPr>
      <w:bookmarkStart w:id="616" w:name="_Toc457625069"/>
      <w:bookmarkStart w:id="617" w:name="_Toc469729390"/>
      <w:bookmarkStart w:id="618" w:name="_Toc501860553"/>
      <w:bookmarkStart w:id="619" w:name="_Toc166897496"/>
      <w:r>
        <w:rPr>
          <w:rStyle w:val="CharSectno"/>
        </w:rPr>
        <w:t>103</w:t>
      </w:r>
      <w:r>
        <w:rPr>
          <w:snapToGrid w:val="0"/>
        </w:rPr>
        <w:t>.</w:t>
      </w:r>
      <w:r>
        <w:rPr>
          <w:snapToGrid w:val="0"/>
        </w:rPr>
        <w:tab/>
        <w:t>Payment by instalments</w:t>
      </w:r>
      <w:bookmarkEnd w:id="616"/>
      <w:bookmarkEnd w:id="617"/>
      <w:bookmarkEnd w:id="618"/>
      <w:bookmarkEnd w:id="619"/>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 34; No. 12 of 1990 s. 84.]</w:t>
      </w:r>
    </w:p>
    <w:p>
      <w:pPr>
        <w:pStyle w:val="Heading5"/>
        <w:rPr>
          <w:snapToGrid w:val="0"/>
        </w:rPr>
      </w:pPr>
      <w:bookmarkStart w:id="620" w:name="_Toc457625070"/>
      <w:bookmarkStart w:id="621" w:name="_Toc469729391"/>
      <w:bookmarkStart w:id="622" w:name="_Toc501860554"/>
      <w:bookmarkStart w:id="623" w:name="_Toc166897497"/>
      <w:r>
        <w:rPr>
          <w:rStyle w:val="CharSectno"/>
        </w:rPr>
        <w:t>104</w:t>
      </w:r>
      <w:r>
        <w:rPr>
          <w:snapToGrid w:val="0"/>
        </w:rPr>
        <w:t>.</w:t>
      </w:r>
      <w:r>
        <w:rPr>
          <w:snapToGrid w:val="0"/>
        </w:rPr>
        <w:tab/>
        <w:t>Penalty for late payments of instalments etc.</w:t>
      </w:r>
      <w:bookmarkEnd w:id="620"/>
      <w:bookmarkEnd w:id="621"/>
      <w:bookmarkEnd w:id="622"/>
      <w:bookmarkEnd w:id="623"/>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624" w:name="_Toc457625071"/>
      <w:bookmarkStart w:id="625" w:name="_Toc469729392"/>
      <w:bookmarkStart w:id="626" w:name="_Toc501860555"/>
      <w:bookmarkStart w:id="627" w:name="_Toc166897498"/>
      <w:r>
        <w:rPr>
          <w:rStyle w:val="CharSectno"/>
        </w:rPr>
        <w:t>105</w:t>
      </w:r>
      <w:r>
        <w:rPr>
          <w:snapToGrid w:val="0"/>
        </w:rPr>
        <w:t>.</w:t>
      </w:r>
      <w:r>
        <w:rPr>
          <w:snapToGrid w:val="0"/>
        </w:rPr>
        <w:tab/>
        <w:t>Special prospecting authorities</w:t>
      </w:r>
      <w:bookmarkEnd w:id="624"/>
      <w:bookmarkEnd w:id="625"/>
      <w:bookmarkEnd w:id="626"/>
      <w:bookmarkEnd w:id="62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special prospecting authority, while it remains in force, authorises the holder, subject to this Act and the regulations and in accordance with the conditions to which the special prospecting authority is subject, to carry on in the blocks specified in the special prospecting authority the petroleum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w:t>
      </w:r>
    </w:p>
    <w:p>
      <w:pPr>
        <w:pStyle w:val="Heading5"/>
        <w:rPr>
          <w:snapToGrid w:val="0"/>
        </w:rPr>
      </w:pPr>
      <w:bookmarkStart w:id="628" w:name="_Toc457625072"/>
      <w:bookmarkStart w:id="629" w:name="_Toc469729393"/>
      <w:bookmarkStart w:id="630" w:name="_Toc501860556"/>
      <w:bookmarkStart w:id="631" w:name="_Toc166897499"/>
      <w:r>
        <w:rPr>
          <w:rStyle w:val="CharSectno"/>
        </w:rPr>
        <w:t>106</w:t>
      </w:r>
      <w:r>
        <w:rPr>
          <w:snapToGrid w:val="0"/>
        </w:rPr>
        <w:t>.</w:t>
      </w:r>
      <w:r>
        <w:rPr>
          <w:snapToGrid w:val="0"/>
        </w:rPr>
        <w:tab/>
        <w:t>Access authorities</w:t>
      </w:r>
      <w:bookmarkEnd w:id="628"/>
      <w:bookmarkEnd w:id="629"/>
      <w:bookmarkEnd w:id="630"/>
      <w:bookmarkEnd w:id="631"/>
    </w:p>
    <w:p>
      <w:pPr>
        <w:pStyle w:val="Subsection"/>
        <w:rPr>
          <w:snapToGrid w:val="0"/>
        </w:rPr>
      </w:pPr>
      <w:r>
        <w:rPr>
          <w:snapToGrid w:val="0"/>
        </w:rPr>
        <w:tab/>
        <w:t>(1)</w:t>
      </w:r>
      <w:r>
        <w:rPr>
          <w:snapToGrid w:val="0"/>
        </w:rPr>
        <w:tab/>
        <w:t>A permittee, holder of a drilling reservation, lessee, licensee or holder of a special prospecting authority may make an application to the Minister for the grant of an access 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an access authority to enable the holder to carry on, in a part of the State, petroleum exploration operations or operations related to the recovery of petroleum in or from the area to which that petroleum title relates.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drilling reservation, lease or licence of which the registered holder is a person other than the applicant, or vary an access authority as in force in respect of a block that is the subject of a permit, drilling reservation,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the regulations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 xml:space="preserve">Nothing in an access authority authorises the holder to make a well other than a deviation well into an adjacent permit area, drilling reservation, lease area or licence area held by him under this Act or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snapToGrid w:val="0"/>
        </w:rPr>
        <w:t>Petroleum (Submerged Lands) Act 1982</w:t>
      </w:r>
      <w:r>
        <w:rPr>
          <w:snapToGrid w:val="0"/>
        </w:rPr>
        <w:t xml:space="preserve"> or a law of the Commonwealth, of another State or of the Northern Territory, to explore for, or to recover, petroleum.</w:t>
      </w:r>
    </w:p>
    <w:p>
      <w:pPr>
        <w:pStyle w:val="Footnotesection"/>
      </w:pPr>
      <w:r>
        <w:tab/>
        <w:t>[Section 106 amended by No. 12 of 1990 s. 86; No. 78 of 1990 s. 7; No. 28 of 1994 s. 46.]</w:t>
      </w:r>
    </w:p>
    <w:p>
      <w:pPr>
        <w:pStyle w:val="Heading5"/>
        <w:rPr>
          <w:snapToGrid w:val="0"/>
        </w:rPr>
      </w:pPr>
      <w:bookmarkStart w:id="632" w:name="_Toc457625073"/>
      <w:bookmarkStart w:id="633" w:name="_Toc469729394"/>
      <w:bookmarkStart w:id="634" w:name="_Toc501860557"/>
      <w:bookmarkStart w:id="635" w:name="_Toc166897500"/>
      <w:r>
        <w:rPr>
          <w:rStyle w:val="CharSectno"/>
        </w:rPr>
        <w:t>107</w:t>
      </w:r>
      <w:r>
        <w:rPr>
          <w:snapToGrid w:val="0"/>
        </w:rPr>
        <w:t>.</w:t>
      </w:r>
      <w:r>
        <w:rPr>
          <w:snapToGrid w:val="0"/>
        </w:rPr>
        <w:tab/>
        <w:t>Removal, disposal or sale of property</w:t>
      </w:r>
      <w:bookmarkEnd w:id="632"/>
      <w:bookmarkEnd w:id="633"/>
      <w:bookmarkEnd w:id="634"/>
      <w:bookmarkEnd w:id="635"/>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Repealed by No. 28 of 1994 s. 47.]</w:t>
      </w:r>
    </w:p>
    <w:p>
      <w:pPr>
        <w:pStyle w:val="Heading5"/>
        <w:rPr>
          <w:snapToGrid w:val="0"/>
        </w:rPr>
      </w:pPr>
      <w:bookmarkStart w:id="636" w:name="_Toc457625074"/>
      <w:bookmarkStart w:id="637" w:name="_Toc469729395"/>
      <w:bookmarkStart w:id="638" w:name="_Toc501860558"/>
      <w:bookmarkStart w:id="639" w:name="_Toc166897501"/>
      <w:r>
        <w:rPr>
          <w:rStyle w:val="CharSectno"/>
        </w:rPr>
        <w:t>109</w:t>
      </w:r>
      <w:r>
        <w:rPr>
          <w:snapToGrid w:val="0"/>
        </w:rPr>
        <w:t>.</w:t>
      </w:r>
      <w:r>
        <w:rPr>
          <w:snapToGrid w:val="0"/>
        </w:rPr>
        <w:tab/>
        <w:t>Minister etc. may require information to be furnished etc.</w:t>
      </w:r>
      <w:bookmarkEnd w:id="636"/>
      <w:bookmarkEnd w:id="637"/>
      <w:bookmarkEnd w:id="638"/>
      <w:bookmarkEnd w:id="639"/>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or operations for the recovery of petroleum in the State,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Heading5"/>
        <w:rPr>
          <w:snapToGrid w:val="0"/>
        </w:rPr>
      </w:pPr>
      <w:bookmarkStart w:id="640" w:name="_Toc457625075"/>
      <w:bookmarkStart w:id="641" w:name="_Toc469729396"/>
      <w:bookmarkStart w:id="642" w:name="_Toc501860559"/>
      <w:bookmarkStart w:id="643" w:name="_Toc166897502"/>
      <w:r>
        <w:rPr>
          <w:rStyle w:val="CharSectno"/>
        </w:rPr>
        <w:t>110</w:t>
      </w:r>
      <w:r>
        <w:rPr>
          <w:snapToGrid w:val="0"/>
        </w:rPr>
        <w:t>.</w:t>
      </w:r>
      <w:r>
        <w:rPr>
          <w:snapToGrid w:val="0"/>
        </w:rPr>
        <w:tab/>
        <w:t>Power to examine on oath</w:t>
      </w:r>
      <w:bookmarkEnd w:id="640"/>
      <w:bookmarkEnd w:id="641"/>
      <w:bookmarkEnd w:id="642"/>
      <w:bookmarkEnd w:id="643"/>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644" w:name="_Toc457625076"/>
      <w:bookmarkStart w:id="645" w:name="_Toc469729397"/>
      <w:bookmarkStart w:id="646" w:name="_Toc501860560"/>
      <w:bookmarkStart w:id="647" w:name="_Toc166897503"/>
      <w:r>
        <w:rPr>
          <w:rStyle w:val="CharSectno"/>
        </w:rPr>
        <w:t>111</w:t>
      </w:r>
      <w:r>
        <w:rPr>
          <w:snapToGrid w:val="0"/>
        </w:rPr>
        <w:t>.</w:t>
      </w:r>
      <w:r>
        <w:rPr>
          <w:snapToGrid w:val="0"/>
        </w:rPr>
        <w:tab/>
        <w:t>Failing to furnish information etc.</w:t>
      </w:r>
      <w:bookmarkEnd w:id="644"/>
      <w:bookmarkEnd w:id="645"/>
      <w:bookmarkEnd w:id="646"/>
      <w:bookmarkEnd w:id="64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 89.]</w:t>
      </w:r>
    </w:p>
    <w:p>
      <w:pPr>
        <w:pStyle w:val="Heading5"/>
        <w:rPr>
          <w:snapToGrid w:val="0"/>
        </w:rPr>
      </w:pPr>
      <w:bookmarkStart w:id="648" w:name="_Toc457625077"/>
      <w:bookmarkStart w:id="649" w:name="_Toc469729398"/>
      <w:bookmarkStart w:id="650" w:name="_Toc501860561"/>
      <w:bookmarkStart w:id="651" w:name="_Toc166897504"/>
      <w:r>
        <w:rPr>
          <w:rStyle w:val="CharSectno"/>
        </w:rPr>
        <w:t>112</w:t>
      </w:r>
      <w:r>
        <w:rPr>
          <w:snapToGrid w:val="0"/>
        </w:rPr>
        <w:t>.</w:t>
      </w:r>
      <w:r>
        <w:rPr>
          <w:snapToGrid w:val="0"/>
        </w:rPr>
        <w:tab/>
        <w:t>Release of information etc.</w:t>
      </w:r>
      <w:bookmarkEnd w:id="648"/>
      <w:bookmarkEnd w:id="649"/>
      <w:bookmarkEnd w:id="650"/>
      <w:bookmarkEnd w:id="651"/>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any cores or cuttings from, or samples of, the Earth’s crust in a block, or samples of petroleum recovered in a block, that have been furnished to the Minister.</w:t>
      </w:r>
    </w:p>
    <w:p>
      <w:pPr>
        <w:pStyle w:val="Subsection"/>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spacing w:before="180"/>
        <w:rPr>
          <w:snapToGrid w:val="0"/>
        </w:rPr>
      </w:pPr>
      <w:r>
        <w:rPr>
          <w:snapToGrid w:val="0"/>
        </w:rPr>
        <w:tab/>
      </w:r>
      <w:r>
        <w:rPr>
          <w:snapToGrid w:val="0"/>
        </w:rPr>
        <w:tab/>
        <w:t>any cores or cuttings from, or samples of, the Earth’s crust in a block, or samples of petroleum recovered in a block, that have been furnished to the Minister or have been made available to that other Minister under subsection (1).</w:t>
      </w:r>
    </w:p>
    <w:p>
      <w:pPr>
        <w:pStyle w:val="Subsection"/>
        <w:spacing w:before="180"/>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spacing w:before="100"/>
        <w:rPr>
          <w:snapToGrid w:val="0"/>
        </w:rPr>
      </w:pPr>
      <w:r>
        <w:rPr>
          <w:snapToGrid w:val="0"/>
        </w:rPr>
        <w:tab/>
        <w:t>(A)</w:t>
      </w:r>
      <w:r>
        <w:rPr>
          <w:snapToGrid w:val="0"/>
        </w:rPr>
        <w:tab/>
        <w:t>the permit, drilling reservation or lease;</w:t>
      </w:r>
    </w:p>
    <w:p>
      <w:pPr>
        <w:pStyle w:val="IndentI0"/>
        <w:spacing w:before="10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spacing w:before="120"/>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spacing w:before="120"/>
        <w:rPr>
          <w:snapToGrid w:val="0"/>
        </w:rPr>
      </w:pPr>
      <w:r>
        <w:rPr>
          <w:snapToGrid w:val="0"/>
        </w:rPr>
        <w:tab/>
        <w:t>(b)</w:t>
      </w:r>
      <w:r>
        <w:rPr>
          <w:snapToGrid w:val="0"/>
        </w:rPr>
        <w:tab/>
        <w:t>where —</w:t>
      </w:r>
    </w:p>
    <w:p>
      <w:pPr>
        <w:pStyle w:val="Indenti"/>
        <w:spacing w:before="100"/>
        <w:rPr>
          <w:snapToGrid w:val="0"/>
        </w:rPr>
      </w:pPr>
      <w:r>
        <w:rPr>
          <w:snapToGrid w:val="0"/>
        </w:rPr>
        <w:tab/>
        <w:t>(i)</w:t>
      </w:r>
      <w:r>
        <w:rPr>
          <w:snapToGrid w:val="0"/>
        </w:rPr>
        <w:tab/>
        <w:t>a licence is in force in respect of the block; and</w:t>
      </w:r>
    </w:p>
    <w:p>
      <w:pPr>
        <w:pStyle w:val="Indenti"/>
        <w:spacing w:before="100"/>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spacing w:before="100"/>
        <w:rPr>
          <w:snapToGrid w:val="0"/>
        </w:rPr>
      </w:pPr>
      <w:r>
        <w:rPr>
          <w:snapToGrid w:val="0"/>
        </w:rPr>
        <w:tab/>
        <w:t>(A)</w:t>
      </w:r>
      <w:r>
        <w:rPr>
          <w:snapToGrid w:val="0"/>
        </w:rPr>
        <w:tab/>
        <w:t>the licence;</w:t>
      </w:r>
    </w:p>
    <w:p>
      <w:pPr>
        <w:pStyle w:val="IndentI0"/>
        <w:spacing w:before="10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i"/>
        <w:spacing w:before="100"/>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spacing w:before="120"/>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spacing w:before="60"/>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and the regulations,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spacing w:before="100"/>
        <w:rPr>
          <w:snapToGrid w:val="0"/>
        </w:rPr>
      </w:pPr>
      <w:r>
        <w:rPr>
          <w:snapToGrid w:val="0"/>
        </w:rPr>
        <w:tab/>
        <w:t>(7)</w:t>
      </w:r>
      <w:r>
        <w:rPr>
          <w:snapToGrid w:val="0"/>
        </w:rPr>
        <w:tab/>
        <w:t>In this section, a reference to a core, cutting or sample includes a reference to a portion of a core, cutting or sample.</w:t>
      </w:r>
    </w:p>
    <w:p>
      <w:pPr>
        <w:pStyle w:val="Subsection"/>
        <w:spacing w:before="100"/>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00"/>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spacing w:before="100"/>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w:t>
      </w:r>
    </w:p>
    <w:p>
      <w:pPr>
        <w:pStyle w:val="Heading5"/>
        <w:spacing w:before="120"/>
        <w:rPr>
          <w:snapToGrid w:val="0"/>
        </w:rPr>
      </w:pPr>
      <w:bookmarkStart w:id="652" w:name="_Toc457625078"/>
      <w:bookmarkStart w:id="653" w:name="_Toc469729399"/>
      <w:bookmarkStart w:id="654" w:name="_Toc501860562"/>
      <w:bookmarkStart w:id="655" w:name="_Toc166897505"/>
      <w:r>
        <w:rPr>
          <w:rStyle w:val="CharSectno"/>
        </w:rPr>
        <w:t>112A</w:t>
      </w:r>
      <w:r>
        <w:rPr>
          <w:snapToGrid w:val="0"/>
        </w:rPr>
        <w:t>.</w:t>
      </w:r>
      <w:r>
        <w:rPr>
          <w:snapToGrid w:val="0"/>
        </w:rPr>
        <w:tab/>
        <w:t>Safety zones</w:t>
      </w:r>
      <w:bookmarkEnd w:id="652"/>
      <w:bookmarkEnd w:id="653"/>
      <w:bookmarkEnd w:id="654"/>
      <w:bookmarkEnd w:id="655"/>
    </w:p>
    <w:p>
      <w:pPr>
        <w:pStyle w:val="Subsection"/>
        <w:spacing w:before="10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 49.]</w:t>
      </w:r>
    </w:p>
    <w:p>
      <w:pPr>
        <w:pStyle w:val="Heading5"/>
        <w:rPr>
          <w:snapToGrid w:val="0"/>
        </w:rPr>
      </w:pPr>
      <w:bookmarkStart w:id="656" w:name="_Toc457625079"/>
      <w:bookmarkStart w:id="657" w:name="_Toc469729400"/>
      <w:bookmarkStart w:id="658" w:name="_Toc501860563"/>
      <w:bookmarkStart w:id="659" w:name="_Toc166897506"/>
      <w:r>
        <w:rPr>
          <w:rStyle w:val="CharSectno"/>
        </w:rPr>
        <w:t>113</w:t>
      </w:r>
      <w:r>
        <w:rPr>
          <w:snapToGrid w:val="0"/>
        </w:rPr>
        <w:t>.</w:t>
      </w:r>
      <w:r>
        <w:rPr>
          <w:snapToGrid w:val="0"/>
        </w:rPr>
        <w:tab/>
        <w:t>Discovery of water</w:t>
      </w:r>
      <w:bookmarkEnd w:id="656"/>
      <w:r>
        <w:rPr>
          <w:snapToGrid w:val="0"/>
        </w:rPr>
        <w:t xml:space="preserve"> to be notified</w:t>
      </w:r>
      <w:bookmarkEnd w:id="657"/>
      <w:bookmarkEnd w:id="658"/>
      <w:bookmarkEnd w:id="659"/>
    </w:p>
    <w:p>
      <w:pPr>
        <w:pStyle w:val="Subsection"/>
        <w:rPr>
          <w:snapToGrid w:val="0"/>
        </w:rPr>
      </w:pPr>
      <w:r>
        <w:rPr>
          <w:snapToGrid w:val="0"/>
        </w:rPr>
        <w:tab/>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113 amended by No. 12 of 1990 s. 91; No. 78 of 1990 s. 7; No. 28 of 1994 s. 50.]</w:t>
      </w:r>
    </w:p>
    <w:p>
      <w:pPr>
        <w:pStyle w:val="Heading5"/>
        <w:rPr>
          <w:snapToGrid w:val="0"/>
        </w:rPr>
      </w:pPr>
      <w:bookmarkStart w:id="660" w:name="_Toc457625080"/>
      <w:bookmarkStart w:id="661" w:name="_Toc469729401"/>
      <w:bookmarkStart w:id="662" w:name="_Toc501860564"/>
      <w:bookmarkStart w:id="663" w:name="_Toc166897507"/>
      <w:r>
        <w:rPr>
          <w:rStyle w:val="CharSectno"/>
        </w:rPr>
        <w:t>114</w:t>
      </w:r>
      <w:r>
        <w:rPr>
          <w:snapToGrid w:val="0"/>
        </w:rPr>
        <w:t>.</w:t>
      </w:r>
      <w:r>
        <w:rPr>
          <w:snapToGrid w:val="0"/>
        </w:rPr>
        <w:tab/>
        <w:t>Survey of wells etc.</w:t>
      </w:r>
      <w:bookmarkEnd w:id="660"/>
      <w:bookmarkEnd w:id="661"/>
      <w:bookmarkEnd w:id="662"/>
      <w:bookmarkEnd w:id="663"/>
    </w:p>
    <w:p>
      <w:pPr>
        <w:pStyle w:val="Subsection"/>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either subsection (1) or (2) shall comply with the direction.</w:t>
      </w:r>
    </w:p>
    <w:p>
      <w:pPr>
        <w:pStyle w:val="Penstart"/>
        <w:rPr>
          <w:snapToGrid w:val="0"/>
        </w:rPr>
      </w:pPr>
      <w:r>
        <w:rPr>
          <w:snapToGrid w:val="0"/>
        </w:rPr>
        <w:tab/>
        <w:t>Penalty: $10 000.</w:t>
      </w:r>
    </w:p>
    <w:p>
      <w:pPr>
        <w:pStyle w:val="Footnotesection"/>
      </w:pPr>
      <w:r>
        <w:tab/>
        <w:t>[Section 114 amended by No. 12 of 1990 s. 92; No. 78 of 1990 s. 7; No. 28 of 1994 s. 51.]</w:t>
      </w:r>
    </w:p>
    <w:p>
      <w:pPr>
        <w:pStyle w:val="Heading5"/>
        <w:rPr>
          <w:snapToGrid w:val="0"/>
        </w:rPr>
      </w:pPr>
      <w:bookmarkStart w:id="664" w:name="_Toc457625081"/>
      <w:bookmarkStart w:id="665" w:name="_Toc469729402"/>
      <w:bookmarkStart w:id="666" w:name="_Toc501860565"/>
      <w:bookmarkStart w:id="667" w:name="_Toc166897508"/>
      <w:r>
        <w:rPr>
          <w:rStyle w:val="CharSectno"/>
        </w:rPr>
        <w:t>115</w:t>
      </w:r>
      <w:r>
        <w:rPr>
          <w:snapToGrid w:val="0"/>
        </w:rPr>
        <w:t>.</w:t>
      </w:r>
      <w:r>
        <w:rPr>
          <w:snapToGrid w:val="0"/>
        </w:rPr>
        <w:tab/>
        <w:t>Records etc. to be kept</w:t>
      </w:r>
      <w:bookmarkEnd w:id="664"/>
      <w:bookmarkEnd w:id="665"/>
      <w:bookmarkEnd w:id="666"/>
      <w:bookmarkEnd w:id="667"/>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spacing w:before="160"/>
        <w:rPr>
          <w:snapToGrid w:val="0"/>
        </w:rPr>
      </w:pPr>
      <w:r>
        <w:rPr>
          <w:snapToGrid w:val="0"/>
        </w:rPr>
        <w:tab/>
        <w:t>Penalty: $10 000.</w:t>
      </w:r>
    </w:p>
    <w:p>
      <w:pPr>
        <w:pStyle w:val="Footnotesection"/>
        <w:spacing w:before="160"/>
        <w:ind w:left="890" w:hanging="890"/>
      </w:pPr>
      <w:r>
        <w:tab/>
        <w:t>[Section 115 amended by No. 12 of 1990 s. 93; No. 78 of 1990 s. 7; No. 28 of 1994 s. 52.]</w:t>
      </w:r>
    </w:p>
    <w:p>
      <w:pPr>
        <w:pStyle w:val="Heading5"/>
        <w:spacing w:before="240"/>
        <w:rPr>
          <w:snapToGrid w:val="0"/>
        </w:rPr>
      </w:pPr>
      <w:bookmarkStart w:id="668" w:name="_Toc457625082"/>
      <w:bookmarkStart w:id="669" w:name="_Toc469729403"/>
      <w:bookmarkStart w:id="670" w:name="_Toc501860566"/>
      <w:bookmarkStart w:id="671" w:name="_Toc166897509"/>
      <w:r>
        <w:rPr>
          <w:rStyle w:val="CharSectno"/>
        </w:rPr>
        <w:t>116</w:t>
      </w:r>
      <w:r>
        <w:rPr>
          <w:snapToGrid w:val="0"/>
        </w:rPr>
        <w:t>.</w:t>
      </w:r>
      <w:r>
        <w:rPr>
          <w:snapToGrid w:val="0"/>
        </w:rPr>
        <w:tab/>
        <w:t>Scientific investigations</w:t>
      </w:r>
      <w:bookmarkEnd w:id="668"/>
      <w:bookmarkEnd w:id="669"/>
      <w:bookmarkEnd w:id="670"/>
      <w:bookmarkEnd w:id="671"/>
    </w:p>
    <w:p>
      <w:pPr>
        <w:pStyle w:val="Subsection"/>
        <w:spacing w:before="180"/>
        <w:rPr>
          <w:snapToGrid w:val="0"/>
        </w:rPr>
      </w:pPr>
      <w:r>
        <w:rPr>
          <w:snapToGrid w:val="0"/>
        </w:rPr>
        <w:tab/>
        <w:t>(1)</w:t>
      </w:r>
      <w:r>
        <w:rPr>
          <w:snapToGrid w:val="0"/>
        </w:rPr>
        <w:tab/>
        <w:t>The Minister may, by instrument in writing, consent to the carrying on in the State by any person of petroleum exploration operations in the course of a scientific investigation.</w:t>
      </w:r>
    </w:p>
    <w:p>
      <w:pPr>
        <w:pStyle w:val="Subsection"/>
        <w:spacing w:before="180"/>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spacing w:before="180"/>
        <w:rPr>
          <w:snapToGrid w:val="0"/>
        </w:rPr>
      </w:pPr>
      <w:r>
        <w:rPr>
          <w:snapToGrid w:val="0"/>
        </w:rPr>
        <w:tab/>
        <w:t>(3)</w:t>
      </w:r>
      <w:r>
        <w:rPr>
          <w:snapToGrid w:val="0"/>
        </w:rPr>
        <w:tab/>
        <w:t>An instrument of consent in force under subsection (1) authorises the person specified in the instrument, subject to section 117 and in accordance with the conditions, if any, to which the instrument is subject, to carry on in the State petroleum exploration operations so specified in the course of the scientific investigation so specified.</w:t>
      </w:r>
    </w:p>
    <w:p>
      <w:pPr>
        <w:pStyle w:val="Heading5"/>
        <w:spacing w:before="240"/>
        <w:rPr>
          <w:snapToGrid w:val="0"/>
        </w:rPr>
      </w:pPr>
      <w:bookmarkStart w:id="672" w:name="_Toc457625083"/>
      <w:bookmarkStart w:id="673" w:name="_Toc469729404"/>
      <w:bookmarkStart w:id="674" w:name="_Toc501860567"/>
      <w:bookmarkStart w:id="675" w:name="_Toc166897510"/>
      <w:r>
        <w:rPr>
          <w:rStyle w:val="CharSectno"/>
        </w:rPr>
        <w:t>117</w:t>
      </w:r>
      <w:r>
        <w:rPr>
          <w:snapToGrid w:val="0"/>
        </w:rPr>
        <w:t>.</w:t>
      </w:r>
      <w:r>
        <w:rPr>
          <w:snapToGrid w:val="0"/>
        </w:rPr>
        <w:tab/>
        <w:t>Interference with other rights etc.</w:t>
      </w:r>
      <w:bookmarkEnd w:id="672"/>
      <w:bookmarkEnd w:id="673"/>
      <w:bookmarkEnd w:id="674"/>
      <w:bookmarkEnd w:id="675"/>
    </w:p>
    <w:p>
      <w:pPr>
        <w:pStyle w:val="Subsection"/>
        <w:spacing w:before="18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spacing w:before="120"/>
        <w:rPr>
          <w:snapToGrid w:val="0"/>
        </w:rPr>
      </w:pPr>
      <w:r>
        <w:rPr>
          <w:snapToGrid w:val="0"/>
        </w:rPr>
        <w:tab/>
        <w:t>(a)</w:t>
      </w:r>
      <w:r>
        <w:rPr>
          <w:snapToGrid w:val="0"/>
        </w:rPr>
        <w:tab/>
        <w:t>the surface of any land or any improvements thereon;</w:t>
      </w:r>
    </w:p>
    <w:p>
      <w:pPr>
        <w:pStyle w:val="Indenta"/>
        <w:spacing w:before="120"/>
        <w:rPr>
          <w:snapToGrid w:val="0"/>
        </w:rPr>
      </w:pPr>
      <w:r>
        <w:rPr>
          <w:snapToGrid w:val="0"/>
        </w:rPr>
        <w:tab/>
        <w:t>(b)</w:t>
      </w:r>
      <w:r>
        <w:rPr>
          <w:snapToGrid w:val="0"/>
        </w:rPr>
        <w:tab/>
        <w:t>the conservation of the resources of the soil or the Earth’s crust; or</w:t>
      </w:r>
    </w:p>
    <w:p>
      <w:pPr>
        <w:pStyle w:val="Indenta"/>
        <w:spacing w:before="120"/>
        <w:rPr>
          <w:snapToGrid w:val="0"/>
        </w:rPr>
      </w:pPr>
      <w:r>
        <w:rPr>
          <w:snapToGrid w:val="0"/>
        </w:rPr>
        <w:tab/>
        <w:t>(c)</w:t>
      </w:r>
      <w:r>
        <w:rPr>
          <w:snapToGrid w:val="0"/>
        </w:rPr>
        <w:tab/>
        <w:t>any operations of another person being lawfully carried on by way of exploration for, recovery of or conveyance of a mineral, whether petroleum or not, or by way of construction or operation of a pipeline,</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 $10 000.</w:t>
      </w:r>
    </w:p>
    <w:p>
      <w:pPr>
        <w:pStyle w:val="Footnotesection"/>
        <w:keepLines w:val="0"/>
      </w:pPr>
      <w:r>
        <w:tab/>
        <w:t>[Section 117 amended by No. 12 of 1990 s. 94; No. 78 of 1990 s. 7.]</w:t>
      </w:r>
    </w:p>
    <w:p>
      <w:pPr>
        <w:pStyle w:val="Heading5"/>
        <w:rPr>
          <w:snapToGrid w:val="0"/>
        </w:rPr>
      </w:pPr>
      <w:bookmarkStart w:id="676" w:name="_Toc457625084"/>
      <w:bookmarkStart w:id="677" w:name="_Toc469729405"/>
      <w:bookmarkStart w:id="678" w:name="_Toc501860568"/>
      <w:bookmarkStart w:id="679" w:name="_Toc166897511"/>
      <w:r>
        <w:rPr>
          <w:rStyle w:val="CharSectno"/>
        </w:rPr>
        <w:t>118</w:t>
      </w:r>
      <w:r>
        <w:rPr>
          <w:snapToGrid w:val="0"/>
        </w:rPr>
        <w:t>.</w:t>
      </w:r>
      <w:r>
        <w:rPr>
          <w:snapToGrid w:val="0"/>
        </w:rPr>
        <w:tab/>
        <w:t>Inspectors</w:t>
      </w:r>
      <w:bookmarkEnd w:id="676"/>
      <w:bookmarkEnd w:id="677"/>
      <w:bookmarkEnd w:id="678"/>
      <w:bookmarkEnd w:id="679"/>
    </w:p>
    <w:p>
      <w:pPr>
        <w:pStyle w:val="Subsection"/>
        <w:rPr>
          <w:snapToGrid w:val="0"/>
        </w:rPr>
      </w:pPr>
      <w:r>
        <w:rPr>
          <w:snapToGrid w:val="0"/>
        </w:rPr>
        <w:tab/>
        <w:t>(1)</w:t>
      </w:r>
      <w:r>
        <w:rPr>
          <w:snapToGrid w:val="0"/>
        </w:rPr>
        <w:tab/>
        <w:t>The Minister may, by instrument in writing, appoint a person to be an inspector for the purposes of this Act and the regulations.</w:t>
      </w:r>
    </w:p>
    <w:p>
      <w:pPr>
        <w:pStyle w:val="Subsection"/>
        <w:rPr>
          <w:snapToGrid w:val="0"/>
        </w:rPr>
      </w:pPr>
      <w:r>
        <w:rPr>
          <w:snapToGrid w:val="0"/>
        </w:rPr>
        <w:tab/>
        <w:t>(2)</w:t>
      </w:r>
      <w:r>
        <w:rPr>
          <w:snapToGrid w:val="0"/>
        </w:rPr>
        <w:tab/>
        <w:t>The Minister may furnish to an inspector a certificate stating that he is such an inspector for the purposes of this Act and the regulations.</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118 amended by No. 12 of 1990 s. 95.]</w:t>
      </w:r>
    </w:p>
    <w:p>
      <w:pPr>
        <w:pStyle w:val="Heading5"/>
        <w:rPr>
          <w:snapToGrid w:val="0"/>
        </w:rPr>
      </w:pPr>
      <w:bookmarkStart w:id="680" w:name="_Toc457625085"/>
      <w:bookmarkStart w:id="681" w:name="_Toc469729406"/>
      <w:bookmarkStart w:id="682" w:name="_Toc501860569"/>
      <w:bookmarkStart w:id="683" w:name="_Toc166897512"/>
      <w:r>
        <w:rPr>
          <w:rStyle w:val="CharSectno"/>
        </w:rPr>
        <w:t>119</w:t>
      </w:r>
      <w:r>
        <w:rPr>
          <w:snapToGrid w:val="0"/>
        </w:rPr>
        <w:t>.</w:t>
      </w:r>
      <w:r>
        <w:rPr>
          <w:snapToGrid w:val="0"/>
        </w:rPr>
        <w:tab/>
        <w:t>Powers of inspectors</w:t>
      </w:r>
      <w:bookmarkEnd w:id="680"/>
      <w:bookmarkEnd w:id="681"/>
      <w:bookmarkEnd w:id="682"/>
      <w:bookmarkEnd w:id="683"/>
    </w:p>
    <w:p>
      <w:pPr>
        <w:pStyle w:val="Subsection"/>
        <w:rPr>
          <w:snapToGrid w:val="0"/>
        </w:rPr>
      </w:pPr>
      <w:r>
        <w:rPr>
          <w:snapToGrid w:val="0"/>
        </w:rPr>
        <w:tab/>
        <w:t>(1)</w:t>
      </w:r>
      <w:r>
        <w:rPr>
          <w:snapToGrid w:val="0"/>
        </w:rPr>
        <w:tab/>
        <w:t>For the purposes of this Act and the regulations, an inspector, at all reasonable times and on production of the certificate furnished to him under section 118 —</w:t>
      </w:r>
    </w:p>
    <w:p>
      <w:pPr>
        <w:pStyle w:val="Indenta"/>
        <w:rPr>
          <w:snapToGrid w:val="0"/>
        </w:rPr>
      </w:pPr>
      <w:r>
        <w:rPr>
          <w:snapToGrid w:val="0"/>
        </w:rPr>
        <w:tab/>
        <w:t>(a)</w:t>
      </w:r>
      <w:r>
        <w:rPr>
          <w:snapToGrid w:val="0"/>
        </w:rPr>
        <w:tab/>
        <w:t>shall have access to any part of the State and to any structure, vehicle, aircraft or building in the State that, in his opinion, has been, is being or is to be used in connection with petroleum exploration operations or operations for the recovery of petroleum;</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 96.]</w:t>
      </w:r>
    </w:p>
    <w:p>
      <w:pPr>
        <w:pStyle w:val="Heading5"/>
        <w:rPr>
          <w:snapToGrid w:val="0"/>
        </w:rPr>
      </w:pPr>
      <w:bookmarkStart w:id="684" w:name="_Toc457625086"/>
      <w:bookmarkStart w:id="685" w:name="_Toc469729407"/>
      <w:bookmarkStart w:id="686" w:name="_Toc501860570"/>
      <w:bookmarkStart w:id="687" w:name="_Toc166897513"/>
      <w:r>
        <w:rPr>
          <w:rStyle w:val="CharSectno"/>
        </w:rPr>
        <w:t>120</w:t>
      </w:r>
      <w:r>
        <w:rPr>
          <w:snapToGrid w:val="0"/>
        </w:rPr>
        <w:t>.</w:t>
      </w:r>
      <w:r>
        <w:rPr>
          <w:snapToGrid w:val="0"/>
        </w:rPr>
        <w:tab/>
        <w:t>Property in petroleum</w:t>
      </w:r>
      <w:bookmarkEnd w:id="684"/>
      <w:bookmarkEnd w:id="685"/>
      <w:bookmarkEnd w:id="686"/>
      <w:bookmarkEnd w:id="687"/>
    </w:p>
    <w:p>
      <w:pPr>
        <w:pStyle w:val="Subsection"/>
        <w:rPr>
          <w:snapToGrid w:val="0"/>
        </w:rPr>
      </w:pPr>
      <w:r>
        <w:rPr>
          <w:snapToGrid w:val="0"/>
        </w:rPr>
        <w:tab/>
      </w:r>
      <w:r>
        <w:rPr>
          <w:snapToGrid w:val="0"/>
        </w:rPr>
        <w:tab/>
        <w:t>Subject to this Act and to any rights of other persons, upon recovery of any petroleum by a permittee, holder of a drilling reservation, lessee or licensee in the permit area, drilling reservation, lease area or licence area, the petroleum becomes the property of the permittee, holder of the drilling reservation, lessee or licensee.</w:t>
      </w:r>
    </w:p>
    <w:p>
      <w:pPr>
        <w:pStyle w:val="Footnotesection"/>
      </w:pPr>
      <w:r>
        <w:tab/>
        <w:t>[Section 120 amended by No. 12 of 1990 s. 97; No. 78 of 1990 s. 7.]</w:t>
      </w:r>
    </w:p>
    <w:p>
      <w:pPr>
        <w:pStyle w:val="Heading5"/>
        <w:rPr>
          <w:snapToGrid w:val="0"/>
        </w:rPr>
      </w:pPr>
      <w:bookmarkStart w:id="688" w:name="_Toc457625087"/>
      <w:bookmarkStart w:id="689" w:name="_Toc469729408"/>
      <w:bookmarkStart w:id="690" w:name="_Toc501860571"/>
      <w:bookmarkStart w:id="691" w:name="_Toc166897514"/>
      <w:r>
        <w:rPr>
          <w:rStyle w:val="CharSectno"/>
        </w:rPr>
        <w:t>121</w:t>
      </w:r>
      <w:r>
        <w:rPr>
          <w:snapToGrid w:val="0"/>
        </w:rPr>
        <w:t>.</w:t>
      </w:r>
      <w:r>
        <w:rPr>
          <w:snapToGrid w:val="0"/>
        </w:rPr>
        <w:tab/>
        <w:t>Continuing offences</w:t>
      </w:r>
      <w:bookmarkEnd w:id="688"/>
      <w:bookmarkEnd w:id="689"/>
      <w:bookmarkEnd w:id="690"/>
      <w:bookmarkEnd w:id="691"/>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or the regulations,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or the regulations,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w:t>
      </w:r>
    </w:p>
    <w:p>
      <w:pPr>
        <w:pStyle w:val="Heading5"/>
      </w:pPr>
      <w:bookmarkStart w:id="692" w:name="_Toc166897515"/>
      <w:bookmarkStart w:id="693" w:name="_Toc457625089"/>
      <w:bookmarkStart w:id="694" w:name="_Toc469729410"/>
      <w:bookmarkStart w:id="695" w:name="_Toc501860573"/>
      <w:r>
        <w:rPr>
          <w:rStyle w:val="CharSectno"/>
        </w:rPr>
        <w:t>122</w:t>
      </w:r>
      <w:r>
        <w:t>.</w:t>
      </w:r>
      <w:r>
        <w:tab/>
        <w:t>Crimes and other offences</w:t>
      </w:r>
      <w:bookmarkEnd w:id="692"/>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696" w:name="_Toc166897516"/>
      <w:r>
        <w:rPr>
          <w:rStyle w:val="CharSectno"/>
        </w:rPr>
        <w:t>123</w:t>
      </w:r>
      <w:r>
        <w:rPr>
          <w:snapToGrid w:val="0"/>
        </w:rPr>
        <w:t>.</w:t>
      </w:r>
      <w:r>
        <w:rPr>
          <w:snapToGrid w:val="0"/>
        </w:rPr>
        <w:tab/>
        <w:t>Orders for forfeiture etc. in respect of certain offences</w:t>
      </w:r>
      <w:bookmarkEnd w:id="693"/>
      <w:bookmarkEnd w:id="694"/>
      <w:bookmarkEnd w:id="695"/>
      <w:bookmarkEnd w:id="696"/>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w:t>
      </w:r>
    </w:p>
    <w:p>
      <w:pPr>
        <w:pStyle w:val="Indenti"/>
        <w:rPr>
          <w:snapToGrid w:val="0"/>
        </w:rPr>
      </w:pPr>
      <w:r>
        <w:rPr>
          <w:snapToGrid w:val="0"/>
        </w:rPr>
        <w:tab/>
        <w:t>(ii)</w:t>
      </w:r>
      <w:r>
        <w:rPr>
          <w:snapToGrid w:val="0"/>
        </w:rPr>
        <w:tab/>
        <w:t>for the payment by that person to the Crown of an amount equal to the proceeds of the sale of specified petroleum 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head, assessed by the court, of the quantity, so assessed, of petroleum 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123 amended by No. 28 of 1994 s. 53.]</w:t>
      </w:r>
    </w:p>
    <w:p>
      <w:pPr>
        <w:pStyle w:val="Heading5"/>
        <w:rPr>
          <w:snapToGrid w:val="0"/>
        </w:rPr>
      </w:pPr>
      <w:bookmarkStart w:id="697" w:name="_Toc457625090"/>
      <w:bookmarkStart w:id="698" w:name="_Toc469729411"/>
      <w:bookmarkStart w:id="699" w:name="_Toc501860574"/>
      <w:bookmarkStart w:id="700" w:name="_Toc166897517"/>
      <w:r>
        <w:rPr>
          <w:rStyle w:val="CharSectno"/>
        </w:rPr>
        <w:t>124</w:t>
      </w:r>
      <w:r>
        <w:rPr>
          <w:snapToGrid w:val="0"/>
        </w:rPr>
        <w:t>.</w:t>
      </w:r>
      <w:r>
        <w:rPr>
          <w:snapToGrid w:val="0"/>
        </w:rPr>
        <w:tab/>
        <w:t>Power of Attorney General to direct disposal of goods</w:t>
      </w:r>
      <w:bookmarkEnd w:id="697"/>
      <w:bookmarkEnd w:id="698"/>
      <w:bookmarkEnd w:id="699"/>
      <w:bookmarkEnd w:id="700"/>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701" w:name="_Toc457625091"/>
      <w:bookmarkStart w:id="702" w:name="_Toc469729412"/>
      <w:bookmarkStart w:id="703" w:name="_Toc501860575"/>
      <w:bookmarkStart w:id="704" w:name="_Toc166897518"/>
      <w:r>
        <w:rPr>
          <w:rStyle w:val="CharSectno"/>
        </w:rPr>
        <w:t>125</w:t>
      </w:r>
      <w:r>
        <w:rPr>
          <w:snapToGrid w:val="0"/>
        </w:rPr>
        <w:t>.</w:t>
      </w:r>
      <w:r>
        <w:rPr>
          <w:snapToGrid w:val="0"/>
        </w:rPr>
        <w:tab/>
        <w:t>Time for bringing proceedings for offences</w:t>
      </w:r>
      <w:bookmarkEnd w:id="701"/>
      <w:bookmarkEnd w:id="702"/>
      <w:bookmarkEnd w:id="703"/>
      <w:bookmarkEnd w:id="704"/>
    </w:p>
    <w:p>
      <w:pPr>
        <w:pStyle w:val="Subsection"/>
        <w:rPr>
          <w:snapToGrid w:val="0"/>
        </w:rPr>
      </w:pPr>
      <w:r>
        <w:rPr>
          <w:snapToGrid w:val="0"/>
        </w:rPr>
        <w:tab/>
      </w:r>
      <w:r>
        <w:rPr>
          <w:snapToGrid w:val="0"/>
        </w:rPr>
        <w:tab/>
        <w:t>Notwithstanding the provisions of any other Act, proceedings in respect of an offence against this Act (being an offence arising under this Part) or the regulations may be brought at any time.</w:t>
      </w:r>
    </w:p>
    <w:p>
      <w:pPr>
        <w:pStyle w:val="Heading5"/>
        <w:rPr>
          <w:snapToGrid w:val="0"/>
        </w:rPr>
      </w:pPr>
      <w:bookmarkStart w:id="705" w:name="_Toc457625092"/>
      <w:bookmarkStart w:id="706" w:name="_Toc469729413"/>
      <w:bookmarkStart w:id="707" w:name="_Toc501860576"/>
      <w:bookmarkStart w:id="708" w:name="_Toc166897519"/>
      <w:r>
        <w:rPr>
          <w:rStyle w:val="CharSectno"/>
        </w:rPr>
        <w:t>126</w:t>
      </w:r>
      <w:r>
        <w:rPr>
          <w:snapToGrid w:val="0"/>
        </w:rPr>
        <w:t>.</w:t>
      </w:r>
      <w:r>
        <w:rPr>
          <w:snapToGrid w:val="0"/>
        </w:rPr>
        <w:tab/>
        <w:t>Judicial notice</w:t>
      </w:r>
      <w:bookmarkEnd w:id="705"/>
      <w:bookmarkEnd w:id="706"/>
      <w:bookmarkEnd w:id="707"/>
      <w:bookmarkEnd w:id="708"/>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authorised by the law of the State or by consent of parties to receive evidence.</w:t>
      </w:r>
    </w:p>
    <w:p>
      <w:pPr>
        <w:pStyle w:val="Heading5"/>
        <w:rPr>
          <w:snapToGrid w:val="0"/>
        </w:rPr>
      </w:pPr>
      <w:bookmarkStart w:id="709" w:name="_Toc457625093"/>
      <w:bookmarkStart w:id="710" w:name="_Toc469729414"/>
      <w:bookmarkStart w:id="711" w:name="_Toc501860577"/>
      <w:bookmarkStart w:id="712" w:name="_Toc166897520"/>
      <w:r>
        <w:rPr>
          <w:rStyle w:val="CharSectno"/>
        </w:rPr>
        <w:t>127</w:t>
      </w:r>
      <w:r>
        <w:rPr>
          <w:snapToGrid w:val="0"/>
        </w:rPr>
        <w:t>.</w:t>
      </w:r>
      <w:r>
        <w:rPr>
          <w:snapToGrid w:val="0"/>
        </w:rPr>
        <w:tab/>
        <w:t>Service of documents</w:t>
      </w:r>
      <w:bookmarkEnd w:id="709"/>
      <w:bookmarkEnd w:id="710"/>
      <w:bookmarkEnd w:id="711"/>
      <w:bookmarkEnd w:id="712"/>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keepNext/>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pPr>
      <w:r>
        <w:tab/>
        <w:t>[Section 127 amended by No. 12 of 1990 s. 100.]</w:t>
      </w:r>
    </w:p>
    <w:p>
      <w:pPr>
        <w:pStyle w:val="Heading5"/>
        <w:rPr>
          <w:snapToGrid w:val="0"/>
        </w:rPr>
      </w:pPr>
      <w:bookmarkStart w:id="713" w:name="_Toc457625094"/>
      <w:bookmarkStart w:id="714" w:name="_Toc469729415"/>
      <w:bookmarkStart w:id="715" w:name="_Toc501860578"/>
      <w:bookmarkStart w:id="716" w:name="_Toc166897521"/>
      <w:r>
        <w:rPr>
          <w:rStyle w:val="CharSectno"/>
        </w:rPr>
        <w:t>127A</w:t>
      </w:r>
      <w:r>
        <w:rPr>
          <w:snapToGrid w:val="0"/>
        </w:rPr>
        <w:t>.</w:t>
      </w:r>
      <w:r>
        <w:rPr>
          <w:snapToGrid w:val="0"/>
        </w:rPr>
        <w:tab/>
        <w:t>Service of documents on 2 or more permittees etc.</w:t>
      </w:r>
      <w:bookmarkEnd w:id="713"/>
      <w:bookmarkEnd w:id="714"/>
      <w:bookmarkEnd w:id="715"/>
      <w:bookmarkEnd w:id="716"/>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keepNext/>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[Section 127A inserted by No. 12 of 1990 s. 101.]</w:t>
      </w:r>
    </w:p>
    <w:p>
      <w:pPr>
        <w:pStyle w:val="Heading3"/>
      </w:pPr>
      <w:bookmarkStart w:id="717" w:name="_Toc72913583"/>
      <w:bookmarkStart w:id="718" w:name="_Toc89575009"/>
      <w:bookmarkStart w:id="719" w:name="_Toc91305006"/>
      <w:bookmarkStart w:id="720" w:name="_Toc92690234"/>
      <w:bookmarkStart w:id="721" w:name="_Toc113770287"/>
      <w:bookmarkStart w:id="722" w:name="_Toc161551387"/>
      <w:bookmarkStart w:id="723" w:name="_Toc161552315"/>
      <w:bookmarkStart w:id="724" w:name="_Toc161552711"/>
      <w:bookmarkStart w:id="725" w:name="_Toc161717908"/>
      <w:bookmarkStart w:id="726" w:name="_Toc163274690"/>
      <w:bookmarkStart w:id="727" w:name="_Toc163288727"/>
      <w:bookmarkStart w:id="728" w:name="_Toc166897522"/>
      <w:r>
        <w:rPr>
          <w:rStyle w:val="CharDivNo"/>
        </w:rPr>
        <w:t>Division 6</w:t>
      </w:r>
      <w:r>
        <w:rPr>
          <w:snapToGrid w:val="0"/>
        </w:rPr>
        <w:t> — </w:t>
      </w:r>
      <w:r>
        <w:rPr>
          <w:rStyle w:val="CharDivText"/>
        </w:rPr>
        <w:t>Transitional provisions</w:t>
      </w:r>
      <w:bookmarkEnd w:id="717"/>
      <w:bookmarkEnd w:id="718"/>
      <w:bookmarkEnd w:id="719"/>
      <w:bookmarkEnd w:id="720"/>
      <w:bookmarkEnd w:id="721"/>
      <w:bookmarkEnd w:id="722"/>
      <w:bookmarkEnd w:id="723"/>
      <w:bookmarkEnd w:id="724"/>
      <w:bookmarkEnd w:id="725"/>
      <w:bookmarkEnd w:id="726"/>
      <w:bookmarkEnd w:id="727"/>
      <w:bookmarkEnd w:id="728"/>
    </w:p>
    <w:p>
      <w:pPr>
        <w:pStyle w:val="Heading5"/>
        <w:rPr>
          <w:snapToGrid w:val="0"/>
        </w:rPr>
      </w:pPr>
      <w:bookmarkStart w:id="729" w:name="_Toc457625095"/>
      <w:bookmarkStart w:id="730" w:name="_Toc469729416"/>
      <w:bookmarkStart w:id="731" w:name="_Toc501860579"/>
      <w:bookmarkStart w:id="732" w:name="_Toc166897523"/>
      <w:r>
        <w:rPr>
          <w:rStyle w:val="CharSectno"/>
        </w:rPr>
        <w:t>128</w:t>
      </w:r>
      <w:r>
        <w:rPr>
          <w:snapToGrid w:val="0"/>
        </w:rPr>
        <w:t>.</w:t>
      </w:r>
      <w:r>
        <w:rPr>
          <w:snapToGrid w:val="0"/>
        </w:rPr>
        <w:tab/>
      </w:r>
      <w:bookmarkEnd w:id="729"/>
      <w:bookmarkEnd w:id="730"/>
      <w:bookmarkEnd w:id="731"/>
      <w:r>
        <w:rPr>
          <w:snapToGrid w:val="0"/>
        </w:rPr>
        <w:t>Terms used in this Division</w:t>
      </w:r>
      <w:bookmarkEnd w:id="732"/>
    </w:p>
    <w:p>
      <w:pPr>
        <w:pStyle w:val="Subsection"/>
        <w:keepNext/>
        <w:rPr>
          <w:snapToGrid w:val="0"/>
        </w:rPr>
      </w:pPr>
      <w:r>
        <w:rPr>
          <w:snapToGrid w:val="0"/>
        </w:rPr>
        <w:tab/>
      </w:r>
      <w:r>
        <w:rPr>
          <w:snapToGrid w:val="0"/>
        </w:rPr>
        <w:tab/>
        <w:t>In this Division, unless the contrary intention appears —</w:t>
      </w:r>
    </w:p>
    <w:p>
      <w:pPr>
        <w:pStyle w:val="Defstart"/>
      </w:pPr>
      <w:r>
        <w:rPr>
          <w:b/>
        </w:rPr>
        <w:tab/>
        <w:t>“</w:t>
      </w:r>
      <w:r>
        <w:rPr>
          <w:rStyle w:val="CharDefText"/>
        </w:rPr>
        <w:t>Barrow Island lease</w:t>
      </w:r>
      <w:r>
        <w:rPr>
          <w:b/>
        </w:rPr>
        <w:t>”</w:t>
      </w:r>
      <w:r>
        <w:t xml:space="preserve"> means the petroleum lease dated 27 February 1967 granted under the former provisions and registered as Number 1H and named “Barrow Island” pursuant to those provisions;</w:t>
      </w:r>
    </w:p>
    <w:p>
      <w:pPr>
        <w:pStyle w:val="Defstart"/>
      </w:pPr>
      <w:r>
        <w:rPr>
          <w:b/>
        </w:rPr>
        <w:tab/>
        <w:t>“</w:t>
      </w:r>
      <w:r>
        <w:rPr>
          <w:rStyle w:val="CharDefText"/>
        </w:rPr>
        <w:t>Barrow Marine lease</w:t>
      </w:r>
      <w:r>
        <w:rPr>
          <w:b/>
        </w:rPr>
        <w:t>”</w:t>
      </w:r>
      <w:r>
        <w:t xml:space="preserve"> means so much of the Petroleum lease dated 27 February 1967 granted under the </w:t>
      </w:r>
      <w:r>
        <w:rPr>
          <w:i/>
        </w:rPr>
        <w:t>Petroleum Act 1936</w:t>
      </w:r>
      <w:r>
        <w:t xml:space="preserve"> </w:t>
      </w:r>
      <w:r>
        <w:rPr>
          <w:vertAlign w:val="superscript"/>
        </w:rPr>
        <w:t>2</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t>“</w:t>
      </w:r>
      <w:r>
        <w:rPr>
          <w:rStyle w:val="CharDefText"/>
        </w:rPr>
        <w:t>commencing day</w:t>
      </w:r>
      <w:r>
        <w:rPr>
          <w:b/>
        </w:rPr>
        <w:t>”</w:t>
      </w:r>
      <w:r>
        <w:t xml:space="preserve"> means the day on which this Division commences;</w:t>
      </w:r>
    </w:p>
    <w:p>
      <w:pPr>
        <w:pStyle w:val="Defstart"/>
      </w:pPr>
      <w:r>
        <w:rPr>
          <w:b/>
        </w:rPr>
        <w:tab/>
        <w:t>“</w:t>
      </w:r>
      <w:r>
        <w:rPr>
          <w:rStyle w:val="CharDefText"/>
        </w:rPr>
        <w:t>former provisions</w:t>
      </w:r>
      <w:r>
        <w:rPr>
          <w:b/>
        </w:rPr>
        <w:t>”</w:t>
      </w:r>
      <w:r>
        <w:t xml:space="preserve"> means the provisions of the </w:t>
      </w:r>
      <w:r>
        <w:rPr>
          <w:i/>
        </w:rPr>
        <w:t>Petroleum Act 1936</w:t>
      </w:r>
      <w:r>
        <w:t> </w:t>
      </w:r>
      <w:r>
        <w:rPr>
          <w:vertAlign w:val="superscript"/>
        </w:rPr>
        <w:t>2</w:t>
      </w:r>
      <w:r>
        <w:t>;</w:t>
      </w:r>
    </w:p>
    <w:p>
      <w:pPr>
        <w:pStyle w:val="Defstart"/>
      </w:pPr>
      <w:r>
        <w:rPr>
          <w:b/>
        </w:rPr>
        <w:tab/>
        <w:t>“</w:t>
      </w:r>
      <w:r>
        <w:rPr>
          <w:rStyle w:val="CharDefText"/>
        </w:rPr>
        <w:t>lessee</w:t>
      </w:r>
      <w:r>
        <w:rPr>
          <w:b/>
        </w:rPr>
        <w:t>”</w:t>
      </w:r>
      <w:r>
        <w:t xml:space="preserve"> means the lessee for the time being under the Barrow Island lease;</w:t>
      </w:r>
    </w:p>
    <w:p>
      <w:pPr>
        <w:pStyle w:val="Defstart"/>
      </w:pPr>
      <w:r>
        <w:rPr>
          <w:b/>
        </w:rPr>
        <w:tab/>
        <w:t>“</w:t>
      </w:r>
      <w:r>
        <w:rPr>
          <w:rStyle w:val="CharDefText"/>
        </w:rPr>
        <w:t>operations to which this Division applies</w:t>
      </w:r>
      <w:r>
        <w:rPr>
          <w:b/>
        </w:rPr>
        <w:t>”</w:t>
      </w:r>
      <w:r>
        <w:t xml:space="preserve"> means any works or operations authorised or required to be done within the State under or pursuant to a prescribed instrument or under the former provisions;</w:t>
      </w:r>
    </w:p>
    <w:p>
      <w:pPr>
        <w:pStyle w:val="Defstart"/>
      </w:pPr>
      <w:r>
        <w:rPr>
          <w:b/>
        </w:rPr>
        <w:tab/>
        <w:t>“</w:t>
      </w:r>
      <w:r>
        <w:rPr>
          <w:rStyle w:val="CharDefText"/>
        </w:rPr>
        <w:t>prescribed instrument</w:t>
      </w:r>
      <w:r>
        <w:rPr>
          <w:b/>
        </w:rPr>
        <w: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t>“</w:t>
      </w:r>
      <w:r>
        <w:rPr>
          <w:rStyle w:val="CharDefText"/>
        </w:rPr>
        <w:t>variation agreement</w:t>
      </w:r>
      <w:r>
        <w:rPr>
          <w:b/>
        </w:rPr>
        <w:t>”</w:t>
      </w:r>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 6; No. 90 of 1987 s. 5.]</w:t>
      </w:r>
    </w:p>
    <w:p>
      <w:pPr>
        <w:pStyle w:val="Heading5"/>
        <w:rPr>
          <w:snapToGrid w:val="0"/>
        </w:rPr>
      </w:pPr>
      <w:bookmarkStart w:id="733" w:name="_Toc457625096"/>
      <w:bookmarkStart w:id="734" w:name="_Toc469729417"/>
      <w:bookmarkStart w:id="735" w:name="_Toc501860580"/>
      <w:bookmarkStart w:id="736" w:name="_Toc166897524"/>
      <w:r>
        <w:rPr>
          <w:rStyle w:val="CharSectno"/>
        </w:rPr>
        <w:t>129</w:t>
      </w:r>
      <w:r>
        <w:rPr>
          <w:snapToGrid w:val="0"/>
        </w:rPr>
        <w:t>.</w:t>
      </w:r>
      <w:r>
        <w:rPr>
          <w:snapToGrid w:val="0"/>
        </w:rPr>
        <w:tab/>
        <w:t>This Division prevails over other provisions</w:t>
      </w:r>
      <w:bookmarkEnd w:id="733"/>
      <w:bookmarkEnd w:id="734"/>
      <w:bookmarkEnd w:id="735"/>
      <w:bookmarkEnd w:id="736"/>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737" w:name="_Toc457625097"/>
      <w:bookmarkStart w:id="738" w:name="_Toc469729418"/>
      <w:bookmarkStart w:id="739" w:name="_Toc501860581"/>
      <w:bookmarkStart w:id="740" w:name="_Toc166897525"/>
      <w:r>
        <w:rPr>
          <w:rStyle w:val="CharSectno"/>
        </w:rPr>
        <w:t>130</w:t>
      </w:r>
      <w:r>
        <w:rPr>
          <w:snapToGrid w:val="0"/>
        </w:rPr>
        <w:t>.</w:t>
      </w:r>
      <w:r>
        <w:rPr>
          <w:snapToGrid w:val="0"/>
        </w:rPr>
        <w:tab/>
        <w:t>Cessation of operation of former provisions</w:t>
      </w:r>
      <w:bookmarkEnd w:id="737"/>
      <w:bookmarkEnd w:id="738"/>
      <w:bookmarkEnd w:id="739"/>
      <w:bookmarkEnd w:id="740"/>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rPr>
          <w:snapToGrid w:val="0"/>
        </w:rPr>
      </w:pPr>
      <w:bookmarkStart w:id="741" w:name="_Toc457625098"/>
      <w:bookmarkStart w:id="742" w:name="_Toc469729419"/>
      <w:bookmarkStart w:id="743" w:name="_Toc501860582"/>
      <w:bookmarkStart w:id="744" w:name="_Toc166897526"/>
      <w:r>
        <w:rPr>
          <w:rStyle w:val="CharSectno"/>
        </w:rPr>
        <w:t>131</w:t>
      </w:r>
      <w:r>
        <w:rPr>
          <w:snapToGrid w:val="0"/>
        </w:rPr>
        <w:t>.</w:t>
      </w:r>
      <w:r>
        <w:rPr>
          <w:snapToGrid w:val="0"/>
        </w:rPr>
        <w:tab/>
        <w:t>Prohibition on granting of instruments under former provisions after commencing day</w:t>
      </w:r>
      <w:bookmarkEnd w:id="741"/>
      <w:bookmarkEnd w:id="742"/>
      <w:bookmarkEnd w:id="743"/>
      <w:bookmarkEnd w:id="744"/>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745" w:name="_Toc457625099"/>
      <w:bookmarkStart w:id="746" w:name="_Toc469729420"/>
      <w:bookmarkStart w:id="747" w:name="_Toc501860583"/>
      <w:bookmarkStart w:id="748" w:name="_Toc166897527"/>
      <w:r>
        <w:rPr>
          <w:rStyle w:val="CharSectno"/>
        </w:rPr>
        <w:t>132</w:t>
      </w:r>
      <w:r>
        <w:rPr>
          <w:snapToGrid w:val="0"/>
        </w:rPr>
        <w:t>.</w:t>
      </w:r>
      <w:r>
        <w:rPr>
          <w:snapToGrid w:val="0"/>
        </w:rPr>
        <w:tab/>
        <w:t>Rights of holders of existing prescribed instruments</w:t>
      </w:r>
      <w:bookmarkEnd w:id="745"/>
      <w:bookmarkEnd w:id="746"/>
      <w:bookmarkEnd w:id="747"/>
      <w:bookmarkEnd w:id="748"/>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749" w:name="_Toc457625100"/>
      <w:bookmarkStart w:id="750" w:name="_Toc469729421"/>
      <w:bookmarkStart w:id="751" w:name="_Toc501860584"/>
      <w:bookmarkStart w:id="752" w:name="_Toc166897528"/>
      <w:r>
        <w:rPr>
          <w:rStyle w:val="CharSectno"/>
        </w:rPr>
        <w:t>133</w:t>
      </w:r>
      <w:r>
        <w:rPr>
          <w:snapToGrid w:val="0"/>
        </w:rPr>
        <w:t>.</w:t>
      </w:r>
      <w:r>
        <w:rPr>
          <w:snapToGrid w:val="0"/>
        </w:rPr>
        <w:tab/>
        <w:t>Holders of existing instruments may be granted permits under this Part</w:t>
      </w:r>
      <w:bookmarkEnd w:id="749"/>
      <w:bookmarkEnd w:id="750"/>
      <w:bookmarkEnd w:id="751"/>
      <w:bookmarkEnd w:id="75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b/>
          <w:snapToGrid w:val="0"/>
        </w:rPr>
        <w:t>“</w:t>
      </w:r>
      <w:r>
        <w:rPr>
          <w:rStyle w:val="CharDefText"/>
        </w:rPr>
        <w:t>the former area</w:t>
      </w:r>
      <w:r>
        <w:rPr>
          <w:b/>
          <w:snapToGrid w:val="0"/>
        </w:rPr>
        <w:t>”</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pPr>
      <w:r>
        <w:tab/>
        <w:t>[Section 133 amended by No. 69 of 1981 s. 34.]</w:t>
      </w:r>
    </w:p>
    <w:p>
      <w:pPr>
        <w:pStyle w:val="Heading5"/>
        <w:rPr>
          <w:snapToGrid w:val="0"/>
        </w:rPr>
      </w:pPr>
      <w:bookmarkStart w:id="753" w:name="_Toc457625101"/>
      <w:bookmarkStart w:id="754" w:name="_Toc469729422"/>
      <w:bookmarkStart w:id="755" w:name="_Toc501860585"/>
      <w:bookmarkStart w:id="756" w:name="_Toc166897529"/>
      <w:r>
        <w:rPr>
          <w:rStyle w:val="CharSectno"/>
        </w:rPr>
        <w:t>134</w:t>
      </w:r>
      <w:r>
        <w:rPr>
          <w:snapToGrid w:val="0"/>
        </w:rPr>
        <w:t>.</w:t>
      </w:r>
      <w:r>
        <w:rPr>
          <w:snapToGrid w:val="0"/>
        </w:rPr>
        <w:tab/>
        <w:t>Transitional provisions relating to Barrow Island lease</w:t>
      </w:r>
      <w:bookmarkEnd w:id="753"/>
      <w:bookmarkEnd w:id="754"/>
      <w:bookmarkEnd w:id="755"/>
      <w:bookmarkEnd w:id="756"/>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rPr>
          <w:snapToGrid w:val="0"/>
        </w:rPr>
      </w:pPr>
      <w:bookmarkStart w:id="757" w:name="_Toc457625102"/>
      <w:bookmarkStart w:id="758" w:name="_Toc469729423"/>
      <w:bookmarkStart w:id="759" w:name="_Toc501860586"/>
      <w:bookmarkStart w:id="760" w:name="_Toc166897530"/>
      <w:r>
        <w:rPr>
          <w:rStyle w:val="CharSectno"/>
        </w:rPr>
        <w:t>134A</w:t>
      </w:r>
      <w:r>
        <w:rPr>
          <w:snapToGrid w:val="0"/>
        </w:rPr>
        <w:t>.</w:t>
      </w:r>
      <w:r>
        <w:rPr>
          <w:snapToGrid w:val="0"/>
        </w:rPr>
        <w:tab/>
        <w:t>Application of former provisions after coming into operation of variation agreement</w:t>
      </w:r>
      <w:bookmarkEnd w:id="757"/>
      <w:bookmarkEnd w:id="758"/>
      <w:bookmarkEnd w:id="759"/>
      <w:bookmarkEnd w:id="760"/>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ind w:left="1610" w:hanging="1610"/>
        <w:rPr>
          <w:snapToGrid w:val="0"/>
        </w:rPr>
      </w:pPr>
      <w:r>
        <w:rPr>
          <w:snapToGrid w:val="0"/>
        </w:rPr>
        <w:tab/>
        <w:t>(a)</w:t>
      </w:r>
      <w:r>
        <w:rPr>
          <w:snapToGrid w:val="0"/>
        </w:rPr>
        <w:tab/>
        <w:t xml:space="preserve">in section 4, by substituting for the definitions of </w:t>
      </w:r>
      <w:r>
        <w:rPr>
          <w:b/>
          <w:snapToGrid w:val="0"/>
        </w:rPr>
        <w:t>“Minister”</w:t>
      </w:r>
      <w:r>
        <w:rPr>
          <w:snapToGrid w:val="0"/>
        </w:rPr>
        <w:t xml:space="preserve"> and </w:t>
      </w:r>
      <w:r>
        <w:rPr>
          <w:b/>
          <w:snapToGrid w:val="0"/>
        </w:rPr>
        <w:t>“petroleum”</w:t>
      </w:r>
      <w:r>
        <w:rPr>
          <w:snapToGrid w:val="0"/>
        </w:rPr>
        <w:t xml:space="preserve"> definitions as follows —</w:t>
      </w:r>
    </w:p>
    <w:p>
      <w:pPr>
        <w:pStyle w:val="MiscOpen"/>
        <w:ind w:left="567"/>
      </w:pPr>
      <w:r>
        <w:t>“</w:t>
      </w:r>
    </w:p>
    <w:p>
      <w:pPr>
        <w:pStyle w:val="zDefstart"/>
        <w:spacing w:before="0"/>
      </w:pPr>
      <w:r>
        <w:tab/>
      </w:r>
      <w:r>
        <w:rPr>
          <w:b/>
        </w:rPr>
        <w:t>“Minister”</w:t>
      </w:r>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r>
        <w:rPr>
          <w:b/>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rPr>
          <w:snapToGrid w:val="0"/>
        </w:rPr>
      </w:pPr>
      <w:r>
        <w:rPr>
          <w:snapToGrid w:val="0"/>
        </w:rPr>
        <w:tab/>
      </w:r>
      <w:r>
        <w:rPr>
          <w:snapToGrid w:val="0"/>
        </w:rPr>
        <w:tab/>
        <w:t>Where the royalty provisions are inconsistent with a regulation made under section 116 the royalty provisions shall prevail to the extent of the inconsistency.</w:t>
      </w:r>
    </w:p>
    <w:p>
      <w:pPr>
        <w:pStyle w:val="MiscClose"/>
      </w:pPr>
      <w: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rPr>
          <w:snapToGrid w:val="0"/>
        </w:rPr>
      </w:pPr>
      <w:r>
        <w:rPr>
          <w:snapToGrid w:val="0"/>
        </w:rPr>
        <w:tab/>
        <w:t>(ii)</w:t>
      </w:r>
      <w:r>
        <w:rPr>
          <w:snapToGrid w:val="0"/>
        </w:rPr>
        <w:tab/>
        <w:t>with respect to the term of any renewal of the lease section 63(b) and (c) applies;</w:t>
      </w:r>
    </w:p>
    <w:p>
      <w:pPr>
        <w:pStyle w:val="Indenti"/>
        <w:rPr>
          <w:snapToGrid w:val="0"/>
        </w:rPr>
      </w:pPr>
      <w:r>
        <w:rPr>
          <w:snapToGrid w:val="0"/>
        </w:rPr>
        <w:tab/>
        <w:t>(iii)</w:t>
      </w:r>
      <w:r>
        <w:rPr>
          <w:snapToGrid w:val="0"/>
        </w:rPr>
        <w:tab/>
        <w:t>section 64(1) and (2)(d) applies with respect to the application fee to be paid;</w:t>
      </w:r>
    </w:p>
    <w:p>
      <w:pPr>
        <w:pStyle w:val="Indenti"/>
        <w:rPr>
          <w:snapToGrid w:val="0"/>
        </w:rPr>
      </w:pPr>
      <w:r>
        <w:rPr>
          <w:snapToGrid w:val="0"/>
        </w:rPr>
        <w:tab/>
        <w:t>(iv)</w:t>
      </w:r>
      <w:r>
        <w:rPr>
          <w:snapToGrid w:val="0"/>
        </w:rPr>
        <w:tab/>
        <w:t>section 65 applies with respect to the renewal;</w:t>
      </w:r>
    </w:p>
    <w:p>
      <w:pPr>
        <w:pStyle w:val="Indenti"/>
        <w:rPr>
          <w:snapToGrid w:val="0"/>
        </w:rPr>
      </w:pPr>
      <w:r>
        <w:rPr>
          <w:snapToGrid w:val="0"/>
        </w:rPr>
        <w:tab/>
        <w:t>(v)</w:t>
      </w:r>
      <w:r>
        <w:rPr>
          <w:snapToGrid w:val="0"/>
        </w:rPr>
        <w:tab/>
        <w:t>section 91A applies to and in relation to the insurance to be maintained by the lessee;</w:t>
      </w:r>
    </w:p>
    <w:p>
      <w:pPr>
        <w:pStyle w:val="Indenti"/>
        <w:rPr>
          <w:snapToGrid w:val="0"/>
        </w:rPr>
      </w:pPr>
      <w:r>
        <w:rPr>
          <w:snapToGrid w:val="0"/>
        </w:rPr>
        <w:tab/>
        <w:t>(vi)</w:t>
      </w:r>
      <w:r>
        <w:rPr>
          <w:snapToGrid w:val="0"/>
        </w:rPr>
        <w:tab/>
        <w:t>section 138 applies as to the fee payable,</w:t>
      </w:r>
    </w:p>
    <w:p>
      <w:pPr>
        <w:pStyle w:val="Indenta"/>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w:t>
      </w:r>
    </w:p>
    <w:p>
      <w:pPr>
        <w:pStyle w:val="Ednotesection"/>
      </w:pPr>
      <w:r>
        <w:t>[</w:t>
      </w:r>
      <w:r>
        <w:rPr>
          <w:b/>
        </w:rPr>
        <w:t>134B.</w:t>
      </w:r>
      <w:r>
        <w:tab/>
        <w:t>Repealed by No. 28 of 1994 s. 55.]</w:t>
      </w:r>
    </w:p>
    <w:p>
      <w:pPr>
        <w:pStyle w:val="Heading5"/>
        <w:rPr>
          <w:snapToGrid w:val="0"/>
        </w:rPr>
      </w:pPr>
      <w:bookmarkStart w:id="761" w:name="_Toc457625103"/>
      <w:bookmarkStart w:id="762" w:name="_Toc469729424"/>
      <w:bookmarkStart w:id="763" w:name="_Toc501860587"/>
      <w:bookmarkStart w:id="764" w:name="_Toc166897531"/>
      <w:r>
        <w:rPr>
          <w:rStyle w:val="CharSectno"/>
        </w:rPr>
        <w:t>135</w:t>
      </w:r>
      <w:r>
        <w:rPr>
          <w:snapToGrid w:val="0"/>
        </w:rPr>
        <w:t>.</w:t>
      </w:r>
      <w:r>
        <w:rPr>
          <w:snapToGrid w:val="0"/>
        </w:rPr>
        <w:tab/>
        <w:t>Certain portions of blocks to be blocks</w:t>
      </w:r>
      <w:bookmarkEnd w:id="761"/>
      <w:bookmarkEnd w:id="762"/>
      <w:bookmarkEnd w:id="763"/>
      <w:bookmarkEnd w:id="764"/>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765" w:name="_Toc457625104"/>
      <w:bookmarkStart w:id="766" w:name="_Toc469729425"/>
      <w:bookmarkStart w:id="767" w:name="_Toc501860588"/>
      <w:bookmarkStart w:id="768" w:name="_Toc166897532"/>
      <w:r>
        <w:rPr>
          <w:rStyle w:val="CharSectno"/>
        </w:rPr>
        <w:t>136</w:t>
      </w:r>
      <w:r>
        <w:rPr>
          <w:snapToGrid w:val="0"/>
        </w:rPr>
        <w:t>.</w:t>
      </w:r>
      <w:r>
        <w:rPr>
          <w:snapToGrid w:val="0"/>
        </w:rPr>
        <w:tab/>
        <w:t>Certain petroleum exploration or recovery activities not prohibited by section 29 or 49</w:t>
      </w:r>
      <w:bookmarkEnd w:id="765"/>
      <w:bookmarkEnd w:id="766"/>
      <w:bookmarkEnd w:id="767"/>
      <w:bookmarkEnd w:id="768"/>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w:t>
      </w:r>
      <w:r>
        <w:rPr>
          <w:rFonts w:ascii="Courier New" w:hAnsi="Courier New"/>
          <w:snapToGrid w:val="0"/>
        </w:rPr>
        <w:t xml:space="preserve"> </w:t>
      </w:r>
      <w:r>
        <w:rPr>
          <w:snapToGrid w:val="0"/>
        </w:rPr>
        <w:t>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769" w:name="_Toc72913594"/>
      <w:bookmarkStart w:id="770" w:name="_Toc89575020"/>
      <w:bookmarkStart w:id="771" w:name="_Toc91305017"/>
      <w:bookmarkStart w:id="772" w:name="_Toc92690245"/>
      <w:bookmarkStart w:id="773" w:name="_Toc113770298"/>
      <w:bookmarkStart w:id="774" w:name="_Toc161551398"/>
      <w:bookmarkStart w:id="775" w:name="_Toc161552326"/>
      <w:bookmarkStart w:id="776" w:name="_Toc161552722"/>
      <w:bookmarkStart w:id="777" w:name="_Toc161717919"/>
      <w:bookmarkStart w:id="778" w:name="_Toc163274701"/>
      <w:bookmarkStart w:id="779" w:name="_Toc163288738"/>
      <w:bookmarkStart w:id="780" w:name="_Toc166897533"/>
      <w:r>
        <w:rPr>
          <w:rStyle w:val="CharDivNo"/>
        </w:rPr>
        <w:t>Division 7</w:t>
      </w:r>
      <w:r>
        <w:rPr>
          <w:snapToGrid w:val="0"/>
        </w:rPr>
        <w:t> — </w:t>
      </w:r>
      <w:r>
        <w:rPr>
          <w:rStyle w:val="CharDivText"/>
        </w:rPr>
        <w:t>Fees and royalties</w:t>
      </w:r>
      <w:bookmarkEnd w:id="769"/>
      <w:bookmarkEnd w:id="770"/>
      <w:bookmarkEnd w:id="771"/>
      <w:bookmarkEnd w:id="772"/>
      <w:bookmarkEnd w:id="773"/>
      <w:bookmarkEnd w:id="774"/>
      <w:bookmarkEnd w:id="775"/>
      <w:bookmarkEnd w:id="776"/>
      <w:bookmarkEnd w:id="777"/>
      <w:bookmarkEnd w:id="778"/>
      <w:bookmarkEnd w:id="779"/>
      <w:bookmarkEnd w:id="780"/>
    </w:p>
    <w:p>
      <w:pPr>
        <w:pStyle w:val="Heading5"/>
        <w:rPr>
          <w:snapToGrid w:val="0"/>
        </w:rPr>
      </w:pPr>
      <w:bookmarkStart w:id="781" w:name="_Toc457625105"/>
      <w:bookmarkStart w:id="782" w:name="_Toc469729426"/>
      <w:bookmarkStart w:id="783" w:name="_Toc501860589"/>
      <w:bookmarkStart w:id="784" w:name="_Toc166897534"/>
      <w:r>
        <w:rPr>
          <w:rStyle w:val="CharSectno"/>
        </w:rPr>
        <w:t>137</w:t>
      </w:r>
      <w:r>
        <w:rPr>
          <w:snapToGrid w:val="0"/>
        </w:rPr>
        <w:t>.</w:t>
      </w:r>
      <w:r>
        <w:rPr>
          <w:snapToGrid w:val="0"/>
        </w:rPr>
        <w:tab/>
        <w:t>Permit and drilling reservation fees</w:t>
      </w:r>
      <w:bookmarkEnd w:id="781"/>
      <w:bookmarkEnd w:id="782"/>
      <w:bookmarkEnd w:id="783"/>
      <w:bookmarkEnd w:id="784"/>
    </w:p>
    <w:p>
      <w:pPr>
        <w:pStyle w:val="Subsection"/>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rPr>
          <w:snapToGrid w:val="0"/>
        </w:rPr>
      </w:pPr>
      <w:bookmarkStart w:id="785" w:name="_Toc457625106"/>
      <w:bookmarkStart w:id="786" w:name="_Toc469729427"/>
      <w:bookmarkStart w:id="787" w:name="_Toc501860590"/>
      <w:bookmarkStart w:id="788" w:name="_Toc166897535"/>
      <w:r>
        <w:rPr>
          <w:rStyle w:val="CharSectno"/>
        </w:rPr>
        <w:t>137A</w:t>
      </w:r>
      <w:r>
        <w:rPr>
          <w:snapToGrid w:val="0"/>
        </w:rPr>
        <w:t>.</w:t>
      </w:r>
      <w:r>
        <w:rPr>
          <w:snapToGrid w:val="0"/>
        </w:rPr>
        <w:tab/>
        <w:t>Lease fees</w:t>
      </w:r>
      <w:bookmarkEnd w:id="785"/>
      <w:bookmarkEnd w:id="786"/>
      <w:bookmarkEnd w:id="787"/>
      <w:bookmarkEnd w:id="788"/>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rPr>
          <w:snapToGrid w:val="0"/>
        </w:rPr>
      </w:pPr>
      <w:bookmarkStart w:id="789" w:name="_Toc457625107"/>
      <w:bookmarkStart w:id="790" w:name="_Toc469729428"/>
      <w:bookmarkStart w:id="791" w:name="_Toc501860591"/>
      <w:bookmarkStart w:id="792" w:name="_Toc166897536"/>
      <w:r>
        <w:rPr>
          <w:rStyle w:val="CharSectno"/>
        </w:rPr>
        <w:t>138</w:t>
      </w:r>
      <w:r>
        <w:rPr>
          <w:snapToGrid w:val="0"/>
        </w:rPr>
        <w:t>.</w:t>
      </w:r>
      <w:r>
        <w:rPr>
          <w:snapToGrid w:val="0"/>
        </w:rPr>
        <w:tab/>
        <w:t>Licence fees</w:t>
      </w:r>
      <w:bookmarkEnd w:id="789"/>
      <w:bookmarkEnd w:id="790"/>
      <w:bookmarkEnd w:id="791"/>
      <w:bookmarkEnd w:id="792"/>
    </w:p>
    <w:p>
      <w:pPr>
        <w:pStyle w:val="Subsection"/>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793" w:name="_Toc457625108"/>
      <w:bookmarkStart w:id="794" w:name="_Toc469729429"/>
      <w:bookmarkStart w:id="795" w:name="_Toc501860592"/>
      <w:bookmarkStart w:id="796" w:name="_Toc166897537"/>
      <w:r>
        <w:rPr>
          <w:rStyle w:val="CharSectno"/>
        </w:rPr>
        <w:t>139</w:t>
      </w:r>
      <w:r>
        <w:rPr>
          <w:snapToGrid w:val="0"/>
        </w:rPr>
        <w:t>.</w:t>
      </w:r>
      <w:r>
        <w:rPr>
          <w:snapToGrid w:val="0"/>
        </w:rPr>
        <w:tab/>
        <w:t>Time of payment of fees</w:t>
      </w:r>
      <w:bookmarkEnd w:id="793"/>
      <w:bookmarkEnd w:id="794"/>
      <w:bookmarkEnd w:id="795"/>
      <w:bookmarkEnd w:id="796"/>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797" w:name="_Toc457625109"/>
      <w:bookmarkStart w:id="798" w:name="_Toc469729430"/>
      <w:bookmarkStart w:id="799" w:name="_Toc501860593"/>
      <w:bookmarkStart w:id="800" w:name="_Toc166897538"/>
      <w:r>
        <w:rPr>
          <w:rStyle w:val="CharSectno"/>
        </w:rPr>
        <w:t>140</w:t>
      </w:r>
      <w:r>
        <w:rPr>
          <w:snapToGrid w:val="0"/>
        </w:rPr>
        <w:t>.</w:t>
      </w:r>
      <w:r>
        <w:rPr>
          <w:snapToGrid w:val="0"/>
        </w:rPr>
        <w:tab/>
        <w:t>Penalty for late payment of fees</w:t>
      </w:r>
      <w:bookmarkEnd w:id="797"/>
      <w:bookmarkEnd w:id="798"/>
      <w:bookmarkEnd w:id="799"/>
      <w:bookmarkEnd w:id="800"/>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801" w:name="_Toc457625110"/>
      <w:bookmarkStart w:id="802" w:name="_Toc469729431"/>
      <w:bookmarkStart w:id="803" w:name="_Toc501860594"/>
      <w:bookmarkStart w:id="804" w:name="_Toc166897539"/>
      <w:r>
        <w:rPr>
          <w:rStyle w:val="CharSectno"/>
        </w:rPr>
        <w:t>141</w:t>
      </w:r>
      <w:r>
        <w:rPr>
          <w:snapToGrid w:val="0"/>
        </w:rPr>
        <w:t>.</w:t>
      </w:r>
      <w:r>
        <w:rPr>
          <w:snapToGrid w:val="0"/>
        </w:rPr>
        <w:tab/>
        <w:t>Fees and penalties debts due to the Crown</w:t>
      </w:r>
      <w:bookmarkEnd w:id="801"/>
      <w:bookmarkEnd w:id="802"/>
      <w:bookmarkEnd w:id="803"/>
      <w:bookmarkEnd w:id="804"/>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805" w:name="_Toc457625111"/>
      <w:bookmarkStart w:id="806" w:name="_Toc469729432"/>
      <w:bookmarkStart w:id="807" w:name="_Toc501860595"/>
      <w:bookmarkStart w:id="808" w:name="_Toc166897540"/>
      <w:r>
        <w:rPr>
          <w:rStyle w:val="CharSectno"/>
        </w:rPr>
        <w:t>142</w:t>
      </w:r>
      <w:r>
        <w:rPr>
          <w:snapToGrid w:val="0"/>
        </w:rPr>
        <w:t>.</w:t>
      </w:r>
      <w:r>
        <w:rPr>
          <w:snapToGrid w:val="0"/>
        </w:rPr>
        <w:tab/>
        <w:t>Royalty</w:t>
      </w:r>
      <w:bookmarkEnd w:id="805"/>
      <w:bookmarkEnd w:id="806"/>
      <w:bookmarkEnd w:id="807"/>
      <w:bookmarkEnd w:id="808"/>
    </w:p>
    <w:p>
      <w:pPr>
        <w:pStyle w:val="Subsection"/>
        <w:rPr>
          <w:snapToGrid w:val="0"/>
        </w:rPr>
      </w:pPr>
      <w:r>
        <w:rPr>
          <w:snapToGrid w:val="0"/>
        </w:rPr>
        <w:tab/>
        <w:t>(1)</w:t>
      </w:r>
      <w:r>
        <w:rPr>
          <w:snapToGrid w:val="0"/>
        </w:rPr>
        <w:tab/>
        <w:t>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The prescribed rate in respect of petroleum recovered under a permit, drilling reservation, or lease is 10% of the royalty value of the petroleum.</w:t>
      </w:r>
    </w:p>
    <w:p>
      <w:pPr>
        <w:pStyle w:val="Subsection"/>
        <w:rPr>
          <w:snapToGrid w:val="0"/>
        </w:rPr>
      </w:pPr>
      <w:r>
        <w:rPr>
          <w:snapToGrid w:val="0"/>
        </w:rPr>
        <w:tab/>
        <w:t>(3)</w:t>
      </w:r>
      <w:r>
        <w:rPr>
          <w:snapToGrid w:val="0"/>
        </w:rPr>
        <w:tab/>
        <w:t>Subject to the succeeding provisions of this section and to the provisions of section 143, the prescribed rate in respect of petroleum recovered under a 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Where a 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rPr>
          <w:snapToGrid w:val="0"/>
        </w:rPr>
      </w:pPr>
      <w:r>
        <w:rPr>
          <w:snapToGrid w:val="0"/>
        </w:rPr>
        <w:tab/>
        <w:t>(9)</w:t>
      </w:r>
      <w:r>
        <w:rPr>
          <w:snapToGrid w:val="0"/>
        </w:rPr>
        <w:tab/>
        <w:t>Subject to section 143, the prescribed rate in respect of petroleum recovered under a 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w:t>
      </w:r>
    </w:p>
    <w:p>
      <w:pPr>
        <w:pStyle w:val="Heading5"/>
        <w:rPr>
          <w:snapToGrid w:val="0"/>
        </w:rPr>
      </w:pPr>
      <w:bookmarkStart w:id="809" w:name="_Toc457625112"/>
      <w:bookmarkStart w:id="810" w:name="_Toc469729433"/>
      <w:bookmarkStart w:id="811" w:name="_Toc501860596"/>
      <w:bookmarkStart w:id="812" w:name="_Toc166897541"/>
      <w:r>
        <w:rPr>
          <w:rStyle w:val="CharSectno"/>
        </w:rPr>
        <w:t>143</w:t>
      </w:r>
      <w:r>
        <w:rPr>
          <w:snapToGrid w:val="0"/>
        </w:rPr>
        <w:t>.</w:t>
      </w:r>
      <w:r>
        <w:rPr>
          <w:snapToGrid w:val="0"/>
        </w:rPr>
        <w:tab/>
        <w:t>Reduction of royalty in certain cases</w:t>
      </w:r>
      <w:bookmarkEnd w:id="809"/>
      <w:bookmarkEnd w:id="810"/>
      <w:bookmarkEnd w:id="811"/>
      <w:bookmarkEnd w:id="812"/>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rPr>
          <w:snapToGrid w:val="0"/>
        </w:rPr>
      </w:pPr>
      <w:r>
        <w:rPr>
          <w:snapToGrid w:val="0"/>
        </w:rPr>
        <w:tab/>
        <w:t>(2)</w:t>
      </w:r>
      <w:r>
        <w:rPr>
          <w:snapToGrid w:val="0"/>
        </w:rPr>
        <w:tab/>
        <w:t>The prescribed rate in respect of petroleum recovered, during the period specified in the determination, from the well to which such a determination relates, is the rate so specified.</w:t>
      </w:r>
    </w:p>
    <w:p>
      <w:pPr>
        <w:pStyle w:val="Heading5"/>
        <w:rPr>
          <w:snapToGrid w:val="0"/>
        </w:rPr>
      </w:pPr>
      <w:bookmarkStart w:id="813" w:name="_Toc457625113"/>
      <w:bookmarkStart w:id="814" w:name="_Toc469729434"/>
      <w:bookmarkStart w:id="815" w:name="_Toc501860597"/>
      <w:bookmarkStart w:id="816" w:name="_Toc166897542"/>
      <w:r>
        <w:rPr>
          <w:rStyle w:val="CharSectno"/>
        </w:rPr>
        <w:t>144</w:t>
      </w:r>
      <w:r>
        <w:rPr>
          <w:snapToGrid w:val="0"/>
        </w:rPr>
        <w:t>.</w:t>
      </w:r>
      <w:r>
        <w:rPr>
          <w:snapToGrid w:val="0"/>
        </w:rPr>
        <w:tab/>
        <w:t>Royalty not payable in certain cases</w:t>
      </w:r>
      <w:bookmarkEnd w:id="813"/>
      <w:bookmarkEnd w:id="814"/>
      <w:bookmarkEnd w:id="815"/>
      <w:bookmarkEnd w:id="816"/>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w:t>
      </w:r>
    </w:p>
    <w:p>
      <w:pPr>
        <w:pStyle w:val="Heading5"/>
        <w:rPr>
          <w:snapToGrid w:val="0"/>
        </w:rPr>
      </w:pPr>
      <w:bookmarkStart w:id="817" w:name="_Toc457625114"/>
      <w:bookmarkStart w:id="818" w:name="_Toc469729435"/>
      <w:bookmarkStart w:id="819" w:name="_Toc501860598"/>
      <w:bookmarkStart w:id="820" w:name="_Toc166897543"/>
      <w:r>
        <w:rPr>
          <w:rStyle w:val="CharSectno"/>
        </w:rPr>
        <w:t>144A</w:t>
      </w:r>
      <w:r>
        <w:rPr>
          <w:snapToGrid w:val="0"/>
        </w:rPr>
        <w:t>.</w:t>
      </w:r>
      <w:r>
        <w:rPr>
          <w:snapToGrid w:val="0"/>
        </w:rPr>
        <w:tab/>
        <w:t>Royalty value</w:t>
      </w:r>
      <w:bookmarkEnd w:id="817"/>
      <w:bookmarkEnd w:id="818"/>
      <w:bookmarkEnd w:id="819"/>
      <w:bookmarkEnd w:id="820"/>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145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w:t>
      </w:r>
    </w:p>
    <w:p>
      <w:pPr>
        <w:pStyle w:val="Heading5"/>
        <w:rPr>
          <w:snapToGrid w:val="0"/>
        </w:rPr>
      </w:pPr>
      <w:bookmarkStart w:id="821" w:name="_Toc457625115"/>
      <w:bookmarkStart w:id="822" w:name="_Toc469729436"/>
      <w:bookmarkStart w:id="823" w:name="_Toc501860599"/>
      <w:bookmarkStart w:id="824" w:name="_Toc166897544"/>
      <w:r>
        <w:rPr>
          <w:rStyle w:val="CharSectno"/>
        </w:rPr>
        <w:t>145</w:t>
      </w:r>
      <w:r>
        <w:rPr>
          <w:snapToGrid w:val="0"/>
        </w:rPr>
        <w:t>.</w:t>
      </w:r>
      <w:r>
        <w:rPr>
          <w:snapToGrid w:val="0"/>
        </w:rPr>
        <w:tab/>
        <w:t>Ascertainment of value of petroleum</w:t>
      </w:r>
      <w:bookmarkEnd w:id="821"/>
      <w:bookmarkEnd w:id="822"/>
      <w:bookmarkEnd w:id="823"/>
      <w:bookmarkEnd w:id="824"/>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w:t>
      </w:r>
    </w:p>
    <w:p>
      <w:pPr>
        <w:pStyle w:val="Heading5"/>
        <w:rPr>
          <w:snapToGrid w:val="0"/>
        </w:rPr>
      </w:pPr>
      <w:bookmarkStart w:id="825" w:name="_Toc457625116"/>
      <w:bookmarkStart w:id="826" w:name="_Toc469729437"/>
      <w:bookmarkStart w:id="827" w:name="_Toc501860600"/>
      <w:bookmarkStart w:id="828" w:name="_Toc166897545"/>
      <w:r>
        <w:rPr>
          <w:rStyle w:val="CharSectno"/>
        </w:rPr>
        <w:t>146</w:t>
      </w:r>
      <w:r>
        <w:rPr>
          <w:snapToGrid w:val="0"/>
        </w:rPr>
        <w:t>.</w:t>
      </w:r>
      <w:r>
        <w:rPr>
          <w:snapToGrid w:val="0"/>
        </w:rPr>
        <w:tab/>
        <w:t>Ascertainment of well</w:t>
      </w:r>
      <w:r>
        <w:rPr>
          <w:snapToGrid w:val="0"/>
        </w:rPr>
        <w:noBreakHyphen/>
        <w:t>head</w:t>
      </w:r>
      <w:bookmarkEnd w:id="825"/>
      <w:bookmarkEnd w:id="826"/>
      <w:bookmarkEnd w:id="827"/>
      <w:bookmarkEnd w:id="828"/>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w:t>
      </w:r>
    </w:p>
    <w:p>
      <w:pPr>
        <w:pStyle w:val="Heading5"/>
        <w:rPr>
          <w:snapToGrid w:val="0"/>
        </w:rPr>
      </w:pPr>
      <w:bookmarkStart w:id="829" w:name="_Toc457625117"/>
      <w:bookmarkStart w:id="830" w:name="_Toc469729438"/>
      <w:bookmarkStart w:id="831" w:name="_Toc501860601"/>
      <w:bookmarkStart w:id="832" w:name="_Toc166897546"/>
      <w:r>
        <w:rPr>
          <w:rStyle w:val="CharSectno"/>
        </w:rPr>
        <w:t>147</w:t>
      </w:r>
      <w:r>
        <w:rPr>
          <w:snapToGrid w:val="0"/>
        </w:rPr>
        <w:t>.</w:t>
      </w:r>
      <w:r>
        <w:rPr>
          <w:snapToGrid w:val="0"/>
        </w:rPr>
        <w:tab/>
        <w:t>Ascertainment of quantity of petroleum recovered</w:t>
      </w:r>
      <w:bookmarkEnd w:id="829"/>
      <w:bookmarkEnd w:id="830"/>
      <w:bookmarkEnd w:id="831"/>
      <w:bookmarkEnd w:id="832"/>
    </w:p>
    <w:p>
      <w:pPr>
        <w:pStyle w:val="Subsection"/>
        <w:spacing w:before="180"/>
        <w:rPr>
          <w:snapToGrid w:val="0"/>
        </w:rPr>
      </w:pPr>
      <w:r>
        <w:rPr>
          <w:snapToGrid w:val="0"/>
        </w:rPr>
        <w:tab/>
      </w:r>
      <w:r>
        <w:rPr>
          <w:snapToGrid w:val="0"/>
        </w:rPr>
        <w:tab/>
        <w:t>For the purposes of this Act, the quantity of petroleum recovered by a permittee, holder of a drilling reservation, lessee or licensee during a period shall be taken to be —</w:t>
      </w:r>
    </w:p>
    <w:p>
      <w:pPr>
        <w:pStyle w:val="Indenta"/>
        <w:spacing w:before="120"/>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spacing w:before="120"/>
        <w:rPr>
          <w:snapToGrid w:val="0"/>
        </w:rPr>
      </w:pPr>
      <w:r>
        <w:rPr>
          <w:snapToGrid w:val="0"/>
        </w:rPr>
        <w:tab/>
        <w:t>(b)</w:t>
      </w:r>
      <w:r>
        <w:rPr>
          <w:snapToGrid w:val="0"/>
        </w:rPr>
        <w:tab/>
        <w:t>where no such measuring device is so installed, or the Minister is not satisfied that the quantity of petroleum 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w:t>
      </w:r>
    </w:p>
    <w:p>
      <w:pPr>
        <w:pStyle w:val="Heading5"/>
        <w:spacing w:before="240"/>
        <w:rPr>
          <w:snapToGrid w:val="0"/>
        </w:rPr>
      </w:pPr>
      <w:bookmarkStart w:id="833" w:name="_Toc457625118"/>
      <w:bookmarkStart w:id="834" w:name="_Toc469729439"/>
      <w:bookmarkStart w:id="835" w:name="_Toc501860602"/>
      <w:bookmarkStart w:id="836" w:name="_Toc166897547"/>
      <w:r>
        <w:rPr>
          <w:rStyle w:val="CharSectno"/>
        </w:rPr>
        <w:t>148</w:t>
      </w:r>
      <w:r>
        <w:rPr>
          <w:snapToGrid w:val="0"/>
        </w:rPr>
        <w:t>.</w:t>
      </w:r>
      <w:r>
        <w:rPr>
          <w:snapToGrid w:val="0"/>
        </w:rPr>
        <w:tab/>
        <w:t>Payment of royalty and penalty for late payment</w:t>
      </w:r>
      <w:bookmarkEnd w:id="833"/>
      <w:bookmarkEnd w:id="834"/>
      <w:bookmarkEnd w:id="835"/>
      <w:bookmarkEnd w:id="836"/>
    </w:p>
    <w:p>
      <w:pPr>
        <w:pStyle w:val="Subsection"/>
        <w:spacing w:before="180"/>
        <w:rPr>
          <w:snapToGrid w:val="0"/>
        </w:rPr>
      </w:pPr>
      <w:r>
        <w:rPr>
          <w:snapToGrid w:val="0"/>
        </w:rPr>
        <w:tab/>
        <w:t>(1)</w:t>
      </w:r>
      <w:r>
        <w:rPr>
          <w:snapToGrid w:val="0"/>
        </w:rPr>
        <w:tab/>
        <w:t>Royalty under this Act in respect of petroleum recovered during a royalty period is payable not later than the last day of the next succeeding royalty period.</w:t>
      </w:r>
    </w:p>
    <w:p>
      <w:pPr>
        <w:pStyle w:val="Subsection"/>
        <w:spacing w:before="180"/>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spacing w:before="180"/>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w:t>
      </w:r>
    </w:p>
    <w:p>
      <w:pPr>
        <w:pStyle w:val="Heading5"/>
        <w:rPr>
          <w:snapToGrid w:val="0"/>
        </w:rPr>
      </w:pPr>
      <w:bookmarkStart w:id="837" w:name="_Toc457625119"/>
      <w:bookmarkStart w:id="838" w:name="_Toc469729440"/>
      <w:bookmarkStart w:id="839" w:name="_Toc501860603"/>
      <w:bookmarkStart w:id="840" w:name="_Toc166897548"/>
      <w:r>
        <w:rPr>
          <w:rStyle w:val="CharSectno"/>
        </w:rPr>
        <w:t>149</w:t>
      </w:r>
      <w:r>
        <w:rPr>
          <w:snapToGrid w:val="0"/>
        </w:rPr>
        <w:t>.</w:t>
      </w:r>
      <w:r>
        <w:rPr>
          <w:snapToGrid w:val="0"/>
        </w:rPr>
        <w:tab/>
        <w:t>Amount of royalty and late payment thereof debt due to Crown</w:t>
      </w:r>
      <w:bookmarkEnd w:id="837"/>
      <w:bookmarkEnd w:id="838"/>
      <w:bookmarkEnd w:id="839"/>
      <w:bookmarkEnd w:id="840"/>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841" w:name="_Toc72913610"/>
      <w:bookmarkStart w:id="842" w:name="_Toc89575036"/>
      <w:bookmarkStart w:id="843" w:name="_Toc91305033"/>
      <w:bookmarkStart w:id="844" w:name="_Toc92690261"/>
      <w:bookmarkStart w:id="845" w:name="_Toc113770314"/>
      <w:bookmarkStart w:id="846" w:name="_Toc161551414"/>
      <w:bookmarkStart w:id="847" w:name="_Toc161552342"/>
      <w:bookmarkStart w:id="848" w:name="_Toc161552738"/>
      <w:bookmarkStart w:id="849" w:name="_Toc161717935"/>
      <w:bookmarkStart w:id="850" w:name="_Toc163274717"/>
      <w:bookmarkStart w:id="851" w:name="_Toc163288754"/>
      <w:bookmarkStart w:id="852" w:name="_Toc166897549"/>
      <w:r>
        <w:rPr>
          <w:rStyle w:val="CharPartNo"/>
        </w:rPr>
        <w:t>Part IV</w:t>
      </w:r>
      <w:r>
        <w:rPr>
          <w:rStyle w:val="CharDivNo"/>
        </w:rPr>
        <w:t> </w:t>
      </w:r>
      <w:r>
        <w:t>—</w:t>
      </w:r>
      <w:r>
        <w:rPr>
          <w:rStyle w:val="CharDivText"/>
        </w:rPr>
        <w:t> </w:t>
      </w:r>
      <w:r>
        <w:rPr>
          <w:rStyle w:val="CharPartText"/>
        </w:rPr>
        <w:t>Miscellaneous</w:t>
      </w:r>
      <w:bookmarkEnd w:id="841"/>
      <w:bookmarkEnd w:id="842"/>
      <w:bookmarkEnd w:id="843"/>
      <w:bookmarkEnd w:id="844"/>
      <w:bookmarkEnd w:id="845"/>
      <w:bookmarkEnd w:id="846"/>
      <w:bookmarkEnd w:id="847"/>
      <w:bookmarkEnd w:id="848"/>
      <w:bookmarkEnd w:id="849"/>
      <w:bookmarkEnd w:id="850"/>
      <w:bookmarkEnd w:id="851"/>
      <w:bookmarkEnd w:id="852"/>
    </w:p>
    <w:p>
      <w:pPr>
        <w:pStyle w:val="Heading5"/>
        <w:rPr>
          <w:snapToGrid w:val="0"/>
        </w:rPr>
      </w:pPr>
      <w:bookmarkStart w:id="853" w:name="_Toc457625120"/>
      <w:bookmarkStart w:id="854" w:name="_Toc469729441"/>
      <w:bookmarkStart w:id="855" w:name="_Toc501860604"/>
      <w:bookmarkStart w:id="856" w:name="_Toc166897550"/>
      <w:r>
        <w:rPr>
          <w:rStyle w:val="CharSectno"/>
        </w:rPr>
        <w:t>150</w:t>
      </w:r>
      <w:r>
        <w:rPr>
          <w:snapToGrid w:val="0"/>
        </w:rPr>
        <w:t>.</w:t>
      </w:r>
      <w:r>
        <w:rPr>
          <w:snapToGrid w:val="0"/>
        </w:rPr>
        <w:tab/>
        <w:t>Jurisdiction of Magistrates Court</w:t>
      </w:r>
      <w:bookmarkEnd w:id="853"/>
      <w:bookmarkEnd w:id="854"/>
      <w:bookmarkEnd w:id="855"/>
      <w:bookmarkEnd w:id="856"/>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857" w:name="_Toc457625121"/>
      <w:bookmarkStart w:id="858" w:name="_Toc469729442"/>
      <w:bookmarkStart w:id="859" w:name="_Toc501860605"/>
      <w:bookmarkStart w:id="860" w:name="_Toc166897551"/>
      <w:r>
        <w:rPr>
          <w:rStyle w:val="CharSectno"/>
        </w:rPr>
        <w:t>151</w:t>
      </w:r>
      <w:r>
        <w:rPr>
          <w:snapToGrid w:val="0"/>
        </w:rPr>
        <w:t>.</w:t>
      </w:r>
      <w:r>
        <w:rPr>
          <w:snapToGrid w:val="0"/>
        </w:rPr>
        <w:tab/>
        <w:t>Special case may be reserved for Supreme Court</w:t>
      </w:r>
      <w:bookmarkEnd w:id="857"/>
      <w:bookmarkEnd w:id="858"/>
      <w:bookmarkEnd w:id="859"/>
      <w:bookmarkEnd w:id="860"/>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Repealed by No. 17 of 1999 s. 22(4).]</w:t>
      </w:r>
    </w:p>
    <w:p>
      <w:pPr>
        <w:pStyle w:val="Ednotesection"/>
      </w:pPr>
      <w:r>
        <w:t>[</w:t>
      </w:r>
      <w:r>
        <w:rPr>
          <w:b/>
        </w:rPr>
        <w:t>152A, 152B.</w:t>
      </w:r>
      <w:r>
        <w:tab/>
        <w:t>Repealed by No. 28 of 1994 s. 61.]</w:t>
      </w:r>
    </w:p>
    <w:p>
      <w:pPr>
        <w:pStyle w:val="Heading5"/>
        <w:rPr>
          <w:snapToGrid w:val="0"/>
        </w:rPr>
      </w:pPr>
      <w:bookmarkStart w:id="861" w:name="_Toc457625122"/>
      <w:bookmarkStart w:id="862" w:name="_Toc469729443"/>
      <w:bookmarkStart w:id="863" w:name="_Toc501860606"/>
      <w:bookmarkStart w:id="864" w:name="_Toc166897552"/>
      <w:r>
        <w:rPr>
          <w:rStyle w:val="CharSectno"/>
        </w:rPr>
        <w:t>153</w:t>
      </w:r>
      <w:r>
        <w:rPr>
          <w:snapToGrid w:val="0"/>
        </w:rPr>
        <w:t>.</w:t>
      </w:r>
      <w:r>
        <w:rPr>
          <w:snapToGrid w:val="0"/>
        </w:rPr>
        <w:tab/>
        <w:t>Regulations</w:t>
      </w:r>
      <w:bookmarkEnd w:id="861"/>
      <w:bookmarkEnd w:id="862"/>
      <w:bookmarkEnd w:id="863"/>
      <w:bookmarkEnd w:id="864"/>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 in the State; and</w:t>
      </w:r>
    </w:p>
    <w:p>
      <w:pPr>
        <w:pStyle w:val="Indenta"/>
        <w:rPr>
          <w:snapToGrid w:val="0"/>
        </w:rPr>
      </w:pPr>
      <w:r>
        <w:rPr>
          <w:snapToGrid w:val="0"/>
        </w:rPr>
        <w:tab/>
        <w:t>(k)</w:t>
      </w:r>
      <w:r>
        <w:rPr>
          <w:snapToGrid w:val="0"/>
        </w:rPr>
        <w:tab/>
        <w:t>the removal from the State of structures, equipment and other property brought into the State for or in connection with exploration for, or the exploitation of, petroleum that are not used or intended to be used in connection with exploration for, or the exploitation of, petroleum in the State.</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65" w:name="_Toc161551418"/>
      <w:bookmarkStart w:id="866" w:name="_Toc161552346"/>
      <w:bookmarkStart w:id="867" w:name="_Toc161552742"/>
      <w:bookmarkStart w:id="868" w:name="_Toc161717939"/>
      <w:bookmarkStart w:id="869" w:name="_Toc163274721"/>
      <w:bookmarkStart w:id="870" w:name="_Toc163288758"/>
      <w:bookmarkStart w:id="871" w:name="_Toc166897553"/>
      <w:r>
        <w:rPr>
          <w:rStyle w:val="CharSchNo"/>
        </w:rPr>
        <w:t>Schedule</w:t>
      </w:r>
      <w:bookmarkEnd w:id="865"/>
      <w:bookmarkEnd w:id="866"/>
      <w:bookmarkEnd w:id="867"/>
      <w:bookmarkEnd w:id="868"/>
      <w:bookmarkEnd w:id="869"/>
      <w:bookmarkEnd w:id="870"/>
      <w:bookmarkEnd w:id="871"/>
    </w:p>
    <w:p>
      <w:pPr>
        <w:pStyle w:val="yShoulderClause"/>
        <w:spacing w:after="120"/>
        <w:rPr>
          <w:snapToGrid w:val="0"/>
        </w:rPr>
      </w:pPr>
      <w:r>
        <w:rPr>
          <w:snapToGrid w:val="0"/>
        </w:rPr>
        <w:t>[Section 152A]</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3974"/>
        <w:gridCol w:w="1412"/>
      </w:tblGrid>
      <w:tr>
        <w:tc>
          <w:tcPr>
            <w:tcW w:w="1560" w:type="dxa"/>
          </w:tcPr>
          <w:p>
            <w:pPr>
              <w:pStyle w:val="yTable"/>
              <w:jc w:val="center"/>
              <w:rPr>
                <w:b/>
                <w:i/>
              </w:rPr>
            </w:pPr>
            <w:r>
              <w:rPr>
                <w:b/>
                <w:i/>
              </w:rPr>
              <w:t>Permit No.</w:t>
            </w:r>
          </w:p>
        </w:tc>
        <w:tc>
          <w:tcPr>
            <w:tcW w:w="3974" w:type="dxa"/>
          </w:tcPr>
          <w:p>
            <w:pPr>
              <w:pStyle w:val="yTable"/>
              <w:jc w:val="center"/>
              <w:rPr>
                <w:b/>
                <w:i/>
                <w:spacing w:val="-2"/>
              </w:rPr>
            </w:pPr>
            <w:r>
              <w:rPr>
                <w:b/>
                <w:i/>
                <w:spacing w:val="-2"/>
              </w:rPr>
              <w:t>Permittee</w:t>
            </w:r>
          </w:p>
        </w:tc>
        <w:tc>
          <w:tcPr>
            <w:tcW w:w="1412" w:type="dxa"/>
          </w:tcPr>
          <w:p>
            <w:pPr>
              <w:pStyle w:val="yTable"/>
              <w:jc w:val="center"/>
              <w:rPr>
                <w:b/>
                <w:i/>
                <w:spacing w:val="-2"/>
              </w:rPr>
            </w:pPr>
            <w:r>
              <w:rPr>
                <w:b/>
                <w:i/>
                <w:spacing w:val="-2"/>
              </w:rPr>
              <w:t>Expiry Date</w:t>
            </w:r>
          </w:p>
        </w:tc>
      </w:tr>
      <w:tr>
        <w:tc>
          <w:tcPr>
            <w:tcW w:w="1560" w:type="dxa"/>
          </w:tcPr>
          <w:p>
            <w:pPr>
              <w:pStyle w:val="yTable"/>
              <w:rPr>
                <w:spacing w:val="-2"/>
              </w:rPr>
            </w:pPr>
            <w:r>
              <w:rPr>
                <w:spacing w:val="-2"/>
              </w:rPr>
              <w:t>EP 144</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146</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147</w:t>
            </w:r>
          </w:p>
        </w:tc>
        <w:tc>
          <w:tcPr>
            <w:tcW w:w="3974" w:type="dxa"/>
          </w:tcPr>
          <w:p>
            <w:pPr>
              <w:pStyle w:val="yTable"/>
              <w:rPr>
                <w:spacing w:val="-2"/>
              </w:rPr>
            </w:pPr>
            <w:r>
              <w:rPr>
                <w:spacing w:val="-2"/>
              </w:rPr>
              <w:t>Dampier Mining Company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158</w:t>
            </w:r>
          </w:p>
        </w:tc>
        <w:tc>
          <w:tcPr>
            <w:tcW w:w="3974" w:type="dxa"/>
          </w:tcPr>
          <w:p>
            <w:pPr>
              <w:pStyle w:val="yTable"/>
              <w:rPr>
                <w:spacing w:val="-2"/>
              </w:rPr>
            </w:pPr>
            <w:r>
              <w:rPr>
                <w:spacing w:val="-2"/>
              </w:rPr>
              <w:t>C S R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181</w:t>
            </w:r>
          </w:p>
        </w:tc>
        <w:tc>
          <w:tcPr>
            <w:tcW w:w="3974" w:type="dxa"/>
          </w:tcPr>
          <w:p>
            <w:pPr>
              <w:pStyle w:val="yTable"/>
              <w:rPr>
                <w:spacing w:val="-2"/>
              </w:rPr>
            </w:pPr>
            <w:r>
              <w:rPr>
                <w:spacing w:val="-2"/>
              </w:rPr>
              <w:t>C R A Exploration Pty Limited</w:t>
            </w:r>
          </w:p>
        </w:tc>
        <w:tc>
          <w:tcPr>
            <w:tcW w:w="1412" w:type="dxa"/>
          </w:tcPr>
          <w:p>
            <w:pPr>
              <w:pStyle w:val="yTable"/>
              <w:ind w:right="309"/>
              <w:jc w:val="right"/>
              <w:rPr>
                <w:spacing w:val="-2"/>
              </w:rPr>
            </w:pPr>
            <w:r>
              <w:rPr>
                <w:spacing w:val="-2"/>
              </w:rPr>
              <w:t>15.8.86</w:t>
            </w:r>
          </w:p>
        </w:tc>
      </w:tr>
      <w:tr>
        <w:tc>
          <w:tcPr>
            <w:tcW w:w="1560" w:type="dxa"/>
          </w:tcPr>
          <w:p>
            <w:pPr>
              <w:pStyle w:val="yTable"/>
              <w:rPr>
                <w:spacing w:val="-2"/>
              </w:rPr>
            </w:pPr>
            <w:r>
              <w:rPr>
                <w:spacing w:val="-2"/>
              </w:rPr>
              <w:t>EP 182</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r>
        <w:tc>
          <w:tcPr>
            <w:tcW w:w="1560" w:type="dxa"/>
          </w:tcPr>
          <w:p>
            <w:pPr>
              <w:pStyle w:val="yTable"/>
              <w:rPr>
                <w:spacing w:val="-2"/>
              </w:rPr>
            </w:pPr>
            <w:r>
              <w:rPr>
                <w:spacing w:val="-2"/>
              </w:rPr>
              <w:t>EP 183</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bl>
    <w:p>
      <w:pPr>
        <w:pStyle w:val="yFootnotesection"/>
      </w:pPr>
      <w:r>
        <w:tab/>
        <w:t>[Schedule inserted by No. 69 of 1981 s. 33.]</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872" w:name="_Toc72913615"/>
      <w:bookmarkStart w:id="873" w:name="_Toc89575041"/>
      <w:bookmarkStart w:id="874" w:name="_Toc91305038"/>
      <w:bookmarkStart w:id="875" w:name="_Toc92690266"/>
      <w:bookmarkStart w:id="876" w:name="_Toc113770319"/>
      <w:bookmarkStart w:id="877" w:name="_Toc161551419"/>
      <w:bookmarkStart w:id="878" w:name="_Toc161552347"/>
      <w:bookmarkStart w:id="879" w:name="_Toc161552743"/>
      <w:bookmarkStart w:id="880" w:name="_Toc161717940"/>
      <w:bookmarkStart w:id="881" w:name="_Toc163274722"/>
      <w:bookmarkStart w:id="882" w:name="_Toc163288759"/>
      <w:bookmarkStart w:id="883" w:name="_Toc166897554"/>
      <w:r>
        <w:t>Notes</w:t>
      </w:r>
      <w:bookmarkEnd w:id="872"/>
      <w:bookmarkEnd w:id="873"/>
      <w:bookmarkEnd w:id="874"/>
      <w:bookmarkEnd w:id="875"/>
      <w:bookmarkEnd w:id="876"/>
      <w:bookmarkEnd w:id="877"/>
      <w:bookmarkEnd w:id="878"/>
      <w:bookmarkEnd w:id="879"/>
      <w:bookmarkEnd w:id="880"/>
      <w:bookmarkEnd w:id="881"/>
      <w:bookmarkEnd w:id="882"/>
      <w:bookmarkEnd w:id="883"/>
    </w:p>
    <w:p>
      <w:pPr>
        <w:pStyle w:val="nSubsection"/>
        <w:rPr>
          <w:snapToGrid w:val="0"/>
        </w:rPr>
      </w:pPr>
      <w:bookmarkStart w:id="884" w:name="UpToHere"/>
      <w:r>
        <w:rPr>
          <w:snapToGrid w:val="0"/>
          <w:vertAlign w:val="superscript"/>
        </w:rPr>
        <w:t>1</w:t>
      </w:r>
      <w:r>
        <w:rPr>
          <w:snapToGrid w:val="0"/>
        </w:rPr>
        <w:tab/>
        <w:t xml:space="preserve">This reprint is a compilation as at 13 April 2007 of the </w:t>
      </w:r>
      <w:r>
        <w:rPr>
          <w:i/>
          <w:noProof/>
          <w:snapToGrid w:val="0"/>
        </w:rPr>
        <w:t>Petroleum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885" w:name="_Toc166897555"/>
      <w:bookmarkEnd w:id="884"/>
      <w:r>
        <w:rPr>
          <w:snapToGrid w:val="0"/>
        </w:rPr>
        <w:t>Compilation table</w:t>
      </w:r>
      <w:bookmarkEnd w:id="88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Petroleum Act 1967</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4</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5</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keepNext/>
              <w:spacing w:after="40"/>
              <w:ind w:right="113"/>
              <w:rPr>
                <w:sz w:val="19"/>
                <w:vertAlign w:val="superscript"/>
              </w:rPr>
            </w:pPr>
            <w:r>
              <w:rPr>
                <w:i/>
                <w:sz w:val="19"/>
              </w:rPr>
              <w:t>Acts Amendment (Petroleum) Act 1990</w:t>
            </w:r>
            <w:r>
              <w:rPr>
                <w:sz w:val="19"/>
              </w:rPr>
              <w:t xml:space="preserve"> Pt. II</w:t>
            </w:r>
            <w:r>
              <w:rPr>
                <w:sz w:val="19"/>
                <w:vertAlign w:val="superscript"/>
              </w:rPr>
              <w:t> 6-12</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13-15</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Parts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16, 17</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18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886" w:name="_Hlt507390729"/>
      <w:bookmarkEnd w:id="886"/>
      <w:r>
        <w:t>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pPr>
      <w:bookmarkStart w:id="887" w:name="_Toc166897556"/>
      <w:r>
        <w:t>Provisions that have not come into operation</w:t>
      </w:r>
      <w:bookmarkEnd w:id="8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z w:val="19"/>
              </w:rPr>
              <w:t>Petroleum Safety Act </w:t>
            </w:r>
            <w:r>
              <w:rPr>
                <w:sz w:val="19"/>
              </w:rPr>
              <w:t>1999 s. 92 </w:t>
            </w:r>
            <w:r>
              <w:rPr>
                <w:sz w:val="19"/>
                <w:vertAlign w:val="superscript"/>
              </w:rPr>
              <w:t>19</w:t>
            </w:r>
          </w:p>
        </w:tc>
        <w:tc>
          <w:tcPr>
            <w:tcW w:w="1134" w:type="dxa"/>
            <w:tcBorders>
              <w:top w:val="single" w:sz="8" w:space="0" w:color="auto"/>
            </w:tcBorders>
          </w:tcPr>
          <w:p>
            <w:pPr>
              <w:pStyle w:val="nTable"/>
              <w:spacing w:after="40"/>
              <w:rPr>
                <w:sz w:val="19"/>
              </w:rPr>
            </w:pPr>
            <w:r>
              <w:rPr>
                <w:sz w:val="19"/>
              </w:rPr>
              <w:t>19 of 1999</w:t>
            </w:r>
          </w:p>
        </w:tc>
        <w:tc>
          <w:tcPr>
            <w:tcW w:w="1134" w:type="dxa"/>
            <w:tcBorders>
              <w:top w:val="single" w:sz="8" w:space="0" w:color="auto"/>
            </w:tcBorders>
          </w:tcPr>
          <w:p>
            <w:pPr>
              <w:pStyle w:val="nTable"/>
              <w:spacing w:after="40"/>
              <w:rPr>
                <w:sz w:val="19"/>
              </w:rPr>
            </w:pPr>
            <w:r>
              <w:rPr>
                <w:sz w:val="19"/>
              </w:rPr>
              <w:t>21 Jun 1999</w:t>
            </w:r>
          </w:p>
        </w:tc>
        <w:tc>
          <w:tcPr>
            <w:tcW w:w="2552" w:type="dxa"/>
            <w:tcBorders>
              <w:top w:val="single" w:sz="8" w:space="0" w:color="auto"/>
            </w:tcBorders>
          </w:tcPr>
          <w:p>
            <w:pPr>
              <w:pStyle w:val="nTable"/>
              <w:spacing w:after="40"/>
              <w:rPr>
                <w:sz w:val="19"/>
              </w:rPr>
            </w:pPr>
            <w:r>
              <w:rPr>
                <w:sz w:val="19"/>
              </w:rPr>
              <w:t>To be proclaimed</w:t>
            </w:r>
          </w:p>
        </w:tc>
      </w:tr>
      <w:tr>
        <w:tc>
          <w:tcPr>
            <w:tcW w:w="2268" w:type="dxa"/>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20</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s. 7.3 operative on earliest of commencement of Pt. 2 (except s. 2.2), Pt. 3 (except s. 3.1) and Pt. 4</w:t>
            </w:r>
          </w:p>
        </w:tc>
      </w:tr>
      <w:tr>
        <w:tc>
          <w:tcPr>
            <w:tcW w:w="2268" w:type="dxa"/>
            <w:tcBorders>
              <w:bottom w:val="single" w:sz="8" w:space="0" w:color="auto"/>
            </w:tcBorders>
          </w:tcPr>
          <w:p>
            <w:pPr>
              <w:pStyle w:val="nTable"/>
              <w:spacing w:after="40"/>
              <w:rPr>
                <w:iCs/>
                <w:snapToGrid w:val="0"/>
                <w:sz w:val="19"/>
              </w:rPr>
            </w:pPr>
            <w:r>
              <w:rPr>
                <w:i/>
                <w:snapToGrid w:val="0"/>
                <w:sz w:val="19"/>
              </w:rPr>
              <w:t>Petroleum Legislation Amendment and Repeal Act 2005</w:t>
            </w:r>
            <w:r>
              <w:rPr>
                <w:iCs/>
                <w:snapToGrid w:val="0"/>
                <w:sz w:val="19"/>
              </w:rPr>
              <w:t xml:space="preserve"> Pt. 2</w:t>
            </w:r>
            <w:r>
              <w:rPr>
                <w:iCs/>
                <w:snapToGrid w:val="0"/>
                <w:sz w:val="19"/>
                <w:vertAlign w:val="superscript"/>
              </w:rPr>
              <w:t> 21</w:t>
            </w:r>
          </w:p>
        </w:tc>
        <w:tc>
          <w:tcPr>
            <w:tcW w:w="1134" w:type="dxa"/>
            <w:tcBorders>
              <w:bottom w:val="single" w:sz="8" w:space="0" w:color="auto"/>
            </w:tcBorders>
          </w:tcPr>
          <w:p>
            <w:pPr>
              <w:pStyle w:val="nTable"/>
              <w:spacing w:after="40"/>
              <w:rPr>
                <w:sz w:val="19"/>
              </w:rPr>
            </w:pPr>
            <w:r>
              <w:rPr>
                <w:sz w:val="19"/>
              </w:rPr>
              <w:t>13 of 2005</w:t>
            </w:r>
          </w:p>
        </w:tc>
        <w:tc>
          <w:tcPr>
            <w:tcW w:w="1134" w:type="dxa"/>
            <w:tcBorders>
              <w:bottom w:val="single" w:sz="8" w:space="0" w:color="auto"/>
            </w:tcBorders>
          </w:tcPr>
          <w:p>
            <w:pPr>
              <w:pStyle w:val="nTable"/>
              <w:spacing w:after="40"/>
              <w:rPr>
                <w:sz w:val="19"/>
              </w:rPr>
            </w:pPr>
            <w:r>
              <w:rPr>
                <w:sz w:val="19"/>
              </w:rPr>
              <w:t>1 Sep 2005</w:t>
            </w:r>
          </w:p>
        </w:tc>
        <w:tc>
          <w:tcPr>
            <w:tcW w:w="2552" w:type="dxa"/>
            <w:tcBorders>
              <w:bottom w:val="single" w:sz="8"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Acts Amendment (Mining) Act 1981</w:t>
      </w:r>
      <w:r>
        <w:rPr>
          <w:snapToGrid w:val="0"/>
        </w:rPr>
        <w:t xml:space="preserve"> s. 34(2) and (3) are transitional provisions that are or no further effect.</w:t>
      </w:r>
    </w:p>
    <w:p>
      <w:pPr>
        <w:pStyle w:val="nSubsection"/>
        <w:keepNext/>
        <w:ind w:left="459" w:hanging="459"/>
        <w:rPr>
          <w:snapToGrid w:val="0"/>
        </w:rPr>
      </w:pPr>
      <w:r>
        <w:rPr>
          <w:snapToGrid w:val="0"/>
          <w:vertAlign w:val="superscript"/>
        </w:rPr>
        <w:t>6</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MiscClose"/>
        <w:rPr>
          <w:sz w:val="20"/>
        </w:rPr>
      </w:pPr>
      <w:r>
        <w:rPr>
          <w:sz w:val="20"/>
        </w:rPr>
        <w:t>”.</w:t>
      </w:r>
    </w:p>
    <w:p>
      <w:pPr>
        <w:pStyle w:val="nSubsection"/>
        <w:keepNext/>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MiscClose"/>
        <w:rPr>
          <w:sz w:val="20"/>
        </w:rPr>
      </w:pPr>
      <w:r>
        <w:rPr>
          <w:sz w:val="20"/>
        </w:rPr>
        <w:t>”.</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MiscClose"/>
        <w:rPr>
          <w:sz w:val="20"/>
        </w:rPr>
      </w:pPr>
      <w:r>
        <w:rPr>
          <w:sz w:val="20"/>
        </w:rPr>
        <w:t>”.</w:t>
      </w: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48(2)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MiscClose"/>
        <w:rPr>
          <w:sz w:val="20"/>
        </w:rPr>
      </w:pPr>
      <w:r>
        <w:rPr>
          <w:sz w:val="20"/>
        </w:rPr>
        <w:t>”.</w:t>
      </w: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56(2), (3) and (4)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MiscClose"/>
        <w:rPr>
          <w:sz w:val="20"/>
        </w:rPr>
      </w:pPr>
      <w:r>
        <w:rPr>
          <w:sz w:val="20"/>
        </w:rPr>
        <w:t>”.</w:t>
      </w:r>
    </w:p>
    <w:p>
      <w:pPr>
        <w:pStyle w:val="nSubsection"/>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0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0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spacing w:before="80"/>
        <w:rPr>
          <w:snapToGrid w:val="0"/>
        </w:rPr>
      </w:pPr>
      <w:r>
        <w:rPr>
          <w:snapToGrid w:val="0"/>
        </w:rPr>
        <w:tab/>
        <w:t>(c)</w:t>
      </w:r>
      <w:r>
        <w:rPr>
          <w:snapToGrid w:val="0"/>
        </w:rPr>
        <w:tab/>
        <w:t>that permit, licence or access authority has come, or comes, into existence,</w:t>
      </w:r>
    </w:p>
    <w:p>
      <w:pPr>
        <w:pStyle w:val="nzSubsection"/>
        <w:spacing w:before="10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0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0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MiscClose"/>
        <w:rPr>
          <w:sz w:val="20"/>
        </w:rPr>
      </w:pPr>
      <w:r>
        <w:rPr>
          <w:sz w:val="20"/>
        </w:rPr>
        <w:t>”.</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The </w:t>
      </w:r>
      <w:r>
        <w:rPr>
          <w:i/>
          <w:snapToGrid w:val="0"/>
        </w:rPr>
        <w:t>Acts Amendment (Petroleum) Act 1994</w:t>
      </w:r>
      <w:r>
        <w:rPr>
          <w:snapToGrid w:val="0"/>
        </w:rPr>
        <w:t xml:space="preserve"> s. 14(2), (3) and (4)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MiscClose"/>
        <w:rPr>
          <w:sz w:val="20"/>
        </w:rPr>
      </w:pPr>
      <w:r>
        <w:rPr>
          <w:sz w:val="20"/>
        </w:rPr>
        <w:t>”.</w:t>
      </w:r>
    </w:p>
    <w:p>
      <w:pPr>
        <w:pStyle w:val="nSubsection"/>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MiscClose"/>
        <w:rPr>
          <w:sz w:val="20"/>
        </w:rPr>
      </w:pPr>
      <w:r>
        <w:rPr>
          <w:sz w:val="20"/>
        </w:rPr>
        <w:t>”.</w:t>
      </w:r>
    </w:p>
    <w:p>
      <w:pPr>
        <w:pStyle w:val="nSubsection"/>
        <w:keepNext/>
        <w:rPr>
          <w:snapToGrid w:val="0"/>
        </w:rPr>
      </w:pPr>
      <w:r>
        <w:rPr>
          <w:snapToGrid w:val="0"/>
          <w:vertAlign w:val="superscript"/>
        </w:rPr>
        <w:t>15</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MiscClose"/>
        <w:rPr>
          <w:sz w:val="20"/>
        </w:rPr>
      </w:pPr>
      <w:r>
        <w:rPr>
          <w:sz w:val="20"/>
        </w:rPr>
        <w:t>”.</w:t>
      </w:r>
    </w:p>
    <w:p>
      <w:pPr>
        <w:pStyle w:val="nSubsection"/>
      </w:pPr>
      <w:r>
        <w:rPr>
          <w:snapToGrid w:val="0"/>
          <w:vertAlign w:val="superscript"/>
        </w:rPr>
        <w:t>16</w:t>
      </w:r>
      <w:r>
        <w:tab/>
        <w:t xml:space="preserve">The </w:t>
      </w:r>
      <w:r>
        <w:rPr>
          <w:i/>
        </w:rPr>
        <w:t>Acts Amendment (Mining and Petroleum) Act 1999</w:t>
      </w:r>
      <w:r>
        <w:t xml:space="preserve"> s. 23(2)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t xml:space="preserve">“Barrow Island lease” </w:t>
      </w:r>
      <w:r>
        <w:t xml:space="preserve">has the meaning given in section 128 of the </w:t>
      </w:r>
      <w:r>
        <w:rPr>
          <w:i/>
        </w:rPr>
        <w:t>Petroleum Act 1967</w:t>
      </w:r>
      <w:r>
        <w:t>;</w:t>
      </w:r>
    </w:p>
    <w:p>
      <w:pPr>
        <w:pStyle w:val="nzDefstart"/>
      </w:pPr>
      <w:r>
        <w:rPr>
          <w:b/>
        </w:rPr>
        <w:tab/>
        <w:t xml:space="preserve">“relevant licence” </w:t>
      </w:r>
      <w:r>
        <w:t xml:space="preserve">means a production licence for petroleum in force under Part III of the </w:t>
      </w:r>
      <w:r>
        <w:rPr>
          <w:i/>
        </w:rPr>
        <w:t>Petroleum Act 1967</w:t>
      </w:r>
      <w:r>
        <w:t xml:space="preserve"> immediately before the commencement of this section.</w:t>
      </w:r>
    </w:p>
    <w:p>
      <w:pPr>
        <w:pStyle w:val="MiscClose"/>
        <w:rPr>
          <w:sz w:val="20"/>
        </w:rPr>
      </w:pPr>
      <w:r>
        <w:rPr>
          <w:sz w:val="20"/>
        </w:rPr>
        <w:t>”.</w:t>
      </w:r>
    </w:p>
    <w:p>
      <w:pPr>
        <w:pStyle w:val="nSubsection"/>
      </w:pPr>
      <w:r>
        <w:rPr>
          <w:vertAlign w:val="superscript"/>
        </w:rPr>
        <w:t>17</w:t>
      </w:r>
      <w:r>
        <w:tab/>
        <w:t xml:space="preserve">The </w:t>
      </w:r>
      <w:r>
        <w:rPr>
          <w:i/>
        </w:rPr>
        <w:t>Acts Amendment (Mining and Petroleum) Act 1999</w:t>
      </w:r>
      <w:r>
        <w:t xml:space="preserve"> s. 26(5)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MiscClose"/>
        <w:rPr>
          <w:sz w:val="20"/>
        </w:rPr>
      </w:pPr>
      <w:r>
        <w:rPr>
          <w:sz w:val="20"/>
        </w:rPr>
        <w:t>”.</w:t>
      </w:r>
    </w:p>
    <w:p>
      <w:pPr>
        <w:pStyle w:val="nSubsection"/>
        <w:rPr>
          <w:iCs/>
        </w:rPr>
      </w:pPr>
      <w:r>
        <w:rPr>
          <w:vertAlign w:val="superscript"/>
        </w:rPr>
        <w:t>18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19</w:t>
      </w:r>
      <w:r>
        <w:rPr>
          <w:snapToGrid w:val="0"/>
          <w:vertAlign w:val="superscript"/>
        </w:rPr>
        <w:tab/>
      </w:r>
      <w:r>
        <w:rPr>
          <w:snapToGrid w:val="0"/>
        </w:rPr>
        <w:t xml:space="preserve">On the date as at which this reprint was prepared, the </w:t>
      </w:r>
      <w:r>
        <w:rPr>
          <w:i/>
        </w:rPr>
        <w:t>Petroleum Safety Act 1999</w:t>
      </w:r>
      <w:r>
        <w:t xml:space="preserve"> s. 92, which gives effect to Sch. 2, </w:t>
      </w:r>
      <w:r>
        <w:rPr>
          <w:snapToGrid w:val="0"/>
        </w:rPr>
        <w:t>had not come into operation.  It reads as follows:</w:t>
      </w:r>
    </w:p>
    <w:p>
      <w:pPr>
        <w:pStyle w:val="nSubsection"/>
        <w:keepNext/>
        <w:keepLines/>
        <w:ind w:left="459" w:hanging="459"/>
        <w:rPr>
          <w:snapToGrid w:val="0"/>
        </w:rPr>
      </w:pPr>
    </w:p>
    <w:p>
      <w:pPr>
        <w:pStyle w:val="MiscOpen"/>
        <w:spacing w:before="60"/>
        <w:rPr>
          <w:snapToGrid w:val="0"/>
          <w:sz w:val="20"/>
        </w:rPr>
      </w:pPr>
      <w:r>
        <w:rPr>
          <w:snapToGrid w:val="0"/>
          <w:sz w:val="20"/>
        </w:rPr>
        <w:t>“</w:t>
      </w:r>
    </w:p>
    <w:p>
      <w:pPr>
        <w:pStyle w:val="nzHeading5"/>
        <w:spacing w:before="0"/>
        <w:ind w:right="578"/>
        <w:rPr>
          <w:snapToGrid w:val="0"/>
        </w:rPr>
      </w:pPr>
      <w:r>
        <w:rPr>
          <w:snapToGrid w:val="0"/>
        </w:rPr>
        <w:t>92.</w:t>
      </w:r>
      <w:r>
        <w:rPr>
          <w:snapToGrid w:val="0"/>
        </w:rPr>
        <w:tab/>
        <w:t>Consequential amendments</w:t>
      </w:r>
    </w:p>
    <w:p>
      <w:pPr>
        <w:pStyle w:val="nzSubsection"/>
        <w:rPr>
          <w:snapToGrid w:val="0"/>
        </w:rPr>
      </w:pPr>
      <w:r>
        <w:rPr>
          <w:snapToGrid w:val="0"/>
        </w:rPr>
        <w:tab/>
      </w:r>
      <w:r>
        <w:rPr>
          <w:snapToGrid w:val="0"/>
        </w:rPr>
        <w:tab/>
        <w:t>The Acts referred to in the first column of Schedule 2 are amended as set out in the second column of that Schedule.</w:t>
      </w:r>
    </w:p>
    <w:p>
      <w:pPr>
        <w:pStyle w:val="MiscClose"/>
        <w:rPr>
          <w:snapToGrid w:val="0"/>
        </w:rPr>
      </w:pPr>
      <w:r>
        <w:rPr>
          <w:snapToGrid w:val="0"/>
        </w:rPr>
        <w:t>”.</w:t>
      </w:r>
    </w:p>
    <w:p>
      <w:pPr>
        <w:pStyle w:val="nSubsection"/>
        <w:rPr>
          <w:snapToGrid w:val="0"/>
        </w:rPr>
      </w:pPr>
      <w:r>
        <w:rPr>
          <w:snapToGrid w:val="0"/>
        </w:rPr>
        <w:tab/>
        <w:t>Schedule 2 reads as follows:</w:t>
      </w:r>
    </w:p>
    <w:p>
      <w:pPr>
        <w:pStyle w:val="MiscOpen"/>
        <w:spacing w:before="80"/>
        <w:rPr>
          <w:snapToGrid w:val="0"/>
        </w:rPr>
      </w:pPr>
      <w:r>
        <w:rPr>
          <w:snapToGrid w:val="0"/>
        </w:rPr>
        <w:t xml:space="preserve"> “</w:t>
      </w:r>
    </w:p>
    <w:p>
      <w:pPr>
        <w:pStyle w:val="nzHeading2"/>
        <w:outlineLvl w:val="0"/>
      </w:pPr>
      <w:r>
        <w:t>Schedule 2 — Consequential amendments</w:t>
      </w:r>
    </w:p>
    <w:p>
      <w:pPr>
        <w:pStyle w:val="nzMiscellaneousBody"/>
        <w:jc w:val="right"/>
      </w:pPr>
      <w:r>
        <w:t>[Section 92]</w:t>
      </w:r>
    </w:p>
    <w:p>
      <w:pPr>
        <w:tabs>
          <w:tab w:val="center" w:pos="1134"/>
          <w:tab w:val="left" w:pos="1699"/>
          <w:tab w:val="left" w:pos="2265"/>
          <w:tab w:val="left" w:pos="2832"/>
          <w:tab w:val="left" w:pos="3398"/>
          <w:tab w:val="left" w:pos="3964"/>
          <w:tab w:val="left" w:pos="4531"/>
          <w:tab w:val="left" w:pos="5097"/>
          <w:tab w:val="left" w:pos="5664"/>
          <w:tab w:val="left" w:pos="6230"/>
          <w:tab w:val="left" w:pos="6796"/>
        </w:tabs>
        <w:spacing w:line="190" w:lineRule="auto"/>
        <w:jc w:val="both"/>
        <w:rPr>
          <w:rFonts w:ascii="Times New Roman TUR" w:hAnsi="Times New Roman TUR"/>
          <w:b/>
          <w:sz w:val="20"/>
        </w:rPr>
      </w:pPr>
      <w:r>
        <w:rPr>
          <w:rFonts w:ascii="Times New Roman TUR" w:hAnsi="Times New Roman TUR"/>
          <w:b/>
          <w:sz w:val="20"/>
        </w:rPr>
        <w:tab/>
        <w:t>Short title of Act</w:t>
      </w:r>
      <w:r>
        <w:rPr>
          <w:rFonts w:ascii="Times New Roman TUR" w:hAnsi="Times New Roman TUR"/>
          <w:b/>
          <w:sz w:val="20"/>
        </w:rPr>
        <w:tab/>
      </w:r>
      <w:r>
        <w:rPr>
          <w:rFonts w:ascii="Times New Roman TUR" w:hAnsi="Times New Roman TUR"/>
          <w:b/>
          <w:sz w:val="20"/>
        </w:rPr>
        <w:tab/>
        <w:t>Amendment</w:t>
      </w:r>
    </w:p>
    <w:tbl>
      <w:tblPr>
        <w:tblW w:w="0" w:type="auto"/>
        <w:tblLayout w:type="fixed"/>
        <w:tblLook w:val="0000" w:firstRow="0" w:lastRow="0" w:firstColumn="0" w:lastColumn="0" w:noHBand="0" w:noVBand="0"/>
      </w:tblPr>
      <w:tblGrid>
        <w:gridCol w:w="2376"/>
        <w:gridCol w:w="4938"/>
      </w:tblGrid>
      <w:tr>
        <w:tc>
          <w:tcPr>
            <w:tcW w:w="2376" w:type="dxa"/>
          </w:tcPr>
          <w:p>
            <w:pPr>
              <w:pStyle w:val="nTable"/>
              <w:keepNext/>
              <w:keepLines/>
              <w:ind w:left="284"/>
              <w:rPr>
                <w:i/>
                <w:snapToGrid w:val="0"/>
                <w:sz w:val="20"/>
              </w:rPr>
            </w:pPr>
            <w:r>
              <w:rPr>
                <w:i/>
                <w:snapToGrid w:val="0"/>
                <w:sz w:val="20"/>
              </w:rPr>
              <w:t>Petroleum Act 1967</w:t>
            </w:r>
          </w:p>
        </w:tc>
        <w:tc>
          <w:tcPr>
            <w:tcW w:w="4938" w:type="dxa"/>
          </w:tcPr>
          <w:p>
            <w:pPr>
              <w:pStyle w:val="nTable"/>
              <w:keepNext/>
              <w:keepLines/>
              <w:ind w:left="284" w:right="294"/>
              <w:rPr>
                <w:snapToGrid w:val="0"/>
                <w:sz w:val="20"/>
              </w:rPr>
            </w:pPr>
            <w:r>
              <w:rPr>
                <w:snapToGrid w:val="0"/>
                <w:sz w:val="20"/>
              </w:rPr>
              <w:t>Section 91(1) is amended by deleting “and shall secure the safety, health and welfare of persons engaged in those operations in or about the permit area, drilling reservation, lease area or licence area”.</w:t>
            </w:r>
          </w:p>
          <w:p>
            <w:pPr>
              <w:pStyle w:val="nTable"/>
              <w:keepNext/>
              <w:keepLines/>
              <w:ind w:left="284" w:right="294"/>
              <w:rPr>
                <w:snapToGrid w:val="0"/>
                <w:sz w:val="20"/>
              </w:rPr>
            </w:pPr>
            <w:r>
              <w:rPr>
                <w:snapToGrid w:val="0"/>
                <w:sz w:val="20"/>
              </w:rPr>
              <w:t>Section 91(3) is amended by deleting “and shall secure the safety, health and welfare of persons engaged in those operations in or about that area”.</w:t>
            </w:r>
          </w:p>
        </w:tc>
      </w:tr>
    </w:tbl>
    <w:p>
      <w:pPr>
        <w:pStyle w:val="MiscClose"/>
        <w:rPr>
          <w:sz w:val="20"/>
        </w:rPr>
      </w:pPr>
      <w:r>
        <w:rPr>
          <w:sz w:val="20"/>
        </w:rPr>
        <w:t>”.</w:t>
      </w:r>
    </w:p>
    <w:p>
      <w:pPr>
        <w:pStyle w:val="nSubsection"/>
        <w:rPr>
          <w:snapToGrid w:val="0"/>
        </w:rPr>
      </w:pPr>
      <w:r>
        <w:rPr>
          <w:snapToGrid w:val="0"/>
          <w:vertAlign w:val="superscript"/>
        </w:rPr>
        <w:t>20</w:t>
      </w:r>
      <w:r>
        <w:rPr>
          <w:snapToGrid w:val="0"/>
        </w:rPr>
        <w:tab/>
        <w:t xml:space="preserve">On the date as at which this reprint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888" w:name="_Toc437082030"/>
      <w:bookmarkStart w:id="889" w:name="_Toc469927428"/>
      <w:r>
        <w:rPr>
          <w:rStyle w:val="CharSectno"/>
        </w:rPr>
        <w:t>7.</w:t>
      </w:r>
      <w:bookmarkStart w:id="890" w:name="_Hlt463862630"/>
      <w:bookmarkEnd w:id="890"/>
      <w:r>
        <w:rPr>
          <w:rStyle w:val="CharSectno"/>
        </w:rPr>
        <w:t>3</w:t>
      </w:r>
      <w:r>
        <w:rPr>
          <w:snapToGrid w:val="0"/>
        </w:rPr>
        <w:t>.</w:t>
      </w:r>
      <w:r>
        <w:rPr>
          <w:snapToGrid w:val="0"/>
        </w:rPr>
        <w:tab/>
        <w:t>Consequential amendments</w:t>
      </w:r>
      <w:bookmarkEnd w:id="888"/>
      <w:bookmarkEnd w:id="889"/>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Subsection"/>
        <w:rPr>
          <w:snapToGrid w:val="0"/>
        </w:rPr>
      </w:pPr>
      <w:r>
        <w:rPr>
          <w:snapToGrid w:val="0"/>
        </w:rPr>
        <w:tab/>
        <w:t>Schedule 2 Div. 7 reads as follows:</w:t>
      </w:r>
    </w:p>
    <w:p>
      <w:pPr>
        <w:pStyle w:val="MiscOpen"/>
        <w:spacing w:before="80"/>
        <w:rPr>
          <w:snapToGrid w:val="0"/>
        </w:rPr>
      </w:pPr>
      <w:r>
        <w:rPr>
          <w:snapToGrid w:val="0"/>
        </w:rPr>
        <w:t>“</w:t>
      </w:r>
    </w:p>
    <w:p>
      <w:pPr>
        <w:pStyle w:val="nzHeading2"/>
        <w:outlineLvl w:val="0"/>
      </w:pPr>
      <w:r>
        <w:t>Schedule 2 — Consequential amendments</w:t>
      </w:r>
    </w:p>
    <w:p>
      <w:pPr>
        <w:pStyle w:val="nzMiscellaneousBody"/>
        <w:jc w:val="right"/>
      </w:pPr>
      <w:r>
        <w:t>[s. 7.3]</w:t>
      </w:r>
    </w:p>
    <w:p>
      <w:pPr>
        <w:pStyle w:val="nzHeading3"/>
        <w:outlineLvl w:val="0"/>
        <w:rPr>
          <w:snapToGrid w:val="0"/>
        </w:rPr>
      </w:pPr>
      <w:r>
        <w:rPr>
          <w:snapToGrid w:val="0"/>
        </w:rPr>
        <w:t>Division 7 — </w:t>
      </w:r>
      <w:r>
        <w:rPr>
          <w:i/>
          <w:snapToGrid w:val="0"/>
        </w:rPr>
        <w:t>Petroleum Act 1967</w:t>
      </w:r>
    </w:p>
    <w:p>
      <w:pPr>
        <w:pStyle w:val="nzHeading5"/>
        <w:rPr>
          <w:snapToGrid w:val="0"/>
        </w:rPr>
      </w:pPr>
      <w:bookmarkStart w:id="891" w:name="_Toc465061850"/>
      <w:bookmarkStart w:id="892" w:name="_Toc465760639"/>
      <w:bookmarkStart w:id="893" w:name="_Toc469927487"/>
      <w:r>
        <w:rPr>
          <w:snapToGrid w:val="0"/>
        </w:rPr>
        <w:t>49.</w:t>
      </w:r>
      <w:r>
        <w:rPr>
          <w:snapToGrid w:val="0"/>
        </w:rPr>
        <w:tab/>
        <w:t>The Act amended</w:t>
      </w:r>
      <w:bookmarkEnd w:id="891"/>
      <w:bookmarkEnd w:id="892"/>
      <w:bookmarkEnd w:id="893"/>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894" w:name="_Toc465061851"/>
      <w:bookmarkStart w:id="895" w:name="_Toc465760640"/>
      <w:bookmarkStart w:id="896" w:name="_Toc469927488"/>
      <w:r>
        <w:rPr>
          <w:snapToGrid w:val="0"/>
        </w:rPr>
        <w:t>50.</w:t>
      </w:r>
      <w:r>
        <w:rPr>
          <w:snapToGrid w:val="0"/>
        </w:rPr>
        <w:tab/>
        <w:t>Section 5 amended</w:t>
      </w:r>
      <w:bookmarkEnd w:id="894"/>
      <w:bookmarkEnd w:id="895"/>
      <w:bookmarkEnd w:id="896"/>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897" w:name="_Toc465061852"/>
      <w:bookmarkStart w:id="898" w:name="_Toc465760641"/>
      <w:bookmarkStart w:id="899" w:name="_Toc469927489"/>
      <w:r>
        <w:rPr>
          <w:snapToGrid w:val="0"/>
        </w:rPr>
        <w:t>51.</w:t>
      </w:r>
      <w:r>
        <w:rPr>
          <w:snapToGrid w:val="0"/>
        </w:rPr>
        <w:tab/>
        <w:t>Section 11 amended</w:t>
      </w:r>
      <w:bookmarkEnd w:id="897"/>
      <w:bookmarkEnd w:id="898"/>
      <w:bookmarkEnd w:id="899"/>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900" w:name="_Toc465061853"/>
      <w:bookmarkStart w:id="901" w:name="_Toc465760642"/>
      <w:bookmarkStart w:id="902" w:name="_Toc469927490"/>
      <w:r>
        <w:rPr>
          <w:snapToGrid w:val="0"/>
        </w:rPr>
        <w:t>52.</w:t>
      </w:r>
      <w:r>
        <w:rPr>
          <w:snapToGrid w:val="0"/>
        </w:rPr>
        <w:tab/>
        <w:t>Section 28B inserted</w:t>
      </w:r>
      <w:bookmarkEnd w:id="900"/>
      <w:bookmarkEnd w:id="901"/>
      <w:bookmarkEnd w:id="902"/>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903" w:name="_Toc465061854"/>
      <w:bookmarkStart w:id="904" w:name="_Toc465760643"/>
      <w:bookmarkStart w:id="905" w:name="_Toc469927491"/>
      <w:r>
        <w:rPr>
          <w:snapToGrid w:val="0"/>
        </w:rPr>
        <w:t>53.</w:t>
      </w:r>
      <w:r>
        <w:rPr>
          <w:snapToGrid w:val="0"/>
        </w:rPr>
        <w:tab/>
        <w:t>Section 48AA inserted</w:t>
      </w:r>
      <w:bookmarkEnd w:id="903"/>
      <w:bookmarkEnd w:id="904"/>
      <w:bookmarkEnd w:id="905"/>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906" w:name="_Toc465061855"/>
      <w:bookmarkStart w:id="907" w:name="_Toc465760644"/>
      <w:bookmarkStart w:id="908" w:name="_Toc469927492"/>
      <w:r>
        <w:rPr>
          <w:snapToGrid w:val="0"/>
        </w:rPr>
        <w:t>54.</w:t>
      </w:r>
      <w:r>
        <w:rPr>
          <w:snapToGrid w:val="0"/>
        </w:rPr>
        <w:tab/>
        <w:t>Section 48L inserted</w:t>
      </w:r>
      <w:bookmarkEnd w:id="906"/>
      <w:bookmarkEnd w:id="907"/>
      <w:bookmarkEnd w:id="908"/>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909" w:name="_Toc465061856"/>
      <w:bookmarkStart w:id="910" w:name="_Toc465760645"/>
      <w:bookmarkStart w:id="911" w:name="_Toc469927493"/>
      <w:r>
        <w:rPr>
          <w:snapToGrid w:val="0"/>
        </w:rPr>
        <w:t>55.</w:t>
      </w:r>
      <w:r>
        <w:rPr>
          <w:snapToGrid w:val="0"/>
        </w:rPr>
        <w:tab/>
        <w:t>Section 105 amended</w:t>
      </w:r>
      <w:bookmarkEnd w:id="909"/>
      <w:bookmarkEnd w:id="910"/>
      <w:bookmarkEnd w:id="911"/>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912" w:name="_Toc465061857"/>
      <w:bookmarkStart w:id="913" w:name="_Toc465760646"/>
      <w:bookmarkStart w:id="914" w:name="_Toc469927494"/>
      <w:r>
        <w:rPr>
          <w:snapToGrid w:val="0"/>
        </w:rPr>
        <w:t>56.</w:t>
      </w:r>
      <w:r>
        <w:rPr>
          <w:snapToGrid w:val="0"/>
        </w:rPr>
        <w:tab/>
        <w:t>Section 106 amended</w:t>
      </w:r>
      <w:bookmarkEnd w:id="912"/>
      <w:bookmarkEnd w:id="913"/>
      <w:bookmarkEnd w:id="914"/>
    </w:p>
    <w:p>
      <w:pPr>
        <w:pStyle w:val="nzSubsection"/>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915" w:name="_Toc465061858"/>
      <w:bookmarkStart w:id="916" w:name="_Toc465760647"/>
      <w:bookmarkStart w:id="917" w:name="_Toc469927495"/>
      <w:r>
        <w:rPr>
          <w:snapToGrid w:val="0"/>
        </w:rPr>
        <w:t>57.</w:t>
      </w:r>
      <w:r>
        <w:rPr>
          <w:snapToGrid w:val="0"/>
        </w:rPr>
        <w:tab/>
        <w:t>Section 116 amended</w:t>
      </w:r>
      <w:bookmarkEnd w:id="915"/>
      <w:bookmarkEnd w:id="916"/>
      <w:bookmarkEnd w:id="917"/>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MiscClose"/>
        <w:rPr>
          <w:snapToGrid w:val="0"/>
        </w:rPr>
      </w:pPr>
      <w:r>
        <w:rPr>
          <w:snapToGrid w:val="0"/>
          <w:sz w:val="20"/>
        </w:rPr>
        <w:t>”.</w:t>
      </w:r>
    </w:p>
    <w:p>
      <w:pPr>
        <w:pStyle w:val="nSubsection"/>
        <w:rPr>
          <w:snapToGrid w:val="0"/>
        </w:rPr>
      </w:pPr>
      <w:r>
        <w:rPr>
          <w:vertAlign w:val="superscript"/>
        </w:rPr>
        <w:t>21</w:t>
      </w:r>
      <w:r>
        <w:tab/>
      </w:r>
      <w:r>
        <w:rPr>
          <w:snapToGrid w:val="0"/>
        </w:rPr>
        <w:t xml:space="preserve">On the date as at which this reprint was prepared, the </w:t>
      </w:r>
      <w:r>
        <w:rPr>
          <w:i/>
          <w:snapToGrid w:val="0"/>
        </w:rPr>
        <w:t>Petroleum Legislation Amendment and Repeal Act 2005</w:t>
      </w:r>
      <w:r>
        <w:rPr>
          <w:iCs/>
          <w:snapToGrid w:val="0"/>
        </w:rPr>
        <w:t xml:space="preserve"> Pt. 2</w:t>
      </w:r>
      <w:r>
        <w:t xml:space="preserve"> had</w:t>
      </w:r>
      <w:r>
        <w:rPr>
          <w:snapToGrid w:val="0"/>
        </w:rPr>
        <w:t xml:space="preserve"> not come into operation.  It reads as follows:</w:t>
      </w:r>
    </w:p>
    <w:p>
      <w:pPr>
        <w:pStyle w:val="MiscOpen"/>
        <w:rPr>
          <w:snapToGrid w:val="0"/>
        </w:rPr>
      </w:pPr>
      <w:r>
        <w:rPr>
          <w:snapToGrid w:val="0"/>
        </w:rPr>
        <w:t>“</w:t>
      </w:r>
    </w:p>
    <w:p>
      <w:pPr>
        <w:pStyle w:val="nzHeading2"/>
        <w:outlineLvl w:val="0"/>
      </w:pPr>
      <w:bookmarkStart w:id="918" w:name="_Toc69810059"/>
      <w:bookmarkStart w:id="919" w:name="_Toc69811860"/>
      <w:bookmarkStart w:id="920" w:name="_Toc69811890"/>
      <w:bookmarkStart w:id="921" w:name="_Toc69876911"/>
      <w:bookmarkStart w:id="922" w:name="_Toc70245158"/>
      <w:bookmarkStart w:id="923" w:name="_Toc70403043"/>
      <w:bookmarkStart w:id="924" w:name="_Toc70403730"/>
      <w:bookmarkStart w:id="925" w:name="_Toc72747400"/>
      <w:bookmarkStart w:id="926" w:name="_Toc72748483"/>
      <w:bookmarkStart w:id="927" w:name="_Toc72749184"/>
      <w:bookmarkStart w:id="928" w:name="_Toc72749319"/>
      <w:bookmarkStart w:id="929" w:name="_Toc72815923"/>
      <w:bookmarkStart w:id="930" w:name="_Toc74476221"/>
      <w:bookmarkStart w:id="931" w:name="_Toc74643263"/>
      <w:bookmarkStart w:id="932" w:name="_Toc74643562"/>
      <w:bookmarkStart w:id="933" w:name="_Toc77156646"/>
      <w:bookmarkStart w:id="934" w:name="_Toc77398982"/>
      <w:bookmarkStart w:id="935" w:name="_Toc77415968"/>
      <w:bookmarkStart w:id="936" w:name="_Toc77495598"/>
      <w:bookmarkStart w:id="937" w:name="_Toc77502788"/>
      <w:bookmarkStart w:id="938" w:name="_Toc77587989"/>
      <w:bookmarkStart w:id="939" w:name="_Toc77654876"/>
      <w:bookmarkStart w:id="940" w:name="_Toc77675592"/>
      <w:bookmarkStart w:id="941" w:name="_Toc77744362"/>
      <w:bookmarkStart w:id="942" w:name="_Toc77744456"/>
      <w:bookmarkStart w:id="943" w:name="_Toc77744552"/>
      <w:bookmarkStart w:id="944" w:name="_Toc77745027"/>
      <w:bookmarkStart w:id="945" w:name="_Toc77746307"/>
      <w:bookmarkStart w:id="946" w:name="_Toc79481175"/>
      <w:bookmarkStart w:id="947" w:name="_Toc79481215"/>
      <w:bookmarkStart w:id="948" w:name="_Toc79490096"/>
      <w:bookmarkStart w:id="949" w:name="_Toc79490982"/>
      <w:bookmarkStart w:id="950" w:name="_Toc79567382"/>
      <w:bookmarkStart w:id="951" w:name="_Toc79573269"/>
      <w:bookmarkStart w:id="952" w:name="_Toc79833460"/>
      <w:bookmarkStart w:id="953" w:name="_Toc79913126"/>
      <w:bookmarkStart w:id="954" w:name="_Toc79978489"/>
      <w:bookmarkStart w:id="955" w:name="_Toc80004555"/>
      <w:bookmarkStart w:id="956" w:name="_Toc80006748"/>
      <w:bookmarkStart w:id="957" w:name="_Toc80428007"/>
      <w:bookmarkStart w:id="958" w:name="_Toc80602162"/>
      <w:bookmarkStart w:id="959" w:name="_Toc80612442"/>
      <w:bookmarkStart w:id="960" w:name="_Toc80612555"/>
      <w:bookmarkStart w:id="961" w:name="_Toc80785412"/>
      <w:bookmarkStart w:id="962" w:name="_Toc82331194"/>
      <w:bookmarkStart w:id="963" w:name="_Toc82340024"/>
      <w:bookmarkStart w:id="964" w:name="_Toc82430086"/>
      <w:bookmarkStart w:id="965" w:name="_Toc82503941"/>
      <w:bookmarkStart w:id="966" w:name="_Toc82504912"/>
      <w:bookmarkStart w:id="967" w:name="_Toc82514522"/>
      <w:bookmarkStart w:id="968" w:name="_Toc82589605"/>
      <w:bookmarkStart w:id="969" w:name="_Toc82595067"/>
      <w:bookmarkStart w:id="970" w:name="_Toc83550597"/>
      <w:bookmarkStart w:id="971" w:name="_Toc83615638"/>
      <w:bookmarkStart w:id="972" w:name="_Toc83616473"/>
      <w:bookmarkStart w:id="973" w:name="_Toc85336053"/>
      <w:bookmarkStart w:id="974" w:name="_Toc85536015"/>
      <w:bookmarkStart w:id="975" w:name="_Toc96232006"/>
      <w:bookmarkStart w:id="976" w:name="_Toc96248857"/>
      <w:bookmarkStart w:id="977" w:name="_Toc96336095"/>
      <w:bookmarkStart w:id="978" w:name="_Toc96416747"/>
      <w:bookmarkStart w:id="979" w:name="_Toc96501593"/>
      <w:bookmarkStart w:id="980" w:name="_Toc96501810"/>
      <w:bookmarkStart w:id="981" w:name="_Toc96501948"/>
      <w:bookmarkStart w:id="982" w:name="_Toc96502714"/>
      <w:bookmarkStart w:id="983" w:name="_Toc97028534"/>
      <w:bookmarkStart w:id="984" w:name="_Toc97434540"/>
      <w:bookmarkStart w:id="985" w:name="_Toc97440904"/>
      <w:bookmarkStart w:id="986" w:name="_Toc97442216"/>
      <w:bookmarkStart w:id="987" w:name="_Toc98136706"/>
      <w:bookmarkStart w:id="988" w:name="_Toc98147459"/>
      <w:bookmarkStart w:id="989" w:name="_Toc98149348"/>
      <w:bookmarkStart w:id="990" w:name="_Toc98212812"/>
      <w:bookmarkStart w:id="991" w:name="_Toc98666966"/>
      <w:bookmarkStart w:id="992" w:name="_Toc98667835"/>
      <w:bookmarkStart w:id="993" w:name="_Toc99354486"/>
      <w:bookmarkStart w:id="994" w:name="_Toc99356748"/>
      <w:bookmarkStart w:id="995" w:name="_Toc99357088"/>
      <w:bookmarkStart w:id="996" w:name="_Toc99411184"/>
      <w:bookmarkStart w:id="997" w:name="_Toc99417461"/>
      <w:bookmarkStart w:id="998" w:name="_Toc99447842"/>
      <w:bookmarkStart w:id="999" w:name="_Toc99769587"/>
      <w:bookmarkStart w:id="1000" w:name="_Toc112746310"/>
      <w:bookmarkStart w:id="1001" w:name="_Toc112746435"/>
      <w:r>
        <w:rPr>
          <w:rStyle w:val="CharPartNo"/>
        </w:rPr>
        <w:t>Part 2</w:t>
      </w:r>
      <w:r>
        <w:rPr>
          <w:rStyle w:val="CharDivNo"/>
        </w:rPr>
        <w:t> </w:t>
      </w:r>
      <w:r>
        <w:t>—</w:t>
      </w:r>
      <w:r>
        <w:rPr>
          <w:rStyle w:val="CharDivText"/>
        </w:rPr>
        <w:t> </w:t>
      </w:r>
      <w:r>
        <w:rPr>
          <w:rStyle w:val="CharPartText"/>
          <w:i/>
          <w:iCs/>
        </w:rPr>
        <w:t>Petroleum Act 1967</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nzHeading5"/>
        <w:rPr>
          <w:snapToGrid w:val="0"/>
        </w:rPr>
      </w:pPr>
      <w:bookmarkStart w:id="1002" w:name="_Toc80428008"/>
      <w:bookmarkStart w:id="1003" w:name="_Toc99357089"/>
      <w:bookmarkStart w:id="1004" w:name="_Toc99769588"/>
      <w:bookmarkStart w:id="1005" w:name="_Toc112746436"/>
      <w:r>
        <w:rPr>
          <w:rStyle w:val="CharSectno"/>
        </w:rPr>
        <w:t>3</w:t>
      </w:r>
      <w:r>
        <w:rPr>
          <w:snapToGrid w:val="0"/>
        </w:rPr>
        <w:t>.</w:t>
      </w:r>
      <w:r>
        <w:rPr>
          <w:snapToGrid w:val="0"/>
        </w:rPr>
        <w:tab/>
        <w:t>The Act amended</w:t>
      </w:r>
      <w:bookmarkEnd w:id="1002"/>
      <w:bookmarkEnd w:id="1003"/>
      <w:bookmarkEnd w:id="1004"/>
      <w:bookmarkEnd w:id="1005"/>
    </w:p>
    <w:p>
      <w:pPr>
        <w:pStyle w:val="nzSubsection"/>
      </w:pPr>
      <w:r>
        <w:tab/>
      </w:r>
      <w:r>
        <w:tab/>
        <w:t xml:space="preserve">The amendments in this Part are to the </w:t>
      </w:r>
      <w:r>
        <w:rPr>
          <w:i/>
        </w:rPr>
        <w:t>Petroleum Act 1967</w:t>
      </w:r>
      <w:r>
        <w:t>.</w:t>
      </w:r>
    </w:p>
    <w:p>
      <w:pPr>
        <w:pStyle w:val="nzHeading5"/>
      </w:pPr>
      <w:bookmarkStart w:id="1006" w:name="_Toc80428009"/>
      <w:bookmarkStart w:id="1007" w:name="_Toc99357090"/>
      <w:bookmarkStart w:id="1008" w:name="_Toc99769589"/>
      <w:bookmarkStart w:id="1009" w:name="_Toc112746437"/>
      <w:r>
        <w:rPr>
          <w:rStyle w:val="CharSectno"/>
        </w:rPr>
        <w:t>4</w:t>
      </w:r>
      <w:r>
        <w:t>.</w:t>
      </w:r>
      <w:r>
        <w:tab/>
        <w:t>Section 5 amended</w:t>
      </w:r>
      <w:bookmarkEnd w:id="1006"/>
      <w:bookmarkEnd w:id="1007"/>
      <w:bookmarkEnd w:id="1008"/>
      <w:bookmarkEnd w:id="1009"/>
    </w:p>
    <w:p>
      <w:pPr>
        <w:pStyle w:val="nzSubsection"/>
      </w:pPr>
      <w:r>
        <w:tab/>
      </w:r>
      <w:r>
        <w:tab/>
        <w:t>Section 5(1) is amended by inserting in the appropriate alphabetical positions the following definitions —</w:t>
      </w:r>
    </w:p>
    <w:p>
      <w:pPr>
        <w:pStyle w:val="MiscOpen"/>
        <w:ind w:left="880"/>
      </w:pPr>
      <w:r>
        <w:t>“</w:t>
      </w:r>
    </w:p>
    <w:p>
      <w:pPr>
        <w:pStyle w:val="nzDefstart"/>
      </w:pPr>
      <w:r>
        <w:rPr>
          <w:b/>
        </w:rPr>
        <w:tab/>
        <w:t>“</w:t>
      </w:r>
      <w:r>
        <w:rPr>
          <w:rStyle w:val="CharDefText"/>
        </w:rPr>
        <w:t>facility</w:t>
      </w:r>
      <w:r>
        <w:rPr>
          <w:b/>
        </w:rPr>
        <w:t>”</w:t>
      </w:r>
      <w:r>
        <w:t xml:space="preserve"> means a structure for or in connection with carrying out a petroleum operation;</w:t>
      </w:r>
    </w:p>
    <w:p>
      <w:pPr>
        <w:pStyle w:val="nzDefstart"/>
      </w:pPr>
      <w:r>
        <w:rPr>
          <w:b/>
        </w:rPr>
        <w:tab/>
        <w:t>“</w:t>
      </w:r>
      <w:r>
        <w:rPr>
          <w:rStyle w:val="CharDefText"/>
        </w:rPr>
        <w:t>listed OSH law</w:t>
      </w:r>
      <w:r>
        <w:rPr>
          <w:b/>
        </w:rPr>
        <w:t>”</w:t>
      </w:r>
      <w:r>
        <w:t xml:space="preserve"> means —</w:t>
      </w:r>
    </w:p>
    <w:p>
      <w:pPr>
        <w:pStyle w:val="nzDefpara"/>
        <w:rPr>
          <w:snapToGrid/>
        </w:rPr>
      </w:pPr>
      <w:r>
        <w:rPr>
          <w:snapToGrid/>
        </w:rPr>
        <w:tab/>
        <w:t>(a)</w:t>
      </w:r>
      <w:r>
        <w:rPr>
          <w:snapToGrid/>
        </w:rPr>
        <w:tab/>
        <w:t>section 117A;</w:t>
      </w:r>
    </w:p>
    <w:p>
      <w:pPr>
        <w:pStyle w:val="nzDefpara"/>
        <w:rPr>
          <w:snapToGrid/>
        </w:rPr>
      </w:pPr>
      <w:r>
        <w:rPr>
          <w:snapToGrid/>
        </w:rPr>
        <w:tab/>
        <w:t>(b)</w:t>
      </w:r>
      <w:r>
        <w:rPr>
          <w:snapToGrid/>
        </w:rPr>
        <w:tab/>
        <w:t>Schedule 1;</w:t>
      </w:r>
    </w:p>
    <w:p>
      <w:pPr>
        <w:pStyle w:val="nzDefpara"/>
        <w:rPr>
          <w:snapToGrid/>
        </w:rPr>
      </w:pPr>
      <w:r>
        <w:rPr>
          <w:snapToGrid/>
        </w:rPr>
        <w:tab/>
        <w:t>(c)</w:t>
      </w:r>
      <w:r>
        <w:rPr>
          <w:snapToGrid/>
        </w:rPr>
        <w:tab/>
        <w:t>a regulation made for the purposes of Schedule 1;</w:t>
      </w:r>
    </w:p>
    <w:p>
      <w:pPr>
        <w:pStyle w:val="nzDefpara"/>
        <w:rPr>
          <w:snapToGrid/>
        </w:rPr>
      </w:pPr>
      <w:r>
        <w:rPr>
          <w:snapToGrid/>
        </w:rPr>
        <w:tab/>
        <w:t>(d)</w:t>
      </w:r>
      <w:r>
        <w:rPr>
          <w:snapToGrid/>
        </w:rPr>
        <w:tab/>
        <w:t>a regulation made for the purposes of section 149B; or</w:t>
      </w:r>
    </w:p>
    <w:p>
      <w:pPr>
        <w:pStyle w:val="nzDefpara"/>
        <w:rPr>
          <w:snapToGrid/>
        </w:rPr>
      </w:pPr>
      <w:r>
        <w:rPr>
          <w:snapToGrid/>
        </w:rPr>
        <w:tab/>
        <w:t>(e)</w:t>
      </w:r>
      <w:r>
        <w:rPr>
          <w:snapToGrid/>
        </w:rPr>
        <w:tab/>
        <w:t>any other written law relating to occupational safety and health matters that is prescribed for the purposes of this paragraph;</w:t>
      </w:r>
    </w:p>
    <w:p>
      <w:pPr>
        <w:pStyle w:val="nzDefstart"/>
        <w:rPr>
          <w:bCs/>
        </w:rPr>
      </w:pPr>
      <w:r>
        <w:rPr>
          <w:b/>
        </w:rPr>
        <w:tab/>
        <w:t>“</w:t>
      </w:r>
      <w:r>
        <w:rPr>
          <w:rStyle w:val="CharDefText"/>
        </w:rPr>
        <w:t>operator</w:t>
      </w:r>
      <w:r>
        <w:rPr>
          <w:b/>
        </w:rPr>
        <w:t>”</w:t>
      </w:r>
      <w:r>
        <w:rPr>
          <w:bCs/>
        </w:rPr>
        <w:t> —</w:t>
      </w:r>
    </w:p>
    <w:p>
      <w:pPr>
        <w:pStyle w:val="nzDefpara"/>
      </w:pPr>
      <w:r>
        <w:tab/>
        <w:t>(a)</w:t>
      </w:r>
      <w:r>
        <w:tab/>
      </w:r>
      <w:r>
        <w:rPr>
          <w:bCs/>
        </w:rPr>
        <w:t>in relation to</w:t>
      </w:r>
      <w:r>
        <w:t xml:space="preserve"> an operation to explore for petroleum or the carrying on of such operations or the execution of such works as are necessary for that purpose, in a permit area, means the registered holder of the permit for that area;</w:t>
      </w:r>
    </w:p>
    <w:p>
      <w:pPr>
        <w:pStyle w:val="nzDefpara"/>
      </w:pPr>
      <w:r>
        <w:tab/>
        <w:t>(b)</w:t>
      </w:r>
      <w:r>
        <w:tab/>
      </w:r>
      <w:r>
        <w:rPr>
          <w:bCs/>
        </w:rPr>
        <w:t>in relation to</w:t>
      </w:r>
      <w:r>
        <w:t xml:space="preserve"> an operation to drill for petroleum or the carrying on of such operations or the execution of such works as are necessary for that purpose, in a drilling reservation area, means the registered holder of the drilling reservation for that area;</w:t>
      </w:r>
    </w:p>
    <w:p>
      <w:pPr>
        <w:pStyle w:val="nzDefpara"/>
      </w:pPr>
      <w:r>
        <w:tab/>
        <w:t>(c)</w:t>
      </w:r>
      <w:r>
        <w:tab/>
      </w:r>
      <w:r>
        <w:rPr>
          <w:bCs/>
        </w:rPr>
        <w:t>in relation to</w:t>
      </w:r>
      <w:r>
        <w:t xml:space="preserve"> an operation to explore for petroleum or the carrying on of such operations or the execution of such works as are necessary for that purpose, in a lease area, means the registered holder of the lease for that area;</w:t>
      </w:r>
    </w:p>
    <w:p>
      <w:pPr>
        <w:pStyle w:val="nzDefpara"/>
      </w:pPr>
      <w:r>
        <w:tab/>
        <w:t>(d)</w:t>
      </w:r>
      <w:r>
        <w:tab/>
        <w:t>in relation to —</w:t>
      </w:r>
    </w:p>
    <w:p>
      <w:pPr>
        <w:pStyle w:val="nzDefsubpara"/>
      </w:pPr>
      <w:r>
        <w:tab/>
        <w:t>(i)</w:t>
      </w:r>
      <w:r>
        <w:tab/>
        <w:t>an operation to recover petroleum in a licence area or to recover petroleum from a licence area in another area;</w:t>
      </w:r>
    </w:p>
    <w:p>
      <w:pPr>
        <w:pStyle w:val="nzDefsubpara"/>
      </w:pPr>
      <w:r>
        <w:tab/>
        <w:t>(ii)</w:t>
      </w:r>
      <w:r>
        <w:tab/>
        <w:t>an operation to explore for petroleum in a licence area; or</w:t>
      </w:r>
    </w:p>
    <w:p>
      <w:pPr>
        <w:pStyle w:val="nzDefsubpara"/>
      </w:pPr>
      <w:r>
        <w:tab/>
        <w:t>(iii)</w:t>
      </w:r>
      <w:r>
        <w:tab/>
        <w:t>the carrying on of such operations or the execution of such works in a licence area as are necessary for those purposes,</w:t>
      </w:r>
    </w:p>
    <w:p>
      <w:pPr>
        <w:pStyle w:val="nzDefpara"/>
      </w:pPr>
      <w:r>
        <w:tab/>
      </w:r>
      <w:r>
        <w:tab/>
        <w:t>means the registered holder of the licence for that area;</w:t>
      </w:r>
    </w:p>
    <w:p>
      <w:pPr>
        <w:pStyle w:val="nzDefpara"/>
      </w:pPr>
      <w:r>
        <w:tab/>
        <w:t>(e)</w:t>
      </w:r>
      <w:r>
        <w:tab/>
        <w:t>in relation to an operation for the mining, obtaining or production of petroleum under the Barrow Island lease, as defined in section 128, means the lessee, as defined in that section;</w:t>
      </w:r>
    </w:p>
    <w:p>
      <w:pPr>
        <w:pStyle w:val="nzDefpara"/>
      </w:pPr>
      <w:r>
        <w:tab/>
        <w:t>(f)</w:t>
      </w:r>
      <w:r>
        <w:tab/>
      </w:r>
      <w:r>
        <w:rPr>
          <w:bCs/>
        </w:rPr>
        <w:t>in relation to</w:t>
      </w:r>
      <w:r>
        <w:t xml:space="preserve"> a petroleum exploration operation specified in a special prospecting authority, means the registered holder of the special prospecting authority;</w:t>
      </w:r>
    </w:p>
    <w:p>
      <w:pPr>
        <w:pStyle w:val="nzDefpara"/>
      </w:pPr>
      <w:r>
        <w:tab/>
        <w:t>(g)</w:t>
      </w:r>
      <w:r>
        <w:tab/>
      </w:r>
      <w:r>
        <w:rPr>
          <w:bCs/>
        </w:rPr>
        <w:t>in relation to</w:t>
      </w:r>
      <w:r>
        <w:t xml:space="preserve"> a petroleum exploration operation or an operation related to the recovery of petroleum in or from an area specified in an access authority, means the registered holder of the access authority;</w:t>
      </w:r>
    </w:p>
    <w:p>
      <w:pPr>
        <w:pStyle w:val="nz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nz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nzDefpara"/>
        <w:rPr>
          <w:b/>
          <w:i/>
        </w:rPr>
      </w:pPr>
      <w:r>
        <w:tab/>
        <w:t>(j)</w:t>
      </w:r>
      <w:r>
        <w:tab/>
        <w:t>in relation to any other kind of operation that is prescribed by the regulations to be a petroleum operation for the purposes of the definition of “petroleum operation”, means the person prescribed by the regulations to be the operator of such a petroleum operation for the purposes of this definition;</w:t>
      </w:r>
    </w:p>
    <w:p>
      <w:pPr>
        <w:pStyle w:val="nzDefstart"/>
      </w:pPr>
      <w:r>
        <w:rPr>
          <w:b/>
        </w:rPr>
        <w:tab/>
        <w:t>“</w:t>
      </w:r>
      <w:r>
        <w:rPr>
          <w:rStyle w:val="CharDefText"/>
        </w:rPr>
        <w:t>other protected person</w:t>
      </w:r>
      <w:r>
        <w:rPr>
          <w:b/>
        </w:rPr>
        <w:t>”</w:t>
      </w:r>
      <w:r>
        <w:t xml:space="preserve"> means a person who is at or near a place where a petroleum operation is being carried on at the invitation of, or with the express or implied consent of —</w:t>
      </w:r>
    </w:p>
    <w:p>
      <w:pPr>
        <w:pStyle w:val="nzDefpara"/>
      </w:pPr>
      <w:r>
        <w:tab/>
        <w:t>(a)</w:t>
      </w:r>
      <w:r>
        <w:tab/>
        <w:t>the operator of the petroleum operation; or</w:t>
      </w:r>
    </w:p>
    <w:p>
      <w:pPr>
        <w:pStyle w:val="nzDefpara"/>
      </w:pPr>
      <w:r>
        <w:tab/>
        <w:t>(b)</w:t>
      </w:r>
      <w:r>
        <w:tab/>
        <w:t>a person in control of a part of the petroleum operation;</w:t>
      </w:r>
    </w:p>
    <w:p>
      <w:pPr>
        <w:pStyle w:val="nzDefstart"/>
      </w:pPr>
      <w:r>
        <w:tab/>
      </w:r>
      <w:r>
        <w:rPr>
          <w:b/>
          <w:bCs/>
        </w:rPr>
        <w:t>“</w:t>
      </w:r>
      <w:r>
        <w:rPr>
          <w:rStyle w:val="CharDefText"/>
        </w:rPr>
        <w:t>petroleum operation</w:t>
      </w:r>
      <w:r>
        <w:rPr>
          <w:b/>
          <w:bCs/>
        </w:rPr>
        <w:t>”</w:t>
      </w:r>
      <w:r>
        <w:t xml:space="preserve"> means —</w:t>
      </w:r>
    </w:p>
    <w:p>
      <w:pPr>
        <w:pStyle w:val="nzDefpara"/>
      </w:pPr>
      <w:r>
        <w:tab/>
        <w:t>(a)</w:t>
      </w:r>
      <w:r>
        <w:tab/>
        <w:t>an operation to explore for petroleum, and the carrying on of such operations and the execution of such works as are necessary for that purpose;</w:t>
      </w:r>
    </w:p>
    <w:p>
      <w:pPr>
        <w:pStyle w:val="nzDefpara"/>
      </w:pPr>
      <w:r>
        <w:tab/>
        <w:t>(b)</w:t>
      </w:r>
      <w:r>
        <w:tab/>
        <w:t>an operation to drill for petroleum, and the carrying on of such operations and the execution of such works as are necessary for that purpose;</w:t>
      </w:r>
    </w:p>
    <w:p>
      <w:pPr>
        <w:pStyle w:val="nzDefpara"/>
      </w:pPr>
      <w:r>
        <w:tab/>
        <w:t>(c)</w:t>
      </w:r>
      <w:r>
        <w:tab/>
        <w:t>an operation to recover petroleum, and the carrying on of such operations and the execution of such works as are necessary for that purpose;</w:t>
      </w:r>
    </w:p>
    <w:p>
      <w:pPr>
        <w:pStyle w:val="nzDefpara"/>
        <w:rPr>
          <w:b/>
          <w:i/>
        </w:rPr>
      </w:pPr>
      <w:r>
        <w:tab/>
        <w:t>(d)</w:t>
      </w:r>
      <w:r>
        <w:tab/>
        <w:t>an operation for the mining, obtaining or production of petroleum under the Barrow Island lease, as defined in section 128;</w:t>
      </w:r>
    </w:p>
    <w:p>
      <w:pPr>
        <w:pStyle w:val="nzDefpara"/>
      </w:pPr>
      <w:r>
        <w:tab/>
        <w:t>(e)</w:t>
      </w:r>
      <w:r>
        <w:tab/>
        <w:t>the injection of petroleum into a natural underground reservoir;</w:t>
      </w:r>
    </w:p>
    <w:p>
      <w:pPr>
        <w:pStyle w:val="nzDefpara"/>
      </w:pPr>
      <w:r>
        <w:tab/>
        <w:t>(f)</w:t>
      </w:r>
      <w:r>
        <w:tab/>
        <w:t xml:space="preserve">the injection of carbon dioxide, as defined in section 3 of the </w:t>
      </w:r>
      <w:r>
        <w:rPr>
          <w:i/>
        </w:rPr>
        <w:t>Barrow Island Act 2003</w:t>
      </w:r>
      <w:r>
        <w:t>, into an underground reservoir or other subsurface formation;</w:t>
      </w:r>
    </w:p>
    <w:p>
      <w:pPr>
        <w:pStyle w:val="nzDefpara"/>
      </w:pPr>
      <w:r>
        <w:tab/>
        <w:t>(g)</w:t>
      </w:r>
      <w:r>
        <w:tab/>
        <w:t>any other kind of operation that is prescribed by the regulations to be a petroleum operation for the purposes of this definition,</w:t>
      </w:r>
    </w:p>
    <w:p>
      <w:pPr>
        <w:pStyle w:val="nzDefstart"/>
      </w:pPr>
      <w:r>
        <w:tab/>
      </w:r>
      <w:r>
        <w:tab/>
        <w:t>but does not include an operation of a kind that is prescribed by the regulations not to be a petroleum operation for the purposes of this definition;</w:t>
      </w:r>
    </w:p>
    <w:p>
      <w:pPr>
        <w:pStyle w:val="nz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MiscClose"/>
        <w:ind w:right="577"/>
      </w:pPr>
      <w:r>
        <w:t xml:space="preserve">    ”.</w:t>
      </w:r>
    </w:p>
    <w:p>
      <w:pPr>
        <w:pStyle w:val="nzHeading5"/>
      </w:pPr>
      <w:bookmarkStart w:id="1010" w:name="_Toc80428010"/>
      <w:bookmarkStart w:id="1011" w:name="_Toc99357091"/>
      <w:bookmarkStart w:id="1012" w:name="_Toc99769590"/>
      <w:bookmarkStart w:id="1013" w:name="_Toc112746438"/>
      <w:r>
        <w:rPr>
          <w:rStyle w:val="CharSectno"/>
        </w:rPr>
        <w:t>5</w:t>
      </w:r>
      <w:r>
        <w:t>.</w:t>
      </w:r>
      <w:r>
        <w:tab/>
        <w:t>Section 7AA inserted</w:t>
      </w:r>
      <w:bookmarkEnd w:id="1010"/>
      <w:bookmarkEnd w:id="1011"/>
      <w:bookmarkEnd w:id="1012"/>
      <w:bookmarkEnd w:id="1013"/>
    </w:p>
    <w:p>
      <w:pPr>
        <w:pStyle w:val="nzSubsection"/>
      </w:pPr>
      <w:r>
        <w:tab/>
      </w:r>
      <w:r>
        <w:tab/>
        <w:t>After section 7 the following section is inserted —</w:t>
      </w:r>
    </w:p>
    <w:p>
      <w:pPr>
        <w:pStyle w:val="MiscOpen"/>
      </w:pPr>
      <w:r>
        <w:t>“</w:t>
      </w:r>
    </w:p>
    <w:p>
      <w:pPr>
        <w:pStyle w:val="nzHeading5"/>
      </w:pPr>
      <w:r>
        <w:t>7AA.</w:t>
      </w:r>
      <w:r>
        <w:tab/>
        <w:t>Disapplication of State occupational safety and health laws</w:t>
      </w:r>
    </w:p>
    <w:p>
      <w:pPr>
        <w:pStyle w:val="nzSubsection"/>
      </w:pPr>
      <w:r>
        <w:tab/>
        <w:t>(1)</w:t>
      </w:r>
      <w:r>
        <w:tab/>
        <w:t>The prescribed occupational safety and health laws do not apply in relation to —</w:t>
      </w:r>
    </w:p>
    <w:p>
      <w:pPr>
        <w:pStyle w:val="nzIndenta"/>
      </w:pPr>
      <w:r>
        <w:tab/>
        <w:t>(a)</w:t>
      </w:r>
      <w:r>
        <w:tab/>
        <w:t>a petroleum operation; or</w:t>
      </w:r>
    </w:p>
    <w:p>
      <w:pPr>
        <w:pStyle w:val="nzIndenta"/>
      </w:pPr>
      <w:r>
        <w:tab/>
        <w:t>(b)</w:t>
      </w:r>
      <w:r>
        <w:tab/>
        <w:t>a person engaged in a petroleum operation or any other protected person.</w:t>
      </w:r>
    </w:p>
    <w:p>
      <w:pPr>
        <w:pStyle w:val="nzSubsection"/>
      </w:pPr>
      <w:r>
        <w:tab/>
        <w:t>(2)</w:t>
      </w:r>
      <w:r>
        <w:tab/>
        <w:t>In this section —</w:t>
      </w:r>
    </w:p>
    <w:p>
      <w:pPr>
        <w:pStyle w:val="nz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MiscClose"/>
        <w:ind w:right="577"/>
        <w:rPr>
          <w:b/>
          <w:i/>
        </w:rPr>
      </w:pPr>
      <w:r>
        <w:t xml:space="preserve">    ”.</w:t>
      </w:r>
    </w:p>
    <w:p>
      <w:pPr>
        <w:pStyle w:val="nzHeading5"/>
      </w:pPr>
      <w:bookmarkStart w:id="1014" w:name="_Toc80428011"/>
      <w:bookmarkStart w:id="1015" w:name="_Toc99357092"/>
      <w:bookmarkStart w:id="1016" w:name="_Toc99769591"/>
      <w:bookmarkStart w:id="1017" w:name="_Toc112746439"/>
      <w:r>
        <w:rPr>
          <w:rStyle w:val="CharSectno"/>
        </w:rPr>
        <w:t>6</w:t>
      </w:r>
      <w:r>
        <w:t>.</w:t>
      </w:r>
      <w:r>
        <w:tab/>
        <w:t>Section 83 repealed</w:t>
      </w:r>
      <w:bookmarkEnd w:id="1014"/>
      <w:bookmarkEnd w:id="1015"/>
      <w:bookmarkEnd w:id="1016"/>
      <w:bookmarkEnd w:id="1017"/>
    </w:p>
    <w:p>
      <w:pPr>
        <w:pStyle w:val="nzSubsection"/>
      </w:pPr>
      <w:r>
        <w:tab/>
      </w:r>
      <w:r>
        <w:tab/>
        <w:t>Section 83 is repealed.</w:t>
      </w:r>
    </w:p>
    <w:p>
      <w:pPr>
        <w:pStyle w:val="nzHeading5"/>
      </w:pPr>
      <w:bookmarkStart w:id="1018" w:name="_Toc80428012"/>
      <w:bookmarkStart w:id="1019" w:name="_Toc99357093"/>
      <w:bookmarkStart w:id="1020" w:name="_Toc99769592"/>
      <w:bookmarkStart w:id="1021" w:name="_Toc112746440"/>
      <w:r>
        <w:rPr>
          <w:rStyle w:val="CharSectno"/>
        </w:rPr>
        <w:t>7</w:t>
      </w:r>
      <w:r>
        <w:t>.</w:t>
      </w:r>
      <w:r>
        <w:tab/>
        <w:t>Section 91 amended</w:t>
      </w:r>
      <w:bookmarkEnd w:id="1018"/>
      <w:bookmarkEnd w:id="1019"/>
      <w:bookmarkEnd w:id="1020"/>
      <w:bookmarkEnd w:id="1021"/>
    </w:p>
    <w:p>
      <w:pPr>
        <w:pStyle w:val="nzSubsection"/>
      </w:pPr>
      <w:r>
        <w:tab/>
        <w:t>(1)</w:t>
      </w:r>
      <w:r>
        <w:tab/>
        <w:t>Section 91(1) is amended by deleting “and shall secure the safety, health and welfare of persons engaged in those operations in or about the permit area, drilling reservation, lease area or licence area”.</w:t>
      </w:r>
    </w:p>
    <w:p>
      <w:pPr>
        <w:pStyle w:val="nzSubsection"/>
      </w:pPr>
      <w:r>
        <w:tab/>
        <w:t>(2)</w:t>
      </w:r>
      <w:r>
        <w:tab/>
        <w:t>Section 91(3) is amended by deleting “and shall secure the safety, health and welfare of persons engaged in those operations in or about that area”.</w:t>
      </w:r>
    </w:p>
    <w:p>
      <w:pPr>
        <w:pStyle w:val="nzHeading5"/>
      </w:pPr>
      <w:bookmarkStart w:id="1022" w:name="_Toc99357094"/>
      <w:bookmarkStart w:id="1023" w:name="_Toc99769593"/>
      <w:bookmarkStart w:id="1024" w:name="_Toc112746441"/>
      <w:r>
        <w:rPr>
          <w:rStyle w:val="CharSectno"/>
        </w:rPr>
        <w:t>8</w:t>
      </w:r>
      <w:r>
        <w:t>.</w:t>
      </w:r>
      <w:r>
        <w:tab/>
        <w:t>Section 117A inserted</w:t>
      </w:r>
      <w:bookmarkEnd w:id="1022"/>
      <w:bookmarkEnd w:id="1023"/>
      <w:bookmarkEnd w:id="1024"/>
    </w:p>
    <w:p>
      <w:pPr>
        <w:pStyle w:val="nzSubsection"/>
      </w:pPr>
      <w:r>
        <w:tab/>
      </w:r>
      <w:r>
        <w:tab/>
        <w:t>After section 117 the following section is inserted —</w:t>
      </w:r>
    </w:p>
    <w:p>
      <w:pPr>
        <w:pStyle w:val="MiscOpen"/>
      </w:pPr>
      <w:r>
        <w:t>“</w:t>
      </w:r>
    </w:p>
    <w:p>
      <w:pPr>
        <w:pStyle w:val="nzHeading5"/>
      </w:pPr>
      <w:r>
        <w:t>117A.</w:t>
      </w:r>
      <w:r>
        <w:tab/>
        <w:t>Interfering with petroleum operation</w:t>
      </w:r>
    </w:p>
    <w:p>
      <w:pPr>
        <w:pStyle w:val="nzSubsection"/>
      </w:pPr>
      <w:r>
        <w:tab/>
      </w:r>
      <w:r>
        <w:tab/>
        <w:t>A person must not intentionally or recklessly —</w:t>
      </w:r>
    </w:p>
    <w:p>
      <w:pPr>
        <w:pStyle w:val="nzIndenta"/>
      </w:pPr>
      <w:r>
        <w:tab/>
        <w:t>(a)</w:t>
      </w:r>
      <w:r>
        <w:tab/>
        <w:t>cause damage to, or interfere with, a well or any structure or vessel in the State that is, or is to be, used in a petroleum operation; or</w:t>
      </w:r>
    </w:p>
    <w:p>
      <w:pPr>
        <w:pStyle w:val="nzIndenta"/>
      </w:pPr>
      <w:r>
        <w:tab/>
        <w:t>(b)</w:t>
      </w:r>
      <w:r>
        <w:tab/>
        <w:t>interfere with any petroleum operation.</w:t>
      </w:r>
    </w:p>
    <w:p>
      <w:pPr>
        <w:pStyle w:val="nzPenstart"/>
      </w:pPr>
      <w:r>
        <w:tab/>
        <w:t>Penalty:</w:t>
      </w:r>
      <w:r>
        <w:tab/>
        <w:t>imprisonment for 10 years.</w:t>
      </w:r>
    </w:p>
    <w:p>
      <w:pPr>
        <w:pStyle w:val="MiscClose"/>
        <w:ind w:right="577"/>
      </w:pPr>
      <w:r>
        <w:t xml:space="preserve">    ”.</w:t>
      </w:r>
    </w:p>
    <w:p>
      <w:pPr>
        <w:pStyle w:val="nzHeading5"/>
      </w:pPr>
      <w:bookmarkStart w:id="1025" w:name="_Toc80428013"/>
      <w:bookmarkStart w:id="1026" w:name="_Toc99357095"/>
      <w:bookmarkStart w:id="1027" w:name="_Toc99769594"/>
      <w:bookmarkStart w:id="1028" w:name="_Toc112746442"/>
      <w:r>
        <w:rPr>
          <w:rStyle w:val="CharSectno"/>
        </w:rPr>
        <w:t>9</w:t>
      </w:r>
      <w:r>
        <w:t>.</w:t>
      </w:r>
      <w:r>
        <w:tab/>
        <w:t>Section 118 amended</w:t>
      </w:r>
      <w:bookmarkEnd w:id="1025"/>
      <w:bookmarkEnd w:id="1026"/>
      <w:bookmarkEnd w:id="1027"/>
      <w:bookmarkEnd w:id="1028"/>
    </w:p>
    <w:p>
      <w:pPr>
        <w:pStyle w:val="nzSubsection"/>
      </w:pPr>
      <w:r>
        <w:tab/>
        <w:t>(1)</w:t>
      </w:r>
      <w:r>
        <w:tab/>
        <w:t>Section 118(1) is amended by deleting “the purposes of this Act and the regulations.” and inserting instead —</w:t>
      </w:r>
    </w:p>
    <w:p>
      <w:pPr>
        <w:pStyle w:val="MiscOpen"/>
        <w:ind w:left="880"/>
      </w:pPr>
      <w:r>
        <w:t>“</w:t>
      </w:r>
    </w:p>
    <w:p>
      <w:pPr>
        <w:pStyle w:val="nzSubsection"/>
      </w:pPr>
      <w:r>
        <w:tab/>
      </w:r>
      <w:r>
        <w:tab/>
        <w:t>such or all of the purposes of this Act as are specified in the instrument of appointment.</w:t>
      </w:r>
    </w:p>
    <w:p>
      <w:pPr>
        <w:pStyle w:val="MiscClose"/>
        <w:ind w:right="577"/>
      </w:pPr>
      <w:r>
        <w:t xml:space="preserve">    ”.</w:t>
      </w:r>
    </w:p>
    <w:p>
      <w:pPr>
        <w:pStyle w:val="nzSubsection"/>
      </w:pPr>
      <w:r>
        <w:tab/>
        <w:t>(2)</w:t>
      </w:r>
      <w:r>
        <w:tab/>
        <w:t>Section 118(2) is amended by deleting “he is such an inspector for the purposes of this Act and the regulations.” and inserting instead —</w:t>
      </w:r>
    </w:p>
    <w:p>
      <w:pPr>
        <w:pStyle w:val="MiscOpen"/>
        <w:ind w:left="880"/>
      </w:pPr>
      <w:r>
        <w:t>“</w:t>
      </w:r>
    </w:p>
    <w:p>
      <w:pPr>
        <w:pStyle w:val="nzSubsection"/>
      </w:pPr>
      <w:r>
        <w:tab/>
      </w:r>
      <w:r>
        <w:tab/>
        <w:t>the person is an inspector for the purposes specified in the certificate.</w:t>
      </w:r>
    </w:p>
    <w:p>
      <w:pPr>
        <w:pStyle w:val="MiscClose"/>
        <w:ind w:right="577"/>
      </w:pPr>
      <w:r>
        <w:t xml:space="preserve">    ”.</w:t>
      </w:r>
    </w:p>
    <w:p>
      <w:pPr>
        <w:pStyle w:val="nzHeading5"/>
      </w:pPr>
      <w:bookmarkStart w:id="1029" w:name="_Toc80428014"/>
      <w:bookmarkStart w:id="1030" w:name="_Toc99357096"/>
      <w:bookmarkStart w:id="1031" w:name="_Toc99769595"/>
      <w:bookmarkStart w:id="1032" w:name="_Toc112746443"/>
      <w:r>
        <w:rPr>
          <w:rStyle w:val="CharSectno"/>
        </w:rPr>
        <w:t>10</w:t>
      </w:r>
      <w:r>
        <w:t>.</w:t>
      </w:r>
      <w:r>
        <w:tab/>
        <w:t>Section 119 amended</w:t>
      </w:r>
      <w:bookmarkEnd w:id="1029"/>
      <w:bookmarkEnd w:id="1030"/>
      <w:bookmarkEnd w:id="1031"/>
      <w:bookmarkEnd w:id="1032"/>
    </w:p>
    <w:p>
      <w:pPr>
        <w:pStyle w:val="nzSubsection"/>
        <w:keepNext/>
      </w:pPr>
      <w:r>
        <w:tab/>
      </w:r>
      <w:r>
        <w:tab/>
        <w:t>Section 119(1) is amended by deleting “and the regulations,” and inserting instead —</w:t>
      </w:r>
    </w:p>
    <w:p>
      <w:pPr>
        <w:pStyle w:val="MiscOpen"/>
        <w:ind w:left="880"/>
      </w:pPr>
      <w:r>
        <w:t>“</w:t>
      </w:r>
    </w:p>
    <w:p>
      <w:pPr>
        <w:pStyle w:val="nzSubsection"/>
      </w:pPr>
      <w:r>
        <w:tab/>
      </w:r>
      <w:r>
        <w:tab/>
        <w:t>, but without affecting the powers of an inspector under Schedule 1,</w:t>
      </w:r>
    </w:p>
    <w:p>
      <w:pPr>
        <w:pStyle w:val="MiscClose"/>
        <w:ind w:right="577"/>
      </w:pPr>
      <w:r>
        <w:t xml:space="preserve">    ”.</w:t>
      </w:r>
    </w:p>
    <w:p>
      <w:pPr>
        <w:pStyle w:val="nzHeading5"/>
      </w:pPr>
      <w:bookmarkStart w:id="1033" w:name="_Toc80428015"/>
      <w:bookmarkStart w:id="1034" w:name="_Toc99357097"/>
      <w:bookmarkStart w:id="1035" w:name="_Toc99769596"/>
      <w:bookmarkStart w:id="1036" w:name="_Toc112746444"/>
      <w:r>
        <w:rPr>
          <w:rStyle w:val="CharSectno"/>
        </w:rPr>
        <w:t>11</w:t>
      </w:r>
      <w:r>
        <w:t>.</w:t>
      </w:r>
      <w:r>
        <w:tab/>
        <w:t>Section 119A inserted</w:t>
      </w:r>
      <w:bookmarkEnd w:id="1033"/>
      <w:bookmarkEnd w:id="1034"/>
      <w:bookmarkEnd w:id="1035"/>
      <w:bookmarkEnd w:id="1036"/>
    </w:p>
    <w:p>
      <w:pPr>
        <w:pStyle w:val="nzSubsection"/>
      </w:pPr>
      <w:r>
        <w:tab/>
      </w:r>
      <w:r>
        <w:tab/>
        <w:t>After section 119 the following section is inserted —</w:t>
      </w:r>
    </w:p>
    <w:p>
      <w:pPr>
        <w:pStyle w:val="MiscOpen"/>
      </w:pPr>
      <w:r>
        <w:t>“</w:t>
      </w:r>
    </w:p>
    <w:p>
      <w:pPr>
        <w:pStyle w:val="nzHeading5"/>
      </w:pPr>
      <w:r>
        <w:t>119A.</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rPr>
          <w:b/>
          <w:i/>
        </w:rPr>
      </w:pPr>
      <w:r>
        <w:tab/>
        <w:t>(4)</w:t>
      </w:r>
      <w:r>
        <w:tab/>
        <w:t>In this section a reference to the doing of anything includes a reference to the omission to do anything.</w:t>
      </w:r>
    </w:p>
    <w:p>
      <w:pPr>
        <w:pStyle w:val="MiscClose"/>
        <w:ind w:right="577"/>
      </w:pPr>
      <w:r>
        <w:t xml:space="preserve">    ”.</w:t>
      </w:r>
    </w:p>
    <w:p>
      <w:pPr>
        <w:pStyle w:val="nzHeading5"/>
      </w:pPr>
      <w:bookmarkStart w:id="1037" w:name="_Toc80428016"/>
      <w:bookmarkStart w:id="1038" w:name="_Toc99357098"/>
      <w:bookmarkStart w:id="1039" w:name="_Toc99769597"/>
      <w:bookmarkStart w:id="1040" w:name="_Toc112746445"/>
      <w:r>
        <w:rPr>
          <w:rStyle w:val="CharSectno"/>
        </w:rPr>
        <w:t>12</w:t>
      </w:r>
      <w:r>
        <w:t>.</w:t>
      </w:r>
      <w:r>
        <w:tab/>
        <w:t>Section 125 amended</w:t>
      </w:r>
      <w:bookmarkEnd w:id="1037"/>
      <w:bookmarkEnd w:id="1038"/>
      <w:bookmarkEnd w:id="1039"/>
      <w:bookmarkEnd w:id="1040"/>
    </w:p>
    <w:p>
      <w:pPr>
        <w:pStyle w:val="nzSubsection"/>
      </w:pPr>
      <w:r>
        <w:tab/>
      </w:r>
      <w:r>
        <w:tab/>
        <w:t>Section 125 is amended by deleting “(being an offence arising under this Part) or the regulations”.</w:t>
      </w:r>
    </w:p>
    <w:p>
      <w:pPr>
        <w:pStyle w:val="nzHeading5"/>
      </w:pPr>
      <w:bookmarkStart w:id="1041" w:name="_Toc80428017"/>
      <w:bookmarkStart w:id="1042" w:name="_Toc99357099"/>
      <w:bookmarkStart w:id="1043" w:name="_Toc99769598"/>
      <w:bookmarkStart w:id="1044" w:name="_Toc112746446"/>
      <w:r>
        <w:rPr>
          <w:rStyle w:val="CharSectno"/>
        </w:rPr>
        <w:t>13</w:t>
      </w:r>
      <w:r>
        <w:t>.</w:t>
      </w:r>
      <w:r>
        <w:tab/>
        <w:t>Section 126A inserted</w:t>
      </w:r>
      <w:bookmarkEnd w:id="1041"/>
      <w:bookmarkEnd w:id="1042"/>
      <w:bookmarkEnd w:id="1043"/>
      <w:bookmarkEnd w:id="1044"/>
    </w:p>
    <w:p>
      <w:pPr>
        <w:pStyle w:val="nzSubsection"/>
      </w:pPr>
      <w:r>
        <w:tab/>
      </w:r>
      <w:r>
        <w:tab/>
        <w:t>After section 126 the following section is inserted —</w:t>
      </w:r>
    </w:p>
    <w:p>
      <w:pPr>
        <w:pStyle w:val="MiscOpen"/>
      </w:pPr>
      <w:r>
        <w:t>“</w:t>
      </w:r>
    </w:p>
    <w:p>
      <w:pPr>
        <w:pStyle w:val="nzHeading5"/>
      </w:pPr>
      <w:r>
        <w:t>126A.</w:t>
      </w:r>
      <w:r>
        <w:tab/>
        <w:t>Evidentiary matters</w:t>
      </w:r>
    </w:p>
    <w:p>
      <w:pPr>
        <w:pStyle w:val="nzSubsection"/>
      </w:pPr>
      <w:r>
        <w:tab/>
        <w:t>(1)</w:t>
      </w:r>
      <w:r>
        <w:tab/>
        <w:t>In a proceeding for an offence against this Act an averment in the complaint that at a particular time —</w:t>
      </w:r>
    </w:p>
    <w:p>
      <w:pPr>
        <w:pStyle w:val="nzIndenta"/>
      </w:pPr>
      <w:r>
        <w:tab/>
        <w:t>(a)</w:t>
      </w:r>
      <w:r>
        <w:tab/>
        <w:t>a particular operation was a petroleum operation;</w:t>
      </w:r>
    </w:p>
    <w:p>
      <w:pPr>
        <w:pStyle w:val="nzIndenta"/>
      </w:pPr>
      <w:r>
        <w:tab/>
        <w:t>(b)</w:t>
      </w:r>
      <w:r>
        <w:tab/>
        <w:t>a particular person was the operator of a petroleum operation;</w:t>
      </w:r>
    </w:p>
    <w:p>
      <w:pPr>
        <w:pStyle w:val="nzIndenta"/>
      </w:pPr>
      <w:r>
        <w:tab/>
        <w:t>(c)</w:t>
      </w:r>
      <w:r>
        <w:tab/>
        <w:t>a particular person was in control of a particular part of a petroleum operation;</w:t>
      </w:r>
    </w:p>
    <w:p>
      <w:pPr>
        <w:pStyle w:val="nzIndenta"/>
      </w:pPr>
      <w:r>
        <w:tab/>
        <w:t>(d)</w:t>
      </w:r>
      <w:r>
        <w:tab/>
        <w:t>a particular person was an employer who carried on a petroleum operation;</w:t>
      </w:r>
    </w:p>
    <w:p>
      <w:pPr>
        <w:pStyle w:val="nzIndenta"/>
      </w:pPr>
      <w:r>
        <w:tab/>
        <w:t>(e)</w:t>
      </w:r>
      <w:r>
        <w:tab/>
        <w:t>a particular person was an employer of a particular person or particular persons engaged in a petroleum operation; or</w:t>
      </w:r>
    </w:p>
    <w:p>
      <w:pPr>
        <w:pStyle w:val="nzIndenta"/>
      </w:pPr>
      <w:r>
        <w:tab/>
        <w:t>(f)</w:t>
      </w:r>
      <w:r>
        <w:tab/>
        <w:t>a particular person was an employee or inspector,</w:t>
      </w:r>
    </w:p>
    <w:p>
      <w:pPr>
        <w:pStyle w:val="nzSubsection"/>
      </w:pPr>
      <w:r>
        <w:tab/>
      </w:r>
      <w:r>
        <w:tab/>
        <w:t>is to be taken to have been proved in the absence of evidence to the contrary.</w:t>
      </w:r>
    </w:p>
    <w:p>
      <w:pPr>
        <w:pStyle w:val="nzSubsection"/>
      </w:pPr>
      <w:r>
        <w:tab/>
        <w:t>(2)</w:t>
      </w:r>
      <w:r>
        <w:tab/>
        <w:t>In a proceeding for an offence against this Act, proof is not required as to any of the following matters, unless evidence is given to the contrary —</w:t>
      </w:r>
    </w:p>
    <w:p>
      <w:pPr>
        <w:pStyle w:val="nzIndenta"/>
      </w:pPr>
      <w:r>
        <w:tab/>
        <w:t>(a)</w:t>
      </w:r>
      <w:r>
        <w:tab/>
        <w:t>a delegation under section 25 by the Minister of a power or function;</w:t>
      </w:r>
    </w:p>
    <w:p>
      <w:pPr>
        <w:pStyle w:val="nzIndenta"/>
      </w:pPr>
      <w:r>
        <w:tab/>
        <w:t>(b)</w:t>
      </w:r>
      <w:r>
        <w:tab/>
        <w:t>the authority of any person to institute a proceeding for an offence against this Act other than an offence against a listed OSH law;</w:t>
      </w:r>
    </w:p>
    <w:p>
      <w:pPr>
        <w:pStyle w:val="nzIndenta"/>
      </w:pPr>
      <w:r>
        <w:tab/>
        <w:t>(c)</w:t>
      </w:r>
      <w:r>
        <w:tab/>
        <w:t>the authority of an inspector to institute a proceeding for an offence against a listed OSH law.</w:t>
      </w:r>
    </w:p>
    <w:p>
      <w:pPr>
        <w:pStyle w:val="nzSubsection"/>
      </w:pPr>
      <w:r>
        <w:tab/>
        <w:t>(3)</w:t>
      </w:r>
      <w:r>
        <w:tab/>
        <w:t>In a proceeding for an offence against this Act, production of a copy of —</w:t>
      </w:r>
    </w:p>
    <w:p>
      <w:pPr>
        <w:pStyle w:val="nzIndenta"/>
      </w:pPr>
      <w:r>
        <w:tab/>
        <w:t>(a)</w:t>
      </w:r>
      <w:r>
        <w:tab/>
        <w:t>a code of practice;</w:t>
      </w:r>
    </w:p>
    <w:p>
      <w:pPr>
        <w:pStyle w:val="nzIndenta"/>
      </w:pPr>
      <w:r>
        <w:tab/>
        <w:t>(b)</w:t>
      </w:r>
      <w:r>
        <w:tab/>
        <w:t>an Australian Standard; or</w:t>
      </w:r>
    </w:p>
    <w:p>
      <w:pPr>
        <w:pStyle w:val="nzIndenta"/>
      </w:pPr>
      <w:r>
        <w:tab/>
        <w:t>(c)</w:t>
      </w:r>
      <w:r>
        <w:tab/>
        <w:t>an Australian/New Zealand Standard,</w:t>
      </w:r>
    </w:p>
    <w:p>
      <w:pPr>
        <w:pStyle w:val="nz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nzSubsection"/>
      </w:pPr>
      <w:r>
        <w:tab/>
        <w:t>(4)</w:t>
      </w:r>
      <w:r>
        <w:tab/>
        <w:t>In subsection (3) —</w:t>
      </w:r>
    </w:p>
    <w:p>
      <w:pPr>
        <w:pStyle w:val="nzDefstart"/>
      </w:pPr>
      <w:r>
        <w:rPr>
          <w:b/>
        </w:rPr>
        <w:tab/>
        <w:t>“</w:t>
      </w:r>
      <w:r>
        <w:rPr>
          <w:rStyle w:val="CharDefText"/>
        </w:rPr>
        <w:t>Australian Standard</w:t>
      </w:r>
      <w:r>
        <w:rPr>
          <w:b/>
        </w:rPr>
        <w:t>”</w:t>
      </w:r>
      <w:r>
        <w:t xml:space="preserve"> means a document having that title published by Standards Australia;</w:t>
      </w:r>
    </w:p>
    <w:p>
      <w:pPr>
        <w:pStyle w:val="nz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nz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MiscClose"/>
        <w:ind w:right="577"/>
      </w:pPr>
      <w:r>
        <w:t xml:space="preserve">    ”.</w:t>
      </w:r>
    </w:p>
    <w:p>
      <w:pPr>
        <w:pStyle w:val="nzHeading5"/>
      </w:pPr>
      <w:bookmarkStart w:id="1045" w:name="_Toc80428018"/>
      <w:bookmarkStart w:id="1046" w:name="_Toc99357100"/>
      <w:bookmarkStart w:id="1047" w:name="_Toc99769599"/>
      <w:bookmarkStart w:id="1048" w:name="_Toc112746447"/>
      <w:r>
        <w:rPr>
          <w:rStyle w:val="CharSectno"/>
        </w:rPr>
        <w:t>14</w:t>
      </w:r>
      <w:r>
        <w:t>.</w:t>
      </w:r>
      <w:r>
        <w:tab/>
        <w:t>Part IIIA inserted</w:t>
      </w:r>
      <w:bookmarkEnd w:id="1045"/>
      <w:bookmarkEnd w:id="1046"/>
      <w:bookmarkEnd w:id="1047"/>
      <w:bookmarkEnd w:id="1048"/>
    </w:p>
    <w:p>
      <w:pPr>
        <w:pStyle w:val="nzSubsection"/>
      </w:pPr>
      <w:r>
        <w:tab/>
      </w:r>
      <w:r>
        <w:tab/>
        <w:t>After section 149 the following Part is inserted —</w:t>
      </w:r>
    </w:p>
    <w:p>
      <w:pPr>
        <w:pStyle w:val="MiscOpen"/>
      </w:pPr>
      <w:r>
        <w:t>“</w:t>
      </w:r>
    </w:p>
    <w:p>
      <w:pPr>
        <w:pStyle w:val="nzHeading2"/>
        <w:outlineLvl w:val="0"/>
      </w:pPr>
      <w:bookmarkStart w:id="1049" w:name="_Toc112746323"/>
      <w:bookmarkStart w:id="1050" w:name="_Toc112746448"/>
      <w:r>
        <w:t>Part IIIA</w:t>
      </w:r>
      <w:r>
        <w:rPr>
          <w:b w:val="0"/>
        </w:rPr>
        <w:t> </w:t>
      </w:r>
      <w:r>
        <w:t>—</w:t>
      </w:r>
      <w:r>
        <w:rPr>
          <w:b w:val="0"/>
        </w:rPr>
        <w:t> </w:t>
      </w:r>
      <w:r>
        <w:t>Occupational safety and health</w:t>
      </w:r>
      <w:bookmarkEnd w:id="1049"/>
      <w:bookmarkEnd w:id="1050"/>
    </w:p>
    <w:p>
      <w:pPr>
        <w:pStyle w:val="nzHeading5"/>
      </w:pPr>
      <w:r>
        <w:t>149A.</w:t>
      </w:r>
      <w:r>
        <w:tab/>
        <w:t>Occupational safety and health</w:t>
      </w:r>
    </w:p>
    <w:p>
      <w:pPr>
        <w:pStyle w:val="nzSubsection"/>
      </w:pPr>
      <w:r>
        <w:tab/>
      </w:r>
      <w:r>
        <w:tab/>
        <w:t>Schedule 1 has effect.</w:t>
      </w:r>
    </w:p>
    <w:p>
      <w:pPr>
        <w:pStyle w:val="nzHeading5"/>
      </w:pPr>
      <w:r>
        <w:t>149B.</w:t>
      </w:r>
      <w:r>
        <w:tab/>
        <w:t>Regulations relating to occupational safety and health</w:t>
      </w:r>
    </w:p>
    <w:p>
      <w:pPr>
        <w:pStyle w:val="nzSubsection"/>
      </w:pPr>
      <w:r>
        <w:tab/>
        <w:t>(1)</w:t>
      </w:r>
      <w:r>
        <w:tab/>
        <w:t>The regulations may make provision in relation to —</w:t>
      </w:r>
    </w:p>
    <w:p>
      <w:pPr>
        <w:pStyle w:val="nzIndenta"/>
      </w:pPr>
      <w:r>
        <w:tab/>
        <w:t>(a)</w:t>
      </w:r>
      <w:r>
        <w:tab/>
        <w:t>the occupational safety and health of a person engaged in a petroleum operation; or</w:t>
      </w:r>
    </w:p>
    <w:p>
      <w:pPr>
        <w:pStyle w:val="nzIndenta"/>
      </w:pPr>
      <w:r>
        <w:tab/>
        <w:t>(b)</w:t>
      </w:r>
      <w:r>
        <w:tab/>
        <w:t>the safety and health of any other protected person.</w:t>
      </w:r>
    </w:p>
    <w:p>
      <w:pPr>
        <w:pStyle w:val="nzSubsection"/>
      </w:pPr>
      <w:r>
        <w:tab/>
        <w:t>(2)</w:t>
      </w:r>
      <w:r>
        <w:tab/>
        <w:t>Without limiting subsection (1), regulations for the purpose of that subsection may —</w:t>
      </w:r>
    </w:p>
    <w:p>
      <w:pPr>
        <w:pStyle w:val="nzIndenta"/>
      </w:pPr>
      <w:r>
        <w:tab/>
        <w:t>(a)</w:t>
      </w:r>
      <w:r>
        <w:tab/>
        <w:t>require a person who is carrying on a petroleum operation to establish and maintain a system of management to secure —</w:t>
      </w:r>
    </w:p>
    <w:p>
      <w:pPr>
        <w:pStyle w:val="nzIndenti"/>
      </w:pPr>
      <w:r>
        <w:tab/>
        <w:t>(i)</w:t>
      </w:r>
      <w:r>
        <w:tab/>
        <w:t>the occupational safety and health of a person engaged in a petroleum operation; or</w:t>
      </w:r>
    </w:p>
    <w:p>
      <w:pPr>
        <w:pStyle w:val="nzIndenti"/>
      </w:pPr>
      <w:r>
        <w:tab/>
        <w:t>(ii)</w:t>
      </w:r>
      <w:r>
        <w:tab/>
        <w:t>the safety and health of any other protected person;</w:t>
      </w:r>
    </w:p>
    <w:p>
      <w:pPr>
        <w:pStyle w:val="nzIndenta"/>
      </w:pPr>
      <w:r>
        <w:tab/>
      </w:r>
      <w:r>
        <w:tab/>
        <w:t>and</w:t>
      </w:r>
    </w:p>
    <w:p>
      <w:pPr>
        <w:pStyle w:val="nzIndenta"/>
      </w:pPr>
      <w:r>
        <w:tab/>
        <w:t>(b)</w:t>
      </w:r>
      <w:r>
        <w:tab/>
        <w:t>specify requirements with which the system must comply.</w:t>
      </w:r>
    </w:p>
    <w:p>
      <w:pPr>
        <w:pStyle w:val="nzHeading5"/>
      </w:pPr>
      <w:r>
        <w:t>149C.</w:t>
      </w:r>
      <w:r>
        <w:tab/>
        <w:t>Minister’s occupational safety and health functions</w:t>
      </w:r>
    </w:p>
    <w:p>
      <w:pPr>
        <w:pStyle w:val="nzSubsection"/>
      </w:pPr>
      <w:r>
        <w:tab/>
        <w:t>(1)</w:t>
      </w:r>
      <w:r>
        <w:tab/>
        <w:t>The Minister has the following functions —</w:t>
      </w:r>
    </w:p>
    <w:p>
      <w:pPr>
        <w:pStyle w:val="nzIndenta"/>
      </w:pPr>
      <w:r>
        <w:tab/>
        <w:t>(a)</w:t>
      </w:r>
      <w:r>
        <w:tab/>
        <w:t>to promote the occupational safety and health of persons engaged in petroleum operations;</w:t>
      </w:r>
    </w:p>
    <w:p>
      <w:pPr>
        <w:pStyle w:val="nzIndenta"/>
      </w:pPr>
      <w:r>
        <w:tab/>
        <w:t>(b)</w:t>
      </w:r>
      <w:r>
        <w:tab/>
        <w:t>to develop and implement effective monitoring and enforcement strategies to secure compliance by persons with their occupational safety and health obligations under this Act;</w:t>
      </w:r>
    </w:p>
    <w:p>
      <w:pPr>
        <w:pStyle w:val="nzIndenta"/>
      </w:pPr>
      <w:r>
        <w:tab/>
        <w:t>(c)</w:t>
      </w:r>
      <w:r>
        <w:tab/>
        <w:t>to investigate accidents, occurrences and circumstances that affect, or have the potential to affect, the occupational safety and health of persons engaged in petroleum operations;</w:t>
      </w:r>
    </w:p>
    <w:p>
      <w:pPr>
        <w:pStyle w:val="nzIndenta"/>
      </w:pPr>
      <w:r>
        <w:tab/>
        <w:t>(d)</w:t>
      </w:r>
      <w:r>
        <w:tab/>
        <w:t>to advise persons, either on the Minister’s own initiative or on request, on occupational safety and health matters relating to petroleum operations.</w:t>
      </w:r>
    </w:p>
    <w:p>
      <w:pPr>
        <w:pStyle w:val="nzSubsection"/>
      </w:pPr>
      <w:r>
        <w:tab/>
        <w:t>(2)</w:t>
      </w:r>
      <w:r>
        <w:tab/>
        <w:t>The Minister has power to do all things necessary or convenient to be done for or in connection with the performance of the Minister’s functions.</w:t>
      </w:r>
    </w:p>
    <w:p>
      <w:pPr>
        <w:pStyle w:val="MiscClose"/>
        <w:ind w:right="577"/>
      </w:pPr>
      <w:r>
        <w:t xml:space="preserve">    ”.</w:t>
      </w:r>
    </w:p>
    <w:p>
      <w:pPr>
        <w:pStyle w:val="nzHeading5"/>
      </w:pPr>
      <w:bookmarkStart w:id="1051" w:name="_Toc80428019"/>
      <w:bookmarkStart w:id="1052" w:name="_Toc99357101"/>
      <w:bookmarkStart w:id="1053" w:name="_Toc99769600"/>
      <w:bookmarkStart w:id="1054" w:name="_Toc112746449"/>
      <w:r>
        <w:rPr>
          <w:rStyle w:val="CharSectno"/>
        </w:rPr>
        <w:t>15</w:t>
      </w:r>
      <w:r>
        <w:t>.</w:t>
      </w:r>
      <w:r>
        <w:tab/>
        <w:t>Section 153 amended</w:t>
      </w:r>
      <w:bookmarkEnd w:id="1051"/>
      <w:bookmarkEnd w:id="1052"/>
      <w:bookmarkEnd w:id="1053"/>
      <w:bookmarkEnd w:id="1054"/>
    </w:p>
    <w:p>
      <w:pPr>
        <w:pStyle w:val="nzSubsection"/>
      </w:pPr>
      <w:r>
        <w:tab/>
        <w:t>(1)</w:t>
      </w:r>
      <w:r>
        <w:tab/>
        <w:t>Section 153(2) is amended as follows:</w:t>
      </w:r>
    </w:p>
    <w:p>
      <w:pPr>
        <w:pStyle w:val="nzIndenta"/>
      </w:pPr>
      <w:r>
        <w:tab/>
        <w:t>(a)</w:t>
      </w:r>
      <w:r>
        <w:tab/>
        <w:t>after paragraph (j) by deleting “and”;</w:t>
      </w:r>
    </w:p>
    <w:p>
      <w:pPr>
        <w:pStyle w:val="nzIndenta"/>
      </w:pPr>
      <w:r>
        <w:tab/>
        <w:t>(b)</w:t>
      </w:r>
      <w:r>
        <w:tab/>
        <w:t>in paragraph (k) by deleting “State.” and inserting instead —</w:t>
      </w:r>
    </w:p>
    <w:p>
      <w:pPr>
        <w:pStyle w:val="MiscOpen"/>
        <w:ind w:left="1340"/>
      </w:pPr>
      <w:r>
        <w:t>“</w:t>
      </w:r>
    </w:p>
    <w:p>
      <w:pPr>
        <w:pStyle w:val="nzIndenta"/>
      </w:pPr>
      <w:r>
        <w:tab/>
      </w:r>
      <w:r>
        <w:tab/>
        <w:t>State;</w:t>
      </w:r>
    </w:p>
    <w:p>
      <w:pPr>
        <w:pStyle w:val="nzIndenta"/>
      </w:pPr>
      <w:r>
        <w:tab/>
        <w:t>(l)</w:t>
      </w:r>
      <w:r>
        <w:tab/>
        <w:t>fees in relation to petroleum operations, safety audits or other services provided by the Minister;</w:t>
      </w:r>
    </w:p>
    <w:p>
      <w:pPr>
        <w:pStyle w:val="nzIndenta"/>
      </w:pPr>
      <w:r>
        <w:tab/>
        <w:t>(m)</w:t>
      </w:r>
      <w:r>
        <w:tab/>
        <w:t xml:space="preserve">any transitional matter arising out of the amendments made to this Act by the </w:t>
      </w:r>
      <w:r>
        <w:rPr>
          <w:i/>
          <w:iCs/>
        </w:rPr>
        <w:t>Petroleum Legislation Amendment and Repeal Act 2005.</w:t>
      </w:r>
    </w:p>
    <w:p>
      <w:pPr>
        <w:pStyle w:val="MiscClose"/>
        <w:ind w:right="577"/>
      </w:pPr>
      <w:r>
        <w:t xml:space="preserve">    ”.</w:t>
      </w:r>
    </w:p>
    <w:p>
      <w:pPr>
        <w:pStyle w:val="nzSubsection"/>
      </w:pPr>
      <w:r>
        <w:tab/>
        <w:t>(2)</w:t>
      </w:r>
      <w:r>
        <w:tab/>
        <w:t>After section 153(2b) the following subsection is inserted —</w:t>
      </w:r>
    </w:p>
    <w:p>
      <w:pPr>
        <w:pStyle w:val="MiscOpen"/>
        <w:ind w:left="600"/>
      </w:pPr>
      <w:r>
        <w:t>“</w:t>
      </w:r>
    </w:p>
    <w:p>
      <w:pPr>
        <w:pStyle w:val="nz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MiscClose"/>
        <w:rPr>
          <w:b/>
          <w:i/>
        </w:rPr>
      </w:pPr>
      <w:r>
        <w:t xml:space="preserve">    ”.</w:t>
      </w:r>
    </w:p>
    <w:p>
      <w:pPr>
        <w:pStyle w:val="nzHeading5"/>
      </w:pPr>
      <w:bookmarkStart w:id="1055" w:name="_Toc80428020"/>
      <w:bookmarkStart w:id="1056" w:name="_Toc99357102"/>
      <w:bookmarkStart w:id="1057" w:name="_Toc99769601"/>
      <w:bookmarkStart w:id="1058" w:name="_Toc112746450"/>
      <w:r>
        <w:rPr>
          <w:rStyle w:val="CharSectno"/>
        </w:rPr>
        <w:t>16</w:t>
      </w:r>
      <w:r>
        <w:t>.</w:t>
      </w:r>
      <w:r>
        <w:tab/>
        <w:t>Various sections amended to delete “the regulations” (</w:t>
      </w:r>
      <w:r>
        <w:rPr>
          <w:i/>
          <w:iCs/>
        </w:rPr>
        <w:t>Interpretation Act 1984</w:t>
      </w:r>
      <w:r>
        <w:t xml:space="preserve"> s. 46)</w:t>
      </w:r>
      <w:bookmarkEnd w:id="1055"/>
      <w:bookmarkEnd w:id="1056"/>
      <w:bookmarkEnd w:id="1057"/>
      <w:bookmarkEnd w:id="1058"/>
    </w:p>
    <w:p>
      <w:pPr>
        <w:pStyle w:val="nzSubsection"/>
      </w:pPr>
      <w:r>
        <w:tab/>
        <w:t>(1)</w:t>
      </w:r>
      <w:r>
        <w:tab/>
        <w:t>The provisions set out in the Table to this section are amended by deleting “or the regulations” in each case.</w:t>
      </w:r>
    </w:p>
    <w:p>
      <w:pPr>
        <w:pStyle w:val="nzMiscellaneousHeading"/>
        <w:outlineLvl w:val="0"/>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pPr>
            <w:r>
              <w:t>s. 8(1) (twice)</w:t>
            </w:r>
          </w:p>
        </w:tc>
        <w:tc>
          <w:tcPr>
            <w:tcW w:w="2836" w:type="dxa"/>
          </w:tcPr>
          <w:p>
            <w:pPr>
              <w:pStyle w:val="nzTable"/>
            </w:pPr>
            <w:r>
              <w:t>s. 121(1) and (2)</w:t>
            </w:r>
          </w:p>
        </w:tc>
      </w:tr>
      <w:tr>
        <w:tc>
          <w:tcPr>
            <w:tcW w:w="1700" w:type="dxa"/>
          </w:tcPr>
          <w:p>
            <w:pPr>
              <w:pStyle w:val="nzTable"/>
            </w:pPr>
            <w:r>
              <w:t>s. 25(1)(a)</w:t>
            </w:r>
          </w:p>
        </w:tc>
        <w:tc>
          <w:tcPr>
            <w:tcW w:w="2836" w:type="dxa"/>
          </w:tcPr>
          <w:p>
            <w:pPr>
              <w:pStyle w:val="nzTable"/>
            </w:pPr>
          </w:p>
        </w:tc>
      </w:tr>
    </w:tbl>
    <w:p>
      <w:pPr>
        <w:pStyle w:val="nzSubsection"/>
        <w:keepNext/>
      </w:pPr>
      <w:r>
        <w:tab/>
        <w:t>(2)</w:t>
      </w:r>
      <w:r>
        <w:tab/>
        <w:t>The provisions set out in the Table to this section are amended by deleting “and the regulations” in each case.</w:t>
      </w:r>
    </w:p>
    <w:p>
      <w:pPr>
        <w:pStyle w:val="nzMiscellaneousHeading"/>
        <w:outlineLvl w:val="0"/>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keepNext/>
            </w:pPr>
            <w:r>
              <w:t>s. 38</w:t>
            </w:r>
          </w:p>
        </w:tc>
        <w:tc>
          <w:tcPr>
            <w:tcW w:w="2836" w:type="dxa"/>
          </w:tcPr>
          <w:p>
            <w:pPr>
              <w:pStyle w:val="nzTable"/>
              <w:keepNext/>
            </w:pPr>
            <w:r>
              <w:t>s. 105(4)</w:t>
            </w:r>
          </w:p>
        </w:tc>
      </w:tr>
      <w:tr>
        <w:tc>
          <w:tcPr>
            <w:tcW w:w="1700" w:type="dxa"/>
          </w:tcPr>
          <w:p>
            <w:pPr>
              <w:pStyle w:val="nzTable"/>
              <w:keepNext/>
            </w:pPr>
            <w:r>
              <w:t>s. 43D</w:t>
            </w:r>
          </w:p>
        </w:tc>
        <w:tc>
          <w:tcPr>
            <w:tcW w:w="2836" w:type="dxa"/>
          </w:tcPr>
          <w:p>
            <w:pPr>
              <w:pStyle w:val="nzTable"/>
              <w:keepNext/>
            </w:pPr>
            <w:r>
              <w:t>s. 106(5)</w:t>
            </w:r>
          </w:p>
        </w:tc>
      </w:tr>
      <w:tr>
        <w:trPr>
          <w:cantSplit/>
        </w:trPr>
        <w:tc>
          <w:tcPr>
            <w:tcW w:w="1700" w:type="dxa"/>
          </w:tcPr>
          <w:p>
            <w:pPr>
              <w:pStyle w:val="nzTable"/>
              <w:keepNext/>
            </w:pPr>
            <w:r>
              <w:t>s. 48C</w:t>
            </w:r>
          </w:p>
        </w:tc>
        <w:tc>
          <w:tcPr>
            <w:tcW w:w="2836" w:type="dxa"/>
          </w:tcPr>
          <w:p>
            <w:pPr>
              <w:pStyle w:val="nzTable"/>
              <w:keepNext/>
            </w:pPr>
            <w:r>
              <w:t>s. 112(6)</w:t>
            </w:r>
          </w:p>
        </w:tc>
      </w:tr>
      <w:tr>
        <w:trPr>
          <w:cantSplit/>
        </w:trPr>
        <w:tc>
          <w:tcPr>
            <w:tcW w:w="1700" w:type="dxa"/>
            <w:tcBorders>
              <w:bottom w:val="nil"/>
            </w:tcBorders>
          </w:tcPr>
          <w:p>
            <w:pPr>
              <w:pStyle w:val="nzTable"/>
            </w:pPr>
            <w:r>
              <w:t>s. 62</w:t>
            </w:r>
          </w:p>
        </w:tc>
        <w:tc>
          <w:tcPr>
            <w:tcW w:w="2836" w:type="dxa"/>
            <w:tcBorders>
              <w:bottom w:val="nil"/>
            </w:tcBorders>
          </w:tcPr>
          <w:p>
            <w:pPr>
              <w:pStyle w:val="nzTable"/>
            </w:pPr>
          </w:p>
        </w:tc>
      </w:tr>
    </w:tbl>
    <w:p>
      <w:pPr>
        <w:pStyle w:val="nzHeading5"/>
      </w:pPr>
      <w:bookmarkStart w:id="1059" w:name="_Toc80428021"/>
      <w:bookmarkStart w:id="1060" w:name="_Toc99357103"/>
      <w:bookmarkStart w:id="1061" w:name="_Toc99769602"/>
      <w:bookmarkStart w:id="1062" w:name="_Toc112746451"/>
      <w:r>
        <w:rPr>
          <w:rStyle w:val="CharSectno"/>
        </w:rPr>
        <w:t>17</w:t>
      </w:r>
      <w:r>
        <w:t>.</w:t>
      </w:r>
      <w:r>
        <w:tab/>
        <w:t>Schedule replaced with Schedule 1</w:t>
      </w:r>
      <w:bookmarkEnd w:id="1059"/>
      <w:bookmarkEnd w:id="1060"/>
      <w:bookmarkEnd w:id="1061"/>
      <w:bookmarkEnd w:id="1062"/>
    </w:p>
    <w:p>
      <w:pPr>
        <w:pStyle w:val="nzSubsection"/>
      </w:pPr>
      <w:r>
        <w:tab/>
      </w:r>
      <w:r>
        <w:tab/>
        <w:t>The Schedule is repealed and the following Schedule is inserted instead —</w:t>
      </w:r>
    </w:p>
    <w:p>
      <w:pPr>
        <w:pStyle w:val="MiscOpen"/>
      </w:pPr>
      <w:r>
        <w:t>“</w:t>
      </w:r>
    </w:p>
    <w:p>
      <w:pPr>
        <w:pStyle w:val="nzHeading2"/>
        <w:outlineLvl w:val="0"/>
      </w:pPr>
      <w:bookmarkStart w:id="1063" w:name="_Toc112746327"/>
      <w:bookmarkStart w:id="1064" w:name="_Toc112746452"/>
      <w:r>
        <w:t>Schedule 1 — Occupational safety and health</w:t>
      </w:r>
      <w:bookmarkEnd w:id="1063"/>
      <w:bookmarkEnd w:id="1064"/>
    </w:p>
    <w:p>
      <w:pPr>
        <w:pStyle w:val="nzMiscellaneousBody"/>
        <w:jc w:val="right"/>
      </w:pPr>
      <w:r>
        <w:t>[s. 149A]</w:t>
      </w:r>
    </w:p>
    <w:p>
      <w:pPr>
        <w:pStyle w:val="nzHeading3"/>
        <w:outlineLvl w:val="0"/>
      </w:pPr>
      <w:bookmarkStart w:id="1065" w:name="_Toc112746328"/>
      <w:bookmarkStart w:id="1066" w:name="_Toc112746453"/>
      <w:r>
        <w:t>Division 1</w:t>
      </w:r>
      <w:r>
        <w:rPr>
          <w:b w:val="0"/>
        </w:rPr>
        <w:t> — </w:t>
      </w:r>
      <w:r>
        <w:t>Introduction</w:t>
      </w:r>
      <w:bookmarkEnd w:id="1065"/>
      <w:bookmarkEnd w:id="1066"/>
    </w:p>
    <w:p>
      <w:pPr>
        <w:pStyle w:val="nzHeading5"/>
      </w:pPr>
      <w:r>
        <w:t>1.</w:t>
      </w:r>
      <w:r>
        <w:rPr>
          <w:b w:val="0"/>
        </w:rPr>
        <w:tab/>
      </w:r>
      <w:r>
        <w:t>Objects</w:t>
      </w:r>
    </w:p>
    <w:p>
      <w:pPr>
        <w:pStyle w:val="nzSubsection"/>
      </w:pPr>
      <w:r>
        <w:tab/>
      </w:r>
      <w:r>
        <w:tab/>
        <w:t>The objects of this Schedule are, in relation to petroleum operations —</w:t>
      </w:r>
    </w:p>
    <w:p>
      <w:pPr>
        <w:pStyle w:val="nzIndenta"/>
      </w:pPr>
      <w:r>
        <w:tab/>
        <w:t>(a)</w:t>
      </w:r>
      <w:r>
        <w:tab/>
        <w:t>to secure the occupational safety and health of persons engaged in those operations;</w:t>
      </w:r>
    </w:p>
    <w:p>
      <w:pPr>
        <w:pStyle w:val="nzIndenta"/>
      </w:pPr>
      <w:r>
        <w:tab/>
        <w:t>(b)</w:t>
      </w:r>
      <w:r>
        <w:tab/>
        <w:t>to protect persons in the vicinity of those operations at the invitation of, or with the express or implied consent of, the operators of, or persons in control of a part of, those operations from risks to safety and health arising out of those operations;</w:t>
      </w:r>
    </w:p>
    <w:p>
      <w:pPr>
        <w:pStyle w:val="nzIndenta"/>
      </w:pPr>
      <w:r>
        <w:tab/>
        <w:t>(c)</w:t>
      </w:r>
      <w:r>
        <w:tab/>
        <w:t>to ensure that expert advice is available on occupational safety and health matters in relation to those operations;</w:t>
      </w:r>
    </w:p>
    <w:p>
      <w:pPr>
        <w:pStyle w:val="nzIndenta"/>
      </w:pPr>
      <w:r>
        <w:tab/>
        <w:t>(d)</w:t>
      </w:r>
      <w:r>
        <w:tab/>
        <w:t>to promote an occupational environment for members of the workforce engaged in those operations that is adapted to their needs relating to safety and health; and</w:t>
      </w:r>
    </w:p>
    <w:p>
      <w:pPr>
        <w:pStyle w:val="nzIndenta"/>
      </w:pPr>
      <w:r>
        <w:tab/>
        <w:t>(e)</w:t>
      </w:r>
      <w:r>
        <w:tab/>
        <w:t>to foster a consultative relationship between all relevant persons concerning the safety and health of members of the workforce engaged in those operations.</w:t>
      </w:r>
    </w:p>
    <w:p>
      <w:pPr>
        <w:pStyle w:val="nzHeading5"/>
      </w:pPr>
      <w:r>
        <w:t>2.</w:t>
      </w:r>
      <w:r>
        <w:rPr>
          <w:b w:val="0"/>
        </w:rPr>
        <w:tab/>
      </w:r>
      <w:r>
        <w:t>Simplified outline</w:t>
      </w:r>
    </w:p>
    <w:p>
      <w:pPr>
        <w:pStyle w:val="nzSubsection"/>
      </w:pPr>
      <w:r>
        <w:tab/>
      </w:r>
      <w:r>
        <w:tab/>
        <w:t>The following is a simplified outline of this Schedule —</w:t>
      </w:r>
    </w:p>
    <w:p>
      <w:pPr>
        <w:pStyle w:val="nzIndenta"/>
        <w:numPr>
          <w:ilvl w:val="0"/>
          <w:numId w:val="16"/>
        </w:numPr>
        <w:tabs>
          <w:tab w:val="clear" w:pos="1899"/>
          <w:tab w:val="clear" w:pos="2052"/>
          <w:tab w:val="clear" w:pos="2183"/>
          <w:tab w:val="num" w:pos="1800"/>
        </w:tabs>
        <w:ind w:left="1800"/>
      </w:pPr>
      <w:r>
        <w:t>This Schedule sets up a scheme to regulate occupational safety and health matters relating to petroleum operations.</w:t>
      </w:r>
    </w:p>
    <w:p>
      <w:pPr>
        <w:pStyle w:val="nzIndenta"/>
        <w:keepNext/>
        <w:numPr>
          <w:ilvl w:val="0"/>
          <w:numId w:val="16"/>
        </w:numPr>
        <w:tabs>
          <w:tab w:val="clear" w:pos="1899"/>
          <w:tab w:val="clear" w:pos="2052"/>
          <w:tab w:val="clear" w:pos="2183"/>
          <w:tab w:val="num" w:pos="1800"/>
        </w:tabs>
        <w:ind w:left="1800"/>
      </w:pPr>
      <w:r>
        <w:t>Occupational safety and health duties are imposed on the following —</w:t>
      </w:r>
    </w:p>
    <w:p>
      <w:pPr>
        <w:pStyle w:val="nzIndenti"/>
      </w:pPr>
      <w:r>
        <w:tab/>
        <w:t>(a)</w:t>
      </w:r>
      <w:r>
        <w:tab/>
        <w:t>the operator of a petroleum operation;</w:t>
      </w:r>
    </w:p>
    <w:p>
      <w:pPr>
        <w:pStyle w:val="nzIndenti"/>
      </w:pPr>
      <w:r>
        <w:tab/>
        <w:t>(b)</w:t>
      </w:r>
      <w:r>
        <w:tab/>
        <w:t>a person in control of any part of a petroleum operation;</w:t>
      </w:r>
    </w:p>
    <w:p>
      <w:pPr>
        <w:pStyle w:val="nzIndenti"/>
      </w:pPr>
      <w:r>
        <w:tab/>
        <w:t>(c)</w:t>
      </w:r>
      <w:r>
        <w:tab/>
        <w:t>an employer;</w:t>
      </w:r>
    </w:p>
    <w:p>
      <w:pPr>
        <w:pStyle w:val="nzIndenti"/>
      </w:pPr>
      <w:r>
        <w:tab/>
        <w:t>(d)</w:t>
      </w:r>
      <w:r>
        <w:tab/>
        <w:t>a manufacturer of plant, or a substance, for use in a petroleum operation;</w:t>
      </w:r>
    </w:p>
    <w:p>
      <w:pPr>
        <w:pStyle w:val="nzIndenti"/>
      </w:pPr>
      <w:r>
        <w:tab/>
        <w:t>(e)</w:t>
      </w:r>
      <w:r>
        <w:tab/>
        <w:t>a supplier of a facility, or of any plant or substance, for use in a petroleum operation;</w:t>
      </w:r>
    </w:p>
    <w:p>
      <w:pPr>
        <w:pStyle w:val="nzIndenti"/>
      </w:pPr>
      <w:r>
        <w:tab/>
        <w:t>(f)</w:t>
      </w:r>
      <w:r>
        <w:tab/>
        <w:t>a person who erects or installs a facility, or any plant, for use in a petroleum operation;</w:t>
      </w:r>
    </w:p>
    <w:p>
      <w:pPr>
        <w:pStyle w:val="nzIndenti"/>
      </w:pPr>
      <w:r>
        <w:tab/>
        <w:t>(g)</w:t>
      </w:r>
      <w:r>
        <w:tab/>
        <w:t>a person engaged in a petroleum operation.</w:t>
      </w:r>
    </w:p>
    <w:p>
      <w:pPr>
        <w:pStyle w:val="nzIndenta"/>
        <w:numPr>
          <w:ilvl w:val="0"/>
          <w:numId w:val="16"/>
        </w:numPr>
        <w:tabs>
          <w:tab w:val="clear" w:pos="1899"/>
          <w:tab w:val="clear" w:pos="2052"/>
          <w:tab w:val="clear" w:pos="2183"/>
          <w:tab w:val="num" w:pos="1800"/>
        </w:tabs>
        <w:ind w:left="1800"/>
      </w:pPr>
      <w:r>
        <w:t>A group of members of the workforce engaged in a petroleum operation may be established as a designated work group.</w:t>
      </w:r>
    </w:p>
    <w:p>
      <w:pPr>
        <w:pStyle w:val="nzIndenta"/>
        <w:numPr>
          <w:ilvl w:val="0"/>
          <w:numId w:val="16"/>
        </w:numPr>
        <w:tabs>
          <w:tab w:val="clear" w:pos="1899"/>
          <w:tab w:val="clear" w:pos="2052"/>
          <w:tab w:val="clear" w:pos="2183"/>
          <w:tab w:val="num" w:pos="1800"/>
        </w:tabs>
        <w:ind w:left="1800"/>
      </w:pPr>
      <w:r>
        <w:t>The members of a designated work group may select a safety and health representative for that designated work group.</w:t>
      </w:r>
    </w:p>
    <w:p>
      <w:pPr>
        <w:pStyle w:val="nzIndenta"/>
        <w:numPr>
          <w:ilvl w:val="0"/>
          <w:numId w:val="16"/>
        </w:numPr>
        <w:tabs>
          <w:tab w:val="clear" w:pos="1899"/>
          <w:tab w:val="clear" w:pos="2052"/>
          <w:tab w:val="clear" w:pos="2183"/>
          <w:tab w:val="num" w:pos="1800"/>
        </w:tabs>
        <w:ind w:left="1800"/>
      </w:pPr>
      <w:r>
        <w:t>The safety and health representative may exercise certain powers for the purpose of promoting or ensuring the occupational safety and health of group members.</w:t>
      </w:r>
    </w:p>
    <w:p>
      <w:pPr>
        <w:pStyle w:val="nzIndenta"/>
        <w:numPr>
          <w:ilvl w:val="0"/>
          <w:numId w:val="16"/>
        </w:numPr>
        <w:tabs>
          <w:tab w:val="clear" w:pos="1899"/>
          <w:tab w:val="clear" w:pos="2052"/>
          <w:tab w:val="clear" w:pos="2183"/>
          <w:tab w:val="num" w:pos="1800"/>
        </w:tabs>
        <w:ind w:left="1800"/>
      </w:pPr>
      <w:r>
        <w:t>An inspector may conduct an inspection —</w:t>
      </w:r>
    </w:p>
    <w:p>
      <w:pPr>
        <w:pStyle w:val="nzIndenti"/>
      </w:pPr>
      <w:r>
        <w:tab/>
        <w:t>(a)</w:t>
      </w:r>
      <w:r>
        <w:tab/>
        <w:t>to ascertain whether a listed OSH law is being complied with;</w:t>
      </w:r>
    </w:p>
    <w:p>
      <w:pPr>
        <w:pStyle w:val="nzIndenti"/>
      </w:pPr>
      <w:r>
        <w:tab/>
        <w:t>(b)</w:t>
      </w:r>
      <w:r>
        <w:tab/>
        <w:t>concerning a contravention or a possible contravention of a listed OSH law; or</w:t>
      </w:r>
    </w:p>
    <w:p>
      <w:pPr>
        <w:pStyle w:val="nzIndenti"/>
      </w:pPr>
      <w:r>
        <w:tab/>
        <w:t>(c)</w:t>
      </w:r>
      <w:r>
        <w:tab/>
        <w:t>concerning an accident or dangerous occurrence that has happened at or near a place at which a petroleum operation is carried on.</w:t>
      </w:r>
    </w:p>
    <w:p>
      <w:pPr>
        <w:pStyle w:val="nzIndenta"/>
        <w:numPr>
          <w:ilvl w:val="0"/>
          <w:numId w:val="16"/>
        </w:numPr>
        <w:tabs>
          <w:tab w:val="clear" w:pos="1899"/>
          <w:tab w:val="clear" w:pos="2052"/>
          <w:tab w:val="clear" w:pos="2183"/>
          <w:tab w:val="num" w:pos="1800"/>
        </w:tabs>
        <w:ind w:left="1800"/>
      </w:pPr>
      <w:r>
        <w:t>The operator of a petroleum operation must report to the Minister accidents and dangerous occurrences arising out of the petroleum operation.</w:t>
      </w:r>
    </w:p>
    <w:p>
      <w:pPr>
        <w:pStyle w:val="nzHeading5"/>
      </w:pPr>
      <w:r>
        <w:t>3.</w:t>
      </w:r>
      <w:r>
        <w:rPr>
          <w:b w:val="0"/>
        </w:rPr>
        <w:tab/>
      </w:r>
      <w:r>
        <w:t>Definitions</w:t>
      </w:r>
    </w:p>
    <w:p>
      <w:pPr>
        <w:pStyle w:val="nzSubsection"/>
      </w:pPr>
      <w:r>
        <w:tab/>
      </w:r>
      <w:r>
        <w:tab/>
        <w:t>In this Schedule —</w:t>
      </w:r>
    </w:p>
    <w:p>
      <w:pPr>
        <w:pStyle w:val="nzDefstart"/>
      </w:pPr>
      <w:r>
        <w:tab/>
      </w:r>
      <w:r>
        <w:rPr>
          <w:b/>
        </w:rPr>
        <w:t>“</w:t>
      </w:r>
      <w:r>
        <w:rPr>
          <w:rStyle w:val="CharDefText"/>
        </w:rPr>
        <w:t>accident</w:t>
      </w:r>
      <w:r>
        <w:rPr>
          <w:b/>
        </w:rPr>
        <w:t>”</w:t>
      </w:r>
      <w:r>
        <w:t xml:space="preserve"> </w:t>
      </w:r>
      <w:r>
        <w:rPr>
          <w:bCs/>
        </w:rPr>
        <w:t>includes</w:t>
      </w:r>
      <w:r>
        <w:t xml:space="preserve"> the contraction of a disease;</w:t>
      </w:r>
    </w:p>
    <w:p>
      <w:pPr>
        <w:pStyle w:val="nzDefstart"/>
      </w:pPr>
      <w:r>
        <w:tab/>
      </w:r>
      <w:r>
        <w:rPr>
          <w:b/>
          <w:bCs/>
        </w:rPr>
        <w:t>“</w:t>
      </w:r>
      <w:r>
        <w:rPr>
          <w:rStyle w:val="CharDefText"/>
        </w:rPr>
        <w:t>contract</w:t>
      </w:r>
      <w:r>
        <w:rPr>
          <w:b/>
          <w:bCs/>
        </w:rPr>
        <w:t>”</w:t>
      </w:r>
      <w:r>
        <w:t xml:space="preserve"> includes an arrangement or understanding;</w:t>
      </w:r>
    </w:p>
    <w:p>
      <w:pPr>
        <w:pStyle w:val="nzDefstart"/>
      </w:pPr>
      <w:r>
        <w:tab/>
      </w:r>
      <w:r>
        <w:rPr>
          <w:b/>
          <w:bCs/>
        </w:rPr>
        <w:t>“</w:t>
      </w:r>
      <w:r>
        <w:rPr>
          <w:rStyle w:val="CharDefText"/>
        </w:rPr>
        <w:t>contractor</w:t>
      </w:r>
      <w:r>
        <w:rPr>
          <w:b/>
          <w:bCs/>
        </w:rPr>
        <w:t>”</w:t>
      </w:r>
      <w:r>
        <w:t xml:space="preserve"> has the meaning given by clause 6;</w:t>
      </w:r>
    </w:p>
    <w:p>
      <w:pPr>
        <w:pStyle w:val="nz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nzDefstart"/>
        <w:keepNext/>
      </w:pPr>
      <w:r>
        <w:tab/>
      </w:r>
      <w:r>
        <w:rPr>
          <w:b/>
        </w:rPr>
        <w:t>“</w:t>
      </w:r>
      <w:r>
        <w:rPr>
          <w:rStyle w:val="CharDefText"/>
        </w:rPr>
        <w:t>designated work group</w:t>
      </w:r>
      <w:r>
        <w:rPr>
          <w:b/>
        </w:rPr>
        <w:t>”</w:t>
      </w:r>
      <w:r>
        <w:t xml:space="preserve"> means —</w:t>
      </w:r>
    </w:p>
    <w:p>
      <w:pPr>
        <w:pStyle w:val="nzDefpara"/>
      </w:pPr>
      <w:r>
        <w:tab/>
        <w:t>(a)</w:t>
      </w:r>
      <w:r>
        <w:tab/>
        <w:t>a group of members of the workforce engaged in a petroleum operation that is established as a designated work group under clause 17 or 18; or</w:t>
      </w:r>
    </w:p>
    <w:p>
      <w:pPr>
        <w:pStyle w:val="nzDefpara"/>
      </w:pPr>
      <w:r>
        <w:tab/>
        <w:t>(b)</w:t>
      </w:r>
      <w:r>
        <w:tab/>
        <w:t>that group as varied in accordance with clause 19 or 20;</w:t>
      </w:r>
    </w:p>
    <w:p>
      <w:pPr>
        <w:pStyle w:val="nzDefstart"/>
      </w:pPr>
      <w:r>
        <w:tab/>
      </w:r>
      <w:r>
        <w:rPr>
          <w:b/>
        </w:rPr>
        <w:t>“</w:t>
      </w:r>
      <w:r>
        <w:rPr>
          <w:rStyle w:val="CharDefText"/>
        </w:rPr>
        <w:t>employee</w:t>
      </w:r>
      <w:r>
        <w:rPr>
          <w:b/>
        </w:rPr>
        <w:t>”</w:t>
      </w:r>
      <w:r>
        <w:t>, in relation to an employer, means an employee of that employer;</w:t>
      </w:r>
    </w:p>
    <w:p>
      <w:pPr>
        <w:pStyle w:val="nzDefstart"/>
      </w:pPr>
      <w:r>
        <w:tab/>
      </w:r>
      <w:r>
        <w:rPr>
          <w:b/>
        </w:rPr>
        <w:t>“</w:t>
      </w:r>
      <w:r>
        <w:rPr>
          <w:rStyle w:val="CharDefText"/>
        </w:rPr>
        <w:t>employer</w:t>
      </w:r>
      <w:r>
        <w:rPr>
          <w:b/>
        </w:rPr>
        <w:t>”</w:t>
      </w:r>
      <w:r>
        <w:t xml:space="preserve"> means an employer who carries on a petroleum operation;</w:t>
      </w:r>
    </w:p>
    <w:p>
      <w:pPr>
        <w:pStyle w:val="nzDefstart"/>
      </w:pPr>
      <w:r>
        <w:tab/>
      </w:r>
      <w:r>
        <w:rPr>
          <w:b/>
        </w:rPr>
        <w:t>“</w:t>
      </w:r>
      <w:r>
        <w:rPr>
          <w:rStyle w:val="CharDefText"/>
        </w:rPr>
        <w:t>group member</w:t>
      </w:r>
      <w:r>
        <w:rPr>
          <w:b/>
        </w:rPr>
        <w:t>”</w:t>
      </w:r>
      <w:r>
        <w:t>, in relation to a designated work group for a petroleum operation, means a person who is —</w:t>
      </w:r>
    </w:p>
    <w:p>
      <w:pPr>
        <w:pStyle w:val="nzDefpara"/>
      </w:pPr>
      <w:r>
        <w:tab/>
        <w:t>(a)</w:t>
      </w:r>
      <w:r>
        <w:tab/>
        <w:t>a member of the workforce engaged in that operation; and</w:t>
      </w:r>
    </w:p>
    <w:p>
      <w:pPr>
        <w:pStyle w:val="nzDefpara"/>
      </w:pPr>
      <w:r>
        <w:tab/>
        <w:t>(b)</w:t>
      </w:r>
      <w:r>
        <w:tab/>
        <w:t>included in that designated work group;</w:t>
      </w:r>
    </w:p>
    <w:p>
      <w:pPr>
        <w:pStyle w:val="nzDefstart"/>
      </w:pPr>
      <w:r>
        <w:tab/>
      </w:r>
      <w:r>
        <w:rPr>
          <w:b/>
        </w:rPr>
        <w:t>“</w:t>
      </w:r>
      <w:r>
        <w:rPr>
          <w:rStyle w:val="CharDefText"/>
        </w:rPr>
        <w:t>improvement notice</w:t>
      </w:r>
      <w:r>
        <w:rPr>
          <w:b/>
        </w:rPr>
        <w:t>”</w:t>
      </w:r>
      <w:r>
        <w:t xml:space="preserve"> means an improvement notice issued under clause 60(1);</w:t>
      </w:r>
    </w:p>
    <w:p>
      <w:pPr>
        <w:pStyle w:val="nzDefstart"/>
      </w:pPr>
      <w:r>
        <w:tab/>
      </w:r>
      <w:r>
        <w:rPr>
          <w:b/>
        </w:rPr>
        <w:t>“</w:t>
      </w:r>
      <w:r>
        <w:rPr>
          <w:rStyle w:val="CharDefText"/>
        </w:rPr>
        <w:t>inspection</w:t>
      </w:r>
      <w:r>
        <w:rPr>
          <w:b/>
        </w:rPr>
        <w:t>”</w:t>
      </w:r>
      <w:r>
        <w:t xml:space="preserve"> means an inspection conducted under Division 4 and includes an investigation or inquiry;</w:t>
      </w:r>
    </w:p>
    <w:p>
      <w:pPr>
        <w:pStyle w:val="nzDefstart"/>
      </w:pPr>
      <w:r>
        <w:tab/>
      </w:r>
      <w:r>
        <w:rPr>
          <w:b/>
        </w:rPr>
        <w:t>“</w:t>
      </w:r>
      <w:r>
        <w:rPr>
          <w:rStyle w:val="CharDefText"/>
        </w:rPr>
        <w:t>member of the workforce</w:t>
      </w:r>
      <w:r>
        <w:rPr>
          <w:b/>
        </w:rPr>
        <w:t>”</w:t>
      </w:r>
      <w:r>
        <w:t>, in relation to a petroleum operation, means a natural person who is engaged in the operation, whether —</w:t>
      </w:r>
    </w:p>
    <w:p>
      <w:pPr>
        <w:pStyle w:val="nzDefpara"/>
      </w:pPr>
      <w:r>
        <w:tab/>
        <w:t>(a)</w:t>
      </w:r>
      <w:r>
        <w:tab/>
        <w:t>as an employee of the operator or of another person; or</w:t>
      </w:r>
    </w:p>
    <w:p>
      <w:pPr>
        <w:pStyle w:val="nzDefpara"/>
      </w:pPr>
      <w:r>
        <w:tab/>
        <w:t>(b)</w:t>
      </w:r>
      <w:r>
        <w:tab/>
        <w:t>as a contractor of the operator or of another person;</w:t>
      </w:r>
    </w:p>
    <w:p>
      <w:pPr>
        <w:pStyle w:val="nzDefstart"/>
      </w:pPr>
      <w:r>
        <w:tab/>
      </w:r>
      <w:r>
        <w:rPr>
          <w:b/>
        </w:rPr>
        <w:t>“</w:t>
      </w:r>
      <w:r>
        <w:rPr>
          <w:rStyle w:val="CharDefText"/>
        </w:rPr>
        <w:t>operator’s representative</w:t>
      </w:r>
      <w:r>
        <w:rPr>
          <w:b/>
        </w:rPr>
        <w:t>”</w:t>
      </w:r>
      <w:r>
        <w:t xml:space="preserve"> means a person present at a workplace in compliance with the obligations imposed on the operator by clause 4;</w:t>
      </w:r>
    </w:p>
    <w:p>
      <w:pPr>
        <w:pStyle w:val="nzDefstart"/>
      </w:pPr>
      <w:r>
        <w:tab/>
      </w:r>
      <w:r>
        <w:rPr>
          <w:b/>
        </w:rPr>
        <w:t>“</w:t>
      </w:r>
      <w:r>
        <w:rPr>
          <w:rStyle w:val="CharDefText"/>
        </w:rPr>
        <w:t>own</w:t>
      </w:r>
      <w:r>
        <w:rPr>
          <w:b/>
        </w:rPr>
        <w:t>”</w:t>
      </w:r>
      <w:r>
        <w:t xml:space="preserve"> includes own jointly and own in part;</w:t>
      </w:r>
    </w:p>
    <w:p>
      <w:pPr>
        <w:pStyle w:val="nzDefstart"/>
      </w:pPr>
      <w:r>
        <w:tab/>
      </w:r>
      <w:r>
        <w:rPr>
          <w:b/>
        </w:rPr>
        <w:t>“</w:t>
      </w:r>
      <w:r>
        <w:rPr>
          <w:rStyle w:val="CharDefText"/>
        </w:rPr>
        <w:t>plant</w:t>
      </w:r>
      <w:r>
        <w:rPr>
          <w:b/>
        </w:rPr>
        <w:t>”</w:t>
      </w:r>
      <w:r>
        <w:t xml:space="preserve"> includes any machinery, equipment or tool, or any component;</w:t>
      </w:r>
    </w:p>
    <w:p>
      <w:pPr>
        <w:pStyle w:val="nzDefstart"/>
      </w:pPr>
      <w:r>
        <w:tab/>
      </w:r>
      <w:r>
        <w:rPr>
          <w:b/>
        </w:rPr>
        <w:t>“</w:t>
      </w:r>
      <w:r>
        <w:rPr>
          <w:rStyle w:val="CharDefText"/>
        </w:rPr>
        <w:t>premises</w:t>
      </w:r>
      <w:r>
        <w:rPr>
          <w:b/>
        </w:rPr>
        <w:t>”</w:t>
      </w:r>
      <w:r>
        <w:t xml:space="preserve"> includes the following —</w:t>
      </w:r>
    </w:p>
    <w:p>
      <w:pPr>
        <w:pStyle w:val="nzDefpara"/>
      </w:pPr>
      <w:r>
        <w:tab/>
        <w:t>(a)</w:t>
      </w:r>
      <w:r>
        <w:tab/>
        <w:t>a structure or building;</w:t>
      </w:r>
    </w:p>
    <w:p>
      <w:pPr>
        <w:pStyle w:val="nzDefpara"/>
      </w:pPr>
      <w:r>
        <w:tab/>
        <w:t>(b)</w:t>
      </w:r>
      <w:r>
        <w:tab/>
        <w:t>a place (whether or not enclosed or built on);</w:t>
      </w:r>
    </w:p>
    <w:p>
      <w:pPr>
        <w:pStyle w:val="nzDefpara"/>
      </w:pPr>
      <w:r>
        <w:tab/>
        <w:t>(c)</w:t>
      </w:r>
      <w:r>
        <w:tab/>
        <w:t>a part of a thing referred to in paragraph (a) or (b);</w:t>
      </w:r>
    </w:p>
    <w:p>
      <w:pPr>
        <w:pStyle w:val="nzDefstart"/>
      </w:pPr>
      <w:r>
        <w:tab/>
      </w:r>
      <w:r>
        <w:rPr>
          <w:b/>
        </w:rPr>
        <w:t>“</w:t>
      </w:r>
      <w:r>
        <w:rPr>
          <w:rStyle w:val="CharDefText"/>
        </w:rPr>
        <w:t>prohibition notice</w:t>
      </w:r>
      <w:r>
        <w:rPr>
          <w:b/>
        </w:rPr>
        <w:t>”</w:t>
      </w:r>
      <w:r>
        <w:t xml:space="preserve"> means a prohibition notice issued under clause 58(1);</w:t>
      </w:r>
    </w:p>
    <w:p>
      <w:pPr>
        <w:pStyle w:val="nzDefstart"/>
      </w:pPr>
      <w:r>
        <w:tab/>
      </w:r>
      <w:r>
        <w:rPr>
          <w:b/>
        </w:rPr>
        <w:t>“</w:t>
      </w:r>
      <w:r>
        <w:rPr>
          <w:rStyle w:val="CharDefText"/>
        </w:rPr>
        <w:t>registered organisation</w:t>
      </w:r>
      <w:r>
        <w:rPr>
          <w:b/>
        </w:rPr>
        <w:t>”</w:t>
      </w:r>
      <w:r>
        <w:t xml:space="preserve"> means an organisation —</w:t>
      </w:r>
    </w:p>
    <w:p>
      <w:pPr>
        <w:pStyle w:val="nzDefpara"/>
      </w:pPr>
      <w:r>
        <w:tab/>
        <w:t>(a)</w:t>
      </w:r>
      <w:r>
        <w:tab/>
        <w:t xml:space="preserve">within the meaning of the </w:t>
      </w:r>
      <w:r>
        <w:rPr>
          <w:i/>
          <w:iCs/>
        </w:rPr>
        <w:t xml:space="preserve">Workplace Relations Act 1996 </w:t>
      </w:r>
      <w:r>
        <w:t>of the Commonwealth; or</w:t>
      </w:r>
    </w:p>
    <w:p>
      <w:pPr>
        <w:pStyle w:val="nzDefpara"/>
      </w:pPr>
      <w:r>
        <w:tab/>
        <w:t>(b)</w:t>
      </w:r>
      <w:r>
        <w:tab/>
        <w:t xml:space="preserve">as defined in section 7(1) of the </w:t>
      </w:r>
      <w:r>
        <w:rPr>
          <w:i/>
        </w:rPr>
        <w:t>Industrial Relations Act 1979</w:t>
      </w:r>
      <w:r>
        <w:t>;</w:t>
      </w:r>
    </w:p>
    <w:p>
      <w:pPr>
        <w:pStyle w:val="nzDefstart"/>
      </w:pPr>
      <w:r>
        <w:tab/>
      </w:r>
      <w:r>
        <w:rPr>
          <w:b/>
        </w:rPr>
        <w:t>“</w:t>
      </w:r>
      <w:r>
        <w:rPr>
          <w:rStyle w:val="CharDefText"/>
        </w:rPr>
        <w:t>regulated business premises</w:t>
      </w:r>
      <w:r>
        <w:rPr>
          <w:b/>
        </w:rPr>
        <w:t>”</w:t>
      </w:r>
      <w:r>
        <w:t xml:space="preserve"> means —</w:t>
      </w:r>
    </w:p>
    <w:p>
      <w:pPr>
        <w:pStyle w:val="nzDefpara"/>
      </w:pPr>
      <w:r>
        <w:tab/>
        <w:t>(a)</w:t>
      </w:r>
      <w:r>
        <w:tab/>
        <w:t>a place where a petroleum operation is carried on; or</w:t>
      </w:r>
    </w:p>
    <w:p>
      <w:pPr>
        <w:pStyle w:val="nzDefpara"/>
      </w:pPr>
      <w:r>
        <w:tab/>
        <w:t>(b)</w:t>
      </w:r>
      <w:r>
        <w:tab/>
        <w:t>premises that are —</w:t>
      </w:r>
    </w:p>
    <w:p>
      <w:pPr>
        <w:pStyle w:val="nzDefsubpara"/>
      </w:pPr>
      <w:r>
        <w:tab/>
        <w:t>(i)</w:t>
      </w:r>
      <w:r>
        <w:tab/>
        <w:t>occupied by a person who is the operator of a petroleum operation; and</w:t>
      </w:r>
    </w:p>
    <w:p>
      <w:pPr>
        <w:pStyle w:val="nzDefsubpara"/>
      </w:pPr>
      <w:r>
        <w:tab/>
        <w:t>(ii)</w:t>
      </w:r>
      <w:r>
        <w:tab/>
        <w:t>used, or proposed to be used, wholly or principally in connection with a petroleum operation;</w:t>
      </w:r>
    </w:p>
    <w:p>
      <w:pPr>
        <w:pStyle w:val="nzDefstart"/>
      </w:pPr>
      <w:r>
        <w:tab/>
      </w:r>
      <w:r>
        <w:rPr>
          <w:b/>
        </w:rPr>
        <w:t>“</w:t>
      </w:r>
      <w:r>
        <w:rPr>
          <w:rStyle w:val="CharDefText"/>
        </w:rPr>
        <w:t>regulations</w:t>
      </w:r>
      <w:r>
        <w:rPr>
          <w:b/>
        </w:rPr>
        <w:t>”</w:t>
      </w:r>
      <w:r>
        <w:t xml:space="preserve"> means regulations made for the purposes of this Schedule;</w:t>
      </w:r>
    </w:p>
    <w:p>
      <w:pPr>
        <w:pStyle w:val="nzDefstart"/>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nzDefstart"/>
      </w:pPr>
      <w:r>
        <w:tab/>
      </w:r>
      <w:r>
        <w:rPr>
          <w:b/>
        </w:rPr>
        <w:t>“</w:t>
      </w:r>
      <w:r>
        <w:rPr>
          <w:rStyle w:val="CharDefText"/>
        </w:rPr>
        <w:t>work</w:t>
      </w:r>
      <w:r>
        <w:rPr>
          <w:b/>
        </w:rPr>
        <w:t>”</w:t>
      </w:r>
      <w:r>
        <w:t xml:space="preserve"> means work that is directly or indirectly related to a petroleum operation;</w:t>
      </w:r>
    </w:p>
    <w:p>
      <w:pPr>
        <w:pStyle w:val="nzDefstart"/>
      </w:pPr>
      <w:r>
        <w:tab/>
      </w:r>
      <w:r>
        <w:rPr>
          <w:b/>
        </w:rPr>
        <w:t>“</w:t>
      </w:r>
      <w:r>
        <w:rPr>
          <w:rStyle w:val="CharDefText"/>
        </w:rPr>
        <w:t>workforce representative</w:t>
      </w:r>
      <w:r>
        <w:rPr>
          <w:b/>
        </w:rPr>
        <w:t>”</w:t>
      </w:r>
      <w:r>
        <w:t xml:space="preserve"> means —</w:t>
      </w:r>
    </w:p>
    <w:p>
      <w:pPr>
        <w:pStyle w:val="nzDefpara"/>
      </w:pPr>
      <w:r>
        <w:tab/>
        <w:t>(a)</w:t>
      </w:r>
      <w:r>
        <w:tab/>
        <w:t>in relation to a person who is a member of the workforce engaged in a petroleum operation — a registered organisation of which that person is a member, if the person is qualified to be a member of that organisation because of the work the person performs in relation to the petroleum operation; or</w:t>
      </w:r>
    </w:p>
    <w:p>
      <w:pPr>
        <w:pStyle w:val="nz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as a member of the group;</w:t>
      </w:r>
    </w:p>
    <w:p>
      <w:pPr>
        <w:pStyle w:val="nzDefstart"/>
      </w:pPr>
      <w:r>
        <w:tab/>
      </w:r>
      <w:r>
        <w:rPr>
          <w:b/>
        </w:rPr>
        <w:t>“</w:t>
      </w:r>
      <w:r>
        <w:rPr>
          <w:rStyle w:val="CharDefText"/>
        </w:rPr>
        <w:t>work group employer</w:t>
      </w:r>
      <w:r>
        <w:rPr>
          <w:b/>
        </w:rPr>
        <w:t>”</w:t>
      </w:r>
      <w:r>
        <w:t>, in relation to a designated work group in relation to a petroleum operation, means an employer of one or more group members, but does not include the operator of the petroleum operation;</w:t>
      </w:r>
    </w:p>
    <w:p>
      <w:pPr>
        <w:pStyle w:val="nzDefstart"/>
      </w:pPr>
      <w:r>
        <w:tab/>
      </w:r>
      <w:r>
        <w:rPr>
          <w:b/>
        </w:rPr>
        <w:t>“</w:t>
      </w:r>
      <w:r>
        <w:rPr>
          <w:rStyle w:val="CharDefText"/>
        </w:rPr>
        <w:t>workplace</w:t>
      </w:r>
      <w:r>
        <w:rPr>
          <w:b/>
        </w:rPr>
        <w:t>”</w:t>
      </w:r>
      <w:r>
        <w:t>, in relation to a petroleum operation, means the whole place where the petroleum operation is carried on or any part of a place where the petroleum operation is carried on.</w:t>
      </w:r>
    </w:p>
    <w:p>
      <w:pPr>
        <w:pStyle w:val="nzHeading5"/>
      </w:pPr>
      <w:r>
        <w:t>4.</w:t>
      </w:r>
      <w:r>
        <w:rPr>
          <w:b w:val="0"/>
        </w:rPr>
        <w:tab/>
      </w:r>
      <w:r>
        <w:t>Operator must ensure presence of operator’s representative</w:t>
      </w:r>
    </w:p>
    <w:p>
      <w:pPr>
        <w:pStyle w:val="nzSubsection"/>
      </w:pPr>
      <w:r>
        <w:tab/>
        <w:t>(1)</w:t>
      </w:r>
      <w:r>
        <w:tab/>
        <w:t xml:space="preserve">The operator of a petroleum operation must ensure that, at all times when one or more natural persons are engaged in the petroleum operation, there is present at the workplace a natural person (the </w:t>
      </w:r>
      <w:r>
        <w:rPr>
          <w:b/>
        </w:rPr>
        <w:t>“</w:t>
      </w:r>
      <w:r>
        <w:rPr>
          <w:rStyle w:val="CharDefText"/>
        </w:rPr>
        <w:t>operator’s representative</w:t>
      </w:r>
      <w:r>
        <w:rPr>
          <w:b/>
        </w:rPr>
        <w:t>”</w:t>
      </w:r>
      <w:r>
        <w:t>) who has day to day management and control of the petroleum operation.</w:t>
      </w:r>
    </w:p>
    <w:p>
      <w:pPr>
        <w:pStyle w:val="nzPenstart"/>
      </w:pPr>
      <w:r>
        <w:tab/>
        <w:t xml:space="preserve">Penalty: </w:t>
      </w:r>
      <w:r>
        <w:tab/>
        <w:t>$5 500.</w:t>
      </w:r>
    </w:p>
    <w:p>
      <w:pPr>
        <w:pStyle w:val="nzSubsection"/>
      </w:pPr>
      <w:r>
        <w:tab/>
        <w:t>(2)</w:t>
      </w:r>
      <w:r>
        <w:tab/>
        <w:t>The operator of a petroleum operation must ensure that the name of the operator’s representative is displayed in a prominent place at the workplace.</w:t>
      </w:r>
    </w:p>
    <w:p>
      <w:pPr>
        <w:pStyle w:val="nzPenstart"/>
      </w:pPr>
      <w:r>
        <w:tab/>
        <w:t>Penalty:</w:t>
      </w:r>
      <w:r>
        <w:tab/>
        <w:t>$5 500.</w:t>
      </w:r>
    </w:p>
    <w:p>
      <w:pPr>
        <w:pStyle w:val="nzSubsection"/>
      </w:pPr>
      <w:r>
        <w:tab/>
        <w:t>(3)</w:t>
      </w:r>
      <w:r>
        <w:tab/>
        <w:t>Subclause (1) does not imply that, if the operator is a natural person, the operator’s representative may not be, from time to time, the operator.</w:t>
      </w:r>
    </w:p>
    <w:p>
      <w:pPr>
        <w:pStyle w:val="nzHeading5"/>
      </w:pPr>
      <w:r>
        <w:t>5.</w:t>
      </w:r>
      <w:r>
        <w:rPr>
          <w:b w:val="0"/>
        </w:rPr>
        <w:tab/>
      </w:r>
      <w:r>
        <w:t>Safety and health of persons using an accommodation amenity</w:t>
      </w:r>
    </w:p>
    <w:p>
      <w:pPr>
        <w:pStyle w:val="nz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w:t>
      </w:r>
    </w:p>
    <w:p>
      <w:pPr>
        <w:pStyle w:val="nzHeading5"/>
      </w:pPr>
      <w:r>
        <w:t>6.</w:t>
      </w:r>
      <w:r>
        <w:rPr>
          <w:b w:val="0"/>
        </w:rPr>
        <w:tab/>
      </w:r>
      <w:r>
        <w:t>Contractor</w:t>
      </w:r>
    </w:p>
    <w:p>
      <w:pPr>
        <w:pStyle w:val="nz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if the natural person is engaged in a petroleum operation under a contract for services between —</w:t>
      </w:r>
    </w:p>
    <w:p>
      <w:pPr>
        <w:pStyle w:val="nzIndenta"/>
      </w:pPr>
      <w:r>
        <w:tab/>
        <w:t>(a)</w:t>
      </w:r>
      <w:r>
        <w:tab/>
        <w:t>the relevant person; and</w:t>
      </w:r>
    </w:p>
    <w:p>
      <w:pPr>
        <w:pStyle w:val="nzIndenta"/>
      </w:pPr>
      <w:r>
        <w:tab/>
        <w:t>(b)</w:t>
      </w:r>
      <w:r>
        <w:tab/>
        <w:t>either —</w:t>
      </w:r>
    </w:p>
    <w:p>
      <w:pPr>
        <w:pStyle w:val="nzIndenti"/>
      </w:pPr>
      <w:r>
        <w:tab/>
        <w:t>(i)</w:t>
      </w:r>
      <w:r>
        <w:tab/>
        <w:t>the natural person; or</w:t>
      </w:r>
    </w:p>
    <w:p>
      <w:pPr>
        <w:pStyle w:val="nzIndenti"/>
      </w:pPr>
      <w:r>
        <w:tab/>
        <w:t>(ii)</w:t>
      </w:r>
      <w:r>
        <w:tab/>
        <w:t>the employer of the natural person.</w:t>
      </w:r>
    </w:p>
    <w:p>
      <w:pPr>
        <w:pStyle w:val="nzHeading3"/>
        <w:outlineLvl w:val="0"/>
      </w:pPr>
      <w:bookmarkStart w:id="1067" w:name="_Toc112746329"/>
      <w:bookmarkStart w:id="1068" w:name="_Toc112746454"/>
      <w:r>
        <w:t>Division 2</w:t>
      </w:r>
      <w:r>
        <w:rPr>
          <w:b w:val="0"/>
        </w:rPr>
        <w:t> — </w:t>
      </w:r>
      <w:r>
        <w:t>Occupational safety and health</w:t>
      </w:r>
      <w:bookmarkEnd w:id="1067"/>
      <w:bookmarkEnd w:id="1068"/>
    </w:p>
    <w:p>
      <w:pPr>
        <w:pStyle w:val="nzHeading4"/>
      </w:pPr>
      <w:bookmarkStart w:id="1069" w:name="_Toc112746330"/>
      <w:bookmarkStart w:id="1070" w:name="_Toc112746455"/>
      <w:r>
        <w:t>Subdivision </w:t>
      </w:r>
      <w:r>
        <w:rPr>
          <w:bCs/>
        </w:rPr>
        <w:t>1</w:t>
      </w:r>
      <w:r>
        <w:rPr>
          <w:b w:val="0"/>
        </w:rPr>
        <w:t> — </w:t>
      </w:r>
      <w:r>
        <w:rPr>
          <w:bCs/>
        </w:rPr>
        <w:t xml:space="preserve">Duties </w:t>
      </w:r>
      <w:r>
        <w:t>relating to occupational safety and health</w:t>
      </w:r>
      <w:bookmarkEnd w:id="1069"/>
      <w:bookmarkEnd w:id="1070"/>
    </w:p>
    <w:p>
      <w:pPr>
        <w:pStyle w:val="nzHeading5"/>
      </w:pPr>
      <w:r>
        <w:t>7.</w:t>
      </w:r>
      <w:r>
        <w:rPr>
          <w:b w:val="0"/>
        </w:rPr>
        <w:tab/>
      </w:r>
      <w:r>
        <w:t>Duties of operator</w:t>
      </w:r>
    </w:p>
    <w:p>
      <w:pPr>
        <w:pStyle w:val="nzSubsection"/>
      </w:pPr>
      <w:r>
        <w:tab/>
        <w:t>(1)</w:t>
      </w:r>
      <w:r>
        <w:tab/>
        <w:t>The operator of a petroleum operation must take all reasonably practicable steps to ensure that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the operator of a petroleum operation must —</w:t>
      </w:r>
    </w:p>
    <w:p>
      <w:pPr>
        <w:pStyle w:val="nzIndenta"/>
      </w:pPr>
      <w:r>
        <w:tab/>
        <w:t>(a)</w:t>
      </w:r>
      <w:r>
        <w:tab/>
        <w:t>provide and maintain a physical environment at the place where the petroleum operation is carried out that is safe and without risk to health;</w:t>
      </w:r>
    </w:p>
    <w:p>
      <w:pPr>
        <w:pStyle w:val="nzIndenta"/>
      </w:pPr>
      <w:r>
        <w:tab/>
        <w:t>(b)</w:t>
      </w:r>
      <w:r>
        <w:tab/>
        <w:t>provide and maintain adequate amenities for the safety and health of all members of the workforce engaged in the petroleum operation;</w:t>
      </w:r>
    </w:p>
    <w:p>
      <w:pPr>
        <w:pStyle w:val="nzIndenta"/>
      </w:pPr>
      <w:r>
        <w:tab/>
        <w:t>(c)</w:t>
      </w:r>
      <w:r>
        <w:tab/>
        <w:t>ensure that any plant, equipment, materials and substances for use in the petroleum operation are safe and without risk to health;</w:t>
      </w:r>
    </w:p>
    <w:p>
      <w:pPr>
        <w:pStyle w:val="nzIndenta"/>
      </w:pPr>
      <w:r>
        <w:tab/>
        <w:t>(d)</w:t>
      </w:r>
      <w:r>
        <w:tab/>
        <w:t>implement and maintain systems of work in relation to the petroleum operation that are safe and without risk to health;</w:t>
      </w:r>
    </w:p>
    <w:p>
      <w:pPr>
        <w:pStyle w:val="nzIndenta"/>
      </w:pPr>
      <w:r>
        <w:tab/>
        <w:t>(e)</w:t>
      </w:r>
      <w:r>
        <w:tab/>
        <w:t>implement and maintain appropriate procedures and equipment for the control of, and response to, emergencies arising out of the petroleum operation;</w:t>
      </w:r>
    </w:p>
    <w:p>
      <w:pPr>
        <w:pStyle w:val="nz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w:t>
      </w:r>
    </w:p>
    <w:p>
      <w:pPr>
        <w:pStyle w:val="nzIndenta"/>
      </w:pPr>
      <w:r>
        <w:tab/>
        <w:t>(g)</w:t>
      </w:r>
      <w:r>
        <w:tab/>
        <w:t>monitor the occupational safety and health of all members of the workforce and keep records of that monitoring;</w:t>
      </w:r>
    </w:p>
    <w:p>
      <w:pPr>
        <w:pStyle w:val="nzIndenta"/>
      </w:pPr>
      <w:r>
        <w:tab/>
        <w:t>(h)</w:t>
      </w:r>
      <w:r>
        <w:tab/>
        <w:t>provide appropriate medical and first aid services at the places at which a petroleum operation is carried on; and</w:t>
      </w:r>
    </w:p>
    <w:p>
      <w:pPr>
        <w:pStyle w:val="nzIndenta"/>
      </w:pPr>
      <w:r>
        <w:tab/>
        <w:t>(i)</w:t>
      </w:r>
      <w:r>
        <w:tab/>
        <w:t>develop, in consultation with members of the workforce and workforce representatives, a policy relating to occupational safety and health that —</w:t>
      </w:r>
    </w:p>
    <w:p>
      <w:pPr>
        <w:pStyle w:val="nzIndenti"/>
      </w:pPr>
      <w:r>
        <w:tab/>
        <w:t>(i)</w:t>
      </w:r>
      <w:r>
        <w:tab/>
        <w:t>will enable the operator and the members of the workforce to cooperate effectively in promoting and developing measures to ensure the occupational safety and health of persons engaged in the petroleum operation;</w:t>
      </w:r>
    </w:p>
    <w:p>
      <w:pPr>
        <w:pStyle w:val="nzIndenti"/>
      </w:pPr>
      <w:r>
        <w:tab/>
        <w:t>(ii)</w:t>
      </w:r>
      <w:r>
        <w:tab/>
        <w:t>will provide adequate mechanisms for reviewing the effectiveness of the measures; and</w:t>
      </w:r>
    </w:p>
    <w:p>
      <w:pPr>
        <w:pStyle w:val="nzIndenti"/>
      </w:pPr>
      <w:r>
        <w:tab/>
        <w:t>(iii)</w:t>
      </w:r>
      <w:r>
        <w:tab/>
        <w:t>provides for the making of an agreement that complies with subclauses (4) and (5).</w:t>
      </w:r>
    </w:p>
    <w:p>
      <w:pPr>
        <w:pStyle w:val="nzPenstart"/>
      </w:pPr>
      <w:r>
        <w:tab/>
        <w:t>Penalty:</w:t>
      </w:r>
      <w:r>
        <w:tab/>
        <w:t>$110 000.</w:t>
      </w:r>
    </w:p>
    <w:p>
      <w:pPr>
        <w:pStyle w:val="nzSubsection"/>
      </w:pPr>
      <w:r>
        <w:tab/>
        <w:t>(3)</w:t>
      </w:r>
      <w:r>
        <w:tab/>
        <w:t>Subclause (2)(i) does not require the operator of a petroleum operation to engage in consultations with a workforce representative unless a member of the workforce engaged in the petroleum operation has requested the workforce representative to be involved in those consultations.</w:t>
      </w:r>
    </w:p>
    <w:p>
      <w:pPr>
        <w:pStyle w:val="nzSubsection"/>
      </w:pPr>
      <w:r>
        <w:tab/>
        <w:t>(4)</w:t>
      </w:r>
      <w:r>
        <w:tab/>
        <w:t>The agreement referred to in subclause (2)(i)(iii) must be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a party to that agreement — that workforce representative.</w:t>
      </w:r>
    </w:p>
    <w:p>
      <w:pPr>
        <w:pStyle w:val="nzSubsection"/>
      </w:pPr>
      <w:r>
        <w:tab/>
        <w:t>(5)</w:t>
      </w:r>
      <w:r>
        <w:tab/>
        <w:t>The agreement referred to in subclause (2)(i)(iii) must provide appropriate mechanisms for continuing consultation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involved in consultations on a particular occasion — that workforce representative.</w:t>
      </w:r>
    </w:p>
    <w:p>
      <w:pPr>
        <w:pStyle w:val="nzSubsection"/>
      </w:pPr>
      <w:r>
        <w:tab/>
        <w:t>(6)</w:t>
      </w:r>
      <w:r>
        <w:tab/>
        <w:t>The agreement may provide for any other matters agreed between the parties to it.</w:t>
      </w:r>
    </w:p>
    <w:p>
      <w:pPr>
        <w:pStyle w:val="nzHeading5"/>
      </w:pPr>
      <w:r>
        <w:t>8.</w:t>
      </w:r>
      <w:r>
        <w:rPr>
          <w:b w:val="0"/>
        </w:rPr>
        <w:tab/>
      </w:r>
      <w:r>
        <w:t>Duties of persons in control of parts of petroleum operation</w:t>
      </w:r>
    </w:p>
    <w:p>
      <w:pPr>
        <w:pStyle w:val="nzSubsection"/>
      </w:pPr>
      <w:r>
        <w:tab/>
        <w:t>(1)</w:t>
      </w:r>
      <w:r>
        <w:tab/>
        <w:t>A person who is in control of any part of a petroleum operation must take all reasonably practicable steps to ensure that that part of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a person who is in control of any part of a petroleum operation must —</w:t>
      </w:r>
    </w:p>
    <w:p>
      <w:pPr>
        <w:pStyle w:val="nzIndenta"/>
      </w:pPr>
      <w:r>
        <w:tab/>
        <w:t>(a)</w:t>
      </w:r>
      <w:r>
        <w:tab/>
        <w:t>ensure that the physical environment at the place where that part of the petroleum operation is carried out is safe and without risk to health;</w:t>
      </w:r>
    </w:p>
    <w:p>
      <w:pPr>
        <w:pStyle w:val="nzIndenta"/>
      </w:pPr>
      <w:r>
        <w:tab/>
        <w:t>(b)</w:t>
      </w:r>
      <w:r>
        <w:tab/>
        <w:t>ensure that any plant, equipment, materials and substances for use in that part of the petroleum operation are safe and without risk to health;</w:t>
      </w:r>
    </w:p>
    <w:p>
      <w:pPr>
        <w:pStyle w:val="nzIndenta"/>
      </w:pPr>
      <w:r>
        <w:tab/>
        <w:t>(c)</w:t>
      </w:r>
      <w:r>
        <w:tab/>
        <w:t>implement and maintain systems of work in relation to that part of the petroleum operation that are safe and without risk to health;</w:t>
      </w:r>
    </w:p>
    <w:p>
      <w:pPr>
        <w:pStyle w:val="nzIndenta"/>
      </w:pPr>
      <w:r>
        <w:tab/>
        <w:t>(d)</w:t>
      </w:r>
      <w:r>
        <w:tab/>
        <w:t>ensure a means of access to, and egress from the place where that part of the petroleum operation is carried out is safe and without risk to health; and</w:t>
      </w:r>
    </w:p>
    <w:p>
      <w:pPr>
        <w:pStyle w:val="nzIndenta"/>
      </w:pPr>
      <w:r>
        <w:tab/>
        <w:t>(e)</w:t>
      </w:r>
      <w:r>
        <w:tab/>
        <w:t>provide all members of the workforce engaged in that part of the petroleum operation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Heading5"/>
      </w:pPr>
      <w:r>
        <w:t>9.</w:t>
      </w:r>
      <w:r>
        <w:rPr>
          <w:b w:val="0"/>
        </w:rPr>
        <w:tab/>
      </w:r>
      <w:r>
        <w:t>Duties of employers</w:t>
      </w:r>
    </w:p>
    <w:p>
      <w:pPr>
        <w:pStyle w:val="nzSubsection"/>
      </w:pPr>
      <w:r>
        <w:tab/>
        <w:t>(1)</w:t>
      </w:r>
      <w:r>
        <w:tab/>
        <w:t>An employer must take all reasonably practicable steps to protect the safety and health of employees engaged in a petroleum operation.</w:t>
      </w:r>
    </w:p>
    <w:p>
      <w:pPr>
        <w:pStyle w:val="nzPenstart"/>
      </w:pPr>
      <w:r>
        <w:tab/>
        <w:t>Penalty:</w:t>
      </w:r>
      <w:r>
        <w:tab/>
        <w:t>$110 000.</w:t>
      </w:r>
    </w:p>
    <w:p>
      <w:pPr>
        <w:pStyle w:val="nzSubsection"/>
      </w:pPr>
      <w:r>
        <w:tab/>
        <w:t>(2)</w:t>
      </w:r>
      <w:r>
        <w:tab/>
        <w:t>Without limiting the generality of subclause (1), an employer must —</w:t>
      </w:r>
    </w:p>
    <w:p>
      <w:pPr>
        <w:pStyle w:val="nzIndenta"/>
      </w:pPr>
      <w:r>
        <w:tab/>
        <w:t>(a)</w:t>
      </w:r>
      <w:r>
        <w:tab/>
        <w:t>provide and maintain a working environment that is safe for employees and without risk to their health;</w:t>
      </w:r>
    </w:p>
    <w:p>
      <w:pPr>
        <w:pStyle w:val="nzIndenta"/>
      </w:pPr>
      <w:r>
        <w:tab/>
        <w:t>(b)</w:t>
      </w:r>
      <w:r>
        <w:tab/>
        <w:t>ensure that any plant, equipment, materials and substances for use in connection with the employees’ work are safe and without risk to health;</w:t>
      </w:r>
    </w:p>
    <w:p>
      <w:pPr>
        <w:pStyle w:val="nzIndenta"/>
      </w:pPr>
      <w:r>
        <w:tab/>
        <w:t>(c)</w:t>
      </w:r>
      <w:r>
        <w:tab/>
        <w:t>implement and maintain systems of work that are safe and without risk to health;</w:t>
      </w:r>
    </w:p>
    <w:p>
      <w:pPr>
        <w:pStyle w:val="nzIndenta"/>
      </w:pPr>
      <w:r>
        <w:tab/>
        <w:t>(d)</w:t>
      </w:r>
      <w:r>
        <w:tab/>
        <w:t>provide a means of access to, and egress from, the employees’ work location that is safe and without risk to health; and</w:t>
      </w:r>
    </w:p>
    <w:p>
      <w:pPr>
        <w:pStyle w:val="nzIndenta"/>
      </w:pPr>
      <w:r>
        <w:tab/>
        <w:t>(e)</w:t>
      </w:r>
      <w:r>
        <w:tab/>
        <w:t>provide the employees,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Subsection"/>
      </w:pPr>
      <w:r>
        <w:tab/>
        <w:t>(3)</w:t>
      </w:r>
      <w:r>
        <w:tab/>
        <w:t>A person has, in respect of a contractor of that person, the same obligations that an employer has under subclauses (1) and (2) in respect of an employee of that employer, but only in relation to —</w:t>
      </w:r>
    </w:p>
    <w:p>
      <w:pPr>
        <w:pStyle w:val="nzIndenta"/>
      </w:pPr>
      <w:r>
        <w:tab/>
        <w:t>(a)</w:t>
      </w:r>
      <w:r>
        <w:tab/>
        <w:t>matters over which the first</w:t>
      </w:r>
      <w:r>
        <w:noBreakHyphen/>
        <w:t>mentioned person has control; or</w:t>
      </w:r>
    </w:p>
    <w:p>
      <w:pPr>
        <w:pStyle w:val="nzIndenta"/>
      </w:pPr>
      <w:r>
        <w:tab/>
        <w:t>(b)</w:t>
      </w:r>
      <w:r>
        <w:tab/>
        <w:t>matters over which —</w:t>
      </w:r>
    </w:p>
    <w:p>
      <w:pPr>
        <w:pStyle w:val="nzIndenti"/>
      </w:pPr>
      <w:r>
        <w:tab/>
        <w:t>(i)</w:t>
      </w:r>
      <w:r>
        <w:tab/>
        <w:t>the first</w:t>
      </w:r>
      <w:r>
        <w:noBreakHyphen/>
        <w:t>mentioned person would have had control apart from express provision to the contrary in a contract; and</w:t>
      </w:r>
    </w:p>
    <w:p>
      <w:pPr>
        <w:pStyle w:val="nzIndenti"/>
      </w:pPr>
      <w:r>
        <w:tab/>
        <w:t>(ii)</w:t>
      </w:r>
      <w:r>
        <w:tab/>
        <w:t>the first</w:t>
      </w:r>
      <w:r>
        <w:noBreakHyphen/>
        <w:t>mentioned person would, in the circumstances, usually be expected to have had control.</w:t>
      </w:r>
    </w:p>
    <w:p>
      <w:pPr>
        <w:pStyle w:val="nzSubsection"/>
      </w:pPr>
      <w:r>
        <w:tab/>
        <w:t>(4)</w:t>
      </w:r>
      <w:r>
        <w:tab/>
        <w:t>An employer must take all reasonable steps to —</w:t>
      </w:r>
    </w:p>
    <w:p>
      <w:pPr>
        <w:pStyle w:val="nzIndenta"/>
      </w:pPr>
      <w:r>
        <w:tab/>
        <w:t>(a)</w:t>
      </w:r>
      <w:r>
        <w:tab/>
        <w:t>monitor the safety and health of employees; and</w:t>
      </w:r>
    </w:p>
    <w:p>
      <w:pPr>
        <w:pStyle w:val="nzIndenta"/>
      </w:pPr>
      <w:r>
        <w:tab/>
        <w:t>(b)</w:t>
      </w:r>
      <w:r>
        <w:tab/>
        <w:t>keep records of that monitoring.</w:t>
      </w:r>
    </w:p>
    <w:p>
      <w:pPr>
        <w:pStyle w:val="nzPenstart"/>
      </w:pPr>
      <w:r>
        <w:tab/>
        <w:t xml:space="preserve">Penalty: </w:t>
      </w:r>
      <w:r>
        <w:tab/>
        <w:t>$110 000.</w:t>
      </w:r>
    </w:p>
    <w:p>
      <w:pPr>
        <w:pStyle w:val="nzSubsection"/>
      </w:pPr>
      <w:r>
        <w:tab/>
        <w:t>(5)</w:t>
      </w:r>
      <w:r>
        <w:tab/>
        <w:t>An employer must take all reasonably practicable steps to ensure that —</w:t>
      </w:r>
    </w:p>
    <w:p>
      <w:pPr>
        <w:pStyle w:val="nzIndenta"/>
      </w:pPr>
      <w:r>
        <w:tab/>
        <w:t>(a)</w:t>
      </w:r>
      <w:r>
        <w:tab/>
        <w:t>work that is undertaken by the employer’s employees is carried out in a manner that is safe and without risk to the health of persons engaged in the petroleum operation or other protected persons; and</w:t>
      </w:r>
    </w:p>
    <w:p>
      <w:pPr>
        <w:pStyle w:val="nzIndenta"/>
      </w:pPr>
      <w:r>
        <w:tab/>
        <w:t>(b)</w:t>
      </w:r>
      <w:r>
        <w:tab/>
        <w:t>the employer’s system of work is operated in a manner that is safe and without risk to the health of persons engaged in the petroleum operation or other protected persons.</w:t>
      </w:r>
    </w:p>
    <w:p>
      <w:pPr>
        <w:pStyle w:val="nzPenstart"/>
      </w:pPr>
      <w:r>
        <w:tab/>
        <w:t>Penalty:</w:t>
      </w:r>
      <w:r>
        <w:tab/>
        <w:t>$22 000.</w:t>
      </w:r>
    </w:p>
    <w:p>
      <w:pPr>
        <w:pStyle w:val="nzHeading5"/>
      </w:pPr>
      <w:r>
        <w:t>10.</w:t>
      </w:r>
      <w:r>
        <w:rPr>
          <w:b w:val="0"/>
        </w:rPr>
        <w:tab/>
      </w:r>
      <w:r>
        <w:t>Duties of manufacturers in relation to plant and substances</w:t>
      </w:r>
    </w:p>
    <w:p>
      <w:pPr>
        <w:pStyle w:val="nzSubsection"/>
      </w:pPr>
      <w:r>
        <w:tab/>
        <w:t>(1)</w:t>
      </w:r>
      <w:r>
        <w:tab/>
        <w:t>A manufacturer of any plant that the manufacturer knows or ought reasonably to expect will be used by members of the workforce engaged in a petroleum operation must take all reasonably practicable steps —</w:t>
      </w:r>
    </w:p>
    <w:p>
      <w:pPr>
        <w:pStyle w:val="nzIndenta"/>
      </w:pPr>
      <w:r>
        <w:tab/>
        <w:t>(a)</w:t>
      </w:r>
      <w:r>
        <w:tab/>
        <w:t>to ensure that the plant is so designed and constructed as to be, when properly used, safe and without risk to health;</w:t>
      </w:r>
    </w:p>
    <w:p>
      <w:pPr>
        <w:pStyle w:val="nzIndenta"/>
      </w:pPr>
      <w:r>
        <w:tab/>
        <w:t>(b)</w:t>
      </w:r>
      <w:r>
        <w:tab/>
        <w:t>to carry out, or cause to be carried out, the research, testing and examination necessary in order to discover, and to eliminate or minimise, any risk to safety or health that may arise from the use of the plant; and</w:t>
      </w:r>
    </w:p>
    <w:p>
      <w:pPr>
        <w:pStyle w:val="nzIndenta"/>
      </w:pPr>
      <w:r>
        <w:tab/>
        <w:t>(c)</w:t>
      </w:r>
      <w:r>
        <w:tab/>
        <w:t>to make available, in connection with the use of the plant in a petroleum operation, adequate written information about —</w:t>
      </w:r>
    </w:p>
    <w:p>
      <w:pPr>
        <w:pStyle w:val="nzIndenti"/>
      </w:pPr>
      <w:r>
        <w:tab/>
        <w:t>(i)</w:t>
      </w:r>
      <w:r>
        <w:tab/>
        <w:t>the use for which it is designed and has been tested;</w:t>
      </w:r>
    </w:p>
    <w:p>
      <w:pPr>
        <w:pStyle w:val="nzIndenti"/>
      </w:pPr>
      <w:r>
        <w:tab/>
        <w:t>(ii)</w:t>
      </w:r>
      <w:r>
        <w:tab/>
        <w:t>details of its design and construction; and</w:t>
      </w:r>
    </w:p>
    <w:p>
      <w:pPr>
        <w:pStyle w:val="nzIndenti"/>
      </w:pPr>
      <w:r>
        <w:tab/>
        <w:t>(iii)</w:t>
      </w:r>
      <w:r>
        <w:tab/>
        <w:t>any conditions necessary to ensure that, when put to the use for which it was designed and tested, it will be safe and without risk to health.</w:t>
      </w:r>
    </w:p>
    <w:p>
      <w:pPr>
        <w:pStyle w:val="nzPenstart"/>
      </w:pPr>
      <w:r>
        <w:tab/>
        <w:t>Penalty:</w:t>
      </w:r>
      <w:r>
        <w:tab/>
        <w:t>$22 000.</w:t>
      </w:r>
    </w:p>
    <w:p>
      <w:pPr>
        <w:pStyle w:val="nzSubsection"/>
      </w:pPr>
      <w:r>
        <w:tab/>
        <w:t>(2)</w:t>
      </w:r>
      <w:r>
        <w:tab/>
        <w:t>A manufacturer of any substance that the manufacturer knows or ought reasonably to expect will be used by members of the workforce engaged in a petroleum operation must take all reasonably practicable steps —</w:t>
      </w:r>
    </w:p>
    <w:p>
      <w:pPr>
        <w:pStyle w:val="nzIndenta"/>
        <w:spacing w:before="80"/>
      </w:pPr>
      <w:r>
        <w:tab/>
        <w:t>(a)</w:t>
      </w:r>
      <w:r>
        <w:tab/>
        <w:t>to ensure that the substance is so manufactured as to be, when properly used, safe and without risk to health;</w:t>
      </w:r>
    </w:p>
    <w:p>
      <w:pPr>
        <w:pStyle w:val="nzIndenta"/>
        <w:spacing w:before="80"/>
      </w:pPr>
      <w:r>
        <w:tab/>
        <w:t>(b)</w:t>
      </w:r>
      <w:r>
        <w:tab/>
        <w:t>to carry out, or cause to be carried out, the research, testing and examination necessary to discover, and to eliminate or minimise, any risk to safety or health that may arise from the use of the substance; and</w:t>
      </w:r>
    </w:p>
    <w:p>
      <w:pPr>
        <w:pStyle w:val="nzIndenta"/>
        <w:spacing w:before="80"/>
      </w:pPr>
      <w:r>
        <w:tab/>
        <w:t>(c)</w:t>
      </w:r>
      <w:r>
        <w:tab/>
        <w:t>to make available, in connection with the use of the substance in a petroleum operation, adequate written information concerning —</w:t>
      </w:r>
    </w:p>
    <w:p>
      <w:pPr>
        <w:pStyle w:val="nzIndenti"/>
        <w:spacing w:before="80"/>
      </w:pPr>
      <w:r>
        <w:tab/>
        <w:t>(i)</w:t>
      </w:r>
      <w:r>
        <w:tab/>
        <w:t>the use for which it is manufactured and has been tested;</w:t>
      </w:r>
    </w:p>
    <w:p>
      <w:pPr>
        <w:pStyle w:val="nzIndenti"/>
        <w:spacing w:before="80"/>
      </w:pPr>
      <w:r>
        <w:tab/>
        <w:t>(ii)</w:t>
      </w:r>
      <w:r>
        <w:tab/>
        <w:t>details of its composition;</w:t>
      </w:r>
    </w:p>
    <w:p>
      <w:pPr>
        <w:pStyle w:val="nzIndenti"/>
        <w:spacing w:before="80"/>
      </w:pPr>
      <w:r>
        <w:tab/>
        <w:t>(iii)</w:t>
      </w:r>
      <w:r>
        <w:tab/>
        <w:t>any conditions necessary to ensure that, when put to the use for which it was manufactured and tested, it will be safe and without risk to health; and</w:t>
      </w:r>
    </w:p>
    <w:p>
      <w:pPr>
        <w:pStyle w:val="nzIndenti"/>
        <w:spacing w:before="80"/>
      </w:pPr>
      <w:r>
        <w:tab/>
        <w:t>(iv)</w:t>
      </w:r>
      <w:r>
        <w:tab/>
        <w:t>the first aid and medical procedures that should be followed if the substance causes injury.</w:t>
      </w:r>
    </w:p>
    <w:p>
      <w:pPr>
        <w:pStyle w:val="nzPenstart"/>
        <w:spacing w:before="80"/>
      </w:pPr>
      <w:r>
        <w:tab/>
        <w:t>Penalty:</w:t>
      </w:r>
      <w:r>
        <w:tab/>
        <w:t>$22 000.</w:t>
      </w:r>
    </w:p>
    <w:p>
      <w:pPr>
        <w:pStyle w:val="nzSubsection"/>
        <w:spacing w:before="120"/>
      </w:pPr>
      <w:r>
        <w:tab/>
        <w:t>(3)</w:t>
      </w:r>
      <w:r>
        <w:tab/>
        <w:t>If —</w:t>
      </w:r>
    </w:p>
    <w:p>
      <w:pPr>
        <w:pStyle w:val="nzIndenta"/>
        <w:spacing w:before="80"/>
      </w:pPr>
      <w:r>
        <w:tab/>
        <w:t>(a)</w:t>
      </w:r>
      <w:r>
        <w:tab/>
        <w:t>plant or a substance is imported into Australia by a person who is not its manufacturer; and</w:t>
      </w:r>
    </w:p>
    <w:p>
      <w:pPr>
        <w:pStyle w:val="nzIndenta"/>
        <w:spacing w:before="80"/>
      </w:pPr>
      <w:r>
        <w:tab/>
        <w:t>(b)</w:t>
      </w:r>
      <w:r>
        <w:tab/>
        <w:t>at the time of the importation, the manufacturer of the plant or substance does not have a place of business in Australia,</w:t>
      </w:r>
    </w:p>
    <w:p>
      <w:pPr>
        <w:pStyle w:val="nzSubsection"/>
      </w:pPr>
      <w:r>
        <w:tab/>
      </w:r>
      <w:r>
        <w:tab/>
        <w:t>the first</w:t>
      </w:r>
      <w:r>
        <w:noBreakHyphen/>
        <w:t>mentioned person is taken, for the purposes of this clause, to be the manufacturer of the plant or substance.</w:t>
      </w:r>
    </w:p>
    <w:p>
      <w:pPr>
        <w:pStyle w:val="nz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nzHeading5"/>
      </w:pPr>
      <w:r>
        <w:t>11.</w:t>
      </w:r>
      <w:r>
        <w:rPr>
          <w:b w:val="0"/>
        </w:rPr>
        <w:tab/>
      </w:r>
      <w:r>
        <w:t>Duties of suppliers of facilities, plant and substances</w:t>
      </w:r>
    </w:p>
    <w:p>
      <w:pPr>
        <w:pStyle w:val="nzSubsection"/>
      </w:pPr>
      <w:r>
        <w:tab/>
        <w:t>(1)</w:t>
      </w:r>
      <w:r>
        <w:tab/>
        <w:t>A supplier of a facility, or of any plant or substance, that the supplier ought reasonably to expect will be used by members of the workforce engaged in a petroleum operation, must take all reasonably practicable steps —</w:t>
      </w:r>
    </w:p>
    <w:p>
      <w:pPr>
        <w:pStyle w:val="nzIndenta"/>
      </w:pPr>
      <w:r>
        <w:tab/>
        <w:t>(a)</w:t>
      </w:r>
      <w:r>
        <w:tab/>
        <w:t>to ensure that, at the time of supply, the facility, or the plant or substance, is in such condition as to be, when properly used, safe and without risk to health;</w:t>
      </w:r>
    </w:p>
    <w:p>
      <w:pPr>
        <w:pStyle w:val="nz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nzIndenta"/>
      </w:pPr>
      <w:r>
        <w:tab/>
        <w:t>(c)</w:t>
      </w:r>
      <w:r>
        <w:tab/>
        <w:t>to make available —</w:t>
      </w:r>
    </w:p>
    <w:p>
      <w:pPr>
        <w:pStyle w:val="nzIndenti"/>
      </w:pPr>
      <w:r>
        <w:tab/>
        <w:t>(i)</w:t>
      </w:r>
      <w:r>
        <w:tab/>
        <w:t>in the case of a facility — to the operator of the petroleum operation; and</w:t>
      </w:r>
    </w:p>
    <w:p>
      <w:pPr>
        <w:pStyle w:val="nzIndenti"/>
      </w:pPr>
      <w:r>
        <w:tab/>
        <w:t>(ii)</w:t>
      </w:r>
      <w:r>
        <w:tab/>
        <w:t>in the case of plant or substance — to the person to whom the plant or substance is supplied,</w:t>
      </w:r>
    </w:p>
    <w:p>
      <w:pPr>
        <w:pStyle w:val="nzIndenta"/>
      </w:pPr>
      <w:r>
        <w:tab/>
      </w:r>
      <w:r>
        <w:tab/>
        <w:t>adequate written information, in connection with the use of the facility, plant or substance (as the case requires) about —</w:t>
      </w:r>
    </w:p>
    <w:p>
      <w:pPr>
        <w:pStyle w:val="nzIndenti"/>
      </w:pPr>
      <w:r>
        <w:tab/>
        <w:t>(iii)</w:t>
      </w:r>
      <w:r>
        <w:tab/>
        <w:t>the condition of the facility, plant or substance at the time of supply;</w:t>
      </w:r>
    </w:p>
    <w:p>
      <w:pPr>
        <w:pStyle w:val="nzIndenti"/>
      </w:pPr>
      <w:r>
        <w:tab/>
        <w:t>(iv)</w:t>
      </w:r>
      <w:r>
        <w:tab/>
        <w:t>any risk to the safety and health of members of the workforce engaged in a petroleum operation to which the condition of the facility, plant or substance may give rise unless it is properly used;</w:t>
      </w:r>
    </w:p>
    <w:p>
      <w:pPr>
        <w:pStyle w:val="nzIndenti"/>
      </w:pPr>
      <w:r>
        <w:tab/>
        <w:t>(v)</w:t>
      </w:r>
      <w:r>
        <w:tab/>
        <w:t>the steps that need to be taken in order to eliminate that risk; and</w:t>
      </w:r>
    </w:p>
    <w:p>
      <w:pPr>
        <w:pStyle w:val="nzIndenti"/>
      </w:pPr>
      <w:r>
        <w:tab/>
        <w:t>(vi)</w:t>
      </w:r>
      <w:r>
        <w:tab/>
        <w:t>in the case of a substance — the first aid and medical procedures that should be followed if the condition of the substance causes injury to a member of the workforce engaged in a petroleum operation.</w:t>
      </w:r>
    </w:p>
    <w:p>
      <w:pPr>
        <w:pStyle w:val="nzPenstart"/>
      </w:pPr>
      <w:r>
        <w:tab/>
        <w:t>Penalty:</w:t>
      </w:r>
      <w:r>
        <w:tab/>
        <w:t>$22 000.</w:t>
      </w:r>
    </w:p>
    <w:p>
      <w:pPr>
        <w:pStyle w:val="nzSubsection"/>
      </w:pPr>
      <w:r>
        <w:tab/>
        <w:t>(2)</w:t>
      </w:r>
      <w:r>
        <w:tab/>
        <w:t>For the purposes of subclause (1), if a person (the </w:t>
      </w:r>
      <w:r>
        <w:rPr>
          <w:b/>
        </w:rPr>
        <w:t>“</w:t>
      </w:r>
      <w:r>
        <w:rPr>
          <w:rStyle w:val="CharDefText"/>
        </w:rPr>
        <w:t>ostensible supplier</w:t>
      </w:r>
      <w:r>
        <w:rPr>
          <w:b/>
        </w:rPr>
        <w:t>”</w:t>
      </w:r>
      <w:r>
        <w:t>) supplies to a person either a facility, or any plant or substance, that is for use by members of the workforce engaged in a petroleum operation, and the ostensible supplier —</w:t>
      </w:r>
    </w:p>
    <w:p>
      <w:pPr>
        <w:pStyle w:val="nzIndenta"/>
      </w:pPr>
      <w:r>
        <w:tab/>
        <w:t>(a)</w:t>
      </w:r>
      <w:r>
        <w:tab/>
        <w:t>carries on the business of financing the acquisition or the use of goods by other persons;</w:t>
      </w:r>
    </w:p>
    <w:p>
      <w:pPr>
        <w:pStyle w:val="nz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nz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nz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nz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nzHeading5"/>
      </w:pPr>
      <w:r>
        <w:t>12.</w:t>
      </w:r>
      <w:r>
        <w:rPr>
          <w:b w:val="0"/>
        </w:rPr>
        <w:tab/>
      </w:r>
      <w:r>
        <w:t>Duties of persons erecting facilities or installing plant</w:t>
      </w:r>
    </w:p>
    <w:p>
      <w:pPr>
        <w:pStyle w:val="nzSubsection"/>
      </w:pPr>
      <w:r>
        <w:tab/>
        <w:t>(1)</w:t>
      </w:r>
      <w:r>
        <w:tab/>
        <w:t>A person who erects or installs a facility, or erects or installs any plant, for use in a petroleum operation, must take all reasonably practicable steps to ensure that the facility or plant is not erected or installed in such a way that it is unsafe or constitutes a risk to safety or health.</w:t>
      </w:r>
    </w:p>
    <w:p>
      <w:pPr>
        <w:pStyle w:val="nzPenstart"/>
      </w:pPr>
      <w:r>
        <w:tab/>
        <w:t>Penalty:</w:t>
      </w:r>
      <w:r>
        <w:tab/>
        <w:t>$22 000.</w:t>
      </w:r>
    </w:p>
    <w:p>
      <w:pPr>
        <w:pStyle w:val="nzSubsection"/>
      </w:pPr>
      <w:r>
        <w:tab/>
        <w:t>(2)</w:t>
      </w:r>
      <w:r>
        <w:tab/>
        <w:t>This clause does not affect the operation of any other law of this State that imposes an obligation in respect of the erection or installation of structures or goods or the supply of services.</w:t>
      </w:r>
    </w:p>
    <w:p>
      <w:pPr>
        <w:pStyle w:val="nzHeading5"/>
      </w:pPr>
      <w:r>
        <w:t>13.</w:t>
      </w:r>
      <w:r>
        <w:rPr>
          <w:b w:val="0"/>
        </w:rPr>
        <w:tab/>
      </w:r>
      <w:r>
        <w:t>Duties of persons in relation to occupational safety and health</w:t>
      </w:r>
    </w:p>
    <w:p>
      <w:pPr>
        <w:pStyle w:val="nzSubsection"/>
      </w:pPr>
      <w:r>
        <w:tab/>
        <w:t>(1)</w:t>
      </w:r>
      <w:r>
        <w:tab/>
        <w:t>A person engaged in a petroleum operation must, at all times, take all reasonably practicable steps —</w:t>
      </w:r>
    </w:p>
    <w:p>
      <w:pPr>
        <w:pStyle w:val="nzIndenta"/>
      </w:pPr>
      <w:r>
        <w:tab/>
        <w:t>(a)</w:t>
      </w:r>
      <w:r>
        <w:tab/>
        <w:t>to ensure that the person does not take any action, or make any omission, that creates a risk, or increases an existing risk, to —</w:t>
      </w:r>
    </w:p>
    <w:p>
      <w:pPr>
        <w:pStyle w:val="nzIndenti"/>
        <w:rPr>
          <w:sz w:val="22"/>
        </w:rPr>
      </w:pPr>
      <w:r>
        <w:rPr>
          <w:sz w:val="22"/>
        </w:rPr>
        <w:tab/>
        <w:t>(i)</w:t>
      </w:r>
      <w:r>
        <w:rPr>
          <w:sz w:val="22"/>
        </w:rPr>
        <w:tab/>
        <w:t>the occupational safety and health of that person; or</w:t>
      </w:r>
    </w:p>
    <w:p>
      <w:pPr>
        <w:pStyle w:val="nzIndenti"/>
      </w:pPr>
      <w:r>
        <w:tab/>
        <w:t>(ii)</w:t>
      </w:r>
      <w:r>
        <w:tab/>
        <w:t>the safety and health of any other protected person;</w:t>
      </w:r>
    </w:p>
    <w:p>
      <w:pPr>
        <w:pStyle w:val="nz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nzIndenta"/>
        <w:keepNext/>
      </w:pPr>
      <w:r>
        <w:tab/>
        <w:t>(c)</w:t>
      </w:r>
      <w:r>
        <w:tab/>
        <w:t>to use equipment that is —</w:t>
      </w:r>
    </w:p>
    <w:p>
      <w:pPr>
        <w:pStyle w:val="nzIndenti"/>
      </w:pPr>
      <w:r>
        <w:tab/>
        <w:t>(i)</w:t>
      </w:r>
      <w:r>
        <w:tab/>
        <w:t>supplied to the person by the operator, an employer of the person or any other person having control of the petroleum operation (the </w:t>
      </w:r>
      <w:r>
        <w:rPr>
          <w:b/>
        </w:rPr>
        <w:t>“</w:t>
      </w:r>
      <w:r>
        <w:rPr>
          <w:rStyle w:val="CharDefText"/>
        </w:rPr>
        <w:t>equipment supplier</w:t>
      </w:r>
      <w:r>
        <w:rPr>
          <w:b/>
        </w:rPr>
        <w:t>”</w:t>
      </w:r>
      <w:r>
        <w:t>); and</w:t>
      </w:r>
    </w:p>
    <w:p>
      <w:pPr>
        <w:pStyle w:val="nzIndenti"/>
      </w:pPr>
      <w:r>
        <w:tab/>
        <w:t>(ii)</w:t>
      </w:r>
      <w:r>
        <w:tab/>
        <w:t>necessary to protect the occupational safety and health of the person, or the safety and health of any other person engaged in the petroleum operation or protected person,</w:t>
      </w:r>
    </w:p>
    <w:p>
      <w:pPr>
        <w:pStyle w:val="nzIndenta"/>
      </w:pPr>
      <w:r>
        <w:tab/>
      </w:r>
      <w:r>
        <w:tab/>
        <w:t>in accordance with any instructions given by the equipment supplier, consistent with the safe and proper use of the equipment.</w:t>
      </w:r>
    </w:p>
    <w:p>
      <w:pPr>
        <w:pStyle w:val="nzPenstart"/>
      </w:pPr>
      <w:r>
        <w:tab/>
        <w:t>Penalty:</w:t>
      </w:r>
      <w:r>
        <w:tab/>
        <w:t>$5 500.</w:t>
      </w:r>
    </w:p>
    <w:p>
      <w:pPr>
        <w:pStyle w:val="nzSubsection"/>
      </w:pPr>
      <w:r>
        <w:tab/>
        <w:t>(2)</w:t>
      </w:r>
      <w:r>
        <w:tab/>
        <w:t>Despite subclause (1), the choice or manner of use, or choice and manner of use, of equipment of the kind referred to in subclause (1)(c)(ii) is a matter that may be, consistently with each listed OSH law —</w:t>
      </w:r>
    </w:p>
    <w:p>
      <w:pPr>
        <w:pStyle w:val="nzIndenta"/>
      </w:pPr>
      <w:r>
        <w:tab/>
        <w:t>(a)</w:t>
      </w:r>
      <w:r>
        <w:tab/>
        <w:t>agreed on between the equipment supplier and any relevant safety and health representative; or</w:t>
      </w:r>
    </w:p>
    <w:p>
      <w:pPr>
        <w:pStyle w:val="nzIndenta"/>
      </w:pPr>
      <w:r>
        <w:tab/>
        <w:t>(b)</w:t>
      </w:r>
      <w:r>
        <w:tab/>
        <w:t>agreed on by a safety and health committee.</w:t>
      </w:r>
    </w:p>
    <w:p>
      <w:pPr>
        <w:pStyle w:val="nz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nz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nzHeading5"/>
      </w:pPr>
      <w:r>
        <w:t>14.</w:t>
      </w:r>
      <w:r>
        <w:rPr>
          <w:b w:val="0"/>
        </w:rPr>
        <w:tab/>
      </w:r>
      <w:r>
        <w:t>Reliance on information supplied or results of research</w:t>
      </w:r>
    </w:p>
    <w:p>
      <w:pPr>
        <w:pStyle w:val="nzSubsection"/>
      </w:pPr>
      <w:r>
        <w:tab/>
        <w:t>(1)</w:t>
      </w:r>
      <w:r>
        <w:tab/>
        <w:t>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nz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nzIndenta"/>
      </w:pPr>
      <w:r>
        <w:tab/>
        <w:t>(b)</w:t>
      </w:r>
      <w:r>
        <w:tab/>
        <w:t>it was reasonable for the person to rely on that information.</w:t>
      </w:r>
    </w:p>
    <w:p>
      <w:pPr>
        <w:pStyle w:val="nzSubsection"/>
      </w:pPr>
      <w:r>
        <w:tab/>
        <w:t>(2)</w:t>
      </w:r>
      <w:r>
        <w:tab/>
        <w:t>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nzIndenta"/>
      </w:pPr>
      <w:r>
        <w:tab/>
        <w:t>(a)</w:t>
      </w:r>
      <w:r>
        <w:tab/>
        <w:t>the research, testing or examination has already been carried out by or on behalf of someone else; and</w:t>
      </w:r>
    </w:p>
    <w:p>
      <w:pPr>
        <w:pStyle w:val="nzIndenta"/>
      </w:pPr>
      <w:r>
        <w:tab/>
        <w:t>(b)</w:t>
      </w:r>
      <w:r>
        <w:tab/>
        <w:t>it was reasonable for the person to rely on that research, testing or examination.</w:t>
      </w:r>
    </w:p>
    <w:p>
      <w:pPr>
        <w:pStyle w:val="nzSubsection"/>
      </w:pPr>
      <w:r>
        <w:tab/>
        <w:t>(3)</w:t>
      </w:r>
      <w:r>
        <w:tab/>
        <w:t>For the purpose of the application of clause 12 to the erection of a facility or the erection or installation of plant for use in a petroleum operation, a person on whom an obligation is imposed under that clause is regarded as having taken reasonably practicable steps as required by that clause to the extent that —</w:t>
      </w:r>
    </w:p>
    <w:p>
      <w:pPr>
        <w:pStyle w:val="nzIndenta"/>
      </w:pPr>
      <w:r>
        <w:tab/>
        <w:t>(a)</w:t>
      </w:r>
      <w:r>
        <w:tab/>
        <w:t>the person ensured, so far as is reasonably practicable, that the erection of the facility, or the erection or installation of the plant, was —</w:t>
      </w:r>
    </w:p>
    <w:p>
      <w:pPr>
        <w:pStyle w:val="nzIndenti"/>
      </w:pPr>
      <w:r>
        <w:tab/>
        <w:t>(i)</w:t>
      </w:r>
      <w:r>
        <w:tab/>
        <w:t>in accordance with information supplied by the manufacturer or supplier of the facility or plant relating to its erection or its installation; and</w:t>
      </w:r>
    </w:p>
    <w:p>
      <w:pPr>
        <w:pStyle w:val="nzIndenti"/>
      </w:pPr>
      <w:r>
        <w:tab/>
        <w:t>(ii)</w:t>
      </w:r>
      <w:r>
        <w:tab/>
        <w:t>consistent with the occupational safety and health of persons engaged in the petroleum operation;</w:t>
      </w:r>
    </w:p>
    <w:p>
      <w:pPr>
        <w:pStyle w:val="nzIndenta"/>
      </w:pPr>
      <w:r>
        <w:tab/>
      </w:r>
      <w:r>
        <w:tab/>
        <w:t>and</w:t>
      </w:r>
    </w:p>
    <w:p>
      <w:pPr>
        <w:pStyle w:val="nzIndenta"/>
      </w:pPr>
      <w:r>
        <w:tab/>
        <w:t>(b)</w:t>
      </w:r>
      <w:r>
        <w:tab/>
        <w:t>it was reasonable for the person to rely on that information.</w:t>
      </w:r>
    </w:p>
    <w:p>
      <w:pPr>
        <w:pStyle w:val="nzSubsection"/>
      </w:pPr>
      <w:r>
        <w:tab/>
        <w:t>(4)</w:t>
      </w:r>
      <w:r>
        <w:tab/>
        <w:t>Nothing in this clause limits the generality of what constitutes reasonably practicable steps as required by clause 7, 8, 9, 10, 11 or 12.</w:t>
      </w:r>
    </w:p>
    <w:p>
      <w:pPr>
        <w:pStyle w:val="nzHeading4"/>
        <w:outlineLvl w:val="0"/>
      </w:pPr>
      <w:bookmarkStart w:id="1071" w:name="_Toc112746331"/>
      <w:bookmarkStart w:id="1072" w:name="_Toc112746456"/>
      <w:r>
        <w:t>Subdivision </w:t>
      </w:r>
      <w:r>
        <w:rPr>
          <w:bCs/>
        </w:rPr>
        <w:t>2</w:t>
      </w:r>
      <w:r>
        <w:rPr>
          <w:b w:val="0"/>
        </w:rPr>
        <w:t> — </w:t>
      </w:r>
      <w:r>
        <w:rPr>
          <w:bCs/>
        </w:rPr>
        <w:t>Regulations</w:t>
      </w:r>
      <w:r>
        <w:t xml:space="preserve"> relating to occupational safety and health</w:t>
      </w:r>
      <w:bookmarkEnd w:id="1071"/>
      <w:bookmarkEnd w:id="1072"/>
    </w:p>
    <w:p>
      <w:pPr>
        <w:pStyle w:val="nzHeading5"/>
      </w:pPr>
      <w:r>
        <w:t>15.</w:t>
      </w:r>
      <w:r>
        <w:rPr>
          <w:b w:val="0"/>
        </w:rPr>
        <w:tab/>
      </w:r>
      <w:r>
        <w:t>Regulations relating to occupational safety and health</w:t>
      </w:r>
    </w:p>
    <w:p>
      <w:pPr>
        <w:pStyle w:val="nzSubsection"/>
      </w:pPr>
      <w:r>
        <w:tab/>
        <w:t>(1)</w:t>
      </w:r>
      <w:r>
        <w:tab/>
        <w:t>The regulations may make provision relating to any matter affecting, or likely to affect, the occupational safety and health of persons engaged in a petroleum operation.</w:t>
      </w:r>
    </w:p>
    <w:p>
      <w:pPr>
        <w:pStyle w:val="nzSubsection"/>
        <w:keepNext/>
      </w:pPr>
      <w:r>
        <w:tab/>
        <w:t>(2)</w:t>
      </w:r>
      <w:r>
        <w:tab/>
        <w:t>Regulations made for the purposes of subclause (1) may make provision for any or all of the following —</w:t>
      </w:r>
    </w:p>
    <w:p>
      <w:pPr>
        <w:pStyle w:val="nzIndenta"/>
      </w:pPr>
      <w:r>
        <w:tab/>
        <w:t>(a)</w:t>
      </w:r>
      <w:r>
        <w:tab/>
        <w:t>prohibiting or restricting the performance of all work or specified work in relation to a petroleum operation;</w:t>
      </w:r>
    </w:p>
    <w:p>
      <w:pPr>
        <w:pStyle w:val="nzIndenta"/>
      </w:pPr>
      <w:r>
        <w:tab/>
        <w:t>(b)</w:t>
      </w:r>
      <w:r>
        <w:tab/>
        <w:t>prohibiting or restricting the use of all plant or specified plant in a petroleum operation;</w:t>
      </w:r>
    </w:p>
    <w:p>
      <w:pPr>
        <w:pStyle w:val="nzIndenta"/>
      </w:pPr>
      <w:r>
        <w:tab/>
        <w:t>(c)</w:t>
      </w:r>
      <w:r>
        <w:tab/>
        <w:t>prohibiting or restricting the carrying out of all processes or a specified process in a petroleum operation;</w:t>
      </w:r>
    </w:p>
    <w:p>
      <w:pPr>
        <w:pStyle w:val="nzIndenta"/>
      </w:pPr>
      <w:r>
        <w:tab/>
        <w:t>(d)</w:t>
      </w:r>
      <w:r>
        <w:tab/>
        <w:t>prohibiting or restricting the storage or use of all substances or specified substances in a petroleum operation;</w:t>
      </w:r>
    </w:p>
    <w:p>
      <w:pPr>
        <w:pStyle w:val="nzIndenta"/>
      </w:pPr>
      <w:r>
        <w:tab/>
        <w:t>(e)</w:t>
      </w:r>
      <w:r>
        <w:tab/>
        <w:t>specifying the form in which information required to be made available under clause 10(1)(c) or 11(1)(c) is to be so made available;</w:t>
      </w:r>
    </w:p>
    <w:p>
      <w:pPr>
        <w:pStyle w:val="nzIndenta"/>
      </w:pPr>
      <w:r>
        <w:tab/>
        <w:t>(f)</w:t>
      </w:r>
      <w:r>
        <w:tab/>
        <w:t>prohibiting, except in accordance with licences granted under the regulations, the use of specified plant or specified substances in a petroleum operation;</w:t>
      </w:r>
    </w:p>
    <w:p>
      <w:pPr>
        <w:pStyle w:val="nzIndenta"/>
      </w:pPr>
      <w:r>
        <w:tab/>
        <w:t>(g)</w:t>
      </w:r>
      <w:r>
        <w:tab/>
        <w:t>providing for —</w:t>
      </w:r>
    </w:p>
    <w:p>
      <w:pPr>
        <w:pStyle w:val="nzIndenti"/>
      </w:pPr>
      <w:r>
        <w:tab/>
        <w:t>(i)</w:t>
      </w:r>
      <w:r>
        <w:tab/>
        <w:t>the issue, variation, renewal, transfer, suspension and cancellation of those licences; and</w:t>
      </w:r>
    </w:p>
    <w:p>
      <w:pPr>
        <w:pStyle w:val="nzIndenti"/>
      </w:pPr>
      <w:r>
        <w:tab/>
        <w:t>(ii)</w:t>
      </w:r>
      <w:r>
        <w:tab/>
        <w:t>the conditions to which the licences may be subject;</w:t>
      </w:r>
    </w:p>
    <w:p>
      <w:pPr>
        <w:pStyle w:val="nzIndenta"/>
      </w:pPr>
      <w:r>
        <w:tab/>
        <w:t>(h)</w:t>
      </w:r>
      <w:r>
        <w:tab/>
        <w:t>regulating the maintenance and testing of plant for use in a petroleum operation;</w:t>
      </w:r>
    </w:p>
    <w:p>
      <w:pPr>
        <w:pStyle w:val="nzIndenta"/>
      </w:pPr>
      <w:r>
        <w:tab/>
        <w:t>(i)</w:t>
      </w:r>
      <w:r>
        <w:tab/>
        <w:t>regulating the labelling or marking of substances for use in a petroleum operation;</w:t>
      </w:r>
    </w:p>
    <w:p>
      <w:pPr>
        <w:pStyle w:val="nzIndenta"/>
      </w:pPr>
      <w:r>
        <w:tab/>
        <w:t>(j)</w:t>
      </w:r>
      <w:r>
        <w:tab/>
        <w:t>regulating the transport of specified plant or specified substances for use in a petroleum operation;</w:t>
      </w:r>
    </w:p>
    <w:p>
      <w:pPr>
        <w:pStyle w:val="nzIndenta"/>
      </w:pPr>
      <w:r>
        <w:tab/>
        <w:t>(k)</w:t>
      </w:r>
      <w:r>
        <w:tab/>
        <w:t>prohibiting the performance, in relation to a petroleum operation, of specified activities or work except —</w:t>
      </w:r>
    </w:p>
    <w:p>
      <w:pPr>
        <w:pStyle w:val="nzIndenti"/>
      </w:pPr>
      <w:r>
        <w:tab/>
        <w:t>(i)</w:t>
      </w:r>
      <w:r>
        <w:tab/>
        <w:t>by persons who satisfy requirements of the regulations as to qualifications, training or experience; or</w:t>
      </w:r>
    </w:p>
    <w:p>
      <w:pPr>
        <w:pStyle w:val="nzIndenti"/>
      </w:pPr>
      <w:r>
        <w:tab/>
        <w:t>(ii)</w:t>
      </w:r>
      <w:r>
        <w:tab/>
        <w:t>under the supervision specified in the regulations;</w:t>
      </w:r>
    </w:p>
    <w:p>
      <w:pPr>
        <w:pStyle w:val="nzIndenta"/>
      </w:pPr>
      <w:r>
        <w:tab/>
        <w:t>(l)</w:t>
      </w:r>
      <w:r>
        <w:tab/>
        <w:t>requiring specified action to avoid accidents or dangerous occurrences;</w:t>
      </w:r>
    </w:p>
    <w:p>
      <w:pPr>
        <w:pStyle w:val="nzIndenta"/>
      </w:pPr>
      <w:r>
        <w:tab/>
        <w:t>(m)</w:t>
      </w:r>
      <w:r>
        <w:tab/>
        <w:t>providing for, or prohibiting, specified action in the event of accidents or dangerous occurrences;</w:t>
      </w:r>
    </w:p>
    <w:p>
      <w:pPr>
        <w:pStyle w:val="nzIndenta"/>
      </w:pPr>
      <w:r>
        <w:tab/>
        <w:t>(n)</w:t>
      </w:r>
      <w:r>
        <w:tab/>
        <w:t>providing for the employment of persons to perform specified duties relating to the maintenance of occupational safety and health in relation to a petroleum operation;</w:t>
      </w:r>
    </w:p>
    <w:p>
      <w:pPr>
        <w:pStyle w:val="nzIndenta"/>
      </w:pPr>
      <w:r>
        <w:tab/>
        <w:t>(o)</w:t>
      </w:r>
      <w:r>
        <w:tab/>
        <w:t>regulating the provision and use, in a petroleum operation, of protective clothing and equipment, safety equipment and rescue equipment;</w:t>
      </w:r>
    </w:p>
    <w:p>
      <w:pPr>
        <w:pStyle w:val="nzIndenta"/>
      </w:pPr>
      <w:r>
        <w:tab/>
        <w:t>(p)</w:t>
      </w:r>
      <w:r>
        <w:tab/>
        <w:t>providing for monitoring the health of members of the workforce engaged in a petroleum operation and the conditions at a place at which a petroleum operation is carried out;</w:t>
      </w:r>
    </w:p>
    <w:p>
      <w:pPr>
        <w:pStyle w:val="nzIndenta"/>
      </w:pPr>
      <w:r>
        <w:tab/>
        <w:t>(q)</w:t>
      </w:r>
      <w:r>
        <w:tab/>
        <w:t>requiring employers to keep records of matters related to the occupational safety and health of employees;</w:t>
      </w:r>
    </w:p>
    <w:p>
      <w:pPr>
        <w:pStyle w:val="nzIndenta"/>
        <w:rPr>
          <w:b/>
          <w:i/>
        </w:rPr>
      </w:pPr>
      <w:r>
        <w:tab/>
        <w:t>(r)</w:t>
      </w:r>
      <w:r>
        <w:tab/>
        <w:t>providing for the provision of first aid equipment and amenities at a place at which a petroleum operation is carried out.</w:t>
      </w:r>
    </w:p>
    <w:p>
      <w:pPr>
        <w:pStyle w:val="nzHeading3"/>
        <w:outlineLvl w:val="0"/>
      </w:pPr>
      <w:bookmarkStart w:id="1073" w:name="_Toc112746332"/>
      <w:bookmarkStart w:id="1074" w:name="_Toc112746457"/>
      <w:r>
        <w:t>Division 3</w:t>
      </w:r>
      <w:r>
        <w:rPr>
          <w:b w:val="0"/>
        </w:rPr>
        <w:t> — </w:t>
      </w:r>
      <w:r>
        <w:t>Workplace arrangements</w:t>
      </w:r>
      <w:bookmarkEnd w:id="1073"/>
      <w:bookmarkEnd w:id="1074"/>
    </w:p>
    <w:p>
      <w:pPr>
        <w:pStyle w:val="nzHeading4"/>
      </w:pPr>
      <w:bookmarkStart w:id="1075" w:name="_Toc112746333"/>
      <w:bookmarkStart w:id="1076" w:name="_Toc112746458"/>
      <w:r>
        <w:t>Subdivision </w:t>
      </w:r>
      <w:r>
        <w:rPr>
          <w:bCs/>
        </w:rPr>
        <w:t>1</w:t>
      </w:r>
      <w:r>
        <w:rPr>
          <w:b w:val="0"/>
        </w:rPr>
        <w:t> — </w:t>
      </w:r>
      <w:r>
        <w:rPr>
          <w:bCs/>
        </w:rPr>
        <w:t>Introduction</w:t>
      </w:r>
      <w:bookmarkEnd w:id="1075"/>
      <w:bookmarkEnd w:id="1076"/>
    </w:p>
    <w:p>
      <w:pPr>
        <w:pStyle w:val="nzHeading5"/>
      </w:pPr>
      <w:r>
        <w:t>16.</w:t>
      </w:r>
      <w:r>
        <w:rPr>
          <w:b w:val="0"/>
        </w:rPr>
        <w:tab/>
      </w:r>
      <w:r>
        <w:t>Simplified outline</w:t>
      </w:r>
    </w:p>
    <w:p>
      <w:pPr>
        <w:pStyle w:val="nzSubsection"/>
      </w:pPr>
      <w:r>
        <w:tab/>
      </w:r>
      <w:r>
        <w:tab/>
        <w:t>The following is a simplified outline of this Subdivision —</w:t>
      </w:r>
    </w:p>
    <w:p>
      <w:pPr>
        <w:pStyle w:val="nzSubsection"/>
        <w:numPr>
          <w:ilvl w:val="0"/>
          <w:numId w:val="14"/>
        </w:numPr>
        <w:tabs>
          <w:tab w:val="clear" w:pos="1162"/>
          <w:tab w:val="clear" w:pos="1315"/>
          <w:tab w:val="clear" w:pos="1446"/>
          <w:tab w:val="left" w:pos="1843"/>
        </w:tabs>
        <w:ind w:left="1843" w:hanging="425"/>
      </w:pPr>
      <w:r>
        <w:t>A group of members of the workforce engaged in a petroleum operation may be established as a designated work group.</w:t>
      </w:r>
    </w:p>
    <w:p>
      <w:pPr>
        <w:pStyle w:val="nzSubsection"/>
        <w:numPr>
          <w:ilvl w:val="0"/>
          <w:numId w:val="14"/>
        </w:numPr>
        <w:tabs>
          <w:tab w:val="clear" w:pos="1162"/>
          <w:tab w:val="clear" w:pos="1315"/>
          <w:tab w:val="clear" w:pos="1446"/>
          <w:tab w:val="left" w:pos="1843"/>
        </w:tabs>
        <w:ind w:left="1843" w:hanging="425"/>
      </w:pPr>
      <w:r>
        <w:t>The members of a designated work group may select a safety and health representative for that designated work group.</w:t>
      </w:r>
    </w:p>
    <w:p>
      <w:pPr>
        <w:pStyle w:val="nzSubsection"/>
        <w:numPr>
          <w:ilvl w:val="0"/>
          <w:numId w:val="14"/>
        </w:numPr>
        <w:tabs>
          <w:tab w:val="clear" w:pos="1162"/>
          <w:tab w:val="clear" w:pos="1315"/>
          <w:tab w:val="clear" w:pos="1446"/>
          <w:tab w:val="left" w:pos="1843"/>
        </w:tabs>
        <w:ind w:left="1843" w:hanging="425"/>
      </w:pPr>
      <w:r>
        <w:t>The safety and health representative may exercise certain powers for the purpose of promoting or ensuring the occupational safety and health of group members.</w:t>
      </w:r>
    </w:p>
    <w:p>
      <w:pPr>
        <w:pStyle w:val="nzSubsection"/>
        <w:numPr>
          <w:ilvl w:val="0"/>
          <w:numId w:val="14"/>
        </w:numPr>
        <w:tabs>
          <w:tab w:val="clear" w:pos="1162"/>
          <w:tab w:val="clear" w:pos="1315"/>
          <w:tab w:val="clear" w:pos="1446"/>
          <w:tab w:val="left" w:pos="1843"/>
        </w:tabs>
        <w:ind w:left="1843" w:hanging="425"/>
      </w:pPr>
      <w:r>
        <w:t>A safety and health committee may be established in relation to the members of the workforce engaged in a petroleum operation.</w:t>
      </w:r>
    </w:p>
    <w:p>
      <w:pPr>
        <w:pStyle w:val="nzSubsection"/>
        <w:numPr>
          <w:ilvl w:val="0"/>
          <w:numId w:val="14"/>
        </w:numPr>
        <w:tabs>
          <w:tab w:val="clear" w:pos="1162"/>
          <w:tab w:val="clear" w:pos="1315"/>
          <w:tab w:val="clear" w:pos="1446"/>
          <w:tab w:val="left" w:pos="1843"/>
        </w:tabs>
        <w:ind w:left="1843" w:hanging="425"/>
      </w:pPr>
      <w:r>
        <w:t>The main function of a safety and health committee is to assist the operator in relation to occupational safety and health matters.</w:t>
      </w:r>
    </w:p>
    <w:p>
      <w:pPr>
        <w:pStyle w:val="nzHeading4"/>
        <w:outlineLvl w:val="0"/>
      </w:pPr>
      <w:bookmarkStart w:id="1077" w:name="_Toc112746334"/>
      <w:bookmarkStart w:id="1078" w:name="_Toc112746459"/>
      <w:r>
        <w:t>Subdivision </w:t>
      </w:r>
      <w:r>
        <w:rPr>
          <w:bCs/>
        </w:rPr>
        <w:t>2</w:t>
      </w:r>
      <w:r>
        <w:rPr>
          <w:b w:val="0"/>
        </w:rPr>
        <w:t> — </w:t>
      </w:r>
      <w:r>
        <w:rPr>
          <w:bCs/>
        </w:rPr>
        <w:t xml:space="preserve">Designated </w:t>
      </w:r>
      <w:r>
        <w:t>work groups</w:t>
      </w:r>
      <w:bookmarkEnd w:id="1077"/>
      <w:bookmarkEnd w:id="1078"/>
    </w:p>
    <w:p>
      <w:pPr>
        <w:pStyle w:val="nzHeading5"/>
      </w:pPr>
      <w:r>
        <w:t>17.</w:t>
      </w:r>
      <w:r>
        <w:rPr>
          <w:b w:val="0"/>
        </w:rPr>
        <w:tab/>
      </w:r>
      <w:r>
        <w:t>Establishment of designated work groups by request</w:t>
      </w:r>
    </w:p>
    <w:p>
      <w:pPr>
        <w:pStyle w:val="nzSubsection"/>
      </w:pPr>
      <w:r>
        <w:tab/>
        <w:t>(1)</w:t>
      </w:r>
      <w:r>
        <w:tab/>
        <w:t>A request to the operator of a petroleum operation to enter into consultations to establish designated work groups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pPr>
      <w:r>
        <w:tab/>
        <w:t>(a)</w:t>
      </w:r>
      <w:r>
        <w:tab/>
        <w:t>if any member of the workforce made a request to establish designated work groups —</w:t>
      </w:r>
    </w:p>
    <w:p>
      <w:pPr>
        <w:pStyle w:val="nzIndenti"/>
      </w:pPr>
      <w:r>
        <w:tab/>
        <w:t>(i)</w:t>
      </w:r>
      <w:r>
        <w:tab/>
        <w:t>that member of the workforce;</w:t>
      </w:r>
    </w:p>
    <w:p>
      <w:pPr>
        <w:pStyle w:val="nzIndenti"/>
      </w:pPr>
      <w:r>
        <w:tab/>
        <w:t>(ii)</w:t>
      </w:r>
      <w:r>
        <w:tab/>
        <w:t>if that member requests that the operator enter into consultations with a workforce representative in relation to the member — that workforce representative; and</w:t>
      </w:r>
    </w:p>
    <w:p>
      <w:pPr>
        <w:pStyle w:val="nzIndenti"/>
      </w:pPr>
      <w:r>
        <w:tab/>
        <w:t>(iii)</w:t>
      </w:r>
      <w:r>
        <w:tab/>
        <w:t>each employer (if any) of members of the workforce;</w:t>
      </w:r>
    </w:p>
    <w:p>
      <w:pPr>
        <w:pStyle w:val="nzIndenta"/>
      </w:pPr>
      <w:r>
        <w:tab/>
      </w:r>
      <w:r>
        <w:tab/>
        <w:t>and</w:t>
      </w:r>
    </w:p>
    <w:p>
      <w:pPr>
        <w:pStyle w:val="nzIndenta"/>
      </w:pPr>
      <w:r>
        <w:tab/>
        <w:t>(b)</w:t>
      </w:r>
      <w:r>
        <w:tab/>
        <w:t>if a workforce representative made a request to establish designated work groups —</w:t>
      </w:r>
    </w:p>
    <w:p>
      <w:pPr>
        <w:pStyle w:val="nzIndenti"/>
      </w:pPr>
      <w:r>
        <w:tab/>
        <w:t>(i)</w:t>
      </w:r>
      <w:r>
        <w:tab/>
        <w:t>if a member of the workforce requests that the operator enter into consultations with that workforce representative — that workforce representative; and</w:t>
      </w:r>
    </w:p>
    <w:p>
      <w:pPr>
        <w:pStyle w:val="nzIndenti"/>
      </w:pPr>
      <w:r>
        <w:tab/>
        <w:t>(ii)</w:t>
      </w:r>
      <w:r>
        <w:tab/>
        <w:t>each employer of members of the workforce.</w:t>
      </w:r>
    </w:p>
    <w:p>
      <w:pPr>
        <w:pStyle w:val="nz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18.</w:t>
      </w:r>
      <w:r>
        <w:rPr>
          <w:b w:val="0"/>
        </w:rPr>
        <w:tab/>
      </w:r>
      <w:r>
        <w:t>Establishment of designated work groups at initiative of operator</w:t>
      </w:r>
    </w:p>
    <w:p>
      <w:pPr>
        <w:pStyle w:val="nzSubsection"/>
      </w:pPr>
      <w:r>
        <w:tab/>
        <w:t>(1)</w:t>
      </w:r>
      <w:r>
        <w:tab/>
        <w:t>If, at any time, the operator of a petroleum operation considers that designated work groups should be established, the operator must enter into consultations with —</w:t>
      </w:r>
    </w:p>
    <w:p>
      <w:pPr>
        <w:pStyle w:val="nzIndenta"/>
      </w:pPr>
      <w:r>
        <w:tab/>
        <w:t>(a)</w:t>
      </w:r>
      <w:r>
        <w:tab/>
        <w:t>all members of the workforce;</w:t>
      </w:r>
    </w:p>
    <w:p>
      <w:pPr>
        <w:pStyle w:val="nzIndenta"/>
      </w:pPr>
      <w:r>
        <w:tab/>
        <w:t>(b)</w:t>
      </w:r>
      <w:r>
        <w:tab/>
        <w:t>if a member of the workforce requests that the operator enter into consultations with a workforce representative in relation to the member — that workforce representative; and</w:t>
      </w:r>
    </w:p>
    <w:p>
      <w:pPr>
        <w:pStyle w:val="nzIndenta"/>
      </w:pPr>
      <w:r>
        <w:tab/>
        <w:t>(c)</w:t>
      </w:r>
      <w:r>
        <w:tab/>
        <w:t>each employer (if any) of members of the workforce.</w:t>
      </w:r>
    </w:p>
    <w:p>
      <w:pPr>
        <w:pStyle w:val="nz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19.</w:t>
      </w:r>
      <w:r>
        <w:rPr>
          <w:b w:val="0"/>
        </w:rPr>
        <w:tab/>
      </w:r>
      <w:r>
        <w:t>Variation of designated work groups by request</w:t>
      </w:r>
    </w:p>
    <w:p>
      <w:pPr>
        <w:pStyle w:val="nzSubsection"/>
      </w:pPr>
      <w:r>
        <w:tab/>
        <w:t>(1)</w:t>
      </w:r>
      <w:r>
        <w:tab/>
        <w:t>A request to the operator of a petroleum operation to enter into consultations to vary designated work groups that have already been established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pPr>
      <w:r>
        <w:tab/>
        <w:t>(a)</w:t>
      </w:r>
      <w:r>
        <w:tab/>
        <w:t>if any member of the workforce made a request to vary designated work groups —</w:t>
      </w:r>
    </w:p>
    <w:p>
      <w:pPr>
        <w:pStyle w:val="nzIndenti"/>
      </w:pPr>
      <w:r>
        <w:tab/>
        <w:t>(i)</w:t>
      </w:r>
      <w:r>
        <w:tab/>
        <w:t>that member of the workforce;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Indenta"/>
      </w:pPr>
      <w:r>
        <w:tab/>
      </w:r>
      <w:r>
        <w:tab/>
        <w:t>and</w:t>
      </w:r>
    </w:p>
    <w:p>
      <w:pPr>
        <w:pStyle w:val="nzIndenta"/>
      </w:pPr>
      <w:r>
        <w:tab/>
        <w:t>(b)</w:t>
      </w:r>
      <w:r>
        <w:tab/>
        <w:t>if a workforce representative made a request to vary designated work groups —</w:t>
      </w:r>
    </w:p>
    <w:p>
      <w:pPr>
        <w:pStyle w:val="nzIndenti"/>
      </w:pPr>
      <w:r>
        <w:tab/>
        <w:t>(i)</w:t>
      </w:r>
      <w:r>
        <w:tab/>
        <w:t>if a member of a designated work group affected by the proposed variation requests that the operator enter into consultations with that workforce representative in relation to the group — that workforce representative;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Subsection"/>
      </w:pPr>
      <w:r>
        <w:tab/>
        <w:t>(3)</w:t>
      </w:r>
      <w:r>
        <w:tab/>
        <w:t>If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20.</w:t>
      </w:r>
      <w:r>
        <w:rPr>
          <w:b w:val="0"/>
        </w:rPr>
        <w:tab/>
      </w:r>
      <w:r>
        <w:t>Variation of designated work groups at initiative of operator</w:t>
      </w:r>
    </w:p>
    <w:p>
      <w:pPr>
        <w:pStyle w:val="nzSubsection"/>
      </w:pPr>
      <w:r>
        <w:tab/>
        <w:t>(1)</w:t>
      </w:r>
      <w:r>
        <w:tab/>
        <w:t>If the operator of a petroleum operation believes the designated work groups should be varied, the operator may, at any time, enter into consultations about the variations with —</w:t>
      </w:r>
    </w:p>
    <w:p>
      <w:pPr>
        <w:pStyle w:val="nzIndenta"/>
      </w:pPr>
      <w:r>
        <w:tab/>
        <w:t>(a)</w:t>
      </w:r>
      <w:r>
        <w:tab/>
        <w:t>the safety and health representative of each of the designated work groups affected by the proposed variation;</w:t>
      </w:r>
    </w:p>
    <w:p>
      <w:pPr>
        <w:pStyle w:val="nz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nzIndenta"/>
      </w:pPr>
      <w:r>
        <w:tab/>
        <w:t>(c)</w:t>
      </w:r>
      <w:r>
        <w:tab/>
        <w:t>each work group employer (if any) in relation to each designated work group affected by the proposed variation.</w:t>
      </w:r>
    </w:p>
    <w:p>
      <w:pPr>
        <w:pStyle w:val="nzSubsection"/>
      </w:pPr>
      <w:r>
        <w:tab/>
        <w:t>(2)</w:t>
      </w:r>
      <w:r>
        <w:tab/>
        <w:t>If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21.</w:t>
      </w:r>
      <w:r>
        <w:rPr>
          <w:b w:val="0"/>
        </w:rPr>
        <w:tab/>
      </w:r>
      <w:r>
        <w:t>Referral of disagreement to reviewing authority</w:t>
      </w:r>
    </w:p>
    <w:p>
      <w:pPr>
        <w:pStyle w:val="nz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nzSubsection"/>
        <w:rPr>
          <w:b/>
          <w:i/>
        </w:rPr>
      </w:pPr>
      <w:r>
        <w:tab/>
        <w:t>(2)</w:t>
      </w:r>
      <w:r>
        <w:tab/>
        <w:t>The party referring the matter to the reviewing authority must give notice of the referral to all the other parties to the disagreement.</w:t>
      </w:r>
    </w:p>
    <w:p>
      <w:pPr>
        <w:pStyle w:val="nzSubsection"/>
      </w:pPr>
      <w:r>
        <w:tab/>
        <w:t>(3)</w:t>
      </w:r>
      <w:r>
        <w:tab/>
        <w:t>The reviewing authority is to —</w:t>
      </w:r>
    </w:p>
    <w:p>
      <w:pPr>
        <w:pStyle w:val="nzIndenta"/>
      </w:pPr>
      <w:r>
        <w:tab/>
        <w:t>(a)</w:t>
      </w:r>
      <w:r>
        <w:tab/>
        <w:t>resolve the matter of the disagreement referred to the reviewing authority; and</w:t>
      </w:r>
    </w:p>
    <w:p>
      <w:pPr>
        <w:pStyle w:val="nzIndenta"/>
      </w:pPr>
      <w:r>
        <w:tab/>
        <w:t>(b)</w:t>
      </w:r>
      <w:r>
        <w:tab/>
        <w:t>notify all parties to the disagreement of the decision.</w:t>
      </w:r>
    </w:p>
    <w:p>
      <w:pPr>
        <w:pStyle w:val="nz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nzSubsection"/>
      </w:pPr>
      <w:r>
        <w:tab/>
        <w:t>(5)</w:t>
      </w:r>
      <w:r>
        <w:tab/>
        <w:t>In this clause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22.</w:t>
      </w:r>
      <w:r>
        <w:rPr>
          <w:b w:val="0"/>
        </w:rPr>
        <w:tab/>
      </w:r>
      <w:r>
        <w:t>Manner of grouping members of the workforce</w:t>
      </w:r>
    </w:p>
    <w:p>
      <w:pPr>
        <w:pStyle w:val="nzSubsection"/>
      </w:pPr>
      <w:r>
        <w:tab/>
        <w:t>(1)</w:t>
      </w:r>
      <w:r>
        <w:tab/>
        <w:t>Consultations about the establishment or variation of a designated work group must be directed principally at the determination of the manner of grouping members of the workforce —</w:t>
      </w:r>
    </w:p>
    <w:p>
      <w:pPr>
        <w:pStyle w:val="nzIndenta"/>
      </w:pPr>
      <w:r>
        <w:tab/>
        <w:t>(a)</w:t>
      </w:r>
      <w:r>
        <w:tab/>
        <w:t>that best and most conveniently enables their interests relating to occupational safety and health to be represented and safeguarded; and</w:t>
      </w:r>
    </w:p>
    <w:p>
      <w:pPr>
        <w:pStyle w:val="nzIndenta"/>
      </w:pPr>
      <w:r>
        <w:tab/>
        <w:t>(b)</w:t>
      </w:r>
      <w:r>
        <w:tab/>
        <w:t>that best takes account of the need for any safety and health representative selected for that designated work group to be accessible to each group member.</w:t>
      </w:r>
    </w:p>
    <w:p>
      <w:pPr>
        <w:pStyle w:val="nzSubsection"/>
      </w:pPr>
      <w:r>
        <w:tab/>
        <w:t>(2)</w:t>
      </w:r>
      <w:r>
        <w:tab/>
        <w:t>The parties to the consultations must have regard, in particular, to —</w:t>
      </w:r>
    </w:p>
    <w:p>
      <w:pPr>
        <w:pStyle w:val="nzIndenta"/>
      </w:pPr>
      <w:r>
        <w:tab/>
        <w:t>(a)</w:t>
      </w:r>
      <w:r>
        <w:tab/>
        <w:t>the number of members of the workforce engaged in the petroleum operation to which the consultation relates;</w:t>
      </w:r>
    </w:p>
    <w:p>
      <w:pPr>
        <w:pStyle w:val="nzIndenta"/>
      </w:pPr>
      <w:r>
        <w:tab/>
        <w:t>(b)</w:t>
      </w:r>
      <w:r>
        <w:tab/>
        <w:t>the nature of each type of work performed by those members;</w:t>
      </w:r>
    </w:p>
    <w:p>
      <w:pPr>
        <w:pStyle w:val="nzIndenta"/>
      </w:pPr>
      <w:r>
        <w:tab/>
        <w:t>(c)</w:t>
      </w:r>
      <w:r>
        <w:tab/>
        <w:t>the number and grouping of those members who perform the same or similar types of work;</w:t>
      </w:r>
    </w:p>
    <w:p>
      <w:pPr>
        <w:pStyle w:val="nzIndenta"/>
      </w:pPr>
      <w:r>
        <w:tab/>
        <w:t>(d)</w:t>
      </w:r>
      <w:r>
        <w:tab/>
        <w:t>the workplaces where each type of work is performed;</w:t>
      </w:r>
    </w:p>
    <w:p>
      <w:pPr>
        <w:pStyle w:val="nzIndenta"/>
      </w:pPr>
      <w:r>
        <w:tab/>
        <w:t>(e)</w:t>
      </w:r>
      <w:r>
        <w:tab/>
        <w:t>the nature of any risks to safety and health at each of those workplaces; and</w:t>
      </w:r>
    </w:p>
    <w:p>
      <w:pPr>
        <w:pStyle w:val="nzIndenta"/>
      </w:pPr>
      <w:r>
        <w:tab/>
        <w:t>(f)</w:t>
      </w:r>
      <w:r>
        <w:tab/>
        <w:t>any overtime or shift working arrangement in relation to the petroleum operation.</w:t>
      </w:r>
    </w:p>
    <w:p>
      <w:pPr>
        <w:pStyle w:val="nzSubsection"/>
      </w:pPr>
      <w:r>
        <w:tab/>
        <w:t>(3)</w:t>
      </w:r>
      <w:r>
        <w:tab/>
        <w:t>The designated work groups must be established or varied in such a way that, so far as practicable, each of the members of the workforce engaged in a petroleum operation is in a designated work group.</w:t>
      </w:r>
    </w:p>
    <w:p>
      <w:pPr>
        <w:pStyle w:val="nzSubsection"/>
      </w:pPr>
      <w:r>
        <w:tab/>
        <w:t>(4)</w:t>
      </w:r>
      <w:r>
        <w:tab/>
        <w:t>All the members of the workforce engaged in a petroleum operation may be in one designated work group.</w:t>
      </w:r>
    </w:p>
    <w:p>
      <w:pPr>
        <w:pStyle w:val="nzHeading4"/>
        <w:outlineLvl w:val="0"/>
      </w:pPr>
      <w:bookmarkStart w:id="1079" w:name="_Toc112746335"/>
      <w:bookmarkStart w:id="1080" w:name="_Toc112746460"/>
      <w:r>
        <w:t>Subdivision </w:t>
      </w:r>
      <w:r>
        <w:rPr>
          <w:bCs/>
        </w:rPr>
        <w:t>3</w:t>
      </w:r>
      <w:r>
        <w:rPr>
          <w:b w:val="0"/>
        </w:rPr>
        <w:t> — </w:t>
      </w:r>
      <w:r>
        <w:rPr>
          <w:bCs/>
        </w:rPr>
        <w:t>Safety and health</w:t>
      </w:r>
      <w:r>
        <w:t xml:space="preserve"> representatives</w:t>
      </w:r>
      <w:bookmarkEnd w:id="1079"/>
      <w:bookmarkEnd w:id="1080"/>
    </w:p>
    <w:p>
      <w:pPr>
        <w:pStyle w:val="nzHeading5"/>
      </w:pPr>
      <w:r>
        <w:t>23.</w:t>
      </w:r>
      <w:r>
        <w:rPr>
          <w:b w:val="0"/>
        </w:rPr>
        <w:tab/>
      </w:r>
      <w:r>
        <w:t>Selection of safety and health representatives</w:t>
      </w:r>
    </w:p>
    <w:p>
      <w:pPr>
        <w:pStyle w:val="nzSubsection"/>
      </w:pPr>
      <w:r>
        <w:tab/>
        <w:t>(1)</w:t>
      </w:r>
      <w:r>
        <w:tab/>
        <w:t>One safety and health representative may be selected for each designated work group.</w:t>
      </w:r>
    </w:p>
    <w:p>
      <w:pPr>
        <w:pStyle w:val="nzSubsection"/>
      </w:pPr>
      <w:r>
        <w:tab/>
        <w:t>(2)</w:t>
      </w:r>
      <w:r>
        <w:tab/>
        <w:t>A person is not eligible for selection as the safety and health representative for a designated work group unless the person is a member of the workforce included in the group.</w:t>
      </w:r>
    </w:p>
    <w:p>
      <w:pPr>
        <w:pStyle w:val="nzSubsection"/>
      </w:pPr>
      <w:r>
        <w:tab/>
        <w:t>(3)</w:t>
      </w:r>
      <w:r>
        <w:tab/>
        <w:t>A person is taken to have been selected as the safety and health representative for a designated work group if —</w:t>
      </w:r>
    </w:p>
    <w:p>
      <w:pPr>
        <w:pStyle w:val="nzIndenta"/>
      </w:pPr>
      <w:r>
        <w:tab/>
        <w:t>(a)</w:t>
      </w:r>
      <w:r>
        <w:tab/>
        <w:t>all the members of the workforce in the group unanimously agree to the selection; or</w:t>
      </w:r>
    </w:p>
    <w:p>
      <w:pPr>
        <w:pStyle w:val="nzIndenta"/>
      </w:pPr>
      <w:r>
        <w:tab/>
        <w:t>(b)</w:t>
      </w:r>
      <w:r>
        <w:tab/>
        <w:t>the person is elected as the safety and health representative of the group in accordance with clause 24.</w:t>
      </w:r>
    </w:p>
    <w:p>
      <w:pPr>
        <w:pStyle w:val="nzHeading5"/>
      </w:pPr>
      <w:r>
        <w:t>24.</w:t>
      </w:r>
      <w:r>
        <w:rPr>
          <w:b w:val="0"/>
        </w:rPr>
        <w:tab/>
      </w:r>
      <w:r>
        <w:t>Election of safety and health representatives</w:t>
      </w:r>
    </w:p>
    <w:p>
      <w:pPr>
        <w:pStyle w:val="nzSubsection"/>
      </w:pPr>
      <w:r>
        <w:tab/>
        <w:t>(1)</w:t>
      </w:r>
      <w:r>
        <w:tab/>
        <w:t>If —</w:t>
      </w:r>
    </w:p>
    <w:p>
      <w:pPr>
        <w:pStyle w:val="nzIndenta"/>
      </w:pPr>
      <w:r>
        <w:tab/>
        <w:t>(a)</w:t>
      </w:r>
      <w:r>
        <w:tab/>
        <w:t>there is a vacancy in the office of safety and health representative for a designated work group; and</w:t>
      </w:r>
    </w:p>
    <w:p>
      <w:pPr>
        <w:pStyle w:val="nzIndenta"/>
      </w:pPr>
      <w:r>
        <w:tab/>
        <w:t>(b)</w:t>
      </w:r>
      <w:r>
        <w:tab/>
        <w:t>within a reasonable time after the vacancy occurs, a person has not been selected under clause 23(3)(a),</w:t>
      </w:r>
    </w:p>
    <w:p>
      <w:pPr>
        <w:pStyle w:val="nzSubsection"/>
      </w:pPr>
      <w:r>
        <w:tab/>
      </w:r>
      <w:r>
        <w:tab/>
        <w:t>the operator of the petroleum operation must invite nominations from all group members for election as the safety and health representative of the group.</w:t>
      </w:r>
    </w:p>
    <w:p>
      <w:pPr>
        <w:pStyle w:val="nz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nzSubsection"/>
      </w:pPr>
      <w:r>
        <w:tab/>
        <w:t>(3)</w:t>
      </w:r>
      <w:r>
        <w:tab/>
        <w:t>If there is more than one candidate for election at the close of the nomination period, the operator must conduct, or arrange for the conduct of, an election at the operator’s expense.</w:t>
      </w:r>
    </w:p>
    <w:p>
      <w:pPr>
        <w:pStyle w:val="nzSubsection"/>
      </w:pPr>
      <w:r>
        <w:tab/>
        <w:t>(4)</w:t>
      </w:r>
      <w:r>
        <w:tab/>
        <w:t>An election conducted or arranged to be conducted under subclause (3) must be conducted in accordance with regulations made for the purposes of this subclause if this is requested by the lesser of —</w:t>
      </w:r>
    </w:p>
    <w:p>
      <w:pPr>
        <w:pStyle w:val="nzIndenta"/>
      </w:pPr>
      <w:r>
        <w:tab/>
        <w:t>(a)</w:t>
      </w:r>
      <w:r>
        <w:tab/>
        <w:t>100 members of the workforce normally in the designated work group; or</w:t>
      </w:r>
    </w:p>
    <w:p>
      <w:pPr>
        <w:pStyle w:val="nzIndenta"/>
      </w:pPr>
      <w:r>
        <w:tab/>
        <w:t>(b)</w:t>
      </w:r>
      <w:r>
        <w:tab/>
        <w:t>a majority of the members of the workforce normally in the designated work group.</w:t>
      </w:r>
    </w:p>
    <w:p>
      <w:pPr>
        <w:pStyle w:val="nzSubsection"/>
      </w:pPr>
      <w:r>
        <w:tab/>
        <w:t>(5)</w:t>
      </w:r>
      <w:r>
        <w:tab/>
        <w:t>If there is only one candidate for election at the close of the nomination period, that person is taken to have been elected.</w:t>
      </w:r>
    </w:p>
    <w:p>
      <w:pPr>
        <w:pStyle w:val="nzSubsection"/>
      </w:pPr>
      <w:r>
        <w:tab/>
        <w:t>(6)</w:t>
      </w:r>
      <w:r>
        <w:tab/>
        <w:t>A person cannot be a candidate in the election if he or she is disqualified under clause 30.</w:t>
      </w:r>
    </w:p>
    <w:p>
      <w:pPr>
        <w:pStyle w:val="nzSubsection"/>
      </w:pPr>
      <w:r>
        <w:tab/>
        <w:t>(7)</w:t>
      </w:r>
      <w:r>
        <w:tab/>
        <w:t>All the members of the workforce in the designated work group are entitled to vote in the election.</w:t>
      </w:r>
    </w:p>
    <w:p>
      <w:pPr>
        <w:pStyle w:val="nzSubsection"/>
      </w:pPr>
      <w:r>
        <w:tab/>
        <w:t>(8)</w:t>
      </w:r>
      <w:r>
        <w:tab/>
        <w:t>An operator conducting or arranging for the conduct of an election under this clause must comply with any relevant directions issued by the Minister.</w:t>
      </w:r>
    </w:p>
    <w:p>
      <w:pPr>
        <w:pStyle w:val="nzHeading5"/>
      </w:pPr>
      <w:r>
        <w:t>25.</w:t>
      </w:r>
      <w:r>
        <w:rPr>
          <w:b w:val="0"/>
        </w:rPr>
        <w:tab/>
      </w:r>
      <w:r>
        <w:t>List of safety and health representatives</w:t>
      </w:r>
    </w:p>
    <w:p>
      <w:pPr>
        <w:pStyle w:val="nzSubsection"/>
      </w:pPr>
      <w:r>
        <w:tab/>
      </w:r>
      <w:r>
        <w:tab/>
        <w:t>The operator of a petroleum operation must —</w:t>
      </w:r>
    </w:p>
    <w:p>
      <w:pPr>
        <w:pStyle w:val="nzIndenta"/>
      </w:pPr>
      <w:r>
        <w:tab/>
        <w:t>(a)</w:t>
      </w:r>
      <w:r>
        <w:tab/>
        <w:t>prepare and keep up to date a list of all the safety and health representatives of designated work groups comprising members of the workforce engaged in the petroleum operation; and</w:t>
      </w:r>
    </w:p>
    <w:p>
      <w:pPr>
        <w:pStyle w:val="nzIndenta"/>
      </w:pPr>
      <w:r>
        <w:tab/>
        <w:t>(b)</w:t>
      </w:r>
      <w:r>
        <w:tab/>
        <w:t>ensure that the list is available for inspection, at all reasonable times, by —</w:t>
      </w:r>
    </w:p>
    <w:p>
      <w:pPr>
        <w:pStyle w:val="nzIndenti"/>
      </w:pPr>
      <w:r>
        <w:tab/>
        <w:t>(i)</w:t>
      </w:r>
      <w:r>
        <w:tab/>
        <w:t>the members of the workforce engaged in the petroleum operation; and</w:t>
      </w:r>
    </w:p>
    <w:p>
      <w:pPr>
        <w:pStyle w:val="nzIndenti"/>
      </w:pPr>
      <w:r>
        <w:tab/>
        <w:t>(ii)</w:t>
      </w:r>
      <w:r>
        <w:tab/>
        <w:t>inspectors.</w:t>
      </w:r>
    </w:p>
    <w:p>
      <w:pPr>
        <w:pStyle w:val="nzHeading5"/>
      </w:pPr>
      <w:r>
        <w:t>26.</w:t>
      </w:r>
      <w:r>
        <w:rPr>
          <w:b w:val="0"/>
        </w:rPr>
        <w:tab/>
      </w:r>
      <w:r>
        <w:t>Members of designated work group must be notified of selection etc. of safety and health representative</w:t>
      </w:r>
    </w:p>
    <w:p>
      <w:pPr>
        <w:pStyle w:val="nzSubsection"/>
      </w:pPr>
      <w:r>
        <w:tab/>
      </w:r>
      <w:r>
        <w:tab/>
        <w:t>The operator of a petroleum operation must —</w:t>
      </w:r>
    </w:p>
    <w:p>
      <w:pPr>
        <w:pStyle w:val="nzIndenta"/>
      </w:pPr>
      <w:r>
        <w:tab/>
        <w:t>(a)</w:t>
      </w:r>
      <w:r>
        <w:tab/>
        <w:t>notify members of a designated work group in relation to the petroleum operation of a vacancy in the office of safety and health representative for the designated work group within a reasonable time after the vacancy arises; and</w:t>
      </w:r>
    </w:p>
    <w:p>
      <w:pPr>
        <w:pStyle w:val="nzIndenta"/>
      </w:pPr>
      <w:r>
        <w:tab/>
        <w:t>(b)</w:t>
      </w:r>
      <w:r>
        <w:tab/>
        <w:t>notify those members of the name of any person selected (whether under clause 23(3)(a) or (b)) as safety and health representative for the designated work group within a reasonable time after the selection is made.</w:t>
      </w:r>
    </w:p>
    <w:p>
      <w:pPr>
        <w:pStyle w:val="nzHeading5"/>
      </w:pPr>
      <w:r>
        <w:t>27.</w:t>
      </w:r>
      <w:r>
        <w:rPr>
          <w:b w:val="0"/>
        </w:rPr>
        <w:tab/>
      </w:r>
      <w:r>
        <w:t>Term of office</w:t>
      </w:r>
    </w:p>
    <w:p>
      <w:pPr>
        <w:pStyle w:val="nzSubsection"/>
      </w:pPr>
      <w:r>
        <w:tab/>
        <w:t>(1)</w:t>
      </w:r>
      <w:r>
        <w:tab/>
        <w:t>A safety and health representative for a designated work group holds office —</w:t>
      </w:r>
    </w:p>
    <w:p>
      <w:pPr>
        <w:pStyle w:val="nz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nzIndenta"/>
      </w:pPr>
      <w:r>
        <w:tab/>
        <w:t>(b)</w:t>
      </w:r>
      <w:r>
        <w:tab/>
        <w:t>if paragraph (a) does not apply — for 2 years.</w:t>
      </w:r>
    </w:p>
    <w:p>
      <w:pPr>
        <w:pStyle w:val="nzSubsection"/>
      </w:pPr>
      <w:r>
        <w:tab/>
        <w:t>(2)</w:t>
      </w:r>
      <w:r>
        <w:tab/>
        <w:t>The term of office of a safety and health representative begins at the start of the day on which he or she was selected.</w:t>
      </w:r>
    </w:p>
    <w:p>
      <w:pPr>
        <w:pStyle w:val="nzSubsection"/>
      </w:pPr>
      <w:r>
        <w:tab/>
        <w:t>(3)</w:t>
      </w:r>
      <w:r>
        <w:tab/>
        <w:t>Nothing in this clause prevents a safety and health representative from being selected for further terms of office.</w:t>
      </w:r>
    </w:p>
    <w:p>
      <w:pPr>
        <w:pStyle w:val="nzHeading5"/>
      </w:pPr>
      <w:r>
        <w:t>28.</w:t>
      </w:r>
      <w:r>
        <w:rPr>
          <w:b w:val="0"/>
        </w:rPr>
        <w:tab/>
      </w:r>
      <w:r>
        <w:t>Training of safety and health representatives</w:t>
      </w:r>
    </w:p>
    <w:p>
      <w:pPr>
        <w:pStyle w:val="nz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nzSubsection"/>
      </w:pPr>
      <w:r>
        <w:tab/>
        <w:t>(2)</w:t>
      </w:r>
      <w:r>
        <w:tab/>
        <w:t>The operator of the petroleum operation concerned must permit the representative to take any time off work, without loss of remuneration or other entitlements, that is necessary to undertake the training.</w:t>
      </w:r>
    </w:p>
    <w:p>
      <w:pPr>
        <w:pStyle w:val="nz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nzHeading5"/>
      </w:pPr>
      <w:r>
        <w:t>29.</w:t>
      </w:r>
      <w:r>
        <w:rPr>
          <w:b w:val="0"/>
        </w:rPr>
        <w:tab/>
      </w:r>
      <w:r>
        <w:t>Resignation etc. of safety and health representatives</w:t>
      </w:r>
    </w:p>
    <w:p>
      <w:pPr>
        <w:pStyle w:val="nzSubsection"/>
      </w:pPr>
      <w:r>
        <w:tab/>
        <w:t>(1)</w:t>
      </w:r>
      <w:r>
        <w:tab/>
        <w:t>A person ceases to be the safety and health representative for the designated work group if —</w:t>
      </w:r>
    </w:p>
    <w:p>
      <w:pPr>
        <w:pStyle w:val="nzIndenta"/>
      </w:pPr>
      <w:r>
        <w:tab/>
        <w:t>(a)</w:t>
      </w:r>
      <w:r>
        <w:tab/>
        <w:t>the person resigns as the safety and health representative;</w:t>
      </w:r>
    </w:p>
    <w:p>
      <w:pPr>
        <w:pStyle w:val="nzIndenta"/>
      </w:pPr>
      <w:r>
        <w:tab/>
        <w:t>(b)</w:t>
      </w:r>
      <w:r>
        <w:tab/>
        <w:t>the person ceases to be a group member of that designated work group;</w:t>
      </w:r>
    </w:p>
    <w:p>
      <w:pPr>
        <w:pStyle w:val="nzIndenta"/>
      </w:pPr>
      <w:r>
        <w:tab/>
        <w:t>(c)</w:t>
      </w:r>
      <w:r>
        <w:tab/>
        <w:t>the person’s term of office expires without the person having been selected, under clause 23, to be the safety and health representative for the designated work group for a further term; or</w:t>
      </w:r>
    </w:p>
    <w:p>
      <w:pPr>
        <w:pStyle w:val="nzIndenta"/>
      </w:pPr>
      <w:r>
        <w:tab/>
        <w:t>(d)</w:t>
      </w:r>
      <w:r>
        <w:tab/>
        <w:t>the person is disqualified under clause 30.</w:t>
      </w:r>
    </w:p>
    <w:p>
      <w:pPr>
        <w:pStyle w:val="nzSubsection"/>
      </w:pPr>
      <w:r>
        <w:tab/>
        <w:t>(2)</w:t>
      </w:r>
      <w:r>
        <w:tab/>
        <w:t>A person may resign as the safety and health representative for a designated work group by notice in writing delivered to the operator and to each work group employer.</w:t>
      </w:r>
    </w:p>
    <w:p>
      <w:pPr>
        <w:pStyle w:val="nzSubsection"/>
      </w:pPr>
      <w:r>
        <w:tab/>
        <w:t>(3)</w:t>
      </w:r>
      <w:r>
        <w:tab/>
        <w:t>If a person resigns as the safety and health representative for a designated work group, the person must notify the resignation to the group members.</w:t>
      </w:r>
    </w:p>
    <w:p>
      <w:pPr>
        <w:pStyle w:val="nzSubsection"/>
      </w:pPr>
      <w:r>
        <w:tab/>
        <w:t>(4)</w:t>
      </w:r>
      <w:r>
        <w:tab/>
        <w:t>If a person has ceased to be the safety and health representative for a designated work group because of subclause (1)(b), the person must notify in writing —</w:t>
      </w:r>
    </w:p>
    <w:p>
      <w:pPr>
        <w:pStyle w:val="nzIndenta"/>
      </w:pPr>
      <w:r>
        <w:tab/>
        <w:t>(a)</w:t>
      </w:r>
      <w:r>
        <w:tab/>
        <w:t>the group members; and</w:t>
      </w:r>
    </w:p>
    <w:p>
      <w:pPr>
        <w:pStyle w:val="nzIndenta"/>
        <w:keepNext/>
      </w:pPr>
      <w:r>
        <w:tab/>
        <w:t>(b)</w:t>
      </w:r>
      <w:r>
        <w:tab/>
        <w:t>the operator and each work group employer,</w:t>
      </w:r>
    </w:p>
    <w:p>
      <w:pPr>
        <w:pStyle w:val="nzSubsection"/>
      </w:pPr>
      <w:r>
        <w:tab/>
      </w:r>
      <w:r>
        <w:tab/>
        <w:t>that the person has ceased to be the safety and health representative for that designated work group.</w:t>
      </w:r>
    </w:p>
    <w:p>
      <w:pPr>
        <w:pStyle w:val="nzHeading5"/>
      </w:pPr>
      <w:r>
        <w:t>30.</w:t>
      </w:r>
      <w:r>
        <w:rPr>
          <w:b w:val="0"/>
        </w:rPr>
        <w:tab/>
      </w:r>
      <w:r>
        <w:t>Disqualification of safety and health representatives</w:t>
      </w:r>
    </w:p>
    <w:p>
      <w:pPr>
        <w:pStyle w:val="nzSubsection"/>
      </w:pPr>
      <w:r>
        <w:tab/>
        <w:t>(1)</w:t>
      </w:r>
      <w:r>
        <w:tab/>
        <w:t>An application for the disqualification of a safety and health representative for a designated work group may be made to the Tribunal by —</w:t>
      </w:r>
    </w:p>
    <w:p>
      <w:pPr>
        <w:pStyle w:val="nzIndenta"/>
      </w:pPr>
      <w:r>
        <w:tab/>
        <w:t>(a)</w:t>
      </w:r>
      <w:r>
        <w:tab/>
        <w:t>the operator;</w:t>
      </w:r>
    </w:p>
    <w:p>
      <w:pPr>
        <w:pStyle w:val="nzIndenta"/>
      </w:pPr>
      <w:r>
        <w:tab/>
        <w:t>(b)</w:t>
      </w:r>
      <w:r>
        <w:tab/>
        <w:t>a work group employer; or</w:t>
      </w:r>
    </w:p>
    <w:p>
      <w:pPr>
        <w:pStyle w:val="nzIndenta"/>
      </w:pPr>
      <w:r>
        <w:tab/>
        <w:t>(c)</w:t>
      </w:r>
      <w:r>
        <w:tab/>
        <w:t>at the request of a group member of the designated work group — a workforce representative in relation to the designated work group.</w:t>
      </w:r>
    </w:p>
    <w:p>
      <w:pPr>
        <w:pStyle w:val="nzSubsection"/>
      </w:pPr>
      <w:r>
        <w:tab/>
        <w:t>(2)</w:t>
      </w:r>
      <w:r>
        <w:tab/>
        <w:t>An application under subclause (1) may be made on either or both of the following grounds —</w:t>
      </w:r>
    </w:p>
    <w:p>
      <w:pPr>
        <w:pStyle w:val="nzIndenta"/>
      </w:pPr>
      <w:r>
        <w:tab/>
        <w:t>(a)</w:t>
      </w:r>
      <w:r>
        <w:tab/>
        <w:t>that action taken by the representative in the exercise or purported exercise of a power under clause 32(1) or any other provision of this Schedule was taken —</w:t>
      </w:r>
    </w:p>
    <w:p>
      <w:pPr>
        <w:pStyle w:val="nzIndenti"/>
      </w:pPr>
      <w:r>
        <w:tab/>
        <w:t>(i)</w:t>
      </w:r>
      <w:r>
        <w:tab/>
        <w:t>with the intention of causing harm to the operator or work group employer or to an undertaking of the operator or work group employer; or</w:t>
      </w:r>
    </w:p>
    <w:p>
      <w:pPr>
        <w:pStyle w:val="nzIndenti"/>
      </w:pPr>
      <w:r>
        <w:tab/>
        <w:t>(ii)</w:t>
      </w:r>
      <w:r>
        <w:tab/>
        <w:t>unreasonably, capriciously or not for the purpose for which the power was conferred on the representative;</w:t>
      </w:r>
    </w:p>
    <w:p>
      <w:pPr>
        <w:pStyle w:val="nz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nz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nzSubsection"/>
      </w:pPr>
      <w:r>
        <w:tab/>
        <w:t>(4)</w:t>
      </w:r>
      <w:r>
        <w:tab/>
        <w:t>In making a decision under subclause (3), the Tribunal must have regard to —</w:t>
      </w:r>
    </w:p>
    <w:p>
      <w:pPr>
        <w:pStyle w:val="nzIndenta"/>
      </w:pPr>
      <w:r>
        <w:tab/>
        <w:t>(a)</w:t>
      </w:r>
      <w:r>
        <w:tab/>
        <w:t>the harm (if any) that was caused to the operator or work group employer or to an undertaking of the operator or work group employer as a result of the action of the representative;</w:t>
      </w:r>
    </w:p>
    <w:p>
      <w:pPr>
        <w:pStyle w:val="nzIndenta"/>
      </w:pPr>
      <w:r>
        <w:tab/>
        <w:t>(b)</w:t>
      </w:r>
      <w:r>
        <w:tab/>
        <w:t>the past record of the representative in exercising the powers of a safety and health representative;</w:t>
      </w:r>
    </w:p>
    <w:p>
      <w:pPr>
        <w:pStyle w:val="nzIndenta"/>
      </w:pPr>
      <w:r>
        <w:tab/>
        <w:t>(c)</w:t>
      </w:r>
      <w:r>
        <w:tab/>
        <w:t>the effect (if any) on the public interest of the action of the representative; and</w:t>
      </w:r>
    </w:p>
    <w:p>
      <w:pPr>
        <w:pStyle w:val="nzIndenta"/>
        <w:rPr>
          <w:b/>
          <w:i/>
        </w:rPr>
      </w:pPr>
      <w:r>
        <w:tab/>
        <w:t>(d)</w:t>
      </w:r>
      <w:r>
        <w:tab/>
        <w:t>any other matters the Tribunal thinks relevant.</w:t>
      </w:r>
    </w:p>
    <w:p>
      <w:pPr>
        <w:pStyle w:val="nzHeading5"/>
      </w:pPr>
      <w:r>
        <w:t>31.</w:t>
      </w:r>
      <w:r>
        <w:rPr>
          <w:b w:val="0"/>
        </w:rPr>
        <w:tab/>
      </w:r>
      <w:r>
        <w:t>Deputy safety and health representatives</w:t>
      </w:r>
    </w:p>
    <w:p>
      <w:pPr>
        <w:pStyle w:val="nzSubsection"/>
      </w:pPr>
      <w:r>
        <w:tab/>
        <w:t>(1)</w:t>
      </w:r>
      <w:r>
        <w:tab/>
        <w:t>One deputy safety and health representative may be selected for each designated work group for which a safety and health representative has been selected.</w:t>
      </w:r>
    </w:p>
    <w:p>
      <w:pPr>
        <w:pStyle w:val="nzSubsection"/>
      </w:pPr>
      <w:r>
        <w:tab/>
        <w:t>(2)</w:t>
      </w:r>
      <w:r>
        <w:tab/>
        <w:t>A deputy safety and health representative is to be selected in the same way as a safety and health representative under clause 23.</w:t>
      </w:r>
    </w:p>
    <w:p>
      <w:pPr>
        <w:pStyle w:val="nzSubsection"/>
      </w:pPr>
      <w:r>
        <w:tab/>
        <w:t>(3)</w:t>
      </w:r>
      <w:r>
        <w:tab/>
        <w:t>If the safety and health representative for a designated work group —</w:t>
      </w:r>
    </w:p>
    <w:p>
      <w:pPr>
        <w:pStyle w:val="nzIndenta"/>
      </w:pPr>
      <w:r>
        <w:tab/>
        <w:t>(a)</w:t>
      </w:r>
      <w:r>
        <w:tab/>
        <w:t>ceases to be the safety and health representative; or</w:t>
      </w:r>
    </w:p>
    <w:p>
      <w:pPr>
        <w:pStyle w:val="nzIndenta"/>
      </w:pPr>
      <w:r>
        <w:tab/>
        <w:t>(b)</w:t>
      </w:r>
      <w:r>
        <w:tab/>
        <w:t>is unable (because of absence or for any other reason) to exercise the powers of a safety and health representative,</w:t>
      </w:r>
    </w:p>
    <w:p>
      <w:pPr>
        <w:pStyle w:val="nzSubsection"/>
      </w:pPr>
      <w:r>
        <w:tab/>
      </w:r>
      <w:r>
        <w:tab/>
        <w:t>then —</w:t>
      </w:r>
    </w:p>
    <w:p>
      <w:pPr>
        <w:pStyle w:val="nzIndenta"/>
      </w:pPr>
      <w:r>
        <w:tab/>
        <w:t>(c)</w:t>
      </w:r>
      <w:r>
        <w:tab/>
        <w:t>the powers may be exercised by the deputy safety and health representative (if any) for the group; and</w:t>
      </w:r>
    </w:p>
    <w:p>
      <w:pPr>
        <w:pStyle w:val="nzIndenta"/>
      </w:pPr>
      <w:r>
        <w:tab/>
        <w:t>(d)</w:t>
      </w:r>
      <w:r>
        <w:tab/>
        <w:t>this Schedule (other than this clause) applies in relation to the deputy safety and health representative accordingly.</w:t>
      </w:r>
    </w:p>
    <w:p>
      <w:pPr>
        <w:pStyle w:val="nzHeading5"/>
      </w:pPr>
      <w:r>
        <w:t>32.</w:t>
      </w:r>
      <w:r>
        <w:rPr>
          <w:b w:val="0"/>
        </w:rPr>
        <w:tab/>
      </w:r>
      <w:r>
        <w:t>Powers of safety and health representatives</w:t>
      </w:r>
    </w:p>
    <w:p>
      <w:pPr>
        <w:pStyle w:val="nzSubsection"/>
      </w:pPr>
      <w:r>
        <w:tab/>
        <w:t>(1)</w:t>
      </w:r>
      <w:r>
        <w:tab/>
        <w:t>A safety and health representative for a designated work group may, for the purpose of promoting or ensuring the safety and health at a workplace of the group members —</w:t>
      </w:r>
    </w:p>
    <w:p>
      <w:pPr>
        <w:pStyle w:val="nzIndenta"/>
      </w:pPr>
      <w:r>
        <w:tab/>
        <w:t>(a)</w:t>
      </w:r>
      <w:r>
        <w:tab/>
        <w:t>do all or any of the following —</w:t>
      </w:r>
    </w:p>
    <w:p>
      <w:pPr>
        <w:pStyle w:val="nzIndenti"/>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nzIndenti"/>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nzIndenti"/>
      </w:pPr>
      <w:r>
        <w:tab/>
        <w:t>(iii)</w:t>
      </w:r>
      <w:r>
        <w:tab/>
        <w:t>make a request to an inspector or to the Minister that an inspection be conducted at the workplace;</w:t>
      </w:r>
    </w:p>
    <w:p>
      <w:pPr>
        <w:pStyle w:val="nzIndenti"/>
      </w:pPr>
      <w:r>
        <w:tab/>
        <w:t>(iv)</w:t>
      </w:r>
      <w:r>
        <w:tab/>
        <w:t>accompany an inspector during any inspection at the workplace by the inspector (whether or not the inspection is being conducted as a result of a request made by the safety and health representative);</w:t>
      </w:r>
    </w:p>
    <w:p>
      <w:pPr>
        <w:pStyle w:val="nzIndenti"/>
      </w:pPr>
      <w:r>
        <w:tab/>
        <w:t>(v)</w:t>
      </w:r>
      <w:r>
        <w:tab/>
        <w:t>if there is no safety and health committee in respect of the members of the workforce engaged in the petroleum operation — represent group members in consultations with the operator and any work group employer about the development, implementation and review of measures to ensure the safety and health of those members at the workplace;</w:t>
      </w:r>
    </w:p>
    <w:p>
      <w:pPr>
        <w:pStyle w:val="nzIndenti"/>
      </w:pPr>
      <w:r>
        <w:tab/>
        <w:t>(vi)</w:t>
      </w:r>
      <w:r>
        <w:tab/>
        <w:t>if a safety and health committee has been established in respect of the members of the workforce engaged in the petroleum operation — examine any of the records of that committee;</w:t>
      </w:r>
    </w:p>
    <w:p>
      <w:pPr>
        <w:pStyle w:val="nzIndenta"/>
      </w:pPr>
      <w:r>
        <w:tab/>
        <w:t>(b)</w:t>
      </w:r>
      <w:r>
        <w:tab/>
        <w:t>investigate complaints made by any group member to the safety and health representative about the safety and health of any of the members of the workforce (whether in the group or not);</w:t>
      </w:r>
    </w:p>
    <w:p>
      <w:pPr>
        <w:pStyle w:val="nzIndenta"/>
      </w:pPr>
      <w:r>
        <w:tab/>
        <w:t>(c)</w:t>
      </w:r>
      <w:r>
        <w:tab/>
        <w:t>with the consent of a group member, be present at any interview about safety and health at work between that member and —</w:t>
      </w:r>
    </w:p>
    <w:p>
      <w:pPr>
        <w:pStyle w:val="nzIndenti"/>
      </w:pPr>
      <w:r>
        <w:tab/>
        <w:t>(i)</w:t>
      </w:r>
      <w:r>
        <w:tab/>
        <w:t>an inspector;</w:t>
      </w:r>
    </w:p>
    <w:p>
      <w:pPr>
        <w:pStyle w:val="nzIndenti"/>
      </w:pPr>
      <w:r>
        <w:tab/>
        <w:t>(ii)</w:t>
      </w:r>
      <w:r>
        <w:tab/>
        <w:t>the operator or a person representing the operator; or</w:t>
      </w:r>
    </w:p>
    <w:p>
      <w:pPr>
        <w:pStyle w:val="nzIndenti"/>
      </w:pPr>
      <w:r>
        <w:tab/>
        <w:t>(iii)</w:t>
      </w:r>
      <w:r>
        <w:tab/>
        <w:t>a work group employer or a person representing that employer;</w:t>
      </w:r>
    </w:p>
    <w:p>
      <w:pPr>
        <w:pStyle w:val="nzIndenta"/>
      </w:pPr>
      <w:r>
        <w:tab/>
        <w:t>(d)</w:t>
      </w:r>
      <w:r>
        <w:tab/>
        <w:t>obtain access to any information under the control of the operator or any work group employer —</w:t>
      </w:r>
    </w:p>
    <w:p>
      <w:pPr>
        <w:pStyle w:val="nzIndenti"/>
      </w:pPr>
      <w:r>
        <w:tab/>
        <w:t>(i)</w:t>
      </w:r>
      <w:r>
        <w:tab/>
        <w:t>relating to risks to the safety and health of any group member; and</w:t>
      </w:r>
    </w:p>
    <w:p>
      <w:pPr>
        <w:pStyle w:val="nzIndenti"/>
      </w:pPr>
      <w:r>
        <w:tab/>
        <w:t>(ii)</w:t>
      </w:r>
      <w:r>
        <w:tab/>
        <w:t>relating to the safety and health of any group member;</w:t>
      </w:r>
    </w:p>
    <w:p>
      <w:pPr>
        <w:pStyle w:val="nzIndenta"/>
      </w:pPr>
      <w:r>
        <w:tab/>
      </w:r>
      <w:r>
        <w:tab/>
        <w:t>and</w:t>
      </w:r>
    </w:p>
    <w:p>
      <w:pPr>
        <w:pStyle w:val="nzIndenta"/>
      </w:pPr>
      <w:r>
        <w:tab/>
        <w:t>(e)</w:t>
      </w:r>
      <w:r>
        <w:tab/>
        <w:t>issue provisional improvement notices in accordance with clause 36.</w:t>
      </w:r>
    </w:p>
    <w:p>
      <w:pPr>
        <w:pStyle w:val="nzSubsection"/>
      </w:pPr>
      <w:r>
        <w:tab/>
        <w:t>(2)</w:t>
      </w:r>
      <w:r>
        <w:tab/>
        <w:t>Subclause (1)(d)(ii) has effect subject to clause 34.</w:t>
      </w:r>
    </w:p>
    <w:p>
      <w:pPr>
        <w:pStyle w:val="nzHeading5"/>
      </w:pPr>
      <w:r>
        <w:t>33.</w:t>
      </w:r>
      <w:r>
        <w:rPr>
          <w:b w:val="0"/>
        </w:rPr>
        <w:tab/>
      </w:r>
      <w:r>
        <w:t>Assistance by consultant</w:t>
      </w:r>
    </w:p>
    <w:p>
      <w:pPr>
        <w:pStyle w:val="nzSubsection"/>
      </w:pPr>
      <w:r>
        <w:tab/>
        <w:t>(1)</w:t>
      </w:r>
      <w:r>
        <w:tab/>
        <w:t>A safety and health representative for a designated work group is entitled, in the exercise of his or her powers, to be assisted by a consultant.</w:t>
      </w:r>
    </w:p>
    <w:p>
      <w:pPr>
        <w:pStyle w:val="nzSubsection"/>
      </w:pPr>
      <w:r>
        <w:tab/>
        <w:t>(2)</w:t>
      </w:r>
      <w:r>
        <w:tab/>
        <w:t>A safety and health representative for a designated work group may —</w:t>
      </w:r>
    </w:p>
    <w:p>
      <w:pPr>
        <w:pStyle w:val="nzIndenta"/>
      </w:pPr>
      <w:r>
        <w:tab/>
        <w:t>(a)</w:t>
      </w:r>
      <w:r>
        <w:tab/>
        <w:t>be assisted by a consultant at a workplace at which work is performed; or</w:t>
      </w:r>
    </w:p>
    <w:p>
      <w:pPr>
        <w:pStyle w:val="nzIndenta"/>
      </w:pPr>
      <w:r>
        <w:tab/>
        <w:t>(b)</w:t>
      </w:r>
      <w:r>
        <w:tab/>
        <w:t>provide to a consultant information that has been provided to the safety and health representative by a group member under clause 32(1)(d),</w:t>
      </w:r>
    </w:p>
    <w:p>
      <w:pPr>
        <w:pStyle w:val="nzSubsection"/>
      </w:pPr>
      <w:r>
        <w:tab/>
      </w:r>
      <w:r>
        <w:tab/>
        <w:t>only if the operator or the Minister has, in writing, agreed to the provision of that assistance at that workplace or the provision of that information, as the case may be.</w:t>
      </w:r>
    </w:p>
    <w:p>
      <w:pPr>
        <w:pStyle w:val="nz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nz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nzIndenta"/>
      </w:pPr>
      <w:r>
        <w:tab/>
        <w:t>(a)</w:t>
      </w:r>
      <w:r>
        <w:tab/>
        <w:t>an inspector; or</w:t>
      </w:r>
    </w:p>
    <w:p>
      <w:pPr>
        <w:pStyle w:val="nzIndenta"/>
      </w:pPr>
      <w:r>
        <w:tab/>
        <w:t>(b)</w:t>
      </w:r>
      <w:r>
        <w:tab/>
        <w:t>the operator or any work group employer or a person representing the operator or that employer,</w:t>
      </w:r>
    </w:p>
    <w:p>
      <w:pPr>
        <w:pStyle w:val="nzSubsection"/>
      </w:pPr>
      <w:r>
        <w:tab/>
      </w:r>
      <w:r>
        <w:tab/>
        <w:t>if, and only if, the group member consents to the presence of the consultant.</w:t>
      </w:r>
    </w:p>
    <w:p>
      <w:pPr>
        <w:pStyle w:val="nzHeading5"/>
      </w:pPr>
      <w:r>
        <w:t>34.</w:t>
      </w:r>
      <w:r>
        <w:rPr>
          <w:b w:val="0"/>
        </w:rPr>
        <w:tab/>
      </w:r>
      <w:r>
        <w:t>Information</w:t>
      </w:r>
    </w:p>
    <w:p>
      <w:pPr>
        <w:pStyle w:val="nzSubsection"/>
      </w:pPr>
      <w:r>
        <w:tab/>
        <w:t>(1)</w:t>
      </w:r>
      <w:r>
        <w:tab/>
        <w:t>Neither —</w:t>
      </w:r>
    </w:p>
    <w:p>
      <w:pPr>
        <w:pStyle w:val="nzIndenta"/>
      </w:pPr>
      <w:r>
        <w:tab/>
        <w:t>(a)</w:t>
      </w:r>
      <w:r>
        <w:tab/>
        <w:t>a safety and health representative; nor</w:t>
      </w:r>
    </w:p>
    <w:p>
      <w:pPr>
        <w:pStyle w:val="nzIndenta"/>
      </w:pPr>
      <w:r>
        <w:tab/>
        <w:t>(b)</w:t>
      </w:r>
      <w:r>
        <w:tab/>
        <w:t>a consultant assisting a safety and health representative,</w:t>
      </w:r>
    </w:p>
    <w:p>
      <w:pPr>
        <w:pStyle w:val="nzSubsection"/>
      </w:pPr>
      <w:r>
        <w:tab/>
      </w:r>
      <w:r>
        <w:tab/>
        <w:t>is entitled, under clause 32(1)(d)(ii), to have access to information in respect of which a group member is entitled to claim, and does claim, legal professional privilege.</w:t>
      </w:r>
    </w:p>
    <w:p>
      <w:pPr>
        <w:pStyle w:val="nzSubsection"/>
      </w:pPr>
      <w:r>
        <w:tab/>
        <w:t>(2)</w:t>
      </w:r>
      <w:r>
        <w:tab/>
        <w:t>Neither —</w:t>
      </w:r>
    </w:p>
    <w:p>
      <w:pPr>
        <w:pStyle w:val="nzIndenta"/>
      </w:pPr>
      <w:r>
        <w:tab/>
        <w:t>(a)</w:t>
      </w:r>
      <w:r>
        <w:tab/>
        <w:t>a safety and health representative; nor</w:t>
      </w:r>
    </w:p>
    <w:p>
      <w:pPr>
        <w:pStyle w:val="nzIndenta"/>
        <w:keepNext/>
      </w:pPr>
      <w:r>
        <w:tab/>
        <w:t>(b)</w:t>
      </w:r>
      <w:r>
        <w:tab/>
        <w:t>a consultant assisting a safety and health representative,</w:t>
      </w:r>
    </w:p>
    <w:p>
      <w:pPr>
        <w:pStyle w:val="nzSubsection"/>
      </w:pPr>
      <w:r>
        <w:tab/>
      </w:r>
      <w:r>
        <w:tab/>
        <w:t>is entitled, under clause 32(1)(d)(ii), to have access to information of a confidential medical nature relating to a person who is or was a group member unless —</w:t>
      </w:r>
    </w:p>
    <w:p>
      <w:pPr>
        <w:pStyle w:val="nz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nzIndenta"/>
      </w:pPr>
      <w:r>
        <w:tab/>
        <w:t>(d)</w:t>
      </w:r>
      <w:r>
        <w:tab/>
        <w:t>the information is in a form that does not identify the person or enable the identity of the person to be discovered.</w:t>
      </w:r>
    </w:p>
    <w:p>
      <w:pPr>
        <w:pStyle w:val="nzHeading5"/>
      </w:pPr>
      <w:r>
        <w:t>35.</w:t>
      </w:r>
      <w:r>
        <w:rPr>
          <w:b w:val="0"/>
        </w:rPr>
        <w:tab/>
      </w:r>
      <w:r>
        <w:t>Obligations and liabilities of safety and health representatives</w:t>
      </w:r>
    </w:p>
    <w:p>
      <w:pPr>
        <w:pStyle w:val="nzSubsection"/>
      </w:pPr>
      <w:r>
        <w:tab/>
      </w:r>
      <w:r>
        <w:tab/>
        <w:t>This Schedule does not —</w:t>
      </w:r>
    </w:p>
    <w:p>
      <w:pPr>
        <w:pStyle w:val="nzIndenta"/>
      </w:pPr>
      <w:r>
        <w:tab/>
        <w:t>(a)</w:t>
      </w:r>
      <w:r>
        <w:tab/>
        <w:t>impose an obligation on a person to exercise any power conferred on the person because the person is a safety and health representative; or</w:t>
      </w:r>
    </w:p>
    <w:p>
      <w:pPr>
        <w:pStyle w:val="nzIndenta"/>
      </w:pPr>
      <w:r>
        <w:tab/>
        <w:t>(b)</w:t>
      </w:r>
      <w:r>
        <w:tab/>
        <w:t>render a person liable in civil proceedings because of —</w:t>
      </w:r>
    </w:p>
    <w:p>
      <w:pPr>
        <w:pStyle w:val="nzIndenti"/>
      </w:pPr>
      <w:r>
        <w:tab/>
        <w:t>(i)</w:t>
      </w:r>
      <w:r>
        <w:tab/>
        <w:t>a failure to exercise such a power; or</w:t>
      </w:r>
    </w:p>
    <w:p>
      <w:pPr>
        <w:pStyle w:val="nzIndenti"/>
      </w:pPr>
      <w:r>
        <w:tab/>
        <w:t>(ii)</w:t>
      </w:r>
      <w:r>
        <w:tab/>
        <w:t>the way such a power was exercised.</w:t>
      </w:r>
    </w:p>
    <w:p>
      <w:pPr>
        <w:pStyle w:val="nzHeading5"/>
      </w:pPr>
      <w:r>
        <w:t>36.</w:t>
      </w:r>
      <w:r>
        <w:rPr>
          <w:b w:val="0"/>
        </w:rPr>
        <w:tab/>
      </w:r>
      <w:r>
        <w:t>Provisional improvement notices</w:t>
      </w:r>
    </w:p>
    <w:p>
      <w:pPr>
        <w:pStyle w:val="nzSubsection"/>
      </w:pPr>
      <w:r>
        <w:tab/>
        <w:t>(1)</w:t>
      </w:r>
      <w:r>
        <w:tab/>
        <w:t>If —</w:t>
      </w:r>
    </w:p>
    <w:p>
      <w:pPr>
        <w:pStyle w:val="nzIndenta"/>
      </w:pPr>
      <w:r>
        <w:tab/>
        <w:t>(a)</w:t>
      </w:r>
      <w:r>
        <w:tab/>
        <w:t>a safety and health representative for a designated work group believes, on reasonable grounds, that a person —</w:t>
      </w:r>
    </w:p>
    <w:p>
      <w:pPr>
        <w:pStyle w:val="nzIndenti"/>
      </w:pPr>
      <w:r>
        <w:tab/>
        <w:t>(i)</w:t>
      </w:r>
      <w:r>
        <w:tab/>
        <w:t>is contravening a listed OSH law; or</w:t>
      </w:r>
    </w:p>
    <w:p>
      <w:pPr>
        <w:pStyle w:val="nzIndenti"/>
      </w:pPr>
      <w:r>
        <w:tab/>
        <w:t>(ii)</w:t>
      </w:r>
      <w:r>
        <w:tab/>
        <w:t>has contravened a provision of a listed OSH law and is likely to contravene that provision again;</w:t>
      </w:r>
    </w:p>
    <w:p>
      <w:pPr>
        <w:pStyle w:val="nzIndenta"/>
      </w:pPr>
      <w:r>
        <w:tab/>
      </w:r>
      <w:r>
        <w:tab/>
        <w:t>and</w:t>
      </w:r>
    </w:p>
    <w:p>
      <w:pPr>
        <w:pStyle w:val="nzIndenta"/>
      </w:pPr>
      <w:r>
        <w:tab/>
        <w:t>(b)</w:t>
      </w:r>
      <w:r>
        <w:tab/>
        <w:t>the contravention affects or may affect one or more group members,</w:t>
      </w:r>
    </w:p>
    <w:p>
      <w:pPr>
        <w:pStyle w:val="nzSubsection"/>
      </w:pPr>
      <w:r>
        <w:tab/>
      </w:r>
      <w:r>
        <w:tab/>
        <w:t>the representative must consult with the person supervising the relevant activity in an attempt to reach agreement on rectifying the contravention or preventing the likely contravention.</w:t>
      </w:r>
    </w:p>
    <w:p>
      <w:pPr>
        <w:pStyle w:val="nz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nzSubsection"/>
      </w:pPr>
      <w:r>
        <w:tab/>
        <w:t>(3)</w:t>
      </w:r>
      <w:r>
        <w:tab/>
        <w:t>If a responsible person is the operator, the improvement notice may be issued to the operator by giving it to the operator’s representative.</w:t>
      </w:r>
    </w:p>
    <w:p>
      <w:pPr>
        <w:pStyle w:val="nzSubsection"/>
      </w:pPr>
      <w:r>
        <w:tab/>
        <w:t>(4)</w:t>
      </w:r>
      <w:r>
        <w:tab/>
        <w:t>If it is not practicable to issue the notice to a responsible person (other than the operator or the supervisor) by giving it to that responsible person —</w:t>
      </w:r>
    </w:p>
    <w:p>
      <w:pPr>
        <w:pStyle w:val="nz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nzIndenta"/>
      </w:pPr>
      <w:r>
        <w:tab/>
        <w:t>(b)</w:t>
      </w:r>
      <w:r>
        <w:tab/>
        <w:t>if the notice is so issued, a copy of the notice must be given to the responsible person as soon as practicable afterwards.</w:t>
      </w:r>
    </w:p>
    <w:p>
      <w:pPr>
        <w:pStyle w:val="nzSubsection"/>
      </w:pPr>
      <w:r>
        <w:tab/>
        <w:t>(5)</w:t>
      </w:r>
      <w:r>
        <w:tab/>
        <w:t>The notice must —</w:t>
      </w:r>
    </w:p>
    <w:p>
      <w:pPr>
        <w:pStyle w:val="nzIndenta"/>
      </w:pPr>
      <w:r>
        <w:tab/>
        <w:t>(a)</w:t>
      </w:r>
      <w:r>
        <w:tab/>
        <w:t>specify the contravention that, in the safety and health representative’s opinion, is occurring or is likely to occur, and set out the reasons for that opinion; and</w:t>
      </w:r>
    </w:p>
    <w:p>
      <w:pPr>
        <w:pStyle w:val="nzIndenta"/>
      </w:pPr>
      <w:r>
        <w:tab/>
        <w:t>(b)</w:t>
      </w:r>
      <w:r>
        <w:tab/>
        <w:t>specify a period that —</w:t>
      </w:r>
    </w:p>
    <w:p>
      <w:pPr>
        <w:pStyle w:val="nzIndenti"/>
      </w:pPr>
      <w:r>
        <w:tab/>
        <w:t>(i)</w:t>
      </w:r>
      <w:r>
        <w:tab/>
        <w:t>is not less than 7 days beginning on the day after the notice is issued; and</w:t>
      </w:r>
    </w:p>
    <w:p>
      <w:pPr>
        <w:pStyle w:val="nzIndenti"/>
      </w:pPr>
      <w:r>
        <w:tab/>
        <w:t>(ii)</w:t>
      </w:r>
      <w:r>
        <w:tab/>
        <w:t>is, in the representative’s opinion, reasonable,</w:t>
      </w:r>
    </w:p>
    <w:p>
      <w:pPr>
        <w:pStyle w:val="nzSubsection"/>
      </w:pPr>
      <w:r>
        <w:tab/>
      </w:r>
      <w:r>
        <w:tab/>
        <w:t>within which the responsible person is to take action necessary to prevent any further contravention or to prevent the likely contravention, as the case may be.</w:t>
      </w:r>
    </w:p>
    <w:p>
      <w:pPr>
        <w:pStyle w:val="nzSubsection"/>
      </w:pPr>
      <w:r>
        <w:tab/>
        <w:t>(6)</w:t>
      </w:r>
      <w:r>
        <w:tab/>
        <w:t>The notice may specify action that the responsible person is to take during the period specified in the notice.</w:t>
      </w:r>
    </w:p>
    <w:p>
      <w:pPr>
        <w:pStyle w:val="nzSubsection"/>
      </w:pPr>
      <w:r>
        <w:tab/>
        <w:t>(7)</w:t>
      </w:r>
      <w:r>
        <w:tab/>
        <w:t>If, in the safety and health representative’s opinion, it is appropriate to do so, the representative may, in writing and before the end of the period, extend the period specified in the notice.</w:t>
      </w:r>
    </w:p>
    <w:p>
      <w:pPr>
        <w:pStyle w:val="nzSubsection"/>
      </w:pPr>
      <w:r>
        <w:tab/>
        <w:t>(8)</w:t>
      </w:r>
      <w:r>
        <w:tab/>
        <w:t>On issuing the notice, the safety and health representative must give a copy of the notice to —</w:t>
      </w:r>
    </w:p>
    <w:p>
      <w:pPr>
        <w:pStyle w:val="nzIndenta"/>
      </w:pPr>
      <w:r>
        <w:tab/>
        <w:t>(a)</w:t>
      </w:r>
      <w:r>
        <w:tab/>
        <w:t>if the operator is not a responsible person — the operator;</w:t>
      </w:r>
    </w:p>
    <w:p>
      <w:pPr>
        <w:pStyle w:val="nzIndenta"/>
      </w:pPr>
      <w:r>
        <w:tab/>
        <w:t>(b)</w:t>
      </w:r>
      <w:r>
        <w:tab/>
        <w:t>each work group employer other than a work group employer who is a responsible person;</w:t>
      </w:r>
    </w:p>
    <w:p>
      <w:pPr>
        <w:pStyle w:val="nzIndenta"/>
      </w:pPr>
      <w:r>
        <w:tab/>
        <w:t>(c)</w:t>
      </w:r>
      <w:r>
        <w:tab/>
        <w:t>if the supervisor is not a responsible person — the supervisor; and</w:t>
      </w:r>
    </w:p>
    <w:p>
      <w:pPr>
        <w:pStyle w:val="nzIndenta"/>
      </w:pPr>
      <w:r>
        <w:tab/>
        <w:t>(d)</w:t>
      </w:r>
      <w:r>
        <w:tab/>
        <w:t>if the notice relates to any plant, substance or thing that is owned by a person other than a responsible person or a person to whom a copy of the notice is given under paragraph (a), (b) or (c) — that owner.</w:t>
      </w:r>
    </w:p>
    <w:p>
      <w:pPr>
        <w:pStyle w:val="nzHeading5"/>
      </w:pPr>
      <w:r>
        <w:t>37.</w:t>
      </w:r>
      <w:r>
        <w:rPr>
          <w:b w:val="0"/>
        </w:rPr>
        <w:tab/>
      </w:r>
      <w:r>
        <w:t>Effect of provisional improvement notice</w:t>
      </w:r>
    </w:p>
    <w:p>
      <w:pPr>
        <w:pStyle w:val="nzSubsection"/>
      </w:pPr>
      <w:r>
        <w:tab/>
        <w:t>(1)</w:t>
      </w:r>
      <w:r>
        <w:tab/>
        <w:t>Within 7 days after a notice is issued under clause 36 —</w:t>
      </w:r>
    </w:p>
    <w:p>
      <w:pPr>
        <w:pStyle w:val="nzIndenta"/>
      </w:pPr>
      <w:r>
        <w:tab/>
        <w:t>(a)</w:t>
      </w:r>
      <w:r>
        <w:tab/>
        <w:t>the responsible person; or</w:t>
      </w:r>
    </w:p>
    <w:p>
      <w:pPr>
        <w:pStyle w:val="nzIndenta"/>
      </w:pPr>
      <w:r>
        <w:tab/>
        <w:t>(b)</w:t>
      </w:r>
      <w:r>
        <w:tab/>
        <w:t>any other person, to whom a copy of the notice has been given under clause 36(8),</w:t>
      </w:r>
    </w:p>
    <w:p>
      <w:pPr>
        <w:pStyle w:val="nzSubsection"/>
      </w:pPr>
      <w:r>
        <w:tab/>
      </w:r>
      <w:r>
        <w:tab/>
        <w:t>may request an inspector for an inspection of the matter to be conducted.</w:t>
      </w:r>
    </w:p>
    <w:p>
      <w:pPr>
        <w:pStyle w:val="nzSubsection"/>
      </w:pPr>
      <w:r>
        <w:tab/>
        <w:t>(2)</w:t>
      </w:r>
      <w:r>
        <w:tab/>
        <w:t>On the request being made, the operation of the notice is suspended pending the determination of the matter by an inspector.</w:t>
      </w:r>
    </w:p>
    <w:p>
      <w:pPr>
        <w:pStyle w:val="nzSubsection"/>
      </w:pPr>
      <w:r>
        <w:tab/>
        <w:t>(3)</w:t>
      </w:r>
      <w:r>
        <w:tab/>
        <w:t>As soon as possible after a request is made, an inspection must be conducted of the work that is the subject of the disagreement, and the inspector conducting the inspection must —</w:t>
      </w:r>
    </w:p>
    <w:p>
      <w:pPr>
        <w:pStyle w:val="nzIndenta"/>
      </w:pPr>
      <w:r>
        <w:tab/>
        <w:t>(a)</w:t>
      </w:r>
      <w:r>
        <w:tab/>
        <w:t>confirm, vary or cancel the notice and notify the responsible person and any person to whom a copy of the notice has been given under clause 36(8) accordingly; and</w:t>
      </w:r>
    </w:p>
    <w:p>
      <w:pPr>
        <w:pStyle w:val="nzIndenta"/>
      </w:pPr>
      <w:r>
        <w:tab/>
        <w:t>(b)</w:t>
      </w:r>
      <w:r>
        <w:tab/>
        <w:t>make decisions, and exercise powers, under Division 4, as the inspector considers necessary in relation to the work.</w:t>
      </w:r>
    </w:p>
    <w:p>
      <w:pPr>
        <w:pStyle w:val="nzSubsection"/>
      </w:pPr>
      <w:r>
        <w:tab/>
        <w:t>(4)</w:t>
      </w:r>
      <w:r>
        <w:tab/>
        <w:t>If the inspector varies a notice, the notice as so varied has effect —</w:t>
      </w:r>
    </w:p>
    <w:p>
      <w:pPr>
        <w:pStyle w:val="nzIndenta"/>
      </w:pPr>
      <w:r>
        <w:tab/>
        <w:t>(a)</w:t>
      </w:r>
      <w:r>
        <w:tab/>
        <w:t>so far as the notice concerns obligations imposed on the responsible person that are unaffected by the variation — as if the notice as so varied resumed effect on the day of the variation; and</w:t>
      </w:r>
    </w:p>
    <w:p>
      <w:pPr>
        <w:pStyle w:val="nzIndenta"/>
      </w:pPr>
      <w:r>
        <w:tab/>
        <w:t>(b)</w:t>
      </w:r>
      <w:r>
        <w:tab/>
        <w:t>so far as the notice concerns new obligations imposed by virtue of the variation — as if the notice as so varied were a new notice issued on the day of the variation.</w:t>
      </w:r>
    </w:p>
    <w:p>
      <w:pPr>
        <w:pStyle w:val="nzSubsection"/>
      </w:pPr>
      <w:r>
        <w:tab/>
        <w:t>(5)</w:t>
      </w:r>
      <w:r>
        <w:tab/>
        <w:t>If the notice is issued to a responsible person, the responsible person must —</w:t>
      </w:r>
    </w:p>
    <w:p>
      <w:pPr>
        <w:pStyle w:val="nzIndenta"/>
      </w:pPr>
      <w:r>
        <w:tab/>
        <w:t>(a)</w:t>
      </w:r>
      <w:r>
        <w:tab/>
        <w:t>notify each group member who is affected by the notice of the fact of the issue of the notice; and</w:t>
      </w:r>
    </w:p>
    <w:p>
      <w:pPr>
        <w:pStyle w:val="nzIndenta"/>
      </w:pPr>
      <w:r>
        <w:tab/>
        <w:t>(b)</w:t>
      </w:r>
      <w:r>
        <w:tab/>
        <w:t>until the notice ceases to have effect, cause a copy of the notice to be displayed at or near each workplace at which the work that is the subject of the notice is being performed.</w:t>
      </w:r>
    </w:p>
    <w:p>
      <w:pPr>
        <w:pStyle w:val="nzSubsection"/>
      </w:pPr>
      <w:r>
        <w:tab/>
        <w:t>(6)</w:t>
      </w:r>
      <w:r>
        <w:tab/>
        <w:t>The notice ceases to have effect if —</w:t>
      </w:r>
    </w:p>
    <w:p>
      <w:pPr>
        <w:pStyle w:val="nzIndenta"/>
      </w:pPr>
      <w:r>
        <w:tab/>
        <w:t>(a)</w:t>
      </w:r>
      <w:r>
        <w:tab/>
        <w:t>it is cancelled by an inspector or by the safety and health representative; or</w:t>
      </w:r>
    </w:p>
    <w:p>
      <w:pPr>
        <w:pStyle w:val="nzIndenta"/>
        <w:keepNext/>
      </w:pPr>
      <w:r>
        <w:tab/>
        <w:t>(b)</w:t>
      </w:r>
      <w:r>
        <w:tab/>
        <w:t>the responsible person —</w:t>
      </w:r>
    </w:p>
    <w:p>
      <w:pPr>
        <w:pStyle w:val="nzIndenti"/>
      </w:pPr>
      <w:r>
        <w:tab/>
        <w:t>(i)</w:t>
      </w:r>
      <w:r>
        <w:tab/>
        <w:t>takes the action, if any, specified in the notice; or</w:t>
      </w:r>
    </w:p>
    <w:p>
      <w:pPr>
        <w:pStyle w:val="nzIndenti"/>
      </w:pPr>
      <w:r>
        <w:tab/>
        <w:t>(ii)</w:t>
      </w:r>
      <w:r>
        <w:tab/>
        <w:t>if no action is so specified — takes the action necessary to prevent the further contravention, or likely contravention, concerned.</w:t>
      </w:r>
    </w:p>
    <w:p>
      <w:pPr>
        <w:pStyle w:val="nzSubsection"/>
      </w:pPr>
      <w:r>
        <w:tab/>
        <w:t>(7)</w:t>
      </w:r>
      <w:r>
        <w:tab/>
        <w:t>The responsible person —</w:t>
      </w:r>
    </w:p>
    <w:p>
      <w:pPr>
        <w:pStyle w:val="nzIndenta"/>
      </w:pPr>
      <w:r>
        <w:tab/>
        <w:t>(a)</w:t>
      </w:r>
      <w:r>
        <w:tab/>
        <w:t>must ensure that, to the extent that the notice relates to any matter over which the person has control, the notice is complied with; and</w:t>
      </w:r>
    </w:p>
    <w:p>
      <w:pPr>
        <w:pStyle w:val="nzIndenta"/>
      </w:pPr>
      <w:r>
        <w:tab/>
        <w:t>(b)</w:t>
      </w:r>
      <w:r>
        <w:tab/>
        <w:t>must take reasonable steps to inform the safety and health representative who issued the notice of the action taken to comply with the notice.</w:t>
      </w:r>
    </w:p>
    <w:p>
      <w:pPr>
        <w:pStyle w:val="nzSubsection"/>
      </w:pPr>
      <w:r>
        <w:tab/>
        <w:t>(8)</w:t>
      </w:r>
      <w:r>
        <w:tab/>
        <w:t>For the purposes of clause 64, if the inspector confirms or varies the notice, the inspector is taken to have decided, under clause 60, to issue an improvement notice in those terms.</w:t>
      </w:r>
    </w:p>
    <w:p>
      <w:pPr>
        <w:pStyle w:val="nzHeading5"/>
      </w:pPr>
      <w:r>
        <w:t>38.</w:t>
      </w:r>
      <w:r>
        <w:rPr>
          <w:b w:val="0"/>
        </w:rPr>
        <w:tab/>
      </w:r>
      <w:r>
        <w:t>Duties of the operator and other employers in relation to safety and health representatives</w:t>
      </w:r>
    </w:p>
    <w:p>
      <w:pPr>
        <w:pStyle w:val="nzSubsection"/>
      </w:pPr>
      <w:r>
        <w:tab/>
        <w:t>(1)</w:t>
      </w:r>
      <w:r>
        <w:tab/>
        <w:t>The operator of a petroleum operation, in relation to which a designated work group having a safety and health representative has been established, must —</w:t>
      </w:r>
    </w:p>
    <w:p>
      <w:pPr>
        <w:pStyle w:val="nz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nzIndenta"/>
      </w:pPr>
      <w:r>
        <w:tab/>
        <w:t>(b)</w:t>
      </w:r>
      <w:r>
        <w:tab/>
        <w:t>in relation to a workplace at which some or all of the group members perform work —</w:t>
      </w:r>
    </w:p>
    <w:p>
      <w:pPr>
        <w:pStyle w:val="nzIndenti"/>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nzIndenti"/>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nzIndenta"/>
      </w:pPr>
      <w:r>
        <w:tab/>
        <w:t>(c)</w:t>
      </w:r>
      <w:r>
        <w:tab/>
        <w:t>permit the representative to be present at any interview at which the representative is entitled to be present under clause 32(1)(c);</w:t>
      </w:r>
    </w:p>
    <w:p>
      <w:pPr>
        <w:pStyle w:val="nzIndenta"/>
      </w:pPr>
      <w:r>
        <w:tab/>
        <w:t>(d)</w:t>
      </w:r>
      <w:r>
        <w:tab/>
        <w:t>provide to the representative access to any information to which the representative is entitled to obtain access under clause 32(1)(d)(i) or (ii) and to which access has been requested;</w:t>
      </w:r>
    </w:p>
    <w:p>
      <w:pPr>
        <w:pStyle w:val="nzIndenta"/>
      </w:pPr>
      <w:r>
        <w:tab/>
        <w:t>(e)</w:t>
      </w:r>
      <w:r>
        <w:tab/>
        <w:t>permit the representative to take any time off work, without loss of remuneration or other entitlements, that is necessary to exercise the powers of a safety and health representative; and</w:t>
      </w:r>
    </w:p>
    <w:p>
      <w:pPr>
        <w:pStyle w:val="nzIndenta"/>
      </w:pPr>
      <w:r>
        <w:tab/>
        <w:t>(f)</w:t>
      </w:r>
      <w:r>
        <w:tab/>
        <w:t>provide the representative with access to any amenities that are —</w:t>
      </w:r>
    </w:p>
    <w:p>
      <w:pPr>
        <w:pStyle w:val="nzIndenti"/>
      </w:pPr>
      <w:r>
        <w:tab/>
        <w:t>(i)</w:t>
      </w:r>
      <w:r>
        <w:tab/>
        <w:t>prescribed for the purposes of this paragraph; or</w:t>
      </w:r>
    </w:p>
    <w:p>
      <w:pPr>
        <w:pStyle w:val="nzIndenti"/>
      </w:pPr>
      <w:r>
        <w:tab/>
        <w:t>(ii)</w:t>
      </w:r>
      <w:r>
        <w:tab/>
        <w:t>necessary for the purposes of exercising the powers of a safety and health representative.</w:t>
      </w:r>
    </w:p>
    <w:p>
      <w:pPr>
        <w:pStyle w:val="nzSubsection"/>
      </w:pPr>
      <w:r>
        <w:tab/>
        <w:t>(2)</w:t>
      </w:r>
      <w:r>
        <w:tab/>
        <w:t>Subclause (1)(d) has effect subject to subclauses (3) and (4).</w:t>
      </w:r>
    </w:p>
    <w:p>
      <w:pPr>
        <w:pStyle w:val="nzSubsection"/>
      </w:pPr>
      <w:r>
        <w:tab/>
        <w:t>(3)</w:t>
      </w:r>
      <w:r>
        <w:tab/>
        <w:t>The operator must not permit a safety and health representative in relation to a designated work group to have access to information that —</w:t>
      </w:r>
    </w:p>
    <w:p>
      <w:pPr>
        <w:pStyle w:val="nzIndenta"/>
      </w:pPr>
      <w:r>
        <w:tab/>
        <w:t>(a)</w:t>
      </w:r>
      <w:r>
        <w:tab/>
        <w:t>is of a confidential medical nature under the control of the operator; and</w:t>
      </w:r>
    </w:p>
    <w:p>
      <w:pPr>
        <w:pStyle w:val="nzIndenta"/>
      </w:pPr>
      <w:r>
        <w:tab/>
        <w:t>(b)</w:t>
      </w:r>
      <w:r>
        <w:tab/>
        <w:t>relates to a person who is or was a group member,</w:t>
      </w:r>
    </w:p>
    <w:p>
      <w:pPr>
        <w:pStyle w:val="nzSubsection"/>
      </w:pPr>
      <w:r>
        <w:tab/>
      </w:r>
      <w:r>
        <w:tab/>
        <w:t>unless —</w:t>
      </w:r>
    </w:p>
    <w:p>
      <w:pPr>
        <w:pStyle w:val="nzIndenta"/>
      </w:pPr>
      <w:r>
        <w:tab/>
        <w:t>(c)</w:t>
      </w:r>
      <w:r>
        <w:tab/>
        <w:t>the person has delivered to the employer a written authority permitting the representative to have access to the information; or</w:t>
      </w:r>
    </w:p>
    <w:p>
      <w:pPr>
        <w:pStyle w:val="nzIndenta"/>
      </w:pPr>
      <w:r>
        <w:tab/>
        <w:t>(d)</w:t>
      </w:r>
      <w:r>
        <w:tab/>
        <w:t>the information is in a form that does not identify the person or enable the identity of the person to be discovered.</w:t>
      </w:r>
    </w:p>
    <w:p>
      <w:pPr>
        <w:pStyle w:val="nzSubsection"/>
      </w:pPr>
      <w:r>
        <w:tab/>
        <w:t>(4)</w:t>
      </w:r>
      <w:r>
        <w:tab/>
        <w:t>The operator is not required to give a safety and health representative access to any information in respect of which the operator is entitled to claim, and does claim, legal professional privilege.</w:t>
      </w:r>
    </w:p>
    <w:p>
      <w:pPr>
        <w:pStyle w:val="nz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nzHeading4"/>
        <w:outlineLvl w:val="0"/>
      </w:pPr>
      <w:bookmarkStart w:id="1081" w:name="_Toc112746336"/>
      <w:bookmarkStart w:id="1082" w:name="_Toc112746461"/>
      <w:r>
        <w:t>Subdivision </w:t>
      </w:r>
      <w:r>
        <w:rPr>
          <w:bCs/>
        </w:rPr>
        <w:t>4</w:t>
      </w:r>
      <w:r>
        <w:rPr>
          <w:b w:val="0"/>
        </w:rPr>
        <w:t> — </w:t>
      </w:r>
      <w:r>
        <w:rPr>
          <w:bCs/>
        </w:rPr>
        <w:t>Safety and health</w:t>
      </w:r>
      <w:r>
        <w:t xml:space="preserve"> committees</w:t>
      </w:r>
      <w:bookmarkEnd w:id="1081"/>
      <w:bookmarkEnd w:id="1082"/>
    </w:p>
    <w:p>
      <w:pPr>
        <w:pStyle w:val="nzHeading5"/>
      </w:pPr>
      <w:r>
        <w:t>39.</w:t>
      </w:r>
      <w:r>
        <w:rPr>
          <w:b w:val="0"/>
        </w:rPr>
        <w:tab/>
      </w:r>
      <w:r>
        <w:t>Safety and health committees</w:t>
      </w:r>
    </w:p>
    <w:p>
      <w:pPr>
        <w:pStyle w:val="nzSubsection"/>
      </w:pPr>
      <w:r>
        <w:tab/>
        <w:t>(1)</w:t>
      </w:r>
      <w:r>
        <w:tab/>
        <w:t>A safety and health committee must be established in relation to the members of the workforce engaged in a petroleum operation if —</w:t>
      </w:r>
    </w:p>
    <w:p>
      <w:pPr>
        <w:pStyle w:val="nzIndenta"/>
      </w:pPr>
      <w:r>
        <w:tab/>
        <w:t>(a)</w:t>
      </w:r>
      <w:r>
        <w:tab/>
        <w:t>the number of those members normally engaged in the petroleum operation is not less than 50 (whether or not those members are all at work in relation to the petroleum operation at the same time);</w:t>
      </w:r>
    </w:p>
    <w:p>
      <w:pPr>
        <w:pStyle w:val="nzIndenta"/>
      </w:pPr>
      <w:r>
        <w:tab/>
        <w:t>(b)</w:t>
      </w:r>
      <w:r>
        <w:tab/>
        <w:t>the members of the workforce are included in one or more designated work groups; and</w:t>
      </w:r>
    </w:p>
    <w:p>
      <w:pPr>
        <w:pStyle w:val="nzIndenta"/>
      </w:pPr>
      <w:r>
        <w:tab/>
        <w:t>(c)</w:t>
      </w:r>
      <w:r>
        <w:tab/>
        <w:t>the operator is requested to establish the committee by the safety and health representative for the designated work group or for one of the designated work groups.</w:t>
      </w:r>
    </w:p>
    <w:p>
      <w:pPr>
        <w:pStyle w:val="nzSubsection"/>
      </w:pPr>
      <w:r>
        <w:tab/>
        <w:t>(2)</w:t>
      </w:r>
      <w:r>
        <w:tab/>
        <w:t>The safety and health committee consists of —</w:t>
      </w:r>
    </w:p>
    <w:p>
      <w:pPr>
        <w:pStyle w:val="nzIndenta"/>
      </w:pPr>
      <w:r>
        <w:tab/>
        <w:t>(a)</w:t>
      </w:r>
      <w:r>
        <w:tab/>
        <w:t>the number of members specified in an agreement reached between the operator and the members of the workforce; or</w:t>
      </w:r>
    </w:p>
    <w:p>
      <w:pPr>
        <w:pStyle w:val="nzIndenta"/>
      </w:pPr>
      <w:r>
        <w:tab/>
        <w:t>(b)</w:t>
      </w:r>
      <w:r>
        <w:tab/>
        <w:t>if there is no such agreement — an equal number of —</w:t>
      </w:r>
    </w:p>
    <w:p>
      <w:pPr>
        <w:pStyle w:val="nzIndenti"/>
      </w:pPr>
      <w:r>
        <w:tab/>
        <w:t>(i)</w:t>
      </w:r>
      <w:r>
        <w:tab/>
        <w:t>members, chosen by the members of the workforce, to represent the interests of members of the workforce; and</w:t>
      </w:r>
    </w:p>
    <w:p>
      <w:pPr>
        <w:pStyle w:val="nzIndenti"/>
      </w:pPr>
      <w:r>
        <w:tab/>
        <w:t>(ii)</w:t>
      </w:r>
      <w:r>
        <w:tab/>
        <w:t>members, chosen by the operator, to represent the interests of the operator and the employer (other than the operator) of members of the workforce.</w:t>
      </w:r>
    </w:p>
    <w:p>
      <w:pPr>
        <w:pStyle w:val="nzSubsection"/>
      </w:pPr>
      <w:r>
        <w:tab/>
        <w:t>(3)</w:t>
      </w:r>
      <w:r>
        <w:tab/>
        <w:t>The agreement referred to in subclause (2)(a) may —</w:t>
      </w:r>
    </w:p>
    <w:p>
      <w:pPr>
        <w:pStyle w:val="nzIndenta"/>
      </w:pPr>
      <w:r>
        <w:tab/>
        <w:t>(a)</w:t>
      </w:r>
      <w:r>
        <w:tab/>
        <w:t>specify the persons who are to be members to represent the interests of the operator and employers (other than the operator) of members of the workforce; and</w:t>
      </w:r>
    </w:p>
    <w:p>
      <w:pPr>
        <w:pStyle w:val="nzIndenta"/>
      </w:pPr>
      <w:r>
        <w:tab/>
        <w:t>(b)</w:t>
      </w:r>
      <w:r>
        <w:tab/>
        <w:t>provide for the way in which persons who are to be members to represent the interests of members of the workforce are to be chosen.</w:t>
      </w:r>
    </w:p>
    <w:p>
      <w:pPr>
        <w:pStyle w:val="nz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nzSubsection"/>
      </w:pPr>
      <w:r>
        <w:tab/>
        <w:t>(5)</w:t>
      </w:r>
      <w:r>
        <w:tab/>
        <w:t>A safety and health committee must hold a meeting at least once every 3 months.</w:t>
      </w:r>
    </w:p>
    <w:p>
      <w:pPr>
        <w:pStyle w:val="nzSubsection"/>
      </w:pPr>
      <w:r>
        <w:tab/>
        <w:t>(6)</w:t>
      </w:r>
      <w:r>
        <w:tab/>
        <w:t>The procedure at meetings of a safety and health committee must, except to the extent provided for by the regulations, be the procedure agreed upon by the committee.</w:t>
      </w:r>
    </w:p>
    <w:p>
      <w:pPr>
        <w:pStyle w:val="nzSubsection"/>
      </w:pPr>
      <w:r>
        <w:tab/>
        <w:t>(7)</w:t>
      </w:r>
      <w:r>
        <w:tab/>
        <w:t>A safety and health committee must cause minutes of its meetings to be kept, and must retain those minutes for a period of not less than 3 years.</w:t>
      </w:r>
    </w:p>
    <w:p>
      <w:pPr>
        <w:pStyle w:val="nz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nzHeading5"/>
      </w:pPr>
      <w:r>
        <w:t>40.</w:t>
      </w:r>
      <w:r>
        <w:rPr>
          <w:b w:val="0"/>
        </w:rPr>
        <w:tab/>
      </w:r>
      <w:r>
        <w:t>Functions of safety and health committees</w:t>
      </w:r>
    </w:p>
    <w:p>
      <w:pPr>
        <w:pStyle w:val="nzSubsection"/>
      </w:pPr>
      <w:r>
        <w:tab/>
        <w:t>(1)</w:t>
      </w:r>
      <w:r>
        <w:tab/>
        <w:t>A safety and health committee has the following functions —</w:t>
      </w:r>
    </w:p>
    <w:p>
      <w:pPr>
        <w:pStyle w:val="nzIndenta"/>
      </w:pPr>
      <w:r>
        <w:tab/>
        <w:t>(a)</w:t>
      </w:r>
      <w:r>
        <w:tab/>
        <w:t>to assist the operator of the petroleum operation concerned —</w:t>
      </w:r>
    </w:p>
    <w:p>
      <w:pPr>
        <w:pStyle w:val="nzIndenti"/>
      </w:pPr>
      <w:r>
        <w:tab/>
        <w:t>(i)</w:t>
      </w:r>
      <w:r>
        <w:tab/>
        <w:t>to develop and implement measures designed to protect; and</w:t>
      </w:r>
    </w:p>
    <w:p>
      <w:pPr>
        <w:pStyle w:val="nzIndenti"/>
      </w:pPr>
      <w:r>
        <w:tab/>
        <w:t>(ii)</w:t>
      </w:r>
      <w:r>
        <w:tab/>
        <w:t>to review and update measures used to protect,</w:t>
      </w:r>
    </w:p>
    <w:p>
      <w:pPr>
        <w:pStyle w:val="nzIndenta"/>
      </w:pPr>
      <w:r>
        <w:tab/>
      </w:r>
      <w:r>
        <w:tab/>
        <w:t>the safety and health at work of members of the workforce;</w:t>
      </w:r>
    </w:p>
    <w:p>
      <w:pPr>
        <w:pStyle w:val="nzIndenta"/>
      </w:pPr>
      <w:r>
        <w:tab/>
        <w:t>(b)</w:t>
      </w:r>
      <w:r>
        <w:tab/>
        <w:t>to facilitate cooperation between the operator of the petroleum operation, employers (other than the operator) of members of the workforce, and members of the workforce, in relation to occupational safety and health matters;</w:t>
      </w:r>
    </w:p>
    <w:p>
      <w:pPr>
        <w:pStyle w:val="nzIndenta"/>
      </w:pPr>
      <w:r>
        <w:tab/>
        <w:t>(c)</w:t>
      </w:r>
      <w:r>
        <w:tab/>
        <w:t>to assist the operator to disseminate among members of the workforce, in appropriate languages, information relating to safety and health at work;</w:t>
      </w:r>
    </w:p>
    <w:p>
      <w:pPr>
        <w:pStyle w:val="nzIndenta"/>
      </w:pPr>
      <w:r>
        <w:tab/>
        <w:t>(d)</w:t>
      </w:r>
      <w:r>
        <w:tab/>
        <w:t>any prescribed functions;</w:t>
      </w:r>
    </w:p>
    <w:p>
      <w:pPr>
        <w:pStyle w:val="nzIndenta"/>
      </w:pPr>
      <w:r>
        <w:tab/>
        <w:t>(e)</w:t>
      </w:r>
      <w:r>
        <w:tab/>
        <w:t>any other functions that are agreed between the operator and the safety and health committee.</w:t>
      </w:r>
    </w:p>
    <w:p>
      <w:pPr>
        <w:pStyle w:val="nzSubsection"/>
      </w:pPr>
      <w:r>
        <w:tab/>
        <w:t>(2)</w:t>
      </w:r>
      <w:r>
        <w:tab/>
        <w:t>A safety and health committee has power to do all things necessary or convenient to be done for, or in connection with, the performance of its functions.</w:t>
      </w:r>
    </w:p>
    <w:p>
      <w:pPr>
        <w:pStyle w:val="nzSubsection"/>
      </w:pPr>
      <w:r>
        <w:tab/>
        <w:t>(3)</w:t>
      </w:r>
      <w:r>
        <w:tab/>
        <w:t>This Schedule does not —</w:t>
      </w:r>
    </w:p>
    <w:p>
      <w:pPr>
        <w:pStyle w:val="nzIndenta"/>
      </w:pPr>
      <w:r>
        <w:tab/>
        <w:t>(a)</w:t>
      </w:r>
      <w:r>
        <w:tab/>
        <w:t>impose an obligation on a person to do any act, because the person is a member of a safety and health committee, in connection with the performance of a function conferred on the committee; or</w:t>
      </w:r>
    </w:p>
    <w:p>
      <w:pPr>
        <w:pStyle w:val="nzIndenta"/>
      </w:pPr>
      <w:r>
        <w:tab/>
        <w:t>(b)</w:t>
      </w:r>
      <w:r>
        <w:tab/>
        <w:t>render such a person liable in civil proceedings because of —</w:t>
      </w:r>
    </w:p>
    <w:p>
      <w:pPr>
        <w:pStyle w:val="nzIndenti"/>
      </w:pPr>
      <w:r>
        <w:tab/>
        <w:t>(i)</w:t>
      </w:r>
      <w:r>
        <w:tab/>
        <w:t>a failure to do such an act; or</w:t>
      </w:r>
    </w:p>
    <w:p>
      <w:pPr>
        <w:pStyle w:val="nzIndenti"/>
      </w:pPr>
      <w:r>
        <w:tab/>
        <w:t>(ii)</w:t>
      </w:r>
      <w:r>
        <w:tab/>
        <w:t>the manner in which such an act was done.</w:t>
      </w:r>
    </w:p>
    <w:p>
      <w:pPr>
        <w:pStyle w:val="nzHeading5"/>
      </w:pPr>
      <w:r>
        <w:t>41.</w:t>
      </w:r>
      <w:r>
        <w:rPr>
          <w:b w:val="0"/>
        </w:rPr>
        <w:tab/>
      </w:r>
      <w:r>
        <w:t>Duties of the operator and other employers in relation to safety and health committees</w:t>
      </w:r>
    </w:p>
    <w:p>
      <w:pPr>
        <w:pStyle w:val="nzSubsection"/>
      </w:pPr>
      <w:r>
        <w:tab/>
        <w:t>(1)</w:t>
      </w:r>
      <w:r>
        <w:tab/>
        <w:t>If there is a safety and health committee, the operator and any employer (other than the operator) of a member of the workforce must —</w:t>
      </w:r>
    </w:p>
    <w:p>
      <w:pPr>
        <w:pStyle w:val="nzIndenta"/>
      </w:pPr>
      <w:r>
        <w:tab/>
        <w:t>(a)</w:t>
      </w:r>
      <w:r>
        <w:tab/>
        <w:t>make available to the committee any information possessed by the operator or that employer relating to risks to safety and health to members of the workforce; and</w:t>
      </w:r>
    </w:p>
    <w:p>
      <w:pPr>
        <w:pStyle w:val="nz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nzSubsection"/>
      </w:pPr>
      <w:r>
        <w:tab/>
        <w:t>(2)</w:t>
      </w:r>
      <w:r>
        <w:tab/>
        <w:t>Subclause (1)(a) has effect subject to subclauses (3) and (4).</w:t>
      </w:r>
    </w:p>
    <w:p>
      <w:pPr>
        <w:pStyle w:val="nz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nzIndenta"/>
      </w:pPr>
      <w:r>
        <w:tab/>
        <w:t>(a)</w:t>
      </w:r>
      <w:r>
        <w:tab/>
        <w:t>the person has authorised the information to be made available to the committee; or</w:t>
      </w:r>
    </w:p>
    <w:p>
      <w:pPr>
        <w:pStyle w:val="nzIndenta"/>
      </w:pPr>
      <w:r>
        <w:tab/>
        <w:t>(b)</w:t>
      </w:r>
      <w:r>
        <w:tab/>
        <w:t>the information is in a form that does not identify the person or enable the identity of the person to be discovered.</w:t>
      </w:r>
    </w:p>
    <w:p>
      <w:pPr>
        <w:pStyle w:val="nz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nzHeading4"/>
        <w:outlineLvl w:val="0"/>
      </w:pPr>
      <w:bookmarkStart w:id="1083" w:name="_Toc112746337"/>
      <w:bookmarkStart w:id="1084" w:name="_Toc112746462"/>
      <w:r>
        <w:t>Subdivision </w:t>
      </w:r>
      <w:r>
        <w:rPr>
          <w:bCs/>
        </w:rPr>
        <w:t>5</w:t>
      </w:r>
      <w:r>
        <w:rPr>
          <w:b w:val="0"/>
        </w:rPr>
        <w:t> — </w:t>
      </w:r>
      <w:r>
        <w:rPr>
          <w:bCs/>
        </w:rPr>
        <w:t>Emergency</w:t>
      </w:r>
      <w:r>
        <w:t xml:space="preserve"> procedures</w:t>
      </w:r>
      <w:bookmarkEnd w:id="1083"/>
      <w:bookmarkEnd w:id="1084"/>
    </w:p>
    <w:p>
      <w:pPr>
        <w:pStyle w:val="nzHeading5"/>
      </w:pPr>
      <w:r>
        <w:t>42.</w:t>
      </w:r>
      <w:r>
        <w:rPr>
          <w:b w:val="0"/>
        </w:rPr>
        <w:tab/>
      </w:r>
      <w:r>
        <w:t>Action by safety and health representatives</w:t>
      </w:r>
    </w:p>
    <w:p>
      <w:pPr>
        <w:pStyle w:val="nzSubsection"/>
      </w:pPr>
      <w:r>
        <w:tab/>
        <w:t>(1)</w:t>
      </w:r>
      <w:r>
        <w:tab/>
        <w:t>If a safety and health representative for a designated work group has reasonable cause to believe that there is an imminent and serious danger to the safety or health of any person engaged in the petroleum operation or any other protected person unless a group member or group members cease to perform particular work, the representative must —</w:t>
      </w:r>
    </w:p>
    <w:p>
      <w:pPr>
        <w:pStyle w:val="nz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nzIndenta"/>
      </w:pPr>
      <w:r>
        <w:tab/>
        <w:t>(b)</w:t>
      </w:r>
      <w:r>
        <w:tab/>
        <w:t>if no supervisor can be contacted immediately —</w:t>
      </w:r>
    </w:p>
    <w:p>
      <w:pPr>
        <w:pStyle w:val="nzIndenti"/>
      </w:pPr>
      <w:r>
        <w:tab/>
        <w:t>(i)</w:t>
      </w:r>
      <w:r>
        <w:tab/>
        <w:t>direct the group member or group members to cease, in a safe manner, to perform the work; and</w:t>
      </w:r>
    </w:p>
    <w:p>
      <w:pPr>
        <w:pStyle w:val="nzIndenti"/>
      </w:pPr>
      <w:r>
        <w:tab/>
        <w:t>(ii)</w:t>
      </w:r>
      <w:r>
        <w:tab/>
        <w:t>as soon as practicable, inform a supervisor that the direction has been given.</w:t>
      </w:r>
    </w:p>
    <w:p>
      <w:pPr>
        <w:pStyle w:val="nzSubsection"/>
      </w:pPr>
      <w:r>
        <w:tab/>
        <w:t>(2)</w:t>
      </w:r>
      <w:r>
        <w:tab/>
        <w:t>If a supervisor is informed under subclause (1)(a) of a danger to the safety or health of a person engaged in the petroleum operation or any other protected person, the supervisor must take the action he or she thinks appropriate to remove that danger, which may include directing a group member or group members to cease, in a safe manner, to perform the work.</w:t>
      </w:r>
    </w:p>
    <w:p>
      <w:pPr>
        <w:pStyle w:val="nzSubsection"/>
      </w:pPr>
      <w:r>
        <w:tab/>
        <w:t>(3)</w:t>
      </w:r>
      <w:r>
        <w:tab/>
        <w:t>If —</w:t>
      </w:r>
    </w:p>
    <w:p>
      <w:pPr>
        <w:pStyle w:val="nzIndenta"/>
      </w:pPr>
      <w:r>
        <w:tab/>
        <w:t>(a)</w:t>
      </w:r>
      <w:r>
        <w:tab/>
        <w:t>a safety and health representative has informed a supervisor under subclause (1)(a) of a danger; and</w:t>
      </w:r>
    </w:p>
    <w:p>
      <w:pPr>
        <w:pStyle w:val="nz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any other protected person unless the group member or group members cease to perform particular work,</w:t>
      </w:r>
    </w:p>
    <w:p>
      <w:pPr>
        <w:pStyle w:val="nzSubsection"/>
      </w:pPr>
      <w:r>
        <w:tab/>
      </w:r>
      <w:r>
        <w:tab/>
        <w:t>the representative must —</w:t>
      </w:r>
    </w:p>
    <w:p>
      <w:pPr>
        <w:pStyle w:val="nzIndenta"/>
      </w:pPr>
      <w:r>
        <w:tab/>
        <w:t>(c)</w:t>
      </w:r>
      <w:r>
        <w:tab/>
        <w:t>direct the group member or group members to cease, in a safe manner, to perform the work; and</w:t>
      </w:r>
    </w:p>
    <w:p>
      <w:pPr>
        <w:pStyle w:val="nzIndenta"/>
      </w:pPr>
      <w:r>
        <w:tab/>
        <w:t>(d)</w:t>
      </w:r>
      <w:r>
        <w:tab/>
        <w:t>as soon as practicable, inform the supervisor that the direction has been given.</w:t>
      </w:r>
    </w:p>
    <w:p>
      <w:pPr>
        <w:pStyle w:val="nzSubsection"/>
      </w:pPr>
      <w:r>
        <w:tab/>
        <w:t>(4)</w:t>
      </w:r>
      <w:r>
        <w:tab/>
        <w:t>If —</w:t>
      </w:r>
    </w:p>
    <w:p>
      <w:pPr>
        <w:pStyle w:val="nz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nzIndenta"/>
      </w:pPr>
      <w:r>
        <w:tab/>
        <w:t>(b)</w:t>
      </w:r>
      <w:r>
        <w:tab/>
        <w:t>a safety and health representative gives a direction under subclause (3)(c),</w:t>
      </w:r>
    </w:p>
    <w:p>
      <w:pPr>
        <w:pStyle w:val="nzSubsection"/>
      </w:pPr>
      <w:r>
        <w:tab/>
      </w:r>
      <w:r>
        <w:tab/>
        <w:t>the representative or the supervisor may request an inspector that an inspection be conducted of the work that is the subject of the direction.</w:t>
      </w:r>
    </w:p>
    <w:p>
      <w:pPr>
        <w:pStyle w:val="nz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nzSubsection"/>
      </w:pPr>
      <w:r>
        <w:tab/>
        <w:t>(6)</w:t>
      </w:r>
      <w:r>
        <w:tab/>
        <w:t>This clause does not limit the power of a safety and health representative under clause 32(1)(a)(iii) to request an inspector that an inspection be conducted at the workplace.</w:t>
      </w:r>
    </w:p>
    <w:p>
      <w:pPr>
        <w:pStyle w:val="nzHeading5"/>
      </w:pPr>
      <w:r>
        <w:t>43.</w:t>
      </w:r>
      <w:r>
        <w:rPr>
          <w:b w:val="0"/>
        </w:rPr>
        <w:tab/>
      </w:r>
      <w:r>
        <w:t>Directions to perform other work</w:t>
      </w:r>
    </w:p>
    <w:p>
      <w:pPr>
        <w:pStyle w:val="nzSubsection"/>
      </w:pPr>
      <w:r>
        <w:tab/>
      </w:r>
      <w:r>
        <w:tab/>
        <w:t>If —</w:t>
      </w:r>
    </w:p>
    <w:p>
      <w:pPr>
        <w:pStyle w:val="nzIndenta"/>
      </w:pPr>
      <w:r>
        <w:tab/>
        <w:t>(a)</w:t>
      </w:r>
      <w:r>
        <w:tab/>
        <w:t>a group member who is an employee has ceased to perform work, in accordance with the direction of a safety and health representative under clause 42(1)(b) or (3)(c); and</w:t>
      </w:r>
    </w:p>
    <w:p>
      <w:pPr>
        <w:pStyle w:val="nzIndenta"/>
      </w:pPr>
      <w:r>
        <w:tab/>
        <w:t>(b)</w:t>
      </w:r>
      <w:r>
        <w:tab/>
        <w:t>the cessation of work does not continue after —</w:t>
      </w:r>
    </w:p>
    <w:p>
      <w:pPr>
        <w:pStyle w:val="nzIndenti"/>
      </w:pPr>
      <w:r>
        <w:tab/>
        <w:t>(i)</w:t>
      </w:r>
      <w:r>
        <w:tab/>
        <w:t>the safety and health representative has agreed with a person supervising work at the workplace where the work was being performed that the cessation of work was not, or is no longer, necessary; or</w:t>
      </w:r>
    </w:p>
    <w:p>
      <w:pPr>
        <w:pStyle w:val="nzIndenti"/>
      </w:pPr>
      <w:r>
        <w:tab/>
        <w:t>(ii)</w:t>
      </w:r>
      <w:r>
        <w:tab/>
        <w:t>an inspector has, under clause 42(5), made a decision to the effect that the employee should perform the work,</w:t>
      </w:r>
    </w:p>
    <w:p>
      <w:pPr>
        <w:pStyle w:val="nz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nzHeading4"/>
        <w:outlineLvl w:val="0"/>
      </w:pPr>
      <w:bookmarkStart w:id="1085" w:name="_Toc112746338"/>
      <w:bookmarkStart w:id="1086" w:name="_Toc112746463"/>
      <w:r>
        <w:t>Subdivision </w:t>
      </w:r>
      <w:r>
        <w:rPr>
          <w:bCs/>
        </w:rPr>
        <w:t>6 — Exemptions</w:t>
      </w:r>
      <w:bookmarkEnd w:id="1085"/>
      <w:bookmarkEnd w:id="1086"/>
    </w:p>
    <w:p>
      <w:pPr>
        <w:pStyle w:val="nzHeading5"/>
      </w:pPr>
      <w:r>
        <w:t>44.</w:t>
      </w:r>
      <w:r>
        <w:rPr>
          <w:b w:val="0"/>
        </w:rPr>
        <w:tab/>
      </w:r>
      <w:r>
        <w:t>Exemptions</w:t>
      </w:r>
    </w:p>
    <w:p>
      <w:pPr>
        <w:pStyle w:val="nzSubsection"/>
      </w:pPr>
      <w:r>
        <w:tab/>
        <w:t>(1)</w:t>
      </w:r>
      <w:r>
        <w:tab/>
        <w:t>The Minister may, in accordance with the regulations, make a written order exempting a specified person or class of person from any or all of the provisions of this Division (other than this clause).</w:t>
      </w:r>
    </w:p>
    <w:p>
      <w:pPr>
        <w:pStyle w:val="nzSubsection"/>
      </w:pPr>
      <w:r>
        <w:tab/>
        <w:t>(2)</w:t>
      </w:r>
      <w:r>
        <w:tab/>
        <w:t>The Minister must not make an order under subclause (1) unless the Minister is satisfied on reasonable grounds that it is impracticable for the person to comply with the provision or provisions.</w:t>
      </w:r>
    </w:p>
    <w:p>
      <w:pPr>
        <w:pStyle w:val="nzHeading3"/>
        <w:outlineLvl w:val="0"/>
      </w:pPr>
      <w:bookmarkStart w:id="1087" w:name="_Toc112746339"/>
      <w:bookmarkStart w:id="1088" w:name="_Toc112746464"/>
      <w:r>
        <w:t>Division 4</w:t>
      </w:r>
      <w:r>
        <w:rPr>
          <w:b w:val="0"/>
        </w:rPr>
        <w:t> — </w:t>
      </w:r>
      <w:r>
        <w:t>Inspections</w:t>
      </w:r>
      <w:bookmarkEnd w:id="1087"/>
      <w:bookmarkEnd w:id="1088"/>
    </w:p>
    <w:p>
      <w:pPr>
        <w:pStyle w:val="nzHeading4"/>
      </w:pPr>
      <w:bookmarkStart w:id="1089" w:name="_Toc112746340"/>
      <w:bookmarkStart w:id="1090" w:name="_Toc112746465"/>
      <w:r>
        <w:t>Subdivision 1</w:t>
      </w:r>
      <w:r>
        <w:rPr>
          <w:b w:val="0"/>
        </w:rPr>
        <w:t> — </w:t>
      </w:r>
      <w:r>
        <w:t>Introduction</w:t>
      </w:r>
      <w:bookmarkEnd w:id="1089"/>
      <w:bookmarkEnd w:id="1090"/>
    </w:p>
    <w:p>
      <w:pPr>
        <w:pStyle w:val="nzHeading5"/>
      </w:pPr>
      <w:r>
        <w:t>45.</w:t>
      </w:r>
      <w:r>
        <w:rPr>
          <w:b w:val="0"/>
        </w:rPr>
        <w:tab/>
      </w:r>
      <w:r>
        <w:t>Simplified outline</w:t>
      </w:r>
    </w:p>
    <w:p>
      <w:pPr>
        <w:pStyle w:val="nzSubsection"/>
        <w:keepNext/>
      </w:pPr>
      <w:r>
        <w:tab/>
      </w:r>
      <w:r>
        <w:tab/>
        <w:t>The following is a simplified outline of this Division —</w:t>
      </w:r>
    </w:p>
    <w:p>
      <w:pPr>
        <w:pStyle w:val="nzSubsection"/>
        <w:keepNext/>
        <w:numPr>
          <w:ilvl w:val="0"/>
          <w:numId w:val="15"/>
        </w:numPr>
        <w:tabs>
          <w:tab w:val="clear" w:pos="1162"/>
          <w:tab w:val="clear" w:pos="1446"/>
          <w:tab w:val="clear" w:pos="2138"/>
          <w:tab w:val="num" w:pos="1843"/>
        </w:tabs>
        <w:ind w:left="1843" w:hanging="425"/>
      </w:pPr>
      <w:r>
        <w:t>An inspector may conduct an inspection —</w:t>
      </w:r>
    </w:p>
    <w:p>
      <w:pPr>
        <w:pStyle w:val="nzIndenta"/>
        <w:tabs>
          <w:tab w:val="clear" w:pos="1899"/>
          <w:tab w:val="clear" w:pos="2183"/>
          <w:tab w:val="right" w:pos="2127"/>
          <w:tab w:val="left" w:pos="2552"/>
        </w:tabs>
        <w:ind w:left="2552" w:hanging="1220"/>
      </w:pPr>
      <w:r>
        <w:tab/>
        <w:t>(a)</w:t>
      </w:r>
      <w:r>
        <w:tab/>
        <w:t>to ascertain whether a listed OSH law is being complied with;</w:t>
      </w:r>
    </w:p>
    <w:p>
      <w:pPr>
        <w:pStyle w:val="nzIndenta"/>
        <w:tabs>
          <w:tab w:val="clear" w:pos="1899"/>
          <w:tab w:val="clear" w:pos="2183"/>
          <w:tab w:val="right" w:pos="2127"/>
          <w:tab w:val="left" w:pos="2552"/>
        </w:tabs>
        <w:ind w:left="2552" w:hanging="1220"/>
      </w:pPr>
      <w:r>
        <w:tab/>
        <w:t>(b)</w:t>
      </w:r>
      <w:r>
        <w:tab/>
        <w:t>concerning a contravention or a possible contravention of a listed OSH law; or</w:t>
      </w:r>
    </w:p>
    <w:p>
      <w:pPr>
        <w:pStyle w:val="nzIndenta"/>
        <w:tabs>
          <w:tab w:val="clear" w:pos="1899"/>
          <w:tab w:val="clear" w:pos="2183"/>
          <w:tab w:val="right" w:pos="2127"/>
          <w:tab w:val="left" w:pos="2552"/>
        </w:tabs>
        <w:ind w:left="2552" w:hanging="1220"/>
      </w:pPr>
      <w:r>
        <w:tab/>
        <w:t>(c)</w:t>
      </w:r>
      <w:r>
        <w:tab/>
        <w:t>concerning an accident or dangerous occurrence that has arisen out of a petroleum operation.</w:t>
      </w:r>
    </w:p>
    <w:p>
      <w:pPr>
        <w:pStyle w:val="nzSubsection"/>
        <w:numPr>
          <w:ilvl w:val="0"/>
          <w:numId w:val="15"/>
        </w:numPr>
        <w:tabs>
          <w:tab w:val="clear" w:pos="1162"/>
          <w:tab w:val="clear" w:pos="1446"/>
          <w:tab w:val="clear" w:pos="2138"/>
          <w:tab w:val="num" w:pos="1843"/>
        </w:tabs>
        <w:ind w:left="1843" w:hanging="425"/>
      </w:pPr>
      <w:r>
        <w:t>An inspector may issue a prohibition notice to the operator of a petroleum operation in order to remove an immediate threat to the safety and health of any person.</w:t>
      </w:r>
    </w:p>
    <w:p>
      <w:pPr>
        <w:pStyle w:val="nzSubsection"/>
        <w:numPr>
          <w:ilvl w:val="0"/>
          <w:numId w:val="15"/>
        </w:numPr>
        <w:tabs>
          <w:tab w:val="clear" w:pos="1162"/>
          <w:tab w:val="clear" w:pos="1446"/>
          <w:tab w:val="clear" w:pos="2138"/>
          <w:tab w:val="num" w:pos="1843"/>
        </w:tabs>
        <w:ind w:left="1843" w:hanging="425"/>
      </w:pPr>
      <w:r>
        <w:t>An inspector may issue an improvement notice specifying action that is to be taken to prevent contravention of a listed OSH law.</w:t>
      </w:r>
    </w:p>
    <w:p>
      <w:pPr>
        <w:pStyle w:val="nzSubsection"/>
        <w:numPr>
          <w:ilvl w:val="0"/>
          <w:numId w:val="15"/>
        </w:numPr>
        <w:tabs>
          <w:tab w:val="clear" w:pos="1162"/>
          <w:tab w:val="clear" w:pos="1446"/>
          <w:tab w:val="clear" w:pos="2138"/>
          <w:tab w:val="num" w:pos="1843"/>
        </w:tabs>
        <w:ind w:left="1843" w:hanging="425"/>
      </w:pPr>
      <w:r>
        <w:t>An inspector must prepare a report about an inspection and give the report to the Minister.</w:t>
      </w:r>
    </w:p>
    <w:p>
      <w:pPr>
        <w:pStyle w:val="nzHeading5"/>
      </w:pPr>
      <w:r>
        <w:t>46.</w:t>
      </w:r>
      <w:r>
        <w:rPr>
          <w:b w:val="0"/>
        </w:rPr>
        <w:tab/>
      </w:r>
      <w:r>
        <w:t>Powers, functions and duties of inspectors</w:t>
      </w:r>
    </w:p>
    <w:p>
      <w:pPr>
        <w:pStyle w:val="nzSubsection"/>
      </w:pPr>
      <w:r>
        <w:tab/>
        <w:t>(1)</w:t>
      </w:r>
      <w:r>
        <w:tab/>
        <w:t>An inspector has the powers, functions and duties conferred or imposed by each listed OSH law.</w:t>
      </w:r>
    </w:p>
    <w:p>
      <w:pPr>
        <w:pStyle w:val="nz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nz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nzHeading4"/>
        <w:outlineLvl w:val="0"/>
      </w:pPr>
      <w:bookmarkStart w:id="1091" w:name="_Toc112746341"/>
      <w:bookmarkStart w:id="1092" w:name="_Toc112746466"/>
      <w:r>
        <w:t>Subdivision 2</w:t>
      </w:r>
      <w:r>
        <w:rPr>
          <w:b w:val="0"/>
        </w:rPr>
        <w:t> — </w:t>
      </w:r>
      <w:r>
        <w:t>Inspections</w:t>
      </w:r>
      <w:bookmarkEnd w:id="1091"/>
      <w:bookmarkEnd w:id="1092"/>
    </w:p>
    <w:p>
      <w:pPr>
        <w:pStyle w:val="nzHeading5"/>
      </w:pPr>
      <w:r>
        <w:t>47.</w:t>
      </w:r>
      <w:r>
        <w:rPr>
          <w:b w:val="0"/>
        </w:rPr>
        <w:tab/>
      </w:r>
      <w:r>
        <w:t>Inspections</w:t>
      </w:r>
    </w:p>
    <w:p>
      <w:pPr>
        <w:pStyle w:val="nzSubsection"/>
      </w:pPr>
      <w:r>
        <w:tab/>
        <w:t>(1)</w:t>
      </w:r>
      <w:r>
        <w:tab/>
        <w:t>An inspector may, at any time,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t>(2)</w:t>
      </w:r>
      <w:r>
        <w:tab/>
        <w:t>The Minister may direct an inspector to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r>
      <w:r>
        <w:tab/>
        <w:t>and the inspector must, unless the Minister revokes the direction, conduct an inspection accordingly.</w:t>
      </w:r>
    </w:p>
    <w:p>
      <w:pPr>
        <w:pStyle w:val="nzHeading4"/>
      </w:pPr>
      <w:bookmarkStart w:id="1093" w:name="_Toc112746342"/>
      <w:bookmarkStart w:id="1094" w:name="_Toc112746467"/>
      <w:r>
        <w:t>Subdivision </w:t>
      </w:r>
      <w:r>
        <w:rPr>
          <w:bCs/>
        </w:rPr>
        <w:t xml:space="preserve">3 — Powers </w:t>
      </w:r>
      <w:r>
        <w:t>of inspectors in relation to the conduct of inspections</w:t>
      </w:r>
      <w:bookmarkEnd w:id="1093"/>
      <w:bookmarkEnd w:id="1094"/>
    </w:p>
    <w:p>
      <w:pPr>
        <w:pStyle w:val="nzHeading5"/>
      </w:pPr>
      <w:r>
        <w:t>48.</w:t>
      </w:r>
      <w:r>
        <w:rPr>
          <w:b w:val="0"/>
        </w:rPr>
        <w:tab/>
      </w:r>
      <w:r>
        <w:t>Powers of entry and search — places at which petroleum operations are carried on</w:t>
      </w:r>
    </w:p>
    <w:p>
      <w:pPr>
        <w:pStyle w:val="nzSubsection"/>
      </w:pPr>
      <w:r>
        <w:tab/>
        <w:t>(1)</w:t>
      </w:r>
      <w:r>
        <w:tab/>
        <w:t>An inspector may, for the purposes of an inspection, at any reasonable time during the day or night —</w:t>
      </w:r>
    </w:p>
    <w:p>
      <w:pPr>
        <w:pStyle w:val="nzIndenta"/>
      </w:pPr>
      <w:r>
        <w:tab/>
        <w:t>(a)</w:t>
      </w:r>
      <w:r>
        <w:tab/>
        <w:t>enter the place at which a petroleum operation is carried on and to which the inspection relates and do all or any of the following —</w:t>
      </w:r>
    </w:p>
    <w:p>
      <w:pPr>
        <w:pStyle w:val="nzIndenti"/>
      </w:pPr>
      <w:r>
        <w:tab/>
        <w:t>(i)</w:t>
      </w:r>
      <w:r>
        <w:tab/>
        <w:t>search the place;</w:t>
      </w:r>
    </w:p>
    <w:p>
      <w:pPr>
        <w:pStyle w:val="nzIndenti"/>
      </w:pPr>
      <w:r>
        <w:tab/>
        <w:t>(ii)</w:t>
      </w:r>
      <w:r>
        <w:tab/>
        <w:t>inspect, examine, take measurements of, or conduct tests concerning, any workplace, facility, plant, substance or thing at the place;</w:t>
      </w:r>
    </w:p>
    <w:p>
      <w:pPr>
        <w:pStyle w:val="nzIndenti"/>
      </w:pPr>
      <w:r>
        <w:tab/>
        <w:t>(iii)</w:t>
      </w:r>
      <w:r>
        <w:tab/>
        <w:t>take photographs of, make video recordings of, or make sketches of, any workplace, facility, plant, substance or thing at the place;</w:t>
      </w:r>
    </w:p>
    <w:p>
      <w:pPr>
        <w:pStyle w:val="nzIndenti"/>
      </w:pPr>
      <w:r>
        <w:tab/>
        <w:t>(iv)</w:t>
      </w:r>
      <w:r>
        <w:tab/>
        <w:t>inspect, take extracts from, or make copies of, any documents at the place that the inspector has reasonable grounds to believe relate, or are likely to relate, to the subject matter of the inspection;</w:t>
      </w:r>
    </w:p>
    <w:p>
      <w:pPr>
        <w:pStyle w:val="nzIndenta"/>
      </w:pPr>
      <w:r>
        <w:tab/>
      </w:r>
      <w:r>
        <w:tab/>
        <w:t>and</w:t>
      </w:r>
    </w:p>
    <w:p>
      <w:pPr>
        <w:pStyle w:val="nzIndenta"/>
      </w:pPr>
      <w:r>
        <w:tab/>
        <w:t>(b)</w:t>
      </w:r>
      <w:r>
        <w:tab/>
        <w:t>inspect the seabed and subsoil in the vicinity of the place to which the inspection relates.</w:t>
      </w:r>
    </w:p>
    <w:p>
      <w:pPr>
        <w:pStyle w:val="nzSubsection"/>
        <w:keepNext/>
      </w:pPr>
      <w:r>
        <w:tab/>
        <w:t>(2)</w:t>
      </w:r>
      <w:r>
        <w:tab/>
        <w:t>Immediately on entering a place at which a petroleum operation is carried on for the purposes of an inspection, an inspector must take reasonable steps to notify the purpose of entering the place to —</w:t>
      </w:r>
    </w:p>
    <w:p>
      <w:pPr>
        <w:pStyle w:val="nzIndenta"/>
      </w:pPr>
      <w:r>
        <w:tab/>
        <w:t>(a)</w:t>
      </w:r>
      <w:r>
        <w:tab/>
        <w:t>the operator’s representative; and</w:t>
      </w:r>
    </w:p>
    <w:p>
      <w:pPr>
        <w:pStyle w:val="nzIndenta"/>
      </w:pPr>
      <w:r>
        <w:tab/>
        <w:t>(b)</w:t>
      </w:r>
      <w:r>
        <w:tab/>
        <w:t>if there is a safety and health representative for a designated work group having a group member likely to be affected by the matter the subject of the inspection — that representative,</w:t>
      </w:r>
    </w:p>
    <w:p>
      <w:pPr>
        <w:pStyle w:val="nzSubsection"/>
      </w:pPr>
      <w:r>
        <w:tab/>
      </w:r>
      <w:r>
        <w:tab/>
        <w:t>and must, on being requested to do so by the person referred to in paragraph (a) or (b), produce for inspection by that person —</w:t>
      </w:r>
    </w:p>
    <w:p>
      <w:pPr>
        <w:pStyle w:val="nzIndenta"/>
      </w:pPr>
      <w:r>
        <w:tab/>
        <w:t>(c)</w:t>
      </w:r>
      <w:r>
        <w:tab/>
        <w:t>the inspector’s certificate of appointment under section 118(2);</w:t>
      </w:r>
    </w:p>
    <w:p>
      <w:pPr>
        <w:pStyle w:val="nzIndenta"/>
      </w:pPr>
      <w:r>
        <w:tab/>
        <w:t>(d)</w:t>
      </w:r>
      <w:r>
        <w:tab/>
        <w:t>a copy of the Minister’s written direction (if any) to conduct the inspection; and</w:t>
      </w:r>
    </w:p>
    <w:p>
      <w:pPr>
        <w:pStyle w:val="nzIndenta"/>
      </w:pPr>
      <w:r>
        <w:tab/>
        <w:t>(e)</w:t>
      </w:r>
      <w:r>
        <w:tab/>
        <w:t>a copy of the restrictions (if any) imposed on the powers of the inspector under clause 46(3).</w:t>
      </w:r>
    </w:p>
    <w:p>
      <w:pPr>
        <w:pStyle w:val="nz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nzHeading5"/>
      </w:pPr>
      <w:r>
        <w:t>49.</w:t>
      </w:r>
      <w:r>
        <w:rPr>
          <w:b w:val="0"/>
        </w:rPr>
        <w:tab/>
      </w:r>
      <w:r>
        <w:t>Powers of entry and search — regulated business premises (other than places where petroleum operations carried on)</w:t>
      </w:r>
    </w:p>
    <w:p>
      <w:pPr>
        <w:pStyle w:val="nzSubsection"/>
      </w:pPr>
      <w:r>
        <w:tab/>
        <w:t>(1)</w:t>
      </w:r>
      <w:r>
        <w:tab/>
        <w:t>An inspector may, for the purposes of an inspection —</w:t>
      </w:r>
    </w:p>
    <w:p>
      <w:pPr>
        <w:pStyle w:val="nzIndenta"/>
      </w:pPr>
      <w:r>
        <w:tab/>
        <w:t>(a)</w:t>
      </w:r>
      <w:r>
        <w:tab/>
        <w:t>at any reasonable time, enter any regulated business premises (other than a place at which a petroleum operation is carried on) if the inspector has reasonable grounds to believe that there are likely to be at those premises documents that relate to a petroleum operation that is a subject of the inspection; and</w:t>
      </w:r>
    </w:p>
    <w:p>
      <w:pPr>
        <w:pStyle w:val="nzIndenta"/>
      </w:pPr>
      <w:r>
        <w:tab/>
        <w:t>(b)</w:t>
      </w:r>
      <w:r>
        <w:tab/>
        <w:t>search for, inspect, take extracts from, or make copies of, any such documents at those premises.</w:t>
      </w:r>
    </w:p>
    <w:p>
      <w:pPr>
        <w:pStyle w:val="nzSubsection"/>
      </w:pPr>
      <w:r>
        <w:tab/>
        <w:t>(2)</w:t>
      </w:r>
      <w:r>
        <w:tab/>
        <w:t>Immediately on entering premises referred to in subclause (1), an inspector must take reasonable steps to notify the purpose of the entry to the occupier of those premises, and must, on being requested to do so by the occupier, produce for inspection by the occupier —</w:t>
      </w:r>
    </w:p>
    <w:p>
      <w:pPr>
        <w:pStyle w:val="nzIndenta"/>
      </w:pPr>
      <w:r>
        <w:tab/>
        <w:t>(a)</w:t>
      </w:r>
      <w:r>
        <w:tab/>
        <w:t>the inspector’s certificate of appointment under section 118(2);</w:t>
      </w:r>
    </w:p>
    <w:p>
      <w:pPr>
        <w:pStyle w:val="nzIndenta"/>
      </w:pPr>
      <w:r>
        <w:tab/>
        <w:t>(b)</w:t>
      </w:r>
      <w:r>
        <w:tab/>
        <w:t>a copy of the Minister’s written direction (if any) to conduct the inspection; and</w:t>
      </w:r>
    </w:p>
    <w:p>
      <w:pPr>
        <w:pStyle w:val="nzIndenta"/>
      </w:pPr>
      <w:r>
        <w:tab/>
        <w:t>(c)</w:t>
      </w:r>
      <w:r>
        <w:tab/>
        <w:t>a copy of the restrictions (if any) imposed on the powers of the inspector under clause 46(3).</w:t>
      </w:r>
    </w:p>
    <w:p>
      <w:pPr>
        <w:pStyle w:val="nzHeading5"/>
      </w:pPr>
      <w:r>
        <w:t>50.</w:t>
      </w:r>
      <w:r>
        <w:rPr>
          <w:b w:val="0"/>
        </w:rPr>
        <w:tab/>
      </w:r>
      <w:r>
        <w:t>Powers of entry and search — premises (other than regulated business premises)</w:t>
      </w:r>
    </w:p>
    <w:p>
      <w:pPr>
        <w:pStyle w:val="nzSubsection"/>
      </w:pPr>
      <w:r>
        <w:tab/>
        <w:t>(1)</w:t>
      </w:r>
      <w:r>
        <w:tab/>
        <w:t>An inspector may, for the purposes of an inspection —</w:t>
      </w:r>
    </w:p>
    <w:p>
      <w:pPr>
        <w:pStyle w:val="nzIndenta"/>
      </w:pPr>
      <w:r>
        <w:tab/>
        <w:t>(a)</w:t>
      </w:r>
      <w:r>
        <w:tab/>
        <w:t>enter any premises (other than regulated business premises) if the inspector has reasonable grounds to believe that there are likely to be at those premises documents that relate to a petroleum operation that is the subject of the inspection; and</w:t>
      </w:r>
    </w:p>
    <w:p>
      <w:pPr>
        <w:pStyle w:val="nzIndenta"/>
      </w:pPr>
      <w:r>
        <w:tab/>
        <w:t>(b)</w:t>
      </w:r>
      <w:r>
        <w:tab/>
        <w:t>search for, inspect, take extracts from, or make copies of, any such documents at those premises.</w:t>
      </w:r>
    </w:p>
    <w:p>
      <w:pPr>
        <w:pStyle w:val="nzSubsection"/>
      </w:pPr>
      <w:r>
        <w:tab/>
        <w:t>(2)</w:t>
      </w:r>
      <w:r>
        <w:tab/>
        <w:t>An inspector may exercise the powers referred to in subclause (1) to enter premises only —</w:t>
      </w:r>
    </w:p>
    <w:p>
      <w:pPr>
        <w:pStyle w:val="nzIndenta"/>
      </w:pPr>
      <w:r>
        <w:tab/>
        <w:t>(a)</w:t>
      </w:r>
      <w:r>
        <w:tab/>
        <w:t>if the premises are not a residence —</w:t>
      </w:r>
    </w:p>
    <w:p>
      <w:pPr>
        <w:pStyle w:val="nzIndenti"/>
      </w:pPr>
      <w:r>
        <w:tab/>
        <w:t>(i)</w:t>
      </w:r>
      <w:r>
        <w:tab/>
        <w:t>in accordance with a warrant under clause 51;</w:t>
      </w:r>
    </w:p>
    <w:p>
      <w:pPr>
        <w:pStyle w:val="nzIndenti"/>
      </w:pPr>
      <w:r>
        <w:tab/>
        <w:t>(ii)</w:t>
      </w:r>
      <w:r>
        <w:tab/>
        <w:t>with the consent of the occupier of the premises;</w:t>
      </w:r>
    </w:p>
    <w:p>
      <w:pPr>
        <w:pStyle w:val="nzIndenta"/>
      </w:pPr>
      <w:r>
        <w:tab/>
      </w:r>
      <w:r>
        <w:tab/>
        <w:t>or</w:t>
      </w:r>
    </w:p>
    <w:p>
      <w:pPr>
        <w:pStyle w:val="nzIndenta"/>
      </w:pPr>
      <w:r>
        <w:tab/>
        <w:t>(b)</w:t>
      </w:r>
      <w:r>
        <w:tab/>
        <w:t>if the premises are a residence — with the consent of the occupier of the premises.</w:t>
      </w:r>
    </w:p>
    <w:p>
      <w:pPr>
        <w:pStyle w:val="nzSubsection"/>
      </w:pPr>
      <w:r>
        <w:tab/>
        <w:t>(3)</w:t>
      </w:r>
      <w:r>
        <w:tab/>
        <w:t>Immediately on entering premises referred to in subclause (1), an inspector must —</w:t>
      </w:r>
    </w:p>
    <w:p>
      <w:pPr>
        <w:pStyle w:val="nzIndenta"/>
      </w:pPr>
      <w:r>
        <w:tab/>
        <w:t>(a)</w:t>
      </w:r>
      <w:r>
        <w:tab/>
        <w:t>take reasonable steps to notify the purpose of the entry to the occupier of those premises;</w:t>
      </w:r>
    </w:p>
    <w:p>
      <w:pPr>
        <w:pStyle w:val="nzIndenta"/>
      </w:pPr>
      <w:r>
        <w:tab/>
        <w:t>(b)</w:t>
      </w:r>
      <w:r>
        <w:tab/>
        <w:t>take reasonable steps to produce, for inspection by the occupier, the inspector’s certificate of appointment under section 118(2); and</w:t>
      </w:r>
    </w:p>
    <w:p>
      <w:pPr>
        <w:pStyle w:val="nzIndenta"/>
      </w:pPr>
      <w:r>
        <w:tab/>
        <w:t>(c)</w:t>
      </w:r>
      <w:r>
        <w:tab/>
        <w:t>on being requested to do so by the occupier, produce, for inspection by the occupier —</w:t>
      </w:r>
    </w:p>
    <w:p>
      <w:pPr>
        <w:pStyle w:val="nzIndenti"/>
      </w:pPr>
      <w:r>
        <w:tab/>
        <w:t>(i)</w:t>
      </w:r>
      <w:r>
        <w:tab/>
        <w:t>a copy of the Minister’s written direction (if any) to conduct the inspection; and</w:t>
      </w:r>
    </w:p>
    <w:p>
      <w:pPr>
        <w:pStyle w:val="nzIndenti"/>
      </w:pPr>
      <w:r>
        <w:tab/>
        <w:t>(ii)</w:t>
      </w:r>
      <w:r>
        <w:tab/>
        <w:t>a copy of the restrictions (if any) imposed on the powers of the inspector under clause 46(3).</w:t>
      </w:r>
    </w:p>
    <w:p>
      <w:pPr>
        <w:pStyle w:val="nzSubsection"/>
      </w:pPr>
      <w:r>
        <w:tab/>
        <w:t>(4)</w:t>
      </w:r>
      <w:r>
        <w:tab/>
        <w:t>If —</w:t>
      </w:r>
    </w:p>
    <w:p>
      <w:pPr>
        <w:pStyle w:val="nzIndenta"/>
      </w:pPr>
      <w:r>
        <w:tab/>
        <w:t>(a)</w:t>
      </w:r>
      <w:r>
        <w:tab/>
        <w:t>an inspector enters premises in accordance with a warrant under clause 51; and</w:t>
      </w:r>
    </w:p>
    <w:p>
      <w:pPr>
        <w:pStyle w:val="nzIndenta"/>
      </w:pPr>
      <w:r>
        <w:tab/>
        <w:t>(b)</w:t>
      </w:r>
      <w:r>
        <w:tab/>
        <w:t>the occupier of the premises is present at the premises,</w:t>
      </w:r>
    </w:p>
    <w:p>
      <w:pPr>
        <w:pStyle w:val="nzSubsection"/>
      </w:pPr>
      <w:r>
        <w:tab/>
      </w:r>
      <w:r>
        <w:tab/>
        <w:t>the inspector must make a copy of the warrant available to the occupier.</w:t>
      </w:r>
    </w:p>
    <w:p>
      <w:pPr>
        <w:pStyle w:val="nzSubsection"/>
      </w:pPr>
      <w:r>
        <w:tab/>
        <w:t>(5)</w:t>
      </w:r>
      <w:r>
        <w:tab/>
        <w:t>Before obtaining the consent of a person as mentioned in subclause (2)(a) or (b), an inspector must inform the person that —</w:t>
      </w:r>
    </w:p>
    <w:p>
      <w:pPr>
        <w:pStyle w:val="nzIndenta"/>
      </w:pPr>
      <w:r>
        <w:tab/>
        <w:t>(a)</w:t>
      </w:r>
      <w:r>
        <w:tab/>
        <w:t>the person may refuse consent; and</w:t>
      </w:r>
    </w:p>
    <w:p>
      <w:pPr>
        <w:pStyle w:val="nzIndenta"/>
      </w:pPr>
      <w:r>
        <w:tab/>
        <w:t>(b)</w:t>
      </w:r>
      <w:r>
        <w:tab/>
        <w:t>the consent may be withdrawn.</w:t>
      </w:r>
    </w:p>
    <w:p>
      <w:pPr>
        <w:pStyle w:val="nzSubsection"/>
      </w:pPr>
      <w:r>
        <w:tab/>
        <w:t>(6)</w:t>
      </w:r>
      <w:r>
        <w:tab/>
        <w:t>The consent of a person is not effective for the purposes of subclause (2) unless the consent is voluntary.</w:t>
      </w:r>
    </w:p>
    <w:p>
      <w:pPr>
        <w:pStyle w:val="nzHeading5"/>
      </w:pPr>
      <w:r>
        <w:t>51.</w:t>
      </w:r>
      <w:r>
        <w:rPr>
          <w:b w:val="0"/>
        </w:rPr>
        <w:tab/>
      </w:r>
      <w:r>
        <w:t>Warrant to enter premises (other than regulated business premises)</w:t>
      </w:r>
    </w:p>
    <w:p>
      <w:pPr>
        <w:pStyle w:val="nz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nzSubsection"/>
      </w:pPr>
      <w:r>
        <w:tab/>
        <w:t>(2)</w:t>
      </w:r>
      <w:r>
        <w:tab/>
        <w:t>The application must be supported by evidence on oath (whether oral or by affidavit) that sets out the grounds on which the inspector is applying for the warrant.</w:t>
      </w:r>
    </w:p>
    <w:p>
      <w:pPr>
        <w:pStyle w:val="nzSubsection"/>
      </w:pPr>
      <w:r>
        <w:tab/>
        <w:t>(3)</w:t>
      </w:r>
      <w:r>
        <w:tab/>
        <w:t>If the magistrate is satisfied that there are reasonable grounds for issuing the warrant, the magistrate may issue the warrant.</w:t>
      </w:r>
    </w:p>
    <w:p>
      <w:pPr>
        <w:pStyle w:val="nzSubsection"/>
      </w:pPr>
      <w:r>
        <w:tab/>
        <w:t>(4)</w:t>
      </w:r>
      <w:r>
        <w:tab/>
        <w:t>A warrant issued under subclause (3) must state —</w:t>
      </w:r>
    </w:p>
    <w:p>
      <w:pPr>
        <w:pStyle w:val="nzIndenta"/>
      </w:pPr>
      <w:r>
        <w:tab/>
        <w:t>(a)</w:t>
      </w:r>
      <w:r>
        <w:tab/>
        <w:t>the name of the inspector;</w:t>
      </w:r>
    </w:p>
    <w:p>
      <w:pPr>
        <w:pStyle w:val="nzIndenta"/>
      </w:pPr>
      <w:r>
        <w:tab/>
        <w:t>(b)</w:t>
      </w:r>
      <w:r>
        <w:tab/>
        <w:t>whether the inspection may be carried out at any time or only during specified hours of the day;</w:t>
      </w:r>
    </w:p>
    <w:p>
      <w:pPr>
        <w:pStyle w:val="nzIndenta"/>
      </w:pPr>
      <w:r>
        <w:tab/>
        <w:t>(c)</w:t>
      </w:r>
      <w:r>
        <w:tab/>
        <w:t>the day on which the warrant ceases to have effect; and</w:t>
      </w:r>
    </w:p>
    <w:p>
      <w:pPr>
        <w:pStyle w:val="nzIndenta"/>
      </w:pPr>
      <w:r>
        <w:tab/>
        <w:t>(d)</w:t>
      </w:r>
      <w:r>
        <w:tab/>
        <w:t>the purposes for which the warrant is issued.</w:t>
      </w:r>
    </w:p>
    <w:p>
      <w:pPr>
        <w:pStyle w:val="nzSubsection"/>
      </w:pPr>
      <w:r>
        <w:tab/>
        <w:t>(5)</w:t>
      </w:r>
      <w:r>
        <w:tab/>
        <w:t>The day specified under subclause (4)(c) is not to be more than 7 days after the day on which the warrant is issued.</w:t>
      </w:r>
    </w:p>
    <w:p>
      <w:pPr>
        <w:pStyle w:val="nzSubsection"/>
      </w:pPr>
      <w:r>
        <w:tab/>
        <w:t>(6)</w:t>
      </w:r>
      <w:r>
        <w:tab/>
        <w:t>The purposes specified under subclause (4)(d) must include the identification of the premises in relation to which the warrant is issued.</w:t>
      </w:r>
    </w:p>
    <w:p>
      <w:pPr>
        <w:pStyle w:val="nzHeading5"/>
      </w:pPr>
      <w:r>
        <w:t>52.</w:t>
      </w:r>
      <w:r>
        <w:rPr>
          <w:b w:val="0"/>
        </w:rPr>
        <w:tab/>
      </w:r>
      <w:r>
        <w:t>Obstructing or hindering inspector</w:t>
      </w:r>
    </w:p>
    <w:p>
      <w:pPr>
        <w:pStyle w:val="nzSubsection"/>
      </w:pPr>
      <w:r>
        <w:tab/>
      </w:r>
      <w:r>
        <w:tab/>
        <w:t>A person must not, without reasonable excuse, obstruct or hinder an inspector in the exercise of an inspector’s powers under clause 48, 49 or 50.</w:t>
      </w:r>
    </w:p>
    <w:p>
      <w:pPr>
        <w:pStyle w:val="nzPenstart"/>
      </w:pPr>
      <w:r>
        <w:tab/>
        <w:t>Penalty:</w:t>
      </w:r>
      <w:r>
        <w:tab/>
        <w:t>$5 500.</w:t>
      </w:r>
    </w:p>
    <w:p>
      <w:pPr>
        <w:pStyle w:val="nzHeading5"/>
      </w:pPr>
      <w:r>
        <w:t>53.</w:t>
      </w:r>
      <w:r>
        <w:rPr>
          <w:b w:val="0"/>
        </w:rPr>
        <w:tab/>
      </w:r>
      <w:r>
        <w:t>Power to require assistance and information</w:t>
      </w:r>
    </w:p>
    <w:p>
      <w:pPr>
        <w:pStyle w:val="nzSubsection"/>
      </w:pPr>
      <w:r>
        <w:tab/>
        <w:t>(1)</w:t>
      </w:r>
      <w:r>
        <w:tab/>
        <w:t>An inspector may, to the extent that it is reasonably necessary to do so in connection with the conduct of an inspection, require —</w:t>
      </w:r>
    </w:p>
    <w:p>
      <w:pPr>
        <w:pStyle w:val="nzIndenta"/>
      </w:pPr>
      <w:r>
        <w:tab/>
        <w:t>(a)</w:t>
      </w:r>
      <w:r>
        <w:tab/>
        <w:t>the operator of a petroleum operation;</w:t>
      </w:r>
    </w:p>
    <w:p>
      <w:pPr>
        <w:pStyle w:val="nzIndenta"/>
      </w:pPr>
      <w:r>
        <w:tab/>
        <w:t>(b)</w:t>
      </w:r>
      <w:r>
        <w:tab/>
        <w:t>the person in charge of a petroleum operation;</w:t>
      </w:r>
    </w:p>
    <w:p>
      <w:pPr>
        <w:pStyle w:val="nzIndenta"/>
      </w:pPr>
      <w:r>
        <w:tab/>
        <w:t>(c)</w:t>
      </w:r>
      <w:r>
        <w:tab/>
        <w:t>a member of the workforce engaged in a petroleum operation; or</w:t>
      </w:r>
    </w:p>
    <w:p>
      <w:pPr>
        <w:pStyle w:val="nzIndenta"/>
      </w:pPr>
      <w:r>
        <w:tab/>
        <w:t>(d)</w:t>
      </w:r>
      <w:r>
        <w:tab/>
        <w:t>any person representing a person referred to in paragraph (a) or (b),</w:t>
      </w:r>
    </w:p>
    <w:p>
      <w:pPr>
        <w:pStyle w:val="nzSubsection"/>
      </w:pPr>
      <w:r>
        <w:tab/>
      </w:r>
      <w:r>
        <w:tab/>
        <w:t>to provide the inspector with reasonable assistance and amenities —</w:t>
      </w:r>
    </w:p>
    <w:p>
      <w:pPr>
        <w:pStyle w:val="nzIndenta"/>
      </w:pPr>
      <w:r>
        <w:tab/>
        <w:t>(e)</w:t>
      </w:r>
      <w:r>
        <w:tab/>
        <w:t>that is or are reasonably connected with the conduct of the inspection in relation to the petroleum operation; or</w:t>
      </w:r>
    </w:p>
    <w:p>
      <w:pPr>
        <w:pStyle w:val="nzIndenta"/>
      </w:pPr>
      <w:r>
        <w:tab/>
        <w:t>(f)</w:t>
      </w:r>
      <w:r>
        <w:tab/>
        <w:t>for the effective exercise of the inspector’s powers under this Schedule in connection with the conduct of the inspection in relation to the petroleum operation.</w:t>
      </w:r>
    </w:p>
    <w:p>
      <w:pPr>
        <w:pStyle w:val="nzSubsection"/>
      </w:pPr>
      <w:r>
        <w:tab/>
        <w:t>(2)</w:t>
      </w:r>
      <w:r>
        <w:tab/>
        <w:t>The reasonable assistance referred to in subclause (1) includes, so far as the operator of a petroleum operation is concerned —</w:t>
      </w:r>
    </w:p>
    <w:p>
      <w:pPr>
        <w:pStyle w:val="nzIndenta"/>
      </w:pPr>
      <w:r>
        <w:tab/>
        <w:t>(a)</w:t>
      </w:r>
      <w:r>
        <w:tab/>
        <w:t>appropriate transport for the inspector to and from the place to be inspected and for any equipment required by the inspector, or any article of which the inspector has taken possession; and</w:t>
      </w:r>
    </w:p>
    <w:p>
      <w:pPr>
        <w:pStyle w:val="nzIndenta"/>
      </w:pPr>
      <w:r>
        <w:tab/>
        <w:t>(b)</w:t>
      </w:r>
      <w:r>
        <w:tab/>
        <w:t>reasonable accommodation and means of subsistence while the inspector is at the place to be inspected.</w:t>
      </w:r>
    </w:p>
    <w:p>
      <w:pPr>
        <w:pStyle w:val="nzSubsection"/>
      </w:pPr>
      <w:r>
        <w:tab/>
        <w:t>(3)</w:t>
      </w:r>
      <w:r>
        <w:tab/>
        <w:t>A person must not fail, without reasonable excuse, to comply with a requirement under this clause.</w:t>
      </w:r>
    </w:p>
    <w:p>
      <w:pPr>
        <w:pStyle w:val="nzPenstart"/>
      </w:pPr>
      <w:r>
        <w:tab/>
        <w:t>Penalty:</w:t>
      </w:r>
      <w:r>
        <w:tab/>
        <w:t>$3 300 or imprisonment for 6 months or both.</w:t>
      </w:r>
    </w:p>
    <w:p>
      <w:pPr>
        <w:pStyle w:val="nzHeading5"/>
      </w:pPr>
      <w:r>
        <w:t>54.</w:t>
      </w:r>
      <w:r>
        <w:rPr>
          <w:b w:val="0"/>
        </w:rPr>
        <w:tab/>
      </w:r>
      <w:r>
        <w:t>Power to require the answering of questions and the production of documents or articles</w:t>
      </w:r>
    </w:p>
    <w:p>
      <w:pPr>
        <w:pStyle w:val="nzSubsection"/>
      </w:pPr>
      <w:r>
        <w:tab/>
        <w:t>(1)</w:t>
      </w:r>
      <w:r>
        <w:tab/>
        <w:t>If —</w:t>
      </w:r>
    </w:p>
    <w:p>
      <w:pPr>
        <w:pStyle w:val="nzIndenta"/>
      </w:pPr>
      <w:r>
        <w:tab/>
        <w:t>(a)</w:t>
      </w:r>
      <w:r>
        <w:tab/>
        <w:t>an inspector believes on reasonable grounds that a person is capable of answering a question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Indenta"/>
      </w:pPr>
      <w:r>
        <w:tab/>
      </w:r>
      <w:r>
        <w:tab/>
        <w:t>the inspector may, to the extent that it is reasonably necessary to do so in connection with the conduct of the inspection, require the person to answer the question put by the inspector.</w:t>
      </w:r>
    </w:p>
    <w:p>
      <w:pPr>
        <w:pStyle w:val="nzSubsection"/>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question is to be answered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(3)</w:t>
      </w:r>
      <w:r>
        <w:tab/>
        <w:t>If —</w:t>
      </w:r>
    </w:p>
    <w:p>
      <w:pPr>
        <w:pStyle w:val="nzIndenta"/>
      </w:pPr>
      <w:r>
        <w:tab/>
        <w:t>(a)</w:t>
      </w:r>
      <w:r>
        <w:tab/>
        <w:t>an inspector believes on reasonable grounds that a person is capable of producing a document or article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Subsection"/>
      </w:pPr>
      <w:r>
        <w:tab/>
      </w:r>
      <w:r>
        <w:tab/>
        <w:t>the inspector may, to the extent that it is reasonably necessary to do so in connection with the conduct of the inspection, require the person to produce the document or article.</w:t>
      </w:r>
    </w:p>
    <w:p>
      <w:pPr>
        <w:pStyle w:val="nz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document or article is to be produced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(5)</w:t>
      </w:r>
      <w:r>
        <w:tab/>
        <w:t>A person must not —</w:t>
      </w:r>
    </w:p>
    <w:p>
      <w:pPr>
        <w:pStyle w:val="nzIndenta"/>
      </w:pPr>
      <w:r>
        <w:tab/>
        <w:t>(a)</w:t>
      </w:r>
      <w:r>
        <w:tab/>
        <w:t>fail, without reasonable excuse, to comply with a requirement under this clause; or</w:t>
      </w:r>
    </w:p>
    <w:p>
      <w:pPr>
        <w:pStyle w:val="nzIndenta"/>
        <w:keepNext/>
      </w:pPr>
      <w:r>
        <w:tab/>
        <w:t>(b)</w:t>
      </w:r>
      <w:r>
        <w:tab/>
        <w:t>in purported compliance with a requirement under this clause, give information that is false or misleading in a material particular.</w:t>
      </w:r>
    </w:p>
    <w:p>
      <w:pPr>
        <w:pStyle w:val="nzPenstart"/>
      </w:pPr>
      <w:r>
        <w:tab/>
        <w:t>Penalty:</w:t>
      </w:r>
      <w:r>
        <w:tab/>
        <w:t>$3 300 or imprisonment for 6 months or both.</w:t>
      </w:r>
    </w:p>
    <w:p>
      <w:pPr>
        <w:pStyle w:val="nzHeading5"/>
      </w:pPr>
      <w:r>
        <w:t>55.</w:t>
      </w:r>
      <w:r>
        <w:rPr>
          <w:b w:val="0"/>
        </w:rPr>
        <w:tab/>
      </w:r>
      <w:r>
        <w:t>Privilege against self</w:t>
      </w:r>
      <w:r>
        <w:noBreakHyphen/>
        <w:t>incrimination</w:t>
      </w:r>
    </w:p>
    <w:p>
      <w:pPr>
        <w:pStyle w:val="nz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nzSubsection"/>
      </w:pPr>
      <w:r>
        <w:tab/>
        <w:t>(2)</w:t>
      </w:r>
      <w:r>
        <w:tab/>
        <w:t>However —</w:t>
      </w:r>
    </w:p>
    <w:p>
      <w:pPr>
        <w:pStyle w:val="nzIndenta"/>
      </w:pPr>
      <w:r>
        <w:tab/>
        <w:t>(a)</w:t>
      </w:r>
      <w:r>
        <w:tab/>
        <w:t>the answer given or document or article produced;</w:t>
      </w:r>
    </w:p>
    <w:p>
      <w:pPr>
        <w:pStyle w:val="nzIndenta"/>
      </w:pPr>
      <w:r>
        <w:tab/>
        <w:t>(b)</w:t>
      </w:r>
      <w:r>
        <w:tab/>
        <w:t>answering the question or producing the document or article; or</w:t>
      </w:r>
    </w:p>
    <w:p>
      <w:pPr>
        <w:pStyle w:val="nzIndenta"/>
      </w:pPr>
      <w:r>
        <w:tab/>
        <w:t>(c)</w:t>
      </w:r>
      <w:r>
        <w:tab/>
        <w:t>any information, document or thing obtained as a direct or indirect consequence of the answering of the question or the production of the document or article,</w:t>
      </w:r>
    </w:p>
    <w:p>
      <w:pPr>
        <w:pStyle w:val="nzSubsection"/>
      </w:pPr>
      <w:r>
        <w:tab/>
      </w:r>
      <w:r>
        <w:tab/>
        <w:t>is not admissible in evidence against the person —</w:t>
      </w:r>
    </w:p>
    <w:p>
      <w:pPr>
        <w:pStyle w:val="nzIndenta"/>
      </w:pPr>
      <w:r>
        <w:tab/>
        <w:t>(d)</w:t>
      </w:r>
      <w:r>
        <w:tab/>
        <w:t>in any civil proceedings; or</w:t>
      </w:r>
    </w:p>
    <w:p>
      <w:pPr>
        <w:pStyle w:val="nzIndenta"/>
      </w:pPr>
      <w:r>
        <w:tab/>
        <w:t>(e)</w:t>
      </w:r>
      <w:r>
        <w:tab/>
        <w:t>in any criminal proceedings other than proceedings for an offence against clause 54.</w:t>
      </w:r>
    </w:p>
    <w:p>
      <w:pPr>
        <w:pStyle w:val="nzHeading5"/>
      </w:pPr>
      <w:r>
        <w:t>56.</w:t>
      </w:r>
      <w:r>
        <w:rPr>
          <w:b w:val="0"/>
        </w:rPr>
        <w:tab/>
      </w:r>
      <w:r>
        <w:t>Power to take possession of plant, take samples of substances etc.</w:t>
      </w:r>
    </w:p>
    <w:p>
      <w:pPr>
        <w:pStyle w:val="nzSubsection"/>
      </w:pPr>
      <w:r>
        <w:tab/>
        <w:t>(1)</w:t>
      </w:r>
      <w:r>
        <w:tab/>
        <w:t>In conducting an inspection, an inspector may, to the extent that it is reasonably necessary for the purposes of inspecting, examining, taking measurements of or conducting tests concerning, any plant, substance or thing at a place at which a petroleum operation is carried out in connection with the inspection —</w:t>
      </w:r>
    </w:p>
    <w:p>
      <w:pPr>
        <w:pStyle w:val="nzIndenta"/>
      </w:pPr>
      <w:r>
        <w:tab/>
        <w:t>(a)</w:t>
      </w:r>
      <w:r>
        <w:tab/>
        <w:t>take possession of the plant, substance or thing and remove it from the place; or</w:t>
      </w:r>
    </w:p>
    <w:p>
      <w:pPr>
        <w:pStyle w:val="nzIndenta"/>
      </w:pPr>
      <w:r>
        <w:tab/>
        <w:t>(b)</w:t>
      </w:r>
      <w:r>
        <w:tab/>
        <w:t>take a sample of the substance or thing and remove that sample from the place.</w:t>
      </w:r>
    </w:p>
    <w:p>
      <w:pPr>
        <w:pStyle w:val="nzSubsection"/>
      </w:pPr>
      <w:r>
        <w:tab/>
        <w:t>(2)</w:t>
      </w:r>
      <w:r>
        <w:tab/>
        <w:t>On taking possession of plant, a substance or a thing, or taking a sample of a substance or thing, the inspector must, by notice in writing, inform —</w:t>
      </w:r>
    </w:p>
    <w:p>
      <w:pPr>
        <w:pStyle w:val="nzIndenta"/>
      </w:pPr>
      <w:r>
        <w:tab/>
        <w:t>(a)</w:t>
      </w:r>
      <w:r>
        <w:tab/>
        <w:t>the operator of the petroleum operation;</w:t>
      </w:r>
    </w:p>
    <w:p>
      <w:pPr>
        <w:pStyle w:val="nzIndenta"/>
      </w:pPr>
      <w:r>
        <w:tab/>
        <w:t>(b)</w:t>
      </w:r>
      <w:r>
        <w:tab/>
        <w:t>if the plant, substance or thing is used for the performance of work by an employer of a member or members of the workforce engaged in the petroleum operation other than the operator of the petroleum operation — that employer;</w:t>
      </w:r>
    </w:p>
    <w:p>
      <w:pPr>
        <w:pStyle w:val="nzIndenta"/>
      </w:pPr>
      <w:r>
        <w:tab/>
        <w:t>(c)</w:t>
      </w:r>
      <w:r>
        <w:tab/>
        <w:t>if the plant, substance or thing is owned by a person other than a person mentioned in paragraph (a) or (b) — that person; and</w:t>
      </w:r>
    </w:p>
    <w:p>
      <w:pPr>
        <w:pStyle w:val="nzIndenta"/>
      </w:pPr>
      <w:r>
        <w:tab/>
        <w:t>(d)</w:t>
      </w:r>
      <w:r>
        <w:tab/>
        <w:t>if there is a safety and health representative for a designated work group that includes a member of the workforce who is affected by the matter to which the inspection relates — that representative,</w:t>
      </w:r>
    </w:p>
    <w:p>
      <w:pPr>
        <w:pStyle w:val="nzSubsection"/>
      </w:pPr>
      <w:r>
        <w:tab/>
      </w:r>
      <w:r>
        <w:tab/>
        <w:t>of the taking of possession or the taking of the sample, as the case may be, and the reasons for it.</w:t>
      </w:r>
    </w:p>
    <w:p>
      <w:pPr>
        <w:pStyle w:val="nzSubsection"/>
      </w:pPr>
      <w:r>
        <w:tab/>
        <w:t>(3)</w:t>
      </w:r>
      <w:r>
        <w:tab/>
        <w:t>If the inspector gives the notice to the operator of the petroleum operation to which the inspection relates, the operator’s representative must cause the notice to be displayed in a prominent place at the workplace from which the plant, substance or thing was removed.</w:t>
      </w:r>
    </w:p>
    <w:p>
      <w:pPr>
        <w:pStyle w:val="nzSubsection"/>
      </w:pPr>
      <w:r>
        <w:tab/>
        <w:t>(4)</w:t>
      </w:r>
      <w:r>
        <w:tab/>
        <w:t>If the inspector takes possession of plant, a substance or a thing at a workplace for the purpose of inspecting, examining, taking measurements of or conducting tests concerning, the plant, substance or thing, the inspector must —</w:t>
      </w:r>
    </w:p>
    <w:p>
      <w:pPr>
        <w:pStyle w:val="nzIndenta"/>
      </w:pPr>
      <w:r>
        <w:tab/>
        <w:t>(a)</w:t>
      </w:r>
      <w:r>
        <w:tab/>
        <w:t>ensure that the inspection, examination, measuring or testing is conducted as soon as practicable; and</w:t>
      </w:r>
    </w:p>
    <w:p>
      <w:pPr>
        <w:pStyle w:val="nzIndenta"/>
      </w:pPr>
      <w:r>
        <w:tab/>
        <w:t>(b)</w:t>
      </w:r>
      <w:r>
        <w:tab/>
        <w:t>return it to the workplace as soon as practicable afterwards.</w:t>
      </w:r>
    </w:p>
    <w:p>
      <w:pPr>
        <w:pStyle w:val="nz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nzHeading5"/>
      </w:pPr>
      <w:r>
        <w:t>57.</w:t>
      </w:r>
      <w:r>
        <w:rPr>
          <w:b w:val="0"/>
        </w:rPr>
        <w:tab/>
      </w:r>
      <w:r>
        <w:t>Power to direct that workplace etc. not be disturbed</w:t>
      </w:r>
    </w:p>
    <w:p>
      <w:pPr>
        <w:pStyle w:val="nzSubsection"/>
      </w:pPr>
      <w:r>
        <w:tab/>
        <w:t>(1)</w:t>
      </w:r>
      <w:r>
        <w:tab/>
        <w:t>An inspector may give a direction under subclause (2) if, in conducting an inspection, the inspector has reasonable grounds to believe that it is reasonably necessary to do so in order to —</w:t>
      </w:r>
    </w:p>
    <w:p>
      <w:pPr>
        <w:pStyle w:val="nzIndenta"/>
      </w:pPr>
      <w:r>
        <w:tab/>
        <w:t>(a)</w:t>
      </w:r>
      <w:r>
        <w:tab/>
        <w:t>remove an immediate threat to the safety or health of any person; or</w:t>
      </w:r>
    </w:p>
    <w:p>
      <w:pPr>
        <w:pStyle w:val="nzIndenta"/>
      </w:pPr>
      <w:r>
        <w:tab/>
        <w:t>(b)</w:t>
      </w:r>
      <w:r>
        <w:tab/>
        <w:t>allow the inspection, examination or taking of measurements of, or conducting of tests concerning, a facility, or any plant, substance or thing, for use in a petroleum operation.</w:t>
      </w:r>
    </w:p>
    <w:p>
      <w:pPr>
        <w:pStyle w:val="nzSubsection"/>
        <w:keepNext/>
      </w:pPr>
      <w:r>
        <w:tab/>
        <w:t>(2)</w:t>
      </w:r>
      <w:r>
        <w:tab/>
        <w:t>If subclause (1) applies, the inspector may direct, by written notice given to the operator’s representative, that the operator must ensure that —</w:t>
      </w:r>
    </w:p>
    <w:p>
      <w:pPr>
        <w:pStyle w:val="nzIndenta"/>
      </w:pPr>
      <w:r>
        <w:tab/>
        <w:t>(a)</w:t>
      </w:r>
      <w:r>
        <w:tab/>
        <w:t>a particular workplace; or</w:t>
      </w:r>
    </w:p>
    <w:p>
      <w:pPr>
        <w:pStyle w:val="nzIndenta"/>
      </w:pPr>
      <w:r>
        <w:tab/>
        <w:t>(b)</w:t>
      </w:r>
      <w:r>
        <w:tab/>
        <w:t>particular plant, or a particular substance or thing,</w:t>
      </w:r>
    </w:p>
    <w:p>
      <w:pPr>
        <w:pStyle w:val="nzSubsection"/>
      </w:pPr>
      <w:r>
        <w:tab/>
      </w:r>
      <w:r>
        <w:tab/>
        <w:t>not be disturbed for a period specified in the direction.</w:t>
      </w:r>
    </w:p>
    <w:p>
      <w:pPr>
        <w:pStyle w:val="nz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nzSubsection"/>
      </w:pPr>
      <w:r>
        <w:tab/>
        <w:t>(4)</w:t>
      </w:r>
      <w:r>
        <w:tab/>
        <w:t>The direction may be renewed by another direction in the same terms.</w:t>
      </w:r>
    </w:p>
    <w:p>
      <w:pPr>
        <w:pStyle w:val="nzSubsection"/>
      </w:pPr>
      <w:r>
        <w:tab/>
        <w:t>(5)</w:t>
      </w:r>
      <w:r>
        <w:tab/>
        <w:t>If an inspector gives a notice to the operator’s representative under subclause (2), the operator’s representative must cause the notice to be displayed in a prominent place at the workplace —</w:t>
      </w:r>
    </w:p>
    <w:p>
      <w:pPr>
        <w:pStyle w:val="nzIndenta"/>
      </w:pPr>
      <w:r>
        <w:tab/>
        <w:t>(a)</w:t>
      </w:r>
      <w:r>
        <w:tab/>
        <w:t>that is to be left undisturbed; or</w:t>
      </w:r>
    </w:p>
    <w:p>
      <w:pPr>
        <w:pStyle w:val="nzIndenta"/>
      </w:pPr>
      <w:r>
        <w:tab/>
        <w:t>(b)</w:t>
      </w:r>
      <w:r>
        <w:tab/>
        <w:t>where the plant, substance or thing that is to be left undisturbed is located.</w:t>
      </w:r>
    </w:p>
    <w:p>
      <w:pPr>
        <w:pStyle w:val="nzSubsection"/>
      </w:pPr>
      <w:r>
        <w:tab/>
        <w:t>(6)</w:t>
      </w:r>
      <w:r>
        <w:tab/>
        <w:t>As soon as practicable after giving the direction, the inspector must take reasonable steps to notify —</w:t>
      </w:r>
    </w:p>
    <w:p>
      <w:pPr>
        <w:pStyle w:val="nzIndenta"/>
      </w:pPr>
      <w:r>
        <w:tab/>
        <w:t>(a)</w:t>
      </w:r>
      <w:r>
        <w:tab/>
        <w:t>if the workplace, plant, substance or thing to which the direction relates is owned by a person other than the operator of the petroleum operation — that person; and</w:t>
      </w:r>
    </w:p>
    <w:p>
      <w:pPr>
        <w:pStyle w:val="nzIndenta"/>
      </w:pPr>
      <w:r>
        <w:tab/>
        <w:t>(b)</w:t>
      </w:r>
      <w:r>
        <w:tab/>
        <w:t>if there is a safety and health representative for a designated work group that includes a group member performing work —</w:t>
      </w:r>
    </w:p>
    <w:p>
      <w:pPr>
        <w:pStyle w:val="nzIndenti"/>
      </w:pPr>
      <w:r>
        <w:tab/>
        <w:t>(i)</w:t>
      </w:r>
      <w:r>
        <w:tab/>
        <w:t>at a workplace; or</w:t>
      </w:r>
    </w:p>
    <w:p>
      <w:pPr>
        <w:pStyle w:val="nzIndenti"/>
      </w:pPr>
      <w:r>
        <w:tab/>
        <w:t>(ii)</w:t>
      </w:r>
      <w:r>
        <w:tab/>
        <w:t>involving the plant, substance or thing,</w:t>
      </w:r>
    </w:p>
    <w:p>
      <w:pPr>
        <w:pStyle w:val="nzIndenta"/>
      </w:pPr>
      <w:r>
        <w:tab/>
      </w:r>
      <w:r>
        <w:tab/>
        <w:t>to which the direction relates — that representative,</w:t>
      </w:r>
    </w:p>
    <w:p>
      <w:pPr>
        <w:pStyle w:val="nzSubsection"/>
      </w:pPr>
      <w:r>
        <w:tab/>
      </w:r>
      <w:r>
        <w:tab/>
        <w:t>of the direction and the reasons for giving it.</w:t>
      </w:r>
    </w:p>
    <w:p>
      <w:pPr>
        <w:pStyle w:val="nzSubsection"/>
      </w:pPr>
      <w:r>
        <w:tab/>
        <w:t>(7)</w:t>
      </w:r>
      <w:r>
        <w:tab/>
        <w:t>The operator of a petroleum operation to which a direction concerning a workplace, plant, substance or a thing relates must ensure that the direction is complied with.</w:t>
      </w:r>
    </w:p>
    <w:p>
      <w:pPr>
        <w:pStyle w:val="nzPenstart"/>
      </w:pPr>
      <w:r>
        <w:tab/>
        <w:t>Penalty:</w:t>
      </w:r>
      <w:r>
        <w:tab/>
        <w:t>$27 500.</w:t>
      </w:r>
    </w:p>
    <w:p>
      <w:pPr>
        <w:pStyle w:val="nzSubsection"/>
      </w:pPr>
      <w:r>
        <w:tab/>
        <w:t>(8)</w:t>
      </w:r>
      <w:r>
        <w:tab/>
        <w:t>A direction under subclause (2) must be accompanied by a statement setting out the reasons for the direction.</w:t>
      </w:r>
    </w:p>
    <w:p>
      <w:pPr>
        <w:pStyle w:val="nzHeading5"/>
      </w:pPr>
      <w:r>
        <w:t>58.</w:t>
      </w:r>
      <w:r>
        <w:rPr>
          <w:b w:val="0"/>
        </w:rPr>
        <w:tab/>
      </w:r>
      <w:r>
        <w:t>Power to issue prohibition notices</w:t>
      </w:r>
    </w:p>
    <w:p>
      <w:pPr>
        <w:pStyle w:val="nzSubsection"/>
      </w:pPr>
      <w:r>
        <w:tab/>
        <w:t>(1)</w:t>
      </w:r>
      <w:r>
        <w:tab/>
        <w:t>If, having conducted an inspection, an inspector is satisfied on reasonable grounds that it is reasonably necessary to issue a prohibition notice to the operator of a petroleum operation in order to remove an immediate threat to the safety or health of any person, the inspector may issue a prohibition notice, in writing, to the operator.</w:t>
      </w:r>
    </w:p>
    <w:p>
      <w:pPr>
        <w:pStyle w:val="nzSubsection"/>
      </w:pPr>
      <w:r>
        <w:tab/>
        <w:t>(2)</w:t>
      </w:r>
      <w:r>
        <w:tab/>
        <w:t>The notice must be issued to the operator by giving it to the operator’s representative.</w:t>
      </w:r>
    </w:p>
    <w:p>
      <w:pPr>
        <w:pStyle w:val="nzSubsection"/>
      </w:pPr>
      <w:r>
        <w:tab/>
        <w:t>(3)</w:t>
      </w:r>
      <w:r>
        <w:tab/>
        <w:t>The notice must —</w:t>
      </w:r>
    </w:p>
    <w:p>
      <w:pPr>
        <w:pStyle w:val="nzIndenta"/>
      </w:pPr>
      <w:r>
        <w:tab/>
        <w:t>(a)</w:t>
      </w:r>
      <w:r>
        <w:tab/>
        <w:t>specify the activity in respect of which, in the inspector’s opinion, the threat to safety or health has arisen, and set out the reasons for that opinion; and</w:t>
      </w:r>
    </w:p>
    <w:p>
      <w:pPr>
        <w:pStyle w:val="nzIndenta"/>
      </w:pPr>
      <w:r>
        <w:tab/>
        <w:t>(b)</w:t>
      </w:r>
      <w:r>
        <w:tab/>
        <w:t>either —</w:t>
      </w:r>
    </w:p>
    <w:p>
      <w:pPr>
        <w:pStyle w:val="nzIndenti"/>
      </w:pPr>
      <w:r>
        <w:tab/>
        <w:t>(i)</w:t>
      </w:r>
      <w:r>
        <w:tab/>
        <w:t>direct the operator to ensure that the activity is not engaged in; or</w:t>
      </w:r>
    </w:p>
    <w:p>
      <w:pPr>
        <w:pStyle w:val="nzIndenti"/>
      </w:pPr>
      <w:r>
        <w:tab/>
        <w:t>(ii)</w:t>
      </w:r>
      <w:r>
        <w:tab/>
        <w:t>direct the operator to ensure that the activity is not engaged in in a specified manner.</w:t>
      </w:r>
    </w:p>
    <w:p>
      <w:pPr>
        <w:pStyle w:val="nzSubsection"/>
      </w:pPr>
      <w:r>
        <w:tab/>
        <w:t>(4)</w:t>
      </w:r>
      <w:r>
        <w:tab/>
        <w:t>A specified manner may relate to any one or more of the following —</w:t>
      </w:r>
    </w:p>
    <w:p>
      <w:pPr>
        <w:pStyle w:val="nzIndenta"/>
      </w:pPr>
      <w:r>
        <w:tab/>
        <w:t>(a)</w:t>
      </w:r>
      <w:r>
        <w:tab/>
        <w:t>any workplace, or part of a workplace, at which the activity is not to be engaged in;</w:t>
      </w:r>
    </w:p>
    <w:p>
      <w:pPr>
        <w:pStyle w:val="nzIndenta"/>
      </w:pPr>
      <w:r>
        <w:tab/>
        <w:t>(b)</w:t>
      </w:r>
      <w:r>
        <w:tab/>
        <w:t>any plant or substance that is not to be used in connection with the activity;</w:t>
      </w:r>
    </w:p>
    <w:p>
      <w:pPr>
        <w:pStyle w:val="nzIndenta"/>
      </w:pPr>
      <w:r>
        <w:tab/>
        <w:t>(c)</w:t>
      </w:r>
      <w:r>
        <w:tab/>
        <w:t>any procedure that is not to be followed in connection with the activity.</w:t>
      </w:r>
    </w:p>
    <w:p>
      <w:pPr>
        <w:pStyle w:val="nzSubsection"/>
      </w:pPr>
      <w:r>
        <w:tab/>
        <w:t>(5)</w:t>
      </w:r>
      <w:r>
        <w:tab/>
        <w:t>The notice may specify action that may be taken to satisfy an inspector that adequate action has been taken to remove the threat to safety and health.</w:t>
      </w:r>
    </w:p>
    <w:p>
      <w:pPr>
        <w:pStyle w:val="nzSubsection"/>
      </w:pPr>
      <w:r>
        <w:tab/>
        <w:t>(6)</w:t>
      </w:r>
      <w:r>
        <w:tab/>
        <w:t>The operator’s representative must —</w:t>
      </w:r>
    </w:p>
    <w:p>
      <w:pPr>
        <w:pStyle w:val="nzIndenta"/>
      </w:pPr>
      <w:r>
        <w:tab/>
        <w:t>(a)</w:t>
      </w:r>
      <w:r>
        <w:tab/>
        <w:t>give a copy of the notice to each safety and health representative (if any) for any designated work group having group members performing work that is affected by the notice; and</w:t>
      </w:r>
    </w:p>
    <w:p>
      <w:pPr>
        <w:pStyle w:val="nzIndenta"/>
      </w:pPr>
      <w:r>
        <w:tab/>
        <w:t>(b)</w:t>
      </w:r>
      <w:r>
        <w:tab/>
        <w:t>cause a copy of the notice to be displayed at a prominent place at or near each workplace at which that work is performed.</w:t>
      </w:r>
    </w:p>
    <w:p>
      <w:pPr>
        <w:pStyle w:val="nzSubsection"/>
      </w:pPr>
      <w:r>
        <w:tab/>
        <w:t>(7)</w:t>
      </w:r>
      <w:r>
        <w:tab/>
        <w:t>If the notice relates to any workplace, plant, substance or thing that is owned by a person other than the operator, the inspector must, upon issuing the notice, give a copy of the notice to that person.</w:t>
      </w:r>
    </w:p>
    <w:p>
      <w:pPr>
        <w:pStyle w:val="nzHeading5"/>
      </w:pPr>
      <w:r>
        <w:t>59.</w:t>
      </w:r>
      <w:r>
        <w:rPr>
          <w:b w:val="0"/>
        </w:rPr>
        <w:tab/>
      </w:r>
      <w:r>
        <w:t>Compliance with prohibition notice</w:t>
      </w:r>
    </w:p>
    <w:p>
      <w:pPr>
        <w:pStyle w:val="nzSubsection"/>
      </w:pPr>
      <w:r>
        <w:tab/>
        <w:t>(1)</w:t>
      </w:r>
      <w:r>
        <w:tab/>
        <w:t>An operator must ensure that a prohibition notice issued to the operator is complied with.</w:t>
      </w:r>
    </w:p>
    <w:p>
      <w:pPr>
        <w:pStyle w:val="nzPenstart"/>
      </w:pPr>
      <w:r>
        <w:tab/>
        <w:t>Penalty:</w:t>
      </w:r>
      <w:r>
        <w:tab/>
        <w:t>$27 500.</w:t>
      </w:r>
    </w:p>
    <w:p>
      <w:pPr>
        <w:pStyle w:val="nz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nzSubsection"/>
      </w:pPr>
      <w:r>
        <w:tab/>
        <w:t>(3)</w:t>
      </w:r>
      <w:r>
        <w:tab/>
        <w:t>A prohibition notice ceases to have effect when an inspector notifies the operator that the inspector is satisfied that the operator has taken adequate action to remove the threat to safety or health.</w:t>
      </w:r>
    </w:p>
    <w:p>
      <w:pPr>
        <w:pStyle w:val="nzSubsection"/>
      </w:pPr>
      <w:r>
        <w:tab/>
        <w:t>(4)</w:t>
      </w:r>
      <w:r>
        <w:tab/>
        <w:t>In making a decision under subclause (2), an inspector may exercise any of the powers of an inspector conducting an inspection that the inspector considers necessary for the purposes of making the decision.</w:t>
      </w:r>
    </w:p>
    <w:p>
      <w:pPr>
        <w:pStyle w:val="nzHeading5"/>
      </w:pPr>
      <w:r>
        <w:t>60.</w:t>
      </w:r>
      <w:r>
        <w:rPr>
          <w:b w:val="0"/>
        </w:rPr>
        <w:tab/>
      </w:r>
      <w:r>
        <w:t>Power to issue improvement notices</w:t>
      </w:r>
    </w:p>
    <w:p>
      <w:pPr>
        <w:pStyle w:val="nzSubsection"/>
      </w:pPr>
      <w:r>
        <w:tab/>
        <w:t>(1)</w:t>
      </w:r>
      <w:r>
        <w:tab/>
        <w:t>If, in conducting an inspection, an inspector believes on reasonable grounds that a person —</w:t>
      </w:r>
    </w:p>
    <w:p>
      <w:pPr>
        <w:pStyle w:val="nzIndenta"/>
      </w:pPr>
      <w:r>
        <w:tab/>
        <w:t>(a)</w:t>
      </w:r>
      <w:r>
        <w:tab/>
        <w:t>is contravening a listed OSH law; or</w:t>
      </w:r>
    </w:p>
    <w:p>
      <w:pPr>
        <w:pStyle w:val="nzIndenta"/>
      </w:pPr>
      <w:r>
        <w:tab/>
        <w:t>(b)</w:t>
      </w:r>
      <w:r>
        <w:tab/>
        <w:t>has contravened a provision of a listed OSH law and is likely to contravene that provision again,</w:t>
      </w:r>
    </w:p>
    <w:p>
      <w:pPr>
        <w:pStyle w:val="nzSubsection"/>
      </w:pPr>
      <w:r>
        <w:tab/>
      </w:r>
      <w:r>
        <w:tab/>
        <w:t xml:space="preserve">the inspector may issue an improvement notice, in writing, to the person (the </w:t>
      </w:r>
      <w:r>
        <w:rPr>
          <w:b/>
        </w:rPr>
        <w:t>“</w:t>
      </w:r>
      <w:r>
        <w:rPr>
          <w:rStyle w:val="CharDefText"/>
        </w:rPr>
        <w:t>responsible person</w:t>
      </w:r>
      <w:r>
        <w:rPr>
          <w:b/>
        </w:rPr>
        <w:t>”</w:t>
      </w:r>
      <w:r>
        <w:t>).</w:t>
      </w:r>
    </w:p>
    <w:p>
      <w:pPr>
        <w:pStyle w:val="nzSubsection"/>
      </w:pPr>
      <w:r>
        <w:tab/>
        <w:t>(2)</w:t>
      </w:r>
      <w:r>
        <w:tab/>
        <w:t>If the responsible person is the operator, the improvement notice may be issued to the operator by giving it to the operator’s representative.</w:t>
      </w:r>
    </w:p>
    <w:p>
      <w:pPr>
        <w:pStyle w:val="nzSubsection"/>
      </w:pPr>
      <w:r>
        <w:tab/>
        <w:t>(3)</w:t>
      </w:r>
      <w:r>
        <w:tab/>
        <w:t>If the responsible person is an employer (other than the operator) of members of the workforce, but it is not practicable to give the notice to that employer —</w:t>
      </w:r>
    </w:p>
    <w:p>
      <w:pPr>
        <w:pStyle w:val="nzIndenta"/>
      </w:pPr>
      <w:r>
        <w:tab/>
        <w:t>(a)</w:t>
      </w:r>
      <w:r>
        <w:tab/>
        <w:t>the improvement notice may be issued to the employer by giving it to the operator’s representative; and</w:t>
      </w:r>
    </w:p>
    <w:p>
      <w:pPr>
        <w:pStyle w:val="nzIndenta"/>
      </w:pPr>
      <w:r>
        <w:tab/>
        <w:t>(b)</w:t>
      </w:r>
      <w:r>
        <w:tab/>
        <w:t>if the notice is so issued — the operator must ensure that a copy of the notice is given to the employer as soon as practicable afterwards.</w:t>
      </w:r>
    </w:p>
    <w:p>
      <w:pPr>
        <w:pStyle w:val="nzSubsection"/>
      </w:pPr>
      <w:r>
        <w:tab/>
        <w:t>(4)</w:t>
      </w:r>
      <w:r>
        <w:tab/>
        <w:t>The notice —</w:t>
      </w:r>
    </w:p>
    <w:p>
      <w:pPr>
        <w:pStyle w:val="nzIndenta"/>
      </w:pPr>
      <w:r>
        <w:tab/>
        <w:t>(a)</w:t>
      </w:r>
      <w:r>
        <w:tab/>
        <w:t>must specify the contravention that the inspector believes is occurring or is likely to occur, and set out the reasons for that belief;</w:t>
      </w:r>
    </w:p>
    <w:p>
      <w:pPr>
        <w:pStyle w:val="nzIndenta"/>
      </w:pPr>
      <w:r>
        <w:tab/>
        <w:t>(b)</w:t>
      </w:r>
      <w:r>
        <w:tab/>
        <w:t>must specify a reasonable period within which the responsible person is to take the action necessary to prevent any further contravention or to prevent the likely contravention, as the case may be; and</w:t>
      </w:r>
    </w:p>
    <w:p>
      <w:pPr>
        <w:pStyle w:val="nzIndenta"/>
      </w:pPr>
      <w:r>
        <w:tab/>
        <w:t>(c)</w:t>
      </w:r>
      <w:r>
        <w:tab/>
        <w:t>may specify action that the responsible person is to take during the period specified in the notice.</w:t>
      </w:r>
    </w:p>
    <w:p>
      <w:pPr>
        <w:pStyle w:val="nzSubsection"/>
      </w:pPr>
      <w:r>
        <w:tab/>
        <w:t>(5)</w:t>
      </w:r>
      <w:r>
        <w:tab/>
        <w:t>If the inspector believes on reasonable grounds that it is appropriate to do so, the inspector may, in writing and before the end of the period, extend the period specified in the notice.</w:t>
      </w:r>
    </w:p>
    <w:p>
      <w:pPr>
        <w:pStyle w:val="nz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nzSubsection"/>
      </w:pPr>
      <w:r>
        <w:tab/>
        <w:t>(7)</w:t>
      </w:r>
      <w:r>
        <w:tab/>
        <w:t>If a notice is issued to the operator or to an employer (other than the operator) of members of the workforce, the operator’s representative must —</w:t>
      </w:r>
    </w:p>
    <w:p>
      <w:pPr>
        <w:pStyle w:val="nzIndenta"/>
      </w:pPr>
      <w:r>
        <w:tab/>
        <w:t>(a)</w:t>
      </w:r>
      <w:r>
        <w:tab/>
        <w:t>give a copy of the notice to each safety and health representative for a designated work group having group members performing work that is affected by the notice; and</w:t>
      </w:r>
    </w:p>
    <w:p>
      <w:pPr>
        <w:pStyle w:val="nzIndenta"/>
      </w:pPr>
      <w:r>
        <w:tab/>
        <w:t>(b)</w:t>
      </w:r>
      <w:r>
        <w:tab/>
        <w:t>cause a copy of the notice to be displayed in a prominent place at or near each workplace at which the work is being performed.</w:t>
      </w:r>
    </w:p>
    <w:p>
      <w:pPr>
        <w:pStyle w:val="nzSubsection"/>
      </w:pPr>
      <w:r>
        <w:tab/>
        <w:t>(8)</w:t>
      </w:r>
      <w:r>
        <w:tab/>
        <w:t>On issuing a notice, the inspector must give a copy of the notice to —</w:t>
      </w:r>
    </w:p>
    <w:p>
      <w:pPr>
        <w:pStyle w:val="nzIndenta"/>
      </w:pPr>
      <w:r>
        <w:tab/>
        <w:t>(a)</w:t>
      </w:r>
      <w:r>
        <w:tab/>
        <w:t>if the notice is —</w:t>
      </w:r>
    </w:p>
    <w:p>
      <w:pPr>
        <w:pStyle w:val="nzIndenti"/>
      </w:pPr>
      <w:r>
        <w:tab/>
        <w:t>(i)</w:t>
      </w:r>
      <w:r>
        <w:tab/>
        <w:t>given to a member of the workforce who is an employee; and</w:t>
      </w:r>
    </w:p>
    <w:p>
      <w:pPr>
        <w:pStyle w:val="nzIndenti"/>
      </w:pPr>
      <w:r>
        <w:tab/>
        <w:t>(ii)</w:t>
      </w:r>
      <w:r>
        <w:tab/>
        <w:t>in connection with work performed by the employee,</w:t>
      </w:r>
    </w:p>
    <w:p>
      <w:pPr>
        <w:pStyle w:val="nzIndenta"/>
      </w:pPr>
      <w:r>
        <w:tab/>
      </w:r>
      <w:r>
        <w:tab/>
        <w:t>the employer of that employee;</w:t>
      </w:r>
    </w:p>
    <w:p>
      <w:pPr>
        <w:pStyle w:val="nzIndenta"/>
      </w:pPr>
      <w:r>
        <w:tab/>
        <w:t>(b)</w:t>
      </w:r>
      <w:r>
        <w:tab/>
        <w:t>if the notice relates to any workplace, plant, substance or thing that is owned by a person other than —</w:t>
      </w:r>
    </w:p>
    <w:p>
      <w:pPr>
        <w:pStyle w:val="nzIndenti"/>
      </w:pPr>
      <w:r>
        <w:tab/>
        <w:t>(i)</w:t>
      </w:r>
      <w:r>
        <w:tab/>
        <w:t>a responsible person; or</w:t>
      </w:r>
    </w:p>
    <w:p>
      <w:pPr>
        <w:pStyle w:val="nzIndenti"/>
      </w:pPr>
      <w:r>
        <w:tab/>
        <w:t>(ii)</w:t>
      </w:r>
      <w:r>
        <w:tab/>
        <w:t>a person who is an employer referred to in paragraph (a),</w:t>
      </w:r>
    </w:p>
    <w:p>
      <w:pPr>
        <w:pStyle w:val="nzIndenta"/>
      </w:pPr>
      <w:r>
        <w:tab/>
      </w:r>
      <w:r>
        <w:tab/>
        <w:t>that owner; and</w:t>
      </w:r>
    </w:p>
    <w:p>
      <w:pPr>
        <w:pStyle w:val="nzIndenta"/>
      </w:pPr>
      <w:r>
        <w:tab/>
        <w:t>(c)</w:t>
      </w:r>
      <w:r>
        <w:tab/>
        <w:t>if the notice is issued to a person who owns any workplace, plant, substance or thing, because of which a contravention of a listed OSH law has occurred or is likely to occur —</w:t>
      </w:r>
    </w:p>
    <w:p>
      <w:pPr>
        <w:pStyle w:val="nzIndenti"/>
      </w:pPr>
      <w:r>
        <w:tab/>
        <w:t>(i)</w:t>
      </w:r>
      <w:r>
        <w:tab/>
        <w:t>the operator of the petroleum operation; and</w:t>
      </w:r>
    </w:p>
    <w:p>
      <w:pPr>
        <w:pStyle w:val="nzIndenti"/>
      </w:pPr>
      <w:r>
        <w:tab/>
        <w:t>(ii)</w:t>
      </w:r>
      <w:r>
        <w:tab/>
        <w:t>if the employer of employees who work in that workplace or who use that plant, substance or thing is a person other than the operator — that employer.</w:t>
      </w:r>
    </w:p>
    <w:p>
      <w:pPr>
        <w:pStyle w:val="nzHeading5"/>
      </w:pPr>
      <w:r>
        <w:t>61.</w:t>
      </w:r>
      <w:r>
        <w:rPr>
          <w:b w:val="0"/>
        </w:rPr>
        <w:tab/>
      </w:r>
      <w:r>
        <w:t>Compliance with improvement notice</w:t>
      </w:r>
    </w:p>
    <w:p>
      <w:pPr>
        <w:pStyle w:val="nzSubsection"/>
      </w:pPr>
      <w:r>
        <w:tab/>
      </w:r>
      <w:r>
        <w:tab/>
        <w:t>A person to whom an improvement notice is issued must comply with it to the extent that the notice relates to any matter over which the person has control.</w:t>
      </w:r>
    </w:p>
    <w:p>
      <w:pPr>
        <w:pStyle w:val="nzPenstart"/>
      </w:pPr>
      <w:r>
        <w:tab/>
        <w:t>Penalty:</w:t>
      </w:r>
      <w:r>
        <w:tab/>
        <w:t>$11 000.</w:t>
      </w:r>
    </w:p>
    <w:p>
      <w:pPr>
        <w:pStyle w:val="nzHeading5"/>
      </w:pPr>
      <w:r>
        <w:t>62.</w:t>
      </w:r>
      <w:r>
        <w:rPr>
          <w:b w:val="0"/>
        </w:rPr>
        <w:tab/>
      </w:r>
      <w:r>
        <w:t>Notices not to be tampered with or removed</w:t>
      </w:r>
    </w:p>
    <w:p>
      <w:pPr>
        <w:pStyle w:val="nzSubsection"/>
      </w:pPr>
      <w:r>
        <w:tab/>
        <w:t>(1)</w:t>
      </w:r>
      <w:r>
        <w:tab/>
        <w:t>A person must not, without reasonable excuse, tamper with any notice that has been displayed under clause 56(3), 57(5), 58(6) or 60(7) while that notice is so displayed.</w:t>
      </w:r>
    </w:p>
    <w:p>
      <w:pPr>
        <w:pStyle w:val="nz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nzSubsection"/>
      </w:pPr>
      <w:r>
        <w:tab/>
        <w:t>(3)</w:t>
      </w:r>
      <w:r>
        <w:tab/>
        <w:t>If a notice has been displayed under clause 57(5), 58(6) or 60(7), a person must not, without reasonable excuse, remove the notice before it has ceased to have effect.</w:t>
      </w:r>
    </w:p>
    <w:p>
      <w:pPr>
        <w:pStyle w:val="nzPenstart"/>
      </w:pPr>
      <w:r>
        <w:tab/>
        <w:t>Penalty applicable to subclauses (1), (2) and (3): $11 000.</w:t>
      </w:r>
    </w:p>
    <w:p>
      <w:pPr>
        <w:pStyle w:val="nzHeading4"/>
        <w:outlineLvl w:val="0"/>
      </w:pPr>
      <w:bookmarkStart w:id="1095" w:name="_Toc112746343"/>
      <w:bookmarkStart w:id="1096" w:name="_Toc112746468"/>
      <w:r>
        <w:t>Subdivision </w:t>
      </w:r>
      <w:r>
        <w:rPr>
          <w:bCs/>
        </w:rPr>
        <w:t>4 — Reports</w:t>
      </w:r>
      <w:r>
        <w:t xml:space="preserve"> on inspections</w:t>
      </w:r>
      <w:bookmarkEnd w:id="1095"/>
      <w:bookmarkEnd w:id="1096"/>
    </w:p>
    <w:p>
      <w:pPr>
        <w:pStyle w:val="nzHeading5"/>
      </w:pPr>
      <w:r>
        <w:t>63.</w:t>
      </w:r>
      <w:r>
        <w:rPr>
          <w:b w:val="0"/>
        </w:rPr>
        <w:tab/>
      </w:r>
      <w:r>
        <w:t>Reports on inspections</w:t>
      </w:r>
    </w:p>
    <w:p>
      <w:pPr>
        <w:pStyle w:val="nzSubsection"/>
      </w:pPr>
      <w:r>
        <w:tab/>
        <w:t>(1)</w:t>
      </w:r>
      <w:r>
        <w:tab/>
        <w:t>If an inspector has conducted an inspection, the inspector must, as soon as practicable, prepare a written report relating to the inspection and give the report to the Minister.</w:t>
      </w:r>
    </w:p>
    <w:p>
      <w:pPr>
        <w:pStyle w:val="nzSubsection"/>
      </w:pPr>
      <w:r>
        <w:tab/>
        <w:t>(2)</w:t>
      </w:r>
      <w:r>
        <w:tab/>
        <w:t>The report must include —</w:t>
      </w:r>
    </w:p>
    <w:p>
      <w:pPr>
        <w:pStyle w:val="nzIndenta"/>
      </w:pPr>
      <w:r>
        <w:tab/>
        <w:t>(a)</w:t>
      </w:r>
      <w:r>
        <w:tab/>
        <w:t>the inspector’s conclusions from conducting the inspection and the reasons for those conclusions;</w:t>
      </w:r>
    </w:p>
    <w:p>
      <w:pPr>
        <w:pStyle w:val="nzIndenta"/>
      </w:pPr>
      <w:r>
        <w:tab/>
        <w:t>(b)</w:t>
      </w:r>
      <w:r>
        <w:tab/>
        <w:t>any recommendations that the inspector wishes to make arising from the inspection; and</w:t>
      </w:r>
    </w:p>
    <w:p>
      <w:pPr>
        <w:pStyle w:val="nzIndenta"/>
      </w:pPr>
      <w:r>
        <w:tab/>
        <w:t>(c)</w:t>
      </w:r>
      <w:r>
        <w:tab/>
        <w:t>any other prescribed matters.</w:t>
      </w:r>
    </w:p>
    <w:p>
      <w:pPr>
        <w:pStyle w:val="nzSubsection"/>
      </w:pPr>
      <w:r>
        <w:tab/>
        <w:t>(3)</w:t>
      </w:r>
      <w:r>
        <w:tab/>
        <w:t>As soon as practicable after receiving the report, the Minister must give a copy of the report, together with any written comments that the Minister wishes to make —</w:t>
      </w:r>
    </w:p>
    <w:p>
      <w:pPr>
        <w:pStyle w:val="nzIndenta"/>
      </w:pPr>
      <w:r>
        <w:tab/>
        <w:t>(a)</w:t>
      </w:r>
      <w:r>
        <w:tab/>
        <w:t>to the operator of the petroleum operation to which the report relates;</w:t>
      </w:r>
    </w:p>
    <w:p>
      <w:pPr>
        <w:pStyle w:val="nzIndenta"/>
      </w:pPr>
      <w:r>
        <w:tab/>
        <w:t>(b)</w:t>
      </w:r>
      <w:r>
        <w:tab/>
        <w:t>if the report relates to activities performed by an employee of another person — that other person; and</w:t>
      </w:r>
    </w:p>
    <w:p>
      <w:pPr>
        <w:pStyle w:val="nzIndenta"/>
      </w:pPr>
      <w:r>
        <w:tab/>
        <w:t>(c)</w:t>
      </w:r>
      <w:r>
        <w:tab/>
        <w:t>if the report relates to any plant, substance or thing owned by another person — that other person.</w:t>
      </w:r>
    </w:p>
    <w:p>
      <w:pPr>
        <w:pStyle w:val="nzSubsection"/>
      </w:pPr>
      <w:r>
        <w:tab/>
        <w:t>(4)</w:t>
      </w:r>
      <w:r>
        <w:tab/>
        <w:t>The Minister may, in writing, request the operator or any other person to whom the report is given to provide to the Minister, within a reasonable period specified in the request, details of —</w:t>
      </w:r>
    </w:p>
    <w:p>
      <w:pPr>
        <w:pStyle w:val="nzIndenta"/>
      </w:pPr>
      <w:r>
        <w:tab/>
        <w:t>(a)</w:t>
      </w:r>
      <w:r>
        <w:tab/>
        <w:t>any action proposed to be taken as a result of the conclusions or recommendations contained in the report; and</w:t>
      </w:r>
    </w:p>
    <w:p>
      <w:pPr>
        <w:pStyle w:val="nzIndenta"/>
      </w:pPr>
      <w:r>
        <w:tab/>
        <w:t>(b)</w:t>
      </w:r>
      <w:r>
        <w:tab/>
        <w:t>if a notice has been issued under clause 58 or 60 in relation to work being performed for the operator or that other person — any action taken, or proposed to be taken, in respect of that notice,</w:t>
      </w:r>
    </w:p>
    <w:p>
      <w:pPr>
        <w:pStyle w:val="nzSubsection"/>
      </w:pPr>
      <w:r>
        <w:tab/>
      </w:r>
      <w:r>
        <w:tab/>
        <w:t>and the operator or that other person must comply with the request.</w:t>
      </w:r>
    </w:p>
    <w:p>
      <w:pPr>
        <w:pStyle w:val="nzSubsection"/>
      </w:pPr>
      <w:r>
        <w:tab/>
        <w:t>(5)</w:t>
      </w:r>
      <w:r>
        <w:tab/>
        <w:t>As soon as practicable after receiving a report, the operator of the petroleum operation must give a copy of the report, together with any written comment made by the Minister on the report —</w:t>
      </w:r>
    </w:p>
    <w:p>
      <w:pPr>
        <w:pStyle w:val="nzIndenta"/>
      </w:pPr>
      <w:r>
        <w:tab/>
        <w:t>(a)</w:t>
      </w:r>
      <w:r>
        <w:tab/>
        <w:t>if there is at least one safety and health committee in respect of some or all of the members of the workforce — to each such committee; and</w:t>
      </w:r>
    </w:p>
    <w:p>
      <w:pPr>
        <w:pStyle w:val="nz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nzHeading4"/>
        <w:outlineLvl w:val="0"/>
      </w:pPr>
      <w:bookmarkStart w:id="1097" w:name="_Toc112746344"/>
      <w:bookmarkStart w:id="1098" w:name="_Toc112746469"/>
      <w:r>
        <w:t>Subdivision </w:t>
      </w:r>
      <w:r>
        <w:rPr>
          <w:bCs/>
        </w:rPr>
        <w:t>5 — Reviews of inspectors’ decisions</w:t>
      </w:r>
      <w:bookmarkEnd w:id="1097"/>
      <w:bookmarkEnd w:id="1098"/>
    </w:p>
    <w:p>
      <w:pPr>
        <w:pStyle w:val="nzHeading5"/>
      </w:pPr>
      <w:r>
        <w:t>64.</w:t>
      </w:r>
      <w:r>
        <w:rPr>
          <w:b w:val="0"/>
        </w:rPr>
        <w:tab/>
      </w:r>
      <w:r>
        <w:rPr>
          <w:bCs/>
        </w:rPr>
        <w:t>Reviews of inspectors’ decisions</w:t>
      </w:r>
    </w:p>
    <w:p>
      <w:pPr>
        <w:pStyle w:val="nzSubsection"/>
      </w:pPr>
      <w:r>
        <w:tab/>
        <w:t>(1)</w:t>
      </w:r>
      <w:r>
        <w:tab/>
        <w:t>If an inspector, in conducting an inspection or having conducted an inspection —</w:t>
      </w:r>
    </w:p>
    <w:p>
      <w:pPr>
        <w:pStyle w:val="nzIndenta"/>
      </w:pPr>
      <w:r>
        <w:tab/>
        <w:t>(a)</w:t>
      </w:r>
      <w:r>
        <w:tab/>
        <w:t>decides, under clause 37, to confirm or vary a provisional improvement notice;</w:t>
      </w:r>
    </w:p>
    <w:p>
      <w:pPr>
        <w:pStyle w:val="nzIndenta"/>
      </w:pPr>
      <w:r>
        <w:tab/>
        <w:t>(b)</w:t>
      </w:r>
      <w:r>
        <w:tab/>
        <w:t>decides, under clause 56, to take possession of plant, a substance or a thing at a workplace;</w:t>
      </w:r>
    </w:p>
    <w:p>
      <w:pPr>
        <w:pStyle w:val="nzIndenta"/>
      </w:pPr>
      <w:r>
        <w:tab/>
        <w:t>(c)</w:t>
      </w:r>
      <w:r>
        <w:tab/>
        <w:t>decides, under clause 57, to direct that a workplace, a part of a workplace, plant, a substance or a thing not be disturbed;</w:t>
      </w:r>
    </w:p>
    <w:p>
      <w:pPr>
        <w:pStyle w:val="nzIndenta"/>
      </w:pPr>
      <w:r>
        <w:tab/>
        <w:t>(d)</w:t>
      </w:r>
      <w:r>
        <w:tab/>
        <w:t>decides, under clause 58, to issue a prohibition notice;</w:t>
      </w:r>
    </w:p>
    <w:p>
      <w:pPr>
        <w:pStyle w:val="nzIndenta"/>
      </w:pPr>
      <w:r>
        <w:tab/>
        <w:t>(e)</w:t>
      </w:r>
      <w:r>
        <w:tab/>
        <w:t>decides, under clause 59, that the operator of a petroleum operation to whom a prohibition notice has been issued has not taken adequate action to remove the threat to safety and health that caused the notice to be issued; or</w:t>
      </w:r>
    </w:p>
    <w:p>
      <w:pPr>
        <w:pStyle w:val="nzIndenta"/>
      </w:pPr>
      <w:r>
        <w:tab/>
        <w:t>(f)</w:t>
      </w:r>
      <w:r>
        <w:tab/>
        <w:t>decides, under clause 60, to issue an improvement notice,</w:t>
      </w:r>
    </w:p>
    <w:p>
      <w:pPr>
        <w:pStyle w:val="nzSubsection"/>
      </w:pPr>
      <w:r>
        <w:tab/>
      </w:r>
      <w:r>
        <w:tab/>
        <w:t>a person referred to in subclause (2) may apply in writing to the reviewing authority for a review of the decision.</w:t>
      </w:r>
    </w:p>
    <w:p>
      <w:pPr>
        <w:pStyle w:val="nzSubsection"/>
      </w:pPr>
      <w:r>
        <w:tab/>
        <w:t>(2)</w:t>
      </w:r>
      <w:r>
        <w:tab/>
        <w:t>The following persons may apply for a review of the decision, as is relevant to the case —</w:t>
      </w:r>
    </w:p>
    <w:p>
      <w:pPr>
        <w:pStyle w:val="nzIndenta"/>
      </w:pPr>
      <w:r>
        <w:tab/>
        <w:t>(a)</w:t>
      </w:r>
      <w:r>
        <w:tab/>
        <w:t>the operator of the petroleum operation or any employer (other than the operator) who is affected by the decision;</w:t>
      </w:r>
    </w:p>
    <w:p>
      <w:pPr>
        <w:pStyle w:val="nzIndenta"/>
      </w:pPr>
      <w:r>
        <w:tab/>
        <w:t>(b)</w:t>
      </w:r>
      <w:r>
        <w:tab/>
        <w:t>a person to whom a notice has been issued under clause 36(2) or 60(1);</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the review of the decision — that workforce representative;</w:t>
      </w:r>
    </w:p>
    <w:p>
      <w:pPr>
        <w:pStyle w:val="nzIndenta"/>
      </w:pPr>
      <w:r>
        <w:tab/>
        <w:t>(f)</w:t>
      </w:r>
      <w:r>
        <w:tab/>
        <w:t>a person who owns any workplace, plant, substance or thing to which the decision referred to in subclause (1)(a), (b), (c) or (f) relates.</w:t>
      </w:r>
    </w:p>
    <w:p>
      <w:pPr>
        <w:pStyle w:val="nzSubsection"/>
      </w:pPr>
      <w:r>
        <w:tab/>
        <w:t>(3)</w:t>
      </w:r>
      <w:r>
        <w:tab/>
        <w:t>If an inspector, having conducted an inspection —</w:t>
      </w:r>
    </w:p>
    <w:p>
      <w:pPr>
        <w:pStyle w:val="nzIndenta"/>
      </w:pPr>
      <w:r>
        <w:tab/>
        <w:t>(a)</w:t>
      </w:r>
      <w:r>
        <w:tab/>
        <w:t>decides under clause 37 to cancel a provisional improvement notice; or</w:t>
      </w:r>
    </w:p>
    <w:p>
      <w:pPr>
        <w:pStyle w:val="nzIndenta"/>
      </w:pPr>
      <w:r>
        <w:tab/>
        <w:t>(b)</w:t>
      </w:r>
      <w:r>
        <w:tab/>
        <w:t>decides under clause 59 that the operator of a petroleum operation to whom a prohibition notice has been issued has taken adequate action to remove the threat to safety and health that caused the notice to be issued,</w:t>
      </w:r>
    </w:p>
    <w:p>
      <w:pPr>
        <w:pStyle w:val="nzSubsection"/>
      </w:pPr>
      <w:r>
        <w:tab/>
      </w:r>
      <w:r>
        <w:tab/>
        <w:t>the following persons may apply in writing for a review of the decision, as is relevant in the case —</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nzSubsection"/>
      </w:pPr>
      <w:r>
        <w:tab/>
        <w:t>(4)</w:t>
      </w:r>
      <w:r>
        <w:tab/>
        <w:t>An application under subclause (2) or (3) must be made —</w:t>
      </w:r>
    </w:p>
    <w:p>
      <w:pPr>
        <w:pStyle w:val="nzIndenta"/>
      </w:pPr>
      <w:r>
        <w:tab/>
        <w:t>(a)</w:t>
      </w:r>
      <w:r>
        <w:tab/>
        <w:t>not later than 7 days after the day on which the person applying received notice of the inspector’s decision; or</w:t>
      </w:r>
    </w:p>
    <w:p>
      <w:pPr>
        <w:pStyle w:val="nzIndenta"/>
      </w:pPr>
      <w:r>
        <w:tab/>
        <w:t>(b)</w:t>
      </w:r>
      <w:r>
        <w:tab/>
        <w:t>within such further period as the reviewing authority may allow.</w:t>
      </w:r>
    </w:p>
    <w:p>
      <w:pPr>
        <w:pStyle w:val="nzSubsection"/>
      </w:pPr>
      <w:r>
        <w:tab/>
        <w:t>(5)</w:t>
      </w:r>
      <w:r>
        <w:tab/>
        <w:t>A person, other than the operator of the petroleum operation concerned, who applies for a review of a decision must, as soon as is practicable, give a copy of the application to the operator.</w:t>
      </w:r>
    </w:p>
    <w:p>
      <w:pPr>
        <w:pStyle w:val="nzPenstart"/>
      </w:pPr>
      <w:r>
        <w:tab/>
        <w:t>Penalty: $5 000.</w:t>
      </w:r>
    </w:p>
    <w:p>
      <w:pPr>
        <w:pStyle w:val="nzSubsection"/>
      </w:pPr>
      <w:r>
        <w:tab/>
        <w:t>(6)</w:t>
      </w:r>
      <w:r>
        <w:tab/>
        <w:t>The reviewing authority is to give notice in writing of the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nz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nz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nzSubsection"/>
      </w:pPr>
      <w:r>
        <w:tab/>
        <w:t>(10)</w:t>
      </w:r>
      <w:r>
        <w:tab/>
        <w:t>In this clause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65.</w:t>
      </w:r>
      <w:r>
        <w:rPr>
          <w:b w:val="0"/>
        </w:rPr>
        <w:tab/>
      </w:r>
      <w:r>
        <w:t>Powers of reviewing authority on review</w:t>
      </w:r>
    </w:p>
    <w:p>
      <w:pPr>
        <w:pStyle w:val="nzSubsection"/>
        <w:keepNext/>
      </w:pPr>
      <w:r>
        <w:tab/>
        <w:t>(1)</w:t>
      </w:r>
      <w:r>
        <w:tab/>
        <w:t>On a review of a decision under clause 64, the reviewing authority may —</w:t>
      </w:r>
    </w:p>
    <w:p>
      <w:pPr>
        <w:pStyle w:val="nzIndenta"/>
      </w:pPr>
      <w:r>
        <w:tab/>
        <w:t>(a)</w:t>
      </w:r>
      <w:r>
        <w:tab/>
        <w:t>affirm the decision;</w:t>
      </w:r>
    </w:p>
    <w:p>
      <w:pPr>
        <w:pStyle w:val="nzIndenta"/>
      </w:pPr>
      <w:r>
        <w:tab/>
        <w:t>(b)</w:t>
      </w:r>
      <w:r>
        <w:tab/>
        <w:t>affirm the decision with such modifications as the reviewing authority considers appropriate; or</w:t>
      </w:r>
    </w:p>
    <w:p>
      <w:pPr>
        <w:pStyle w:val="nzIndenta"/>
      </w:pPr>
      <w:r>
        <w:tab/>
        <w:t>(c)</w:t>
      </w:r>
      <w:r>
        <w:tab/>
        <w:t>revoke the decision and make such other decision with respect to the matter as the reviewing authority thinks fit,</w:t>
      </w:r>
    </w:p>
    <w:p>
      <w:pPr>
        <w:pStyle w:val="nzSubsection"/>
      </w:pPr>
      <w:r>
        <w:tab/>
      </w:r>
      <w:r>
        <w:tab/>
        <w:t>and the decision has effect or, as the case may be, ceases to have effect accordingly.</w:t>
      </w:r>
    </w:p>
    <w:p>
      <w:pPr>
        <w:pStyle w:val="nzSubsection"/>
      </w:pPr>
      <w:r>
        <w:tab/>
        <w:t>(2)</w:t>
      </w:r>
      <w:r>
        <w:tab/>
        <w:t>If —</w:t>
      </w:r>
    </w:p>
    <w:p>
      <w:pPr>
        <w:pStyle w:val="nzIndenta"/>
      </w:pPr>
      <w:r>
        <w:tab/>
        <w:t>(a)</w:t>
      </w:r>
      <w:r>
        <w:tab/>
        <w:t>the decision being reviewed is a decision under clause 56 to take possession of plant, a substance or a thing at a workplace; and</w:t>
      </w:r>
    </w:p>
    <w:p>
      <w:pPr>
        <w:pStyle w:val="nzIndenta"/>
      </w:pPr>
      <w:r>
        <w:tab/>
        <w:t>(b)</w:t>
      </w:r>
      <w:r>
        <w:tab/>
        <w:t>the decision is not affirmed,</w:t>
      </w:r>
    </w:p>
    <w:p>
      <w:pPr>
        <w:pStyle w:val="nzSubsection"/>
      </w:pPr>
      <w:r>
        <w:tab/>
      </w:r>
      <w:r>
        <w:tab/>
        <w:t>the inspector who made the decision must ensure that, to the extent that the decision is not affirmed, the plant, substance or thing is returned to the workplace as soon as practicable.</w:t>
      </w:r>
    </w:p>
    <w:p>
      <w:pPr>
        <w:pStyle w:val="nzHeading3"/>
        <w:outlineLvl w:val="0"/>
      </w:pPr>
      <w:bookmarkStart w:id="1099" w:name="_Toc112746345"/>
      <w:bookmarkStart w:id="1100" w:name="_Toc112746470"/>
      <w:r>
        <w:t>Division 5</w:t>
      </w:r>
      <w:r>
        <w:rPr>
          <w:b w:val="0"/>
        </w:rPr>
        <w:t> — </w:t>
      </w:r>
      <w:r>
        <w:t>Referrals to the Tribunal</w:t>
      </w:r>
      <w:bookmarkEnd w:id="1099"/>
      <w:bookmarkEnd w:id="1100"/>
    </w:p>
    <w:p>
      <w:pPr>
        <w:pStyle w:val="nzHeading5"/>
      </w:pPr>
      <w:r>
        <w:t>66.</w:t>
      </w:r>
      <w:r>
        <w:rPr>
          <w:b w:val="0"/>
        </w:rPr>
        <w:tab/>
      </w:r>
      <w:r>
        <w:rPr>
          <w:bCs/>
        </w:rPr>
        <w:t>Decision may be referred to Tribunal</w:t>
      </w:r>
    </w:p>
    <w:p>
      <w:pPr>
        <w:pStyle w:val="nzSubsection"/>
      </w:pPr>
      <w:r>
        <w:tab/>
        <w:t>(1)</w:t>
      </w:r>
      <w:r>
        <w:tab/>
        <w:t>If a person given notice of a decision under clause 21(3)(b) or 64(6) is not satisfied with the reviewing authority’s decision under that section, the person may refer the decision to the Tribunal for further review.</w:t>
      </w:r>
    </w:p>
    <w:p>
      <w:pPr>
        <w:pStyle w:val="nzSubsection"/>
      </w:pPr>
      <w:r>
        <w:tab/>
        <w:t>(2)</w:t>
      </w:r>
      <w:r>
        <w:tab/>
        <w:t>A reference under subclause (1) must be made —</w:t>
      </w:r>
    </w:p>
    <w:p>
      <w:pPr>
        <w:pStyle w:val="nzIndenta"/>
      </w:pPr>
      <w:r>
        <w:tab/>
        <w:t>(a)</w:t>
      </w:r>
      <w:r>
        <w:tab/>
        <w:t>not later than 7 days after the day on which the person received notice of the decision; or</w:t>
      </w:r>
    </w:p>
    <w:p>
      <w:pPr>
        <w:pStyle w:val="nzIndenta"/>
      </w:pPr>
      <w:r>
        <w:tab/>
        <w:t>(b)</w:t>
      </w:r>
      <w:r>
        <w:tab/>
        <w:t>within such further period as the Tribunal may allow.</w:t>
      </w:r>
    </w:p>
    <w:p>
      <w:pPr>
        <w:pStyle w:val="nzSubsection"/>
      </w:pPr>
      <w:r>
        <w:tab/>
        <w:t>(3)</w:t>
      </w:r>
      <w:r>
        <w:tab/>
        <w:t>A person, other than the operator of the petroleum operation concerned, who refers a matter for review under this clause must, as soon as is practicable, give a copy of the duly completed prescribed form to the operator.</w:t>
      </w:r>
    </w:p>
    <w:p>
      <w:pPr>
        <w:pStyle w:val="nzPenstart"/>
      </w:pPr>
      <w:r>
        <w:tab/>
        <w:t>Penalty applicable to subclause (3): $5 000.</w:t>
      </w:r>
    </w:p>
    <w:p>
      <w:pPr>
        <w:pStyle w:val="nzHeading5"/>
      </w:pPr>
      <w:r>
        <w:t>67.</w:t>
      </w:r>
      <w:r>
        <w:rPr>
          <w:b w:val="0"/>
        </w:rPr>
        <w:tab/>
      </w:r>
      <w:r>
        <w:t>Determination by Tribunal</w:t>
      </w:r>
    </w:p>
    <w:p>
      <w:pPr>
        <w:pStyle w:val="nzSubsection"/>
      </w:pPr>
      <w:r>
        <w:tab/>
        <w:t>(1)</w:t>
      </w:r>
      <w:r>
        <w:tab/>
        <w:t>On a reference under clause 66, the Tribunal is to inquire into the circumstances relating to the decision, and may —</w:t>
      </w:r>
    </w:p>
    <w:p>
      <w:pPr>
        <w:pStyle w:val="nzIndenta"/>
      </w:pPr>
      <w:r>
        <w:tab/>
        <w:t>(a)</w:t>
      </w:r>
      <w:r>
        <w:tab/>
        <w:t>affirm the decision of the reviewing authority;</w:t>
      </w:r>
    </w:p>
    <w:p>
      <w:pPr>
        <w:pStyle w:val="nzIndenta"/>
      </w:pPr>
      <w:r>
        <w:tab/>
        <w:t>(b)</w:t>
      </w:r>
      <w:r>
        <w:tab/>
        <w:t>affirm the decision of the reviewing authority with such modifications as the Tribunal considers appropriate; or</w:t>
      </w:r>
    </w:p>
    <w:p>
      <w:pPr>
        <w:pStyle w:val="nzIndenta"/>
      </w:pPr>
      <w:r>
        <w:tab/>
        <w:t>(c)</w:t>
      </w:r>
      <w:r>
        <w:tab/>
        <w:t>revoke the decision of the reviewing authority and make such other decision with respect to the notice as the Tribunal thinks fit,</w:t>
      </w:r>
    </w:p>
    <w:p>
      <w:pPr>
        <w:pStyle w:val="nzSubsection"/>
      </w:pPr>
      <w:r>
        <w:tab/>
      </w:r>
      <w:r>
        <w:tab/>
        <w:t>and the decision has effect or, as the case may be, ceases to have effect accordingly.</w:t>
      </w:r>
    </w:p>
    <w:p>
      <w:pPr>
        <w:pStyle w:val="nzSubsection"/>
      </w:pPr>
      <w:r>
        <w:tab/>
        <w:t>(2)</w:t>
      </w:r>
      <w:r>
        <w:tab/>
        <w:t>A review under this clause —</w:t>
      </w:r>
    </w:p>
    <w:p>
      <w:pPr>
        <w:pStyle w:val="nzIndenta"/>
      </w:pPr>
      <w:r>
        <w:tab/>
        <w:t>(a)</w:t>
      </w:r>
      <w:r>
        <w:tab/>
        <w:t>is to be in the nature of a rehearing; and</w:t>
      </w:r>
    </w:p>
    <w:p>
      <w:pPr>
        <w:pStyle w:val="nzIndenta"/>
      </w:pPr>
      <w:r>
        <w:tab/>
        <w:t>(b)</w:t>
      </w:r>
      <w:r>
        <w:tab/>
        <w:t>is to be completed by the Tribunal as quickly as is practicable.</w:t>
      </w:r>
    </w:p>
    <w:p>
      <w:pPr>
        <w:pStyle w:val="nzSubsection"/>
      </w:pPr>
      <w:r>
        <w:tab/>
        <w:t>(3)</w:t>
      </w:r>
      <w:r>
        <w:tab/>
        <w:t>The Tribunal is to give notice in writing of its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Heading5"/>
      </w:pPr>
      <w:r>
        <w:t>68.</w:t>
      </w:r>
      <w:r>
        <w:rPr>
          <w:b w:val="0"/>
        </w:rPr>
        <w:tab/>
      </w:r>
      <w:r>
        <w:t>Effect of pending review by Tribunal</w:t>
      </w:r>
    </w:p>
    <w:p>
      <w:pPr>
        <w:pStyle w:val="nz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nz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nz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nzHeading5"/>
      </w:pPr>
      <w:r>
        <w:t>69.</w:t>
      </w:r>
      <w:r>
        <w:rPr>
          <w:b w:val="0"/>
        </w:rPr>
        <w:tab/>
      </w:r>
      <w:r>
        <w:t>Jurisdiction of Tribunal</w:t>
      </w:r>
    </w:p>
    <w:p>
      <w:pPr>
        <w:pStyle w:val="nzSubsection"/>
      </w:pPr>
      <w:r>
        <w:tab/>
        <w:t>(1)</w:t>
      </w:r>
      <w:r>
        <w:tab/>
        <w:t>This clause applies where —</w:t>
      </w:r>
    </w:p>
    <w:p>
      <w:pPr>
        <w:pStyle w:val="nzIndenta"/>
      </w:pPr>
      <w:r>
        <w:tab/>
        <w:t>(a)</w:t>
      </w:r>
      <w:r>
        <w:tab/>
        <w:t>under clause 66 a matter is referred to the Tribunal; or</w:t>
      </w:r>
    </w:p>
    <w:p>
      <w:pPr>
        <w:pStyle w:val="nzIndenta"/>
      </w:pPr>
      <w:r>
        <w:tab/>
        <w:t>(b)</w:t>
      </w:r>
      <w:r>
        <w:tab/>
        <w:t>under clause 30 an application is made to the Tribunal.</w:t>
      </w:r>
    </w:p>
    <w:p>
      <w:pPr>
        <w:pStyle w:val="nzSubsection"/>
      </w:pPr>
      <w:r>
        <w:tab/>
        <w:t>(2)</w:t>
      </w:r>
      <w:r>
        <w:tab/>
        <w:t>Where this clause applies —</w:t>
      </w:r>
    </w:p>
    <w:p>
      <w:pPr>
        <w:pStyle w:val="nzIndenta"/>
      </w:pPr>
      <w:r>
        <w:tab/>
        <w:t>(a)</w:t>
      </w:r>
      <w:r>
        <w:tab/>
        <w:t>the matter or application may be heard and determined; and</w:t>
      </w:r>
    </w:p>
    <w:p>
      <w:pPr>
        <w:pStyle w:val="nzIndenta"/>
        <w:keepNext/>
      </w:pPr>
      <w:r>
        <w:tab/>
        <w:t>(b)</w:t>
      </w:r>
      <w:r>
        <w:tab/>
        <w:t>a determination made by the Tribunal on the matter or application has effect, and may be appealed against and enforced,</w:t>
      </w:r>
    </w:p>
    <w:p>
      <w:pPr>
        <w:pStyle w:val="nzSubsection"/>
      </w:pPr>
      <w:r>
        <w:tab/>
      </w:r>
      <w:r>
        <w:tab/>
        <w:t>as if it were —</w:t>
      </w:r>
    </w:p>
    <w:p>
      <w:pPr>
        <w:pStyle w:val="nzIndenta"/>
      </w:pPr>
      <w:r>
        <w:tab/>
        <w:t>(c)</w:t>
      </w:r>
      <w:r>
        <w:tab/>
        <w:t xml:space="preserve">a matter in respect of which jurisdiction is conferred on the Tribunal by Part VIB of the </w:t>
      </w:r>
      <w:r>
        <w:rPr>
          <w:i/>
        </w:rPr>
        <w:t>Occupational Safety and Health Act 1984</w:t>
      </w:r>
      <w:r>
        <w:t>; or</w:t>
      </w:r>
    </w:p>
    <w:p>
      <w:pPr>
        <w:pStyle w:val="nzIndenta"/>
      </w:pPr>
      <w:r>
        <w:tab/>
        <w:t>(d)</w:t>
      </w:r>
      <w:r>
        <w:tab/>
        <w:t>a determination made for the purposes of that Part.</w:t>
      </w:r>
    </w:p>
    <w:p>
      <w:pPr>
        <w:pStyle w:val="nzSubsection"/>
      </w:pPr>
      <w:r>
        <w:tab/>
        <w:t>(3)</w:t>
      </w:r>
      <w:r>
        <w:tab/>
        <w:t>The provisions of —</w:t>
      </w:r>
    </w:p>
    <w:p>
      <w:pPr>
        <w:pStyle w:val="nzIndenta"/>
      </w:pPr>
      <w:r>
        <w:tab/>
        <w:t>(a)</w:t>
      </w:r>
      <w:r>
        <w:tab/>
        <w:t xml:space="preserve">Part VIB of the </w:t>
      </w:r>
      <w:r>
        <w:rPr>
          <w:i/>
        </w:rPr>
        <w:t>Occupational Safety and Health Act 1984</w:t>
      </w:r>
      <w:r>
        <w:t>; and</w:t>
      </w:r>
    </w:p>
    <w:p>
      <w:pPr>
        <w:pStyle w:val="nzIndenta"/>
      </w:pPr>
      <w:r>
        <w:tab/>
        <w:t>(b)</w:t>
      </w:r>
      <w:r>
        <w:tab/>
        <w:t xml:space="preserve">the </w:t>
      </w:r>
      <w:r>
        <w:rPr>
          <w:i/>
        </w:rPr>
        <w:t>Industrial Relations Act 1979</w:t>
      </w:r>
      <w:r>
        <w:t xml:space="preserve"> applied by that Part,</w:t>
      </w:r>
    </w:p>
    <w:p>
      <w:pPr>
        <w:pStyle w:val="nzSubsection"/>
      </w:pPr>
      <w:r>
        <w:tab/>
      </w:r>
      <w:r>
        <w:tab/>
        <w:t>have effect for the purposes of this clause with all necessary changes.</w:t>
      </w:r>
    </w:p>
    <w:p>
      <w:pPr>
        <w:pStyle w:val="nz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nzHeading3"/>
        <w:outlineLvl w:val="0"/>
      </w:pPr>
      <w:bookmarkStart w:id="1101" w:name="_Toc112746346"/>
      <w:bookmarkStart w:id="1102" w:name="_Toc112746471"/>
      <w:r>
        <w:t>Division 6</w:t>
      </w:r>
      <w:r>
        <w:rPr>
          <w:b w:val="0"/>
        </w:rPr>
        <w:t> — </w:t>
      </w:r>
      <w:r>
        <w:t>General</w:t>
      </w:r>
      <w:bookmarkEnd w:id="1101"/>
      <w:bookmarkEnd w:id="1102"/>
    </w:p>
    <w:p>
      <w:pPr>
        <w:pStyle w:val="nzHeading5"/>
      </w:pPr>
      <w:r>
        <w:t>70.</w:t>
      </w:r>
      <w:r>
        <w:rPr>
          <w:b w:val="0"/>
        </w:rPr>
        <w:tab/>
      </w:r>
      <w:r>
        <w:t>Notifying and reporting accidents and dangerous occurrences</w:t>
      </w:r>
    </w:p>
    <w:p>
      <w:pPr>
        <w:pStyle w:val="nzSubsection"/>
      </w:pPr>
      <w:r>
        <w:tab/>
        <w:t>(1)</w:t>
      </w:r>
      <w:r>
        <w:tab/>
        <w:t>If, arising from a petroleum operation, there is —</w:t>
      </w:r>
    </w:p>
    <w:p>
      <w:pPr>
        <w:pStyle w:val="nzIndenta"/>
      </w:pPr>
      <w:r>
        <w:tab/>
        <w:t>(a)</w:t>
      </w:r>
      <w:r>
        <w:tab/>
        <w:t>an accident that causes the death of, or serious personal injury to, any person;</w:t>
      </w:r>
    </w:p>
    <w:p>
      <w:pPr>
        <w:pStyle w:val="nzIndenta"/>
      </w:pPr>
      <w:r>
        <w:tab/>
        <w:t>(b)</w:t>
      </w:r>
      <w:r>
        <w:tab/>
        <w:t>an accident that causes a member of the workforce to be incapacitated from performing work for a period prescribed for the purposes of this paragraph; or</w:t>
      </w:r>
    </w:p>
    <w:p>
      <w:pPr>
        <w:pStyle w:val="nzIndenta"/>
      </w:pPr>
      <w:r>
        <w:tab/>
        <w:t>(c)</w:t>
      </w:r>
      <w:r>
        <w:tab/>
        <w:t>a dangerous occurrence,</w:t>
      </w:r>
    </w:p>
    <w:p>
      <w:pPr>
        <w:pStyle w:val="nzSubsection"/>
      </w:pPr>
      <w:r>
        <w:tab/>
      </w:r>
      <w:r>
        <w:tab/>
        <w:t>the operator must, in accordance with the regulations, give the Minister notice of, and a report about, the accident or dangerous occurrence.</w:t>
      </w:r>
    </w:p>
    <w:p>
      <w:pPr>
        <w:pStyle w:val="nzPenstart"/>
      </w:pPr>
      <w:r>
        <w:tab/>
        <w:t>Penalty: $5 000.</w:t>
      </w:r>
    </w:p>
    <w:p>
      <w:pPr>
        <w:pStyle w:val="nzSubsection"/>
      </w:pPr>
      <w:r>
        <w:tab/>
        <w:t>(2)</w:t>
      </w:r>
      <w:r>
        <w:tab/>
        <w:t>Regulations made for the purposes of subclause (1) (other than regulations made for the purpose of subclause (1)(b)) may prescribe —</w:t>
      </w:r>
    </w:p>
    <w:p>
      <w:pPr>
        <w:pStyle w:val="nzIndenta"/>
      </w:pPr>
      <w:r>
        <w:tab/>
        <w:t>(a)</w:t>
      </w:r>
      <w:r>
        <w:tab/>
        <w:t>the time within which, and the manner in which, notice of an accident or dangerous occurrence is to be given, and the form of the notice; and</w:t>
      </w:r>
    </w:p>
    <w:p>
      <w:pPr>
        <w:pStyle w:val="nzIndenta"/>
      </w:pPr>
      <w:r>
        <w:tab/>
        <w:t>(b)</w:t>
      </w:r>
      <w:r>
        <w:tab/>
        <w:t>the time within which, and the manner in which, a report of an accident or dangerous occurrence is to be given, and the form of the report.</w:t>
      </w:r>
    </w:p>
    <w:p>
      <w:pPr>
        <w:pStyle w:val="nzSubsection"/>
      </w:pPr>
      <w:r>
        <w:tab/>
        <w:t>(3)</w:t>
      </w:r>
      <w:r>
        <w:tab/>
        <w:t>Subclause (2) does not limit regulations that may be made for the purposes of subclause (1).</w:t>
      </w:r>
    </w:p>
    <w:p>
      <w:pPr>
        <w:pStyle w:val="nzHeading5"/>
      </w:pPr>
      <w:r>
        <w:t>71.</w:t>
      </w:r>
      <w:r>
        <w:rPr>
          <w:b w:val="0"/>
        </w:rPr>
        <w:tab/>
      </w:r>
      <w:r>
        <w:t>Records of accidents and dangerous occurrences to be kept</w:t>
      </w:r>
    </w:p>
    <w:p>
      <w:pPr>
        <w:pStyle w:val="nzSubsection"/>
      </w:pPr>
      <w:r>
        <w:tab/>
        <w:t>(1)</w:t>
      </w:r>
      <w:r>
        <w:tab/>
        <w:t>The operator of a petroleum operation must maintain, in accordance with the regulations, a record of each accident or dangerous occurrence in respect of which the operator is required by clause 67 to notify the Minister.</w:t>
      </w:r>
    </w:p>
    <w:p>
      <w:pPr>
        <w:pStyle w:val="nzSubsection"/>
      </w:pPr>
      <w:r>
        <w:tab/>
        <w:t>(2)</w:t>
      </w:r>
      <w:r>
        <w:tab/>
        <w:t>Regulations made for the purposes of subclause (1) may prescribe —</w:t>
      </w:r>
    </w:p>
    <w:p>
      <w:pPr>
        <w:pStyle w:val="nzIndenta"/>
      </w:pPr>
      <w:r>
        <w:tab/>
        <w:t>(a)</w:t>
      </w:r>
      <w:r>
        <w:tab/>
        <w:t>the nature of the contents of a record maintained under this clause; and</w:t>
      </w:r>
    </w:p>
    <w:p>
      <w:pPr>
        <w:pStyle w:val="nzIndenta"/>
      </w:pPr>
      <w:r>
        <w:tab/>
        <w:t>(b)</w:t>
      </w:r>
      <w:r>
        <w:tab/>
        <w:t>the period for which the record must be retained.</w:t>
      </w:r>
    </w:p>
    <w:p>
      <w:pPr>
        <w:pStyle w:val="nzSubsection"/>
      </w:pPr>
      <w:r>
        <w:tab/>
        <w:t>(3)</w:t>
      </w:r>
      <w:r>
        <w:tab/>
        <w:t>Subclause (2) does not limit regulations that may be made for the purposes of subclause (1).</w:t>
      </w:r>
    </w:p>
    <w:p>
      <w:pPr>
        <w:pStyle w:val="nzHeading5"/>
      </w:pPr>
      <w:r>
        <w:rPr>
          <w:bCs/>
        </w:rPr>
        <w:t>72.</w:t>
      </w:r>
      <w:r>
        <w:rPr>
          <w:b w:val="0"/>
          <w:bCs/>
        </w:rPr>
        <w:tab/>
      </w:r>
      <w:r>
        <w:rPr>
          <w:bCs/>
        </w:rPr>
        <w:t>Codes</w:t>
      </w:r>
      <w:r>
        <w:t xml:space="preserve"> of practice</w:t>
      </w:r>
    </w:p>
    <w:p>
      <w:pPr>
        <w:pStyle w:val="nzSubsection"/>
      </w:pPr>
      <w:r>
        <w:tab/>
        <w:t>(1)</w:t>
      </w:r>
      <w:r>
        <w:tab/>
        <w:t>The regulations may prescribe codes of practice for the purpose of providing practical guidance to operators of petroleum operations and employers (other than operators) of members of the workforce engaged in petroleum operations.</w:t>
      </w:r>
    </w:p>
    <w:p>
      <w:pPr>
        <w:pStyle w:val="nzSubsection"/>
      </w:pPr>
      <w:r>
        <w:tab/>
        <w:t>(2)</w:t>
      </w:r>
      <w:r>
        <w:tab/>
        <w:t>A person is not liable in any civil or criminal proceedings for contravening a code of practice.</w:t>
      </w:r>
    </w:p>
    <w:p>
      <w:pPr>
        <w:pStyle w:val="nzHeading5"/>
      </w:pPr>
      <w:r>
        <w:t>73.</w:t>
      </w:r>
      <w:r>
        <w:rPr>
          <w:b w:val="0"/>
        </w:rPr>
        <w:tab/>
      </w:r>
      <w:r>
        <w:t>Use of codes of practice in proceedings</w:t>
      </w:r>
    </w:p>
    <w:p>
      <w:pPr>
        <w:pStyle w:val="nz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nzSubsection"/>
      </w:pPr>
      <w:r>
        <w:tab/>
        <w:t>(2)</w:t>
      </w:r>
      <w:r>
        <w:tab/>
        <w:t>The code of practice is admissible in evidence in those proceedings.</w:t>
      </w:r>
    </w:p>
    <w:p>
      <w:pPr>
        <w:pStyle w:val="nzSubsection"/>
      </w:pPr>
      <w:r>
        <w:tab/>
        <w:t>(3)</w:t>
      </w:r>
      <w:r>
        <w:tab/>
        <w:t>If the court is satisfied, in relation to any matter which it is necessary for the prosecution to prove in order to establish the alleged contravention, that —</w:t>
      </w:r>
    </w:p>
    <w:p>
      <w:pPr>
        <w:pStyle w:val="nzIndenta"/>
      </w:pPr>
      <w:r>
        <w:tab/>
        <w:t>(a)</w:t>
      </w:r>
      <w:r>
        <w:tab/>
        <w:t>any provision of the code of practice is relevant to that matter; and</w:t>
      </w:r>
    </w:p>
    <w:p>
      <w:pPr>
        <w:pStyle w:val="nzIndenta"/>
        <w:keepNext/>
      </w:pPr>
      <w:r>
        <w:tab/>
        <w:t>(b)</w:t>
      </w:r>
      <w:r>
        <w:tab/>
        <w:t>the person failed at any material time to comply with that provision of the code of practice,</w:t>
      </w:r>
    </w:p>
    <w:p>
      <w:pPr>
        <w:pStyle w:val="nzSubsection"/>
      </w:pPr>
      <w:r>
        <w:tab/>
      </w:r>
      <w:r>
        <w:tab/>
        <w:t>that matter is treated as proved unless the court is satisfied that in respect of that matter the person complied with that provision of the listed OSH law otherwise than by complying with the code of practice.</w:t>
      </w:r>
    </w:p>
    <w:p>
      <w:pPr>
        <w:pStyle w:val="nzHeading5"/>
      </w:pPr>
      <w:r>
        <w:t>74.</w:t>
      </w:r>
      <w:r>
        <w:rPr>
          <w:b w:val="0"/>
        </w:rPr>
        <w:tab/>
      </w:r>
      <w:r>
        <w:t>Interference etc. with equipment etc.</w:t>
      </w:r>
    </w:p>
    <w:p>
      <w:pPr>
        <w:pStyle w:val="nz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if the person knew (or ought reasonably to have known) that the equipment or device was protective equipment or a safety device.</w:t>
      </w:r>
    </w:p>
    <w:p>
      <w:pPr>
        <w:pStyle w:val="nzPenstart"/>
      </w:pPr>
      <w:r>
        <w:tab/>
        <w:t>Penalty:</w:t>
      </w:r>
      <w:r>
        <w:tab/>
        <w:t>$3 300 or imprisonment for 6 months or both.</w:t>
      </w:r>
    </w:p>
    <w:p>
      <w:pPr>
        <w:pStyle w:val="nzHeading5"/>
      </w:pPr>
      <w:r>
        <w:t>75.</w:t>
      </w:r>
      <w:r>
        <w:rPr>
          <w:b w:val="0"/>
        </w:rPr>
        <w:tab/>
      </w:r>
      <w:r>
        <w:t>No charges to be levied on members of workforce</w:t>
      </w:r>
    </w:p>
    <w:p>
      <w:pPr>
        <w:pStyle w:val="nzSubsection"/>
      </w:pPr>
      <w:r>
        <w:tab/>
      </w:r>
      <w:r>
        <w:tab/>
        <w:t>The operator of a petroleum operation or an employer (other than the operator) of members of the workforce engaged in a petroleum operation must not levy, or permit to be levied, on a member of the workforce any charge in respect of anything done or provided in accordance with a listed OSH law in order to ensure the occupational safety and health of persons engaged in the petroleum operation or any other protected persons.</w:t>
      </w:r>
    </w:p>
    <w:p>
      <w:pPr>
        <w:pStyle w:val="nzPenstart"/>
      </w:pPr>
      <w:r>
        <w:tab/>
        <w:t>Penalty:</w:t>
      </w:r>
      <w:r>
        <w:tab/>
        <w:t>$27 500.</w:t>
      </w:r>
    </w:p>
    <w:p>
      <w:pPr>
        <w:pStyle w:val="nzHeading5"/>
      </w:pPr>
      <w:r>
        <w:t>76.</w:t>
      </w:r>
      <w:r>
        <w:rPr>
          <w:b w:val="0"/>
        </w:rPr>
        <w:tab/>
      </w:r>
      <w:r>
        <w:t>Victimisation</w:t>
      </w:r>
    </w:p>
    <w:p>
      <w:pPr>
        <w:pStyle w:val="nzSubsection"/>
      </w:pPr>
      <w:r>
        <w:tab/>
        <w:t>(1)</w:t>
      </w:r>
      <w:r>
        <w:tab/>
        <w:t>An employer (whether the operator or another person) must not —</w:t>
      </w:r>
    </w:p>
    <w:p>
      <w:pPr>
        <w:pStyle w:val="nzIndenta"/>
      </w:pPr>
      <w:r>
        <w:tab/>
        <w:t>(a)</w:t>
      </w:r>
      <w:r>
        <w:tab/>
        <w:t>dismiss an employee;</w:t>
      </w:r>
    </w:p>
    <w:p>
      <w:pPr>
        <w:pStyle w:val="nzIndenta"/>
      </w:pPr>
      <w:r>
        <w:tab/>
        <w:t>(b)</w:t>
      </w:r>
      <w:r>
        <w:tab/>
        <w:t>perform an act that results in injury to an employee in his or her employment;</w:t>
      </w:r>
    </w:p>
    <w:p>
      <w:pPr>
        <w:pStyle w:val="nzIndenta"/>
      </w:pPr>
      <w:r>
        <w:tab/>
        <w:t>(c)</w:t>
      </w:r>
      <w:r>
        <w:tab/>
        <w:t>perform an act that prejudicially alters the employee’s position (whether by deducting or withholding remuneration or by any other means); or</w:t>
      </w:r>
    </w:p>
    <w:p>
      <w:pPr>
        <w:pStyle w:val="nzIndenta"/>
      </w:pPr>
      <w:r>
        <w:tab/>
        <w:t>(d)</w:t>
      </w:r>
      <w:r>
        <w:tab/>
        <w:t>threaten to do any of those things,</w:t>
      </w:r>
    </w:p>
    <w:p>
      <w:pPr>
        <w:pStyle w:val="nzSubsection"/>
      </w:pPr>
      <w:r>
        <w:tab/>
      </w:r>
      <w:r>
        <w:tab/>
        <w:t>because the employee —</w:t>
      </w:r>
    </w:p>
    <w:p>
      <w:pPr>
        <w:pStyle w:val="nzIndenta"/>
      </w:pPr>
      <w:r>
        <w:tab/>
        <w:t>(e)</w:t>
      </w:r>
      <w:r>
        <w:tab/>
        <w:t>has complained or proposes to complain about a matter concerning the safety or health of employees at work;</w:t>
      </w:r>
    </w:p>
    <w:p>
      <w:pPr>
        <w:pStyle w:val="nzIndenta"/>
      </w:pPr>
      <w:r>
        <w:tab/>
        <w:t>(f)</w:t>
      </w:r>
      <w:r>
        <w:tab/>
        <w:t>has assisted or proposes to assist, by giving information or otherwise, the conduct of an inspection; or</w:t>
      </w:r>
    </w:p>
    <w:p>
      <w:pPr>
        <w:pStyle w:val="nzIndenta"/>
      </w:pPr>
      <w:r>
        <w:tab/>
        <w:t>(g)</w:t>
      </w:r>
      <w:r>
        <w:tab/>
        <w:t>has ceased, or proposes to cease, to perform work, in accordance with a direction by a safety and health representative under clause 42(1)(b) or (3)(c), and the cessation or proposed cessation does not continue after —</w:t>
      </w:r>
    </w:p>
    <w:p>
      <w:pPr>
        <w:pStyle w:val="nzIndenti"/>
      </w:pPr>
      <w:r>
        <w:tab/>
        <w:t>(i)</w:t>
      </w:r>
      <w:r>
        <w:tab/>
        <w:t>the safety and health representative has agreed with a person supervising the work that the cessation or proposed cessation was not, or is no longer, necessary; or</w:t>
      </w:r>
    </w:p>
    <w:p>
      <w:pPr>
        <w:pStyle w:val="nzIndenti"/>
      </w:pPr>
      <w:r>
        <w:tab/>
        <w:t>(ii)</w:t>
      </w:r>
      <w:r>
        <w:tab/>
        <w:t>an inspector has, under clause 42(5), made a decision that has the effect that the employee should perform the work.</w:t>
      </w:r>
    </w:p>
    <w:p>
      <w:pPr>
        <w:pStyle w:val="nzPenstart"/>
      </w:pPr>
      <w:r>
        <w:tab/>
        <w:t>Penalty:</w:t>
      </w:r>
      <w:r>
        <w:tab/>
        <w:t>$27 500.</w:t>
      </w:r>
    </w:p>
    <w:p>
      <w:pPr>
        <w:pStyle w:val="nz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nzHeading5"/>
      </w:pPr>
      <w:r>
        <w:t>77.</w:t>
      </w:r>
      <w:r>
        <w:rPr>
          <w:b w:val="0"/>
        </w:rPr>
        <w:tab/>
      </w:r>
      <w:r>
        <w:t>Institution of prosecutions</w:t>
      </w:r>
    </w:p>
    <w:p>
      <w:pPr>
        <w:pStyle w:val="nz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nzSubsection"/>
      </w:pPr>
      <w:r>
        <w:tab/>
        <w:t>(2)</w:t>
      </w:r>
      <w:r>
        <w:tab/>
        <w:t>A safety and health representative for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safety and health representative considers that the occurrence of the act or omission constitutes an offence against a listed OSH law; and</w:t>
      </w:r>
    </w:p>
    <w:p>
      <w:pPr>
        <w:pStyle w:val="nzIndenta"/>
      </w:pPr>
      <w:r>
        <w:tab/>
        <w:t>(c)</w:t>
      </w:r>
      <w:r>
        <w:tab/>
        <w:t>proceedings in respect of the offence have not been instituted.</w:t>
      </w:r>
    </w:p>
    <w:p>
      <w:pPr>
        <w:pStyle w:val="nzSubsection"/>
      </w:pPr>
      <w:r>
        <w:tab/>
        <w:t>(3)</w:t>
      </w:r>
      <w:r>
        <w:tab/>
        <w:t>A workforce representative in relation to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workforce representative considers that the occurrence of the act or omission constitutes an offence against a listed OSH law;</w:t>
      </w:r>
    </w:p>
    <w:p>
      <w:pPr>
        <w:pStyle w:val="nzIndenta"/>
      </w:pPr>
      <w:r>
        <w:tab/>
        <w:t>(c)</w:t>
      </w:r>
      <w:r>
        <w:tab/>
        <w:t>proceedings in respect of the offence have not been instituted; and</w:t>
      </w:r>
    </w:p>
    <w:p>
      <w:pPr>
        <w:pStyle w:val="nzIndenta"/>
      </w:pPr>
      <w:r>
        <w:tab/>
        <w:t>(d)</w:t>
      </w:r>
      <w:r>
        <w:tab/>
        <w:t>a group member included in the group requests the workforce representative to request an inspector to institute the proceedings.</w:t>
      </w:r>
    </w:p>
    <w:p>
      <w:pPr>
        <w:pStyle w:val="nzSubsection"/>
      </w:pPr>
      <w:r>
        <w:tab/>
        <w:t>(4)</w:t>
      </w:r>
      <w:r>
        <w:tab/>
        <w:t>A request under subclause (2) or (3) must be in writing.</w:t>
      </w:r>
    </w:p>
    <w:p>
      <w:pPr>
        <w:pStyle w:val="nz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nzHeading5"/>
      </w:pPr>
      <w:r>
        <w:t>78.</w:t>
      </w:r>
      <w:r>
        <w:rPr>
          <w:b w:val="0"/>
        </w:rPr>
        <w:tab/>
      </w:r>
      <w:r>
        <w:t>Conduct of directors, employees and agents</w:t>
      </w:r>
    </w:p>
    <w:p>
      <w:pPr>
        <w:pStyle w:val="nzSubsection"/>
      </w:pPr>
      <w:r>
        <w:tab/>
        <w:t>(1)</w:t>
      </w:r>
      <w:r>
        <w:tab/>
        <w:t>This clause has effect for the purposes of a proceeding for an offence against a listed OSH law.</w:t>
      </w:r>
    </w:p>
    <w:p>
      <w:pPr>
        <w:pStyle w:val="nzSubsection"/>
      </w:pPr>
      <w:r>
        <w:tab/>
        <w:t>(2)</w:t>
      </w:r>
      <w:r>
        <w:tab/>
        <w:t>If it is necessary to establish the state of mind of a body corporate in relation to particular conduct, it is sufficient to show —</w:t>
      </w:r>
    </w:p>
    <w:p>
      <w:pPr>
        <w:pStyle w:val="nzIndenta"/>
      </w:pPr>
      <w:r>
        <w:tab/>
        <w:t>(a)</w:t>
      </w:r>
      <w:r>
        <w:tab/>
        <w:t>that the conduct was engaged in by a director, employee or agent of the body corporate within the scope of actual or apparent authority; and</w:t>
      </w:r>
    </w:p>
    <w:p>
      <w:pPr>
        <w:pStyle w:val="nzIndenta"/>
      </w:pPr>
      <w:r>
        <w:tab/>
        <w:t>(b)</w:t>
      </w:r>
      <w:r>
        <w:tab/>
        <w:t>that the director, employee or agent had the state of mind.</w:t>
      </w:r>
    </w:p>
    <w:p>
      <w:pPr>
        <w:pStyle w:val="nz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nzSubsection"/>
      </w:pPr>
      <w:r>
        <w:tab/>
        <w:t>(4)</w:t>
      </w:r>
      <w:r>
        <w:tab/>
        <w:t>If it is necessary to establish the state of mind of a natural person in relation to particular conduct, it is sufficient to show —</w:t>
      </w:r>
    </w:p>
    <w:p>
      <w:pPr>
        <w:pStyle w:val="nzIndenta"/>
      </w:pPr>
      <w:r>
        <w:tab/>
        <w:t>(a)</w:t>
      </w:r>
      <w:r>
        <w:tab/>
        <w:t>that the conduct was engaged in by an employee or agent of the natural person within the scope of actual or apparent authority; and</w:t>
      </w:r>
    </w:p>
    <w:p>
      <w:pPr>
        <w:pStyle w:val="nzIndenta"/>
      </w:pPr>
      <w:r>
        <w:tab/>
        <w:t>(b)</w:t>
      </w:r>
      <w:r>
        <w:tab/>
        <w:t>that the employee or agent had the state of mind.</w:t>
      </w:r>
    </w:p>
    <w:p>
      <w:pPr>
        <w:pStyle w:val="nz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nzSubsection"/>
      </w:pPr>
      <w:r>
        <w:tab/>
        <w:t>(6)</w:t>
      </w:r>
      <w:r>
        <w:tab/>
        <w:t>If —</w:t>
      </w:r>
    </w:p>
    <w:p>
      <w:pPr>
        <w:pStyle w:val="nzIndenta"/>
      </w:pPr>
      <w:r>
        <w:tab/>
        <w:t>(a)</w:t>
      </w:r>
      <w:r>
        <w:tab/>
        <w:t>a natural person is found guilty of an offence; and</w:t>
      </w:r>
    </w:p>
    <w:p>
      <w:pPr>
        <w:pStyle w:val="nzIndenta"/>
      </w:pPr>
      <w:r>
        <w:tab/>
        <w:t>(b)</w:t>
      </w:r>
      <w:r>
        <w:tab/>
        <w:t>he or she would not have been found guilty of the offence if subclauses (4) and (5) had not been enacted,</w:t>
      </w:r>
    </w:p>
    <w:p>
      <w:pPr>
        <w:pStyle w:val="nzSubsection"/>
      </w:pPr>
      <w:r>
        <w:tab/>
      </w:r>
      <w:r>
        <w:tab/>
        <w:t>he or she is not liable to be punished by imprisonment for that offence.</w:t>
      </w:r>
    </w:p>
    <w:p>
      <w:pPr>
        <w:pStyle w:val="nzSubsection"/>
      </w:pPr>
      <w:r>
        <w:tab/>
        <w:t>(7)</w:t>
      </w:r>
      <w:r>
        <w:tab/>
        <w:t>A reference in subclause (2) or (4) to the state of mind of a person includes a reference to —</w:t>
      </w:r>
    </w:p>
    <w:p>
      <w:pPr>
        <w:pStyle w:val="nzIndenta"/>
      </w:pPr>
      <w:r>
        <w:tab/>
        <w:t>(a)</w:t>
      </w:r>
      <w:r>
        <w:tab/>
        <w:t>the person’s knowledge, intention, opinion, belief or purpose; and</w:t>
      </w:r>
    </w:p>
    <w:p>
      <w:pPr>
        <w:pStyle w:val="nzIndenta"/>
      </w:pPr>
      <w:r>
        <w:tab/>
        <w:t>(b)</w:t>
      </w:r>
      <w:r>
        <w:tab/>
        <w:t>the person’s reasons for the intention, opinion, belief or purpose.</w:t>
      </w:r>
    </w:p>
    <w:p>
      <w:pPr>
        <w:pStyle w:val="nzHeading5"/>
      </w:pPr>
      <w:r>
        <w:t>79.</w:t>
      </w:r>
      <w:r>
        <w:rPr>
          <w:b w:val="0"/>
        </w:rPr>
        <w:tab/>
      </w:r>
      <w:r>
        <w:t>Act not to give rise to other liabilities etc.</w:t>
      </w:r>
    </w:p>
    <w:p>
      <w:pPr>
        <w:pStyle w:val="nzSubsection"/>
      </w:pPr>
      <w:r>
        <w:tab/>
      </w:r>
      <w:r>
        <w:tab/>
        <w:t>This Schedule does not —</w:t>
      </w:r>
    </w:p>
    <w:p>
      <w:pPr>
        <w:pStyle w:val="nzIndenta"/>
      </w:pPr>
      <w:r>
        <w:tab/>
        <w:t>(a)</w:t>
      </w:r>
      <w:r>
        <w:tab/>
        <w:t>confer a right of action in any civil proceeding in respect of any contravention of a listed OSH law; or</w:t>
      </w:r>
    </w:p>
    <w:p>
      <w:pPr>
        <w:pStyle w:val="nzIndenta"/>
      </w:pPr>
      <w:r>
        <w:tab/>
        <w:t>(b)</w:t>
      </w:r>
      <w:r>
        <w:tab/>
        <w:t>confer a defence to an action in any civil proceeding or otherwise affect a right of action in any civil proceeding.</w:t>
      </w:r>
    </w:p>
    <w:p>
      <w:pPr>
        <w:pStyle w:val="nzHeading5"/>
      </w:pPr>
      <w:r>
        <w:t>80.</w:t>
      </w:r>
      <w:r>
        <w:rPr>
          <w:b w:val="0"/>
        </w:rPr>
        <w:tab/>
      </w:r>
      <w:r>
        <w:t>Circumstances preventing compliance may be defence to prosecution</w:t>
      </w:r>
    </w:p>
    <w:p>
      <w:pPr>
        <w:pStyle w:val="nzSubsection"/>
      </w:pPr>
      <w:r>
        <w:tab/>
      </w:r>
      <w:r>
        <w:tab/>
        <w:t>It is a defence to a prosecution for a contravention of a listed OSH law if the defendant proves that it was not practicable to comply with it because of an emergency prevailing at the relevant time.</w:t>
      </w:r>
    </w:p>
    <w:p>
      <w:pPr>
        <w:pStyle w:val="nzHeading5"/>
      </w:pPr>
      <w:r>
        <w:t>81.</w:t>
      </w:r>
      <w:r>
        <w:rPr>
          <w:b w:val="0"/>
        </w:rPr>
        <w:tab/>
      </w:r>
      <w:r>
        <w:t>Regulations — general</w:t>
      </w:r>
    </w:p>
    <w:p>
      <w:pPr>
        <w:pStyle w:val="nzSubsection"/>
      </w:pPr>
      <w:r>
        <w:tab/>
        <w:t>(1)</w:t>
      </w:r>
      <w:r>
        <w:tab/>
        <w:t>The regulations may prescribe any of the following —</w:t>
      </w:r>
    </w:p>
    <w:p>
      <w:pPr>
        <w:pStyle w:val="nzIndenta"/>
      </w:pPr>
      <w:r>
        <w:tab/>
        <w:t>(a)</w:t>
      </w:r>
      <w:r>
        <w:tab/>
        <w:t>procedures for the selection of persons, under clause 39, as members of safety and health committees, to represent the interests of members of the workforce engaged in a petroleum operation;</w:t>
      </w:r>
    </w:p>
    <w:p>
      <w:pPr>
        <w:pStyle w:val="nzIndenta"/>
      </w:pPr>
      <w:r>
        <w:tab/>
        <w:t>(b)</w:t>
      </w:r>
      <w:r>
        <w:tab/>
        <w:t>procedures to be followed at meetings of safety and health committees;</w:t>
      </w:r>
    </w:p>
    <w:p>
      <w:pPr>
        <w:pStyle w:val="nzIndenta"/>
      </w:pPr>
      <w:r>
        <w:tab/>
        <w:t>(c)</w:t>
      </w:r>
      <w:r>
        <w:tab/>
        <w:t>the manner in which notices are to be served under this Schedule or the regulations;</w:t>
      </w:r>
    </w:p>
    <w:p>
      <w:pPr>
        <w:pStyle w:val="nzIndenta"/>
      </w:pPr>
      <w:r>
        <w:tab/>
        <w:t>(d)</w:t>
      </w:r>
      <w:r>
        <w:tab/>
        <w:t>the practice and procedure to be followed in relation to the review of decisions under clause 21 or 64 by reviewing authorities;</w:t>
      </w:r>
    </w:p>
    <w:p>
      <w:pPr>
        <w:pStyle w:val="nzIndenta"/>
      </w:pPr>
      <w:r>
        <w:tab/>
        <w:t>(e)</w:t>
      </w:r>
      <w:r>
        <w:tab/>
        <w:t>forms for the purposes of this Schedule or the regulations.</w:t>
      </w:r>
    </w:p>
    <w:p>
      <w:pPr>
        <w:pStyle w:val="nzSubsection"/>
      </w:pPr>
      <w:r>
        <w:tab/>
        <w:t>(2)</w:t>
      </w:r>
      <w:r>
        <w:tab/>
        <w:t>If the Minister is satisfied that —</w:t>
      </w:r>
    </w:p>
    <w:p>
      <w:pPr>
        <w:pStyle w:val="nzIndenta"/>
      </w:pPr>
      <w:r>
        <w:tab/>
        <w:t>(a)</w:t>
      </w:r>
      <w:r>
        <w:tab/>
        <w:t>a power, function or duty is conferred or imposed on a person under a law of this State or the Commonwealth; and</w:t>
      </w:r>
    </w:p>
    <w:p>
      <w:pPr>
        <w:pStyle w:val="nzIndenta"/>
      </w:pPr>
      <w:r>
        <w:tab/>
        <w:t>(b)</w:t>
      </w:r>
      <w:r>
        <w:tab/>
        <w:t>the proper exercise of the power or performance of the function or duty is or would be prevented by this Schedule or a provision of this Schedule,</w:t>
      </w:r>
    </w:p>
    <w:p>
      <w:pPr>
        <w:pStyle w:val="nz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nzSubsection"/>
      </w:pPr>
      <w:r>
        <w:tab/>
        <w:t>(3)</w:t>
      </w:r>
      <w:r>
        <w:tab/>
        <w:t>Regulations made for the purposes of subclause (2) do not remain in force for longer than 5 years after they commence, but this subclause does not prevent the making of further regulations of the same substance.</w:t>
      </w:r>
    </w:p>
    <w:p>
      <w:pPr>
        <w:pStyle w:val="nzSubsection"/>
      </w:pPr>
      <w:r>
        <w:tab/>
        <w:t>(4)</w:t>
      </w:r>
      <w:r>
        <w:tab/>
        <w:t>In subclause (2) —</w:t>
      </w:r>
    </w:p>
    <w:p>
      <w:pPr>
        <w:pStyle w:val="nzDefstart"/>
      </w:pPr>
      <w:r>
        <w:tab/>
      </w:r>
      <w:r>
        <w:rPr>
          <w:b/>
        </w:rPr>
        <w:t>“</w:t>
      </w:r>
      <w:r>
        <w:rPr>
          <w:rStyle w:val="CharDefText"/>
        </w:rPr>
        <w:t>this Schedule</w:t>
      </w:r>
      <w:r>
        <w:rPr>
          <w:b/>
        </w:rPr>
        <w:t>”</w:t>
      </w:r>
      <w:r>
        <w:t xml:space="preserve"> includes regulations made for the purposes of this Schedule.</w:t>
      </w:r>
    </w:p>
    <w:p>
      <w:pPr>
        <w:pStyle w:val="MiscClose"/>
        <w:ind w:right="577"/>
      </w:pPr>
      <w:r>
        <w:t xml:space="preserve">    ”.</w:t>
      </w:r>
    </w:p>
    <w:p>
      <w:pPr>
        <w:pStyle w:val="MiscClose"/>
        <w:ind w:right="10"/>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New Roman TUR">
    <w:altName w:val="Times New Roman"/>
    <w:charset w:val="00"/>
    <w:family w:val="roman"/>
    <w:pitch w:val="variable"/>
    <w:sig w:usb0="00000000"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Act 1967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D9F0AFE"/>
    <w:multiLevelType w:val="hybridMultilevel"/>
    <w:tmpl w:val="C47A01D0"/>
    <w:lvl w:ilvl="0" w:tplc="04090001">
      <w:start w:val="1"/>
      <w:numFmt w:val="bullet"/>
      <w:lvlText w:val=""/>
      <w:lvlJc w:val="left"/>
      <w:pPr>
        <w:tabs>
          <w:tab w:val="num" w:pos="2052"/>
        </w:tabs>
        <w:ind w:left="2052" w:hanging="360"/>
      </w:pPr>
      <w:rPr>
        <w:rFonts w:ascii="Symbol" w:hAnsi="Symbol" w:hint="default"/>
      </w:rPr>
    </w:lvl>
    <w:lvl w:ilvl="1" w:tplc="04090003" w:tentative="1">
      <w:start w:val="1"/>
      <w:numFmt w:val="bullet"/>
      <w:lvlText w:val="o"/>
      <w:lvlJc w:val="left"/>
      <w:pPr>
        <w:tabs>
          <w:tab w:val="num" w:pos="2772"/>
        </w:tabs>
        <w:ind w:left="2772" w:hanging="360"/>
      </w:pPr>
      <w:rPr>
        <w:rFonts w:ascii="Courier New" w:hAnsi="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FF724E9"/>
    <w:multiLevelType w:val="hybridMultilevel"/>
    <w:tmpl w:val="7F14B14C"/>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D41A93"/>
    <w:multiLevelType w:val="hybridMultilevel"/>
    <w:tmpl w:val="473E6BD0"/>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1"/>
  </w:num>
  <w:num w:numId="14">
    <w:abstractNumId w:val="26"/>
  </w:num>
  <w:num w:numId="15">
    <w:abstractNumId w:val="22"/>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273</Pages>
  <Words>78110</Words>
  <Characters>371808</Characters>
  <Application>Microsoft Office Word</Application>
  <DocSecurity>0</DocSecurity>
  <Lines>9533</Lines>
  <Paragraphs>4590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445328</CharactersWithSpaces>
  <SharedDoc>false</SharedDoc>
  <HLinks>
    <vt:vector size="12" baseType="variant">
      <vt:variant>
        <vt:i4>3014716</vt:i4>
      </vt:variant>
      <vt:variant>
        <vt:i4>16391</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Act 1967 - 04-a0-03</dc:title>
  <dc:subject/>
  <dc:creator/>
  <cp:keywords/>
  <dc:description/>
  <cp:lastModifiedBy>svcMRProcess</cp:lastModifiedBy>
  <cp:revision>4</cp:revision>
  <cp:lastPrinted>2007-04-16T03:02:00Z</cp:lastPrinted>
  <dcterms:created xsi:type="dcterms:W3CDTF">2020-02-19T13:20:00Z</dcterms:created>
  <dcterms:modified xsi:type="dcterms:W3CDTF">2020-02-19T13:20:00Z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20070413</vt:lpwstr>
  </property>
  <property fmtid="{D5CDD505-2E9C-101B-9397-08002B2CF9AE}" pid="4" name="DocumentType">
    <vt:lpwstr>Act</vt:lpwstr>
  </property>
  <property fmtid="{D5CDD505-2E9C-101B-9397-08002B2CF9AE}" pid="5" name="OwlsUID">
    <vt:i4>596</vt:i4>
  </property>
  <property fmtid="{D5CDD505-2E9C-101B-9397-08002B2CF9AE}" pid="6" name="ReprintNo">
    <vt:lpwstr>4</vt:lpwstr>
  </property>
  <property fmtid="{D5CDD505-2E9C-101B-9397-08002B2CF9AE}" pid="7" name="AsAtDate">
    <vt:lpwstr>13 Apr 2007</vt:lpwstr>
  </property>
  <property fmtid="{D5CDD505-2E9C-101B-9397-08002B2CF9AE}" pid="8" name="Suffix">
    <vt:lpwstr>04-a0-03</vt:lpwstr>
  </property>
</Properties>
</file>