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Petroleum Products Pricing Act 1983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Products Pricing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_Toc378250795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_Toc378250796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2 — Special provisions about motor fuel</w:t>
      </w:r>
    </w:p>
    <w:p>
      <w:pPr>
        <w:pStyle w:val="TOC4"/>
        <w:tabs>
          <w:tab w:val="right" w:leader="dot" w:pos="7078"/>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_Toc378250799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_Toc378250800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_Toc378250801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_Toc378250802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_Toc378250803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_Toc378250804 \h </w:instrText>
      </w:r>
      <w:r>
        <w:fldChar w:fldCharType="separate"/>
      </w:r>
      <w:r>
        <w:t>4</w:t>
      </w:r>
      <w:r>
        <w:fldChar w:fldCharType="end"/>
      </w:r>
    </w:p>
    <w:p>
      <w:pPr>
        <w:pStyle w:val="TOC4"/>
        <w:tabs>
          <w:tab w:val="right" w:leader="dot" w:pos="7078"/>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_Toc378250806 \h </w:instrText>
      </w:r>
      <w:r>
        <w:fldChar w:fldCharType="separate"/>
      </w:r>
      <w:r>
        <w:t>6</w:t>
      </w:r>
      <w:r>
        <w:fldChar w:fldCharType="end"/>
      </w:r>
    </w:p>
    <w:p>
      <w:pPr>
        <w:pStyle w:val="TOC8"/>
        <w:rPr>
          <w:rFonts w:asciiTheme="minorHAnsi" w:eastAsiaTheme="minorEastAsia" w:hAnsiTheme="minorHAnsi" w:cstheme="minorBidi"/>
          <w:szCs w:val="22"/>
        </w:rPr>
      </w:pPr>
      <w:r>
        <w:t>8.</w:t>
      </w:r>
      <w:r>
        <w:tab/>
        <w:t>Previous month’s weighted average price</w:t>
      </w:r>
      <w:r>
        <w:tab/>
      </w:r>
      <w:r>
        <w:fldChar w:fldCharType="begin"/>
      </w:r>
      <w:r>
        <w:instrText xml:space="preserve"> PAGEREF _Toc378250807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_Toc378250808 \h </w:instrText>
      </w:r>
      <w:r>
        <w:fldChar w:fldCharType="separate"/>
      </w:r>
      <w:r>
        <w:t>7</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_Toc378250809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_Toc378250811 \h </w:instrText>
      </w:r>
      <w:r>
        <w:fldChar w:fldCharType="separate"/>
      </w:r>
      <w:r>
        <w:t>9</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_Toc378250812 \h </w:instrText>
      </w:r>
      <w:r>
        <w:fldChar w:fldCharType="separate"/>
      </w:r>
      <w:r>
        <w:t>9</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_Toc378250813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_Toc378250814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8"/>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8"/>
        </w:tabs>
        <w:rPr>
          <w:rFonts w:asciiTheme="minorHAnsi" w:eastAsiaTheme="minorEastAsia" w:hAnsiTheme="minorHAnsi" w:cstheme="minorBidi"/>
          <w:b w:val="0"/>
          <w:sz w:val="22"/>
          <w:szCs w:val="22"/>
        </w:rPr>
      </w:pPr>
      <w:r>
        <w:t>Schedule 3 — Forms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_Toc378250819 \h </w:instrText>
      </w:r>
      <w:r>
        <w:fldChar w:fldCharType="separate"/>
      </w:r>
      <w:r>
        <w:t>17</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August 2009</w:t>
            </w:r>
          </w:p>
        </w:tc>
      </w:tr>
    </w:tbl>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378250448"/>
      <w:bookmarkStart w:id="2" w:name="_Toc37825079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Footnoteheading"/>
      </w:pPr>
      <w:r>
        <w:tab/>
        <w:t>[Heading inserted in Gazette 11 Jul 2001 p. 3459.]</w:t>
      </w:r>
    </w:p>
    <w:p>
      <w:pPr>
        <w:pStyle w:val="Heading5"/>
      </w:pPr>
      <w:bookmarkStart w:id="3" w:name="_Toc378250795"/>
      <w:r>
        <w:rPr>
          <w:rStyle w:val="CharSectno"/>
        </w:rPr>
        <w:t>1</w:t>
      </w:r>
      <w:r>
        <w:t>.</w:t>
      </w:r>
      <w:r>
        <w:tab/>
        <w:t>Citation</w:t>
      </w:r>
      <w:bookmarkEnd w:id="3"/>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4" w:name="_Toc37825079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5" w:name="_Toc378250451"/>
      <w:bookmarkStart w:id="6" w:name="_Toc378250797"/>
      <w:r>
        <w:rPr>
          <w:rStyle w:val="CharPartNo"/>
        </w:rPr>
        <w:t>Part 2</w:t>
      </w:r>
      <w:r>
        <w:t> — </w:t>
      </w:r>
      <w:r>
        <w:rPr>
          <w:rStyle w:val="CharPartText"/>
        </w:rPr>
        <w:t>Special provisions about motor fuel</w:t>
      </w:r>
      <w:bookmarkEnd w:id="5"/>
      <w:bookmarkEnd w:id="6"/>
    </w:p>
    <w:p>
      <w:pPr>
        <w:pStyle w:val="Footnoteheading"/>
      </w:pPr>
      <w:r>
        <w:tab/>
        <w:t>[Heading inserted in Gazette 11 Jul 2001 p. 3459.]</w:t>
      </w:r>
    </w:p>
    <w:p>
      <w:pPr>
        <w:pStyle w:val="Heading3"/>
      </w:pPr>
      <w:bookmarkStart w:id="7" w:name="_Toc378250452"/>
      <w:bookmarkStart w:id="8" w:name="_Toc378250798"/>
      <w:r>
        <w:rPr>
          <w:rStyle w:val="CharDivNo"/>
        </w:rPr>
        <w:t>Division 1</w:t>
      </w:r>
      <w:r>
        <w:t> — </w:t>
      </w:r>
      <w:r>
        <w:rPr>
          <w:rStyle w:val="CharDivText"/>
        </w:rPr>
        <w:t>Retail sale</w:t>
      </w:r>
      <w:bookmarkEnd w:id="7"/>
      <w:bookmarkEnd w:id="8"/>
    </w:p>
    <w:p>
      <w:pPr>
        <w:pStyle w:val="Footnoteheading"/>
      </w:pPr>
      <w:r>
        <w:tab/>
        <w:t>[Heading inserted in Gazette 11 Jul 2001 p. 3459.]</w:t>
      </w:r>
    </w:p>
    <w:p>
      <w:pPr>
        <w:pStyle w:val="Heading5"/>
      </w:pPr>
      <w:bookmarkStart w:id="9" w:name="_Toc378250799"/>
      <w:r>
        <w:rPr>
          <w:rStyle w:val="CharSectno"/>
        </w:rPr>
        <w:t>2A</w:t>
      </w:r>
      <w:r>
        <w:t>.</w:t>
      </w:r>
      <w:r>
        <w:tab/>
        <w:t>Terms used</w:t>
      </w:r>
      <w:bookmarkEnd w:id="9"/>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10" w:name="_Toc378250800"/>
      <w:r>
        <w:rPr>
          <w:rStyle w:val="CharSectno"/>
        </w:rPr>
        <w:t>3</w:t>
      </w:r>
      <w:r>
        <w:t>.</w:t>
      </w:r>
      <w:r>
        <w:tab/>
        <w:t>Standard retail price to be as notified</w:t>
      </w:r>
      <w:bookmarkEnd w:id="10"/>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11" w:name="_Toc378250801"/>
      <w:r>
        <w:rPr>
          <w:rStyle w:val="CharSectno"/>
        </w:rPr>
        <w:t>3A</w:t>
      </w:r>
      <w:r>
        <w:t>.</w:t>
      </w:r>
      <w:r>
        <w:tab/>
        <w:t>Requirements for giving notification</w:t>
      </w:r>
      <w:bookmarkEnd w:id="11"/>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12" w:name="_Toc378250802"/>
      <w:r>
        <w:rPr>
          <w:rStyle w:val="CharSectno"/>
        </w:rPr>
        <w:t>4</w:t>
      </w:r>
      <w:r>
        <w:t>.</w:t>
      </w:r>
      <w:r>
        <w:tab/>
        <w:t>Price changes in certain places need not be notified</w:t>
      </w:r>
      <w:bookmarkEnd w:id="12"/>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13" w:name="_Toc378250803"/>
      <w:r>
        <w:rPr>
          <w:rStyle w:val="CharSectno"/>
        </w:rPr>
        <w:t>5</w:t>
      </w:r>
      <w:r>
        <w:t>.</w:t>
      </w:r>
      <w:r>
        <w:tab/>
        <w:t>Places where regulation 6 applies</w:t>
      </w:r>
      <w:bookmarkEnd w:id="13"/>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14" w:name="_Toc378250804"/>
      <w:r>
        <w:rPr>
          <w:rStyle w:val="CharSectno"/>
        </w:rPr>
        <w:t>6</w:t>
      </w:r>
      <w:r>
        <w:t>.</w:t>
      </w:r>
      <w:r>
        <w:tab/>
        <w:t>Retailer to display standard retail prices</w:t>
      </w:r>
      <w:bookmarkEnd w:id="14"/>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15" w:name="_Toc378250459"/>
      <w:bookmarkStart w:id="16" w:name="_Toc378250805"/>
      <w:r>
        <w:rPr>
          <w:rStyle w:val="CharDivNo"/>
        </w:rPr>
        <w:t>Division 2</w:t>
      </w:r>
      <w:r>
        <w:t> — </w:t>
      </w:r>
      <w:r>
        <w:rPr>
          <w:rStyle w:val="CharDivText"/>
        </w:rPr>
        <w:t>Before retail sale</w:t>
      </w:r>
      <w:bookmarkEnd w:id="15"/>
      <w:bookmarkEnd w:id="16"/>
    </w:p>
    <w:p>
      <w:pPr>
        <w:pStyle w:val="Footnoteheading"/>
      </w:pPr>
      <w:r>
        <w:tab/>
        <w:t>[Heading inserted in Gazette 11 Jul 2001 p. 3461.]</w:t>
      </w:r>
    </w:p>
    <w:p>
      <w:pPr>
        <w:pStyle w:val="Heading5"/>
      </w:pPr>
      <w:bookmarkStart w:id="17" w:name="_Toc378250806"/>
      <w:r>
        <w:rPr>
          <w:rStyle w:val="CharSectno"/>
        </w:rPr>
        <w:t>7</w:t>
      </w:r>
      <w:r>
        <w:t>.</w:t>
      </w:r>
      <w:r>
        <w:tab/>
        <w:t>How to notify Commissioner of price changes</w:t>
      </w:r>
      <w:bookmarkEnd w:id="17"/>
    </w:p>
    <w:p>
      <w:pPr>
        <w:pStyle w:val="Subsection"/>
      </w:pPr>
      <w:r>
        <w:tab/>
      </w:r>
      <w:r>
        <w:tab/>
        <w:t xml:space="preserve">If section 22B(3) of the Act requires a supplier to notify the Commissioner of a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w:t>
      </w:r>
    </w:p>
    <w:p>
      <w:pPr>
        <w:pStyle w:val="Heading5"/>
      </w:pPr>
      <w:bookmarkStart w:id="18" w:name="_Toc378250807"/>
      <w:r>
        <w:rPr>
          <w:rStyle w:val="CharSectno"/>
        </w:rPr>
        <w:t>8</w:t>
      </w:r>
      <w:r>
        <w:t>.</w:t>
      </w:r>
      <w:r>
        <w:tab/>
        <w:t>Previous month’s weighted average price</w:t>
      </w:r>
      <w:bookmarkEnd w:id="18"/>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21" o:title=""/>
          </v:shape>
          <o:OLEObject Type="Embed" ProgID="Equation.3" ShapeID="_x0000_i1025" DrawAspect="Content" ObjectID="_1644351186" r:id="rId22"/>
        </w:object>
      </w:r>
    </w:p>
    <w:p>
      <w:pPr>
        <w:pStyle w:val="Subsection"/>
      </w:pPr>
      <w:r>
        <w:tab/>
      </w:r>
      <w:r>
        <w:tab/>
        <w:t xml:space="preserve">where — </w:t>
      </w:r>
    </w:p>
    <w:p>
      <w:pPr>
        <w:pStyle w:val="Indenta"/>
      </w:pPr>
      <w:r>
        <w:tab/>
      </w:r>
      <w:r>
        <w:rPr>
          <w:b/>
          <w:bCs/>
        </w:rPr>
        <w:t>A</w:t>
      </w:r>
      <w:r>
        <w:rPr>
          <w:bCs/>
        </w:rPr>
        <w:tab/>
      </w:r>
      <w:r>
        <w:t>is the weighted average price in cents/litre;</w:t>
      </w:r>
    </w:p>
    <w:p>
      <w:pPr>
        <w:pStyle w:val="Indenta"/>
      </w:pPr>
      <w:r>
        <w:tab/>
      </w:r>
      <w:r>
        <w:rPr>
          <w:b/>
          <w:bCs/>
        </w:rPr>
        <w:t>t</w:t>
      </w:r>
      <w:r>
        <w:tab/>
        <w:t>is the total number of transactions used to calculate the weighted average price;</w:t>
      </w:r>
    </w:p>
    <w:p>
      <w:pPr>
        <w:pStyle w:val="Indenta"/>
      </w:pPr>
      <w:r>
        <w:tab/>
      </w:r>
      <w:r>
        <w:rPr>
          <w:b/>
          <w:bCs/>
        </w:rPr>
        <w:t>Pn</w:t>
      </w:r>
      <w:r>
        <w:tab/>
        <w:t>is the price in cents/litre for the n</w:t>
      </w:r>
      <w:r>
        <w:rPr>
          <w:vertAlign w:val="superscript"/>
        </w:rPr>
        <w:t>th</w:t>
      </w:r>
      <w:r>
        <w:t xml:space="preserve"> transaction used to calculate the weighted average price;</w:t>
      </w:r>
    </w:p>
    <w:p>
      <w:pPr>
        <w:pStyle w:val="Indenta"/>
        <w:spacing w:before="120"/>
      </w:pPr>
      <w:r>
        <w:tab/>
      </w:r>
      <w:r>
        <w:rPr>
          <w:b/>
          <w:bCs/>
        </w:rPr>
        <w:t>Vn</w:t>
      </w:r>
      <w:r>
        <w:rPr>
          <w:b/>
          <w:bCs/>
        </w:rPr>
        <w:tab/>
      </w:r>
      <w:r>
        <w:t>is the volume in litres of the n</w:t>
      </w:r>
      <w:r>
        <w:rPr>
          <w:vertAlign w:val="superscript"/>
        </w:rPr>
        <w:t>th</w:t>
      </w:r>
      <w:r>
        <w:t xml:space="preserve"> transaction used to calculate the weighted average price;</w:t>
      </w:r>
    </w:p>
    <w:p>
      <w:pPr>
        <w:pStyle w:val="Indenta"/>
      </w:pPr>
      <w:r>
        <w:tab/>
      </w:r>
      <w:r>
        <w:rPr>
          <w:b/>
          <w:bCs/>
        </w:rPr>
        <w:t>Tv</w:t>
      </w:r>
      <w:r>
        <w:tab/>
        <w:t>is the total volume in litres of all the transactions used to calculate the weighted average price.</w:t>
      </w:r>
    </w:p>
    <w:p>
      <w:pPr>
        <w:pStyle w:val="Footnotesection"/>
      </w:pPr>
      <w:r>
        <w:tab/>
        <w:t>[Regulation 8 inserted in Gazette 11 Jul 2001 p. 3461.]</w:t>
      </w:r>
    </w:p>
    <w:p>
      <w:pPr>
        <w:pStyle w:val="Heading5"/>
        <w:spacing w:before="240"/>
      </w:pPr>
      <w:bookmarkStart w:id="19" w:name="_Toc378250808"/>
      <w:r>
        <w:rPr>
          <w:rStyle w:val="CharSectno"/>
        </w:rPr>
        <w:t>9</w:t>
      </w:r>
      <w:r>
        <w:t>.</w:t>
      </w:r>
      <w:r>
        <w:tab/>
        <w:t>Details of price differences</w:t>
      </w:r>
      <w:bookmarkEnd w:id="19"/>
    </w:p>
    <w:p>
      <w:pPr>
        <w:pStyle w:val="Subsection"/>
        <w:spacing w:before="180"/>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spacing w:before="240"/>
      </w:pPr>
      <w:bookmarkStart w:id="20" w:name="_Toc378250809"/>
      <w:r>
        <w:rPr>
          <w:rStyle w:val="CharSectno"/>
        </w:rPr>
        <w:t>10</w:t>
      </w:r>
      <w:r>
        <w:t>.</w:t>
      </w:r>
      <w:r>
        <w:tab/>
        <w:t>Notifying Commissioner of price differences</w:t>
      </w:r>
      <w:bookmarkEnd w:id="20"/>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3"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21" w:name="_Toc378250464"/>
      <w:bookmarkStart w:id="22" w:name="_Toc378250810"/>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21"/>
      <w:bookmarkEnd w:id="22"/>
    </w:p>
    <w:p>
      <w:pPr>
        <w:pStyle w:val="Footnoteheading"/>
      </w:pPr>
      <w:r>
        <w:tab/>
        <w:t>[Heading inserted in Gazette 9 Nov 2001 p. 5925.]</w:t>
      </w:r>
    </w:p>
    <w:p>
      <w:pPr>
        <w:pStyle w:val="Heading5"/>
      </w:pPr>
      <w:bookmarkStart w:id="23" w:name="_Toc378250811"/>
      <w:r>
        <w:rPr>
          <w:rStyle w:val="CharSectno"/>
        </w:rPr>
        <w:t>11</w:t>
      </w:r>
      <w:r>
        <w:t>.</w:t>
      </w:r>
      <w:r>
        <w:tab/>
        <w:t>Prescribed offences (s. 31B)</w:t>
      </w:r>
      <w:bookmarkEnd w:id="23"/>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24" w:name="_Toc378250812"/>
      <w:r>
        <w:rPr>
          <w:rStyle w:val="CharSectno"/>
        </w:rPr>
        <w:t>12</w:t>
      </w:r>
      <w:r>
        <w:t>.</w:t>
      </w:r>
      <w:r>
        <w:tab/>
        <w:t>Prescribed modified penalties (s. 31C)</w:t>
      </w:r>
      <w:bookmarkEnd w:id="24"/>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25" w:name="_Toc378250813"/>
      <w:r>
        <w:rPr>
          <w:rStyle w:val="CharSectno"/>
        </w:rPr>
        <w:t>13</w:t>
      </w:r>
      <w:r>
        <w:t>.</w:t>
      </w:r>
      <w:r>
        <w:tab/>
        <w:t>Prescribed form of infringement notice (s. 31C)</w:t>
      </w:r>
      <w:bookmarkEnd w:id="25"/>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26" w:name="_Toc378250814"/>
      <w:r>
        <w:rPr>
          <w:rStyle w:val="CharSectno"/>
        </w:rPr>
        <w:t>14</w:t>
      </w:r>
      <w:r>
        <w:t>.</w:t>
      </w:r>
      <w:r>
        <w:tab/>
        <w:t>Prescribed form of withdrawal of notice (s. 31E)</w:t>
      </w:r>
      <w:bookmarkEnd w:id="26"/>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27" w:name="_Toc378250469"/>
      <w:bookmarkStart w:id="28" w:name="_Toc378250815"/>
      <w:r>
        <w:rPr>
          <w:rStyle w:val="CharSchNo"/>
        </w:rPr>
        <w:t>Schedule 1</w:t>
      </w:r>
      <w:r>
        <w:t> — </w:t>
      </w:r>
      <w:r>
        <w:rPr>
          <w:rStyle w:val="CharSchText"/>
        </w:rPr>
        <w:t>Places where regulations 3(1) and 6 apply</w:t>
      </w:r>
      <w:bookmarkEnd w:id="27"/>
      <w:bookmarkEnd w:id="28"/>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w:t>
      </w:r>
    </w:p>
    <w:p>
      <w:pPr>
        <w:pStyle w:val="yScheduleHeading"/>
      </w:pPr>
      <w:bookmarkStart w:id="29" w:name="_Toc378250470"/>
      <w:bookmarkStart w:id="30" w:name="_Toc378250816"/>
      <w:r>
        <w:rPr>
          <w:rStyle w:val="CharSchNo"/>
        </w:rPr>
        <w:t>Schedule 2</w:t>
      </w:r>
      <w:r>
        <w:t> — </w:t>
      </w:r>
      <w:r>
        <w:rPr>
          <w:rStyle w:val="CharSchText"/>
        </w:rPr>
        <w:t>Prescribed offences and modified penalties</w:t>
      </w:r>
      <w:bookmarkEnd w:id="29"/>
      <w:bookmarkEnd w:id="30"/>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w:t>
      </w:r>
    </w:p>
    <w:p>
      <w:pPr>
        <w:pStyle w:val="yScheduleHeading"/>
      </w:pPr>
      <w:bookmarkStart w:id="31" w:name="_Toc378250471"/>
      <w:bookmarkStart w:id="32" w:name="_Toc378250817"/>
      <w:r>
        <w:rPr>
          <w:rStyle w:val="CharSchNo"/>
        </w:rPr>
        <w:t>Schedule 3</w:t>
      </w:r>
      <w:r>
        <w:t xml:space="preserve"> — </w:t>
      </w:r>
      <w:r>
        <w:rPr>
          <w:rStyle w:val="CharSchText"/>
        </w:rPr>
        <w:t>Forms</w:t>
      </w:r>
      <w:bookmarkEnd w:id="31"/>
      <w:bookmarkEnd w:id="32"/>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w:t>
      </w:r>
      <w:r>
        <w:rPr>
          <w:vertAlign w:val="superscript"/>
        </w:rPr>
        <w:t> 2</w:t>
      </w:r>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r>
        <w:rPr>
          <w:vertAlign w:val="superscript"/>
        </w:rPr>
        <w:t>  2</w:t>
      </w:r>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tabs>
          <w:tab w:val="clear" w:pos="879"/>
          <w:tab w:val="left" w:pos="567"/>
        </w:tabs>
        <w:ind w:left="0" w:hanging="28"/>
        <w:rPr>
          <w:sz w:val="16"/>
        </w:rPr>
      </w:pPr>
    </w:p>
    <w:p>
      <w:pPr>
        <w:pStyle w:val="yFootnotesection"/>
      </w:pPr>
      <w:r>
        <w:tab/>
        <w:t>[Form 1 inserted in Gazette 9 Nov 2001 p. 5927</w:t>
      </w:r>
      <w:r>
        <w:noBreakHyphen/>
        <w:t>8.]</w:t>
      </w:r>
    </w:p>
    <w:p>
      <w:pPr>
        <w:pStyle w:val="ySubsection"/>
        <w:tabs>
          <w:tab w:val="clear" w:pos="879"/>
          <w:tab w:val="left" w:pos="567"/>
        </w:tabs>
        <w:ind w:left="0" w:hanging="28"/>
        <w:rPr>
          <w:sz w:val="16"/>
        </w:rPr>
      </w:pP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[Form 2 inserted in Gazette 9 Nov 2001 p. 5928</w:t>
      </w:r>
      <w:r>
        <w:noBreakHyphen/>
        <w:t>9.]</w:t>
      </w:r>
    </w:p>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33" w:name="_Toc378250472"/>
      <w:bookmarkStart w:id="34" w:name="_Toc378250818"/>
      <w:r>
        <w:t>Notes</w:t>
      </w:r>
      <w:bookmarkEnd w:id="33"/>
      <w:bookmarkEnd w:id="34"/>
    </w:p>
    <w:p>
      <w:pPr>
        <w:pStyle w:val="nSubsection"/>
        <w:rPr>
          <w:snapToGrid w:val="0"/>
        </w:rPr>
      </w:pPr>
      <w:r>
        <w:rPr>
          <w:snapToGrid w:val="0"/>
          <w:vertAlign w:val="superscript"/>
        </w:rPr>
        <w:t>1</w:t>
      </w:r>
      <w:r>
        <w:rPr>
          <w:snapToGrid w:val="0"/>
        </w:rPr>
        <w:tab/>
        <w:t xml:space="preserve">This reprint is a compilation as at 14 August 2009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35" w:name="_Toc378250819"/>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Products Pricing Regulations 2000</w:t>
            </w:r>
          </w:p>
        </w:tc>
        <w:tc>
          <w:tcPr>
            <w:tcW w:w="1276" w:type="dxa"/>
            <w:tcBorders>
              <w:top w:val="single" w:sz="8" w:space="0" w:color="auto"/>
            </w:tcBorders>
          </w:tcPr>
          <w:p>
            <w:pPr>
              <w:pStyle w:val="nTable"/>
              <w:spacing w:after="40"/>
              <w:rPr>
                <w:sz w:val="19"/>
              </w:rPr>
            </w:pPr>
            <w:r>
              <w:rPr>
                <w:sz w:val="19"/>
              </w:rPr>
              <w:t>29 Dec 2000 p. 7981</w:t>
            </w:r>
            <w:r>
              <w:rPr>
                <w:sz w:val="19"/>
              </w:rPr>
              <w:noBreakHyphen/>
              <w:t>5</w:t>
            </w:r>
          </w:p>
        </w:tc>
        <w:tc>
          <w:tcPr>
            <w:tcW w:w="2693" w:type="dxa"/>
            <w:tcBorders>
              <w:top w:val="single" w:sz="8" w:space="0" w:color="auto"/>
            </w:tcBorders>
          </w:tcPr>
          <w:p>
            <w:pPr>
              <w:pStyle w:val="nTable"/>
              <w:spacing w:after="40"/>
              <w:rPr>
                <w:sz w:val="19"/>
              </w:rPr>
            </w:pPr>
            <w:r>
              <w:rPr>
                <w:sz w:val="19"/>
              </w:rPr>
              <w:t>1 Jan 2001 (see r. 2)</w:t>
            </w:r>
          </w:p>
        </w:tc>
      </w:tr>
      <w:tr>
        <w:trPr>
          <w:cantSplit/>
        </w:trPr>
        <w:tc>
          <w:tcPr>
            <w:tcW w:w="3119" w:type="dxa"/>
          </w:tcPr>
          <w:p>
            <w:pPr>
              <w:pStyle w:val="nTable"/>
              <w:spacing w:after="40"/>
              <w:ind w:right="113"/>
              <w:rPr>
                <w:i/>
                <w:sz w:val="19"/>
              </w:rPr>
            </w:pPr>
            <w:r>
              <w:rPr>
                <w:i/>
                <w:sz w:val="19"/>
              </w:rPr>
              <w:t>Petroleum Products Pricing Amendment Regulations 2001</w:t>
            </w:r>
            <w:r>
              <w:rPr>
                <w:sz w:val="19"/>
                <w:vertAlign w:val="superscript"/>
              </w:rPr>
              <w:t> 3</w:t>
            </w:r>
          </w:p>
        </w:tc>
        <w:tc>
          <w:tcPr>
            <w:tcW w:w="1276" w:type="dxa"/>
          </w:tcPr>
          <w:p>
            <w:pPr>
              <w:pStyle w:val="nTable"/>
              <w:spacing w:after="40"/>
              <w:rPr>
                <w:sz w:val="19"/>
              </w:rPr>
            </w:pPr>
            <w:r>
              <w:rPr>
                <w:sz w:val="19"/>
              </w:rPr>
              <w:t>11 Jul 2001 p. 3457</w:t>
            </w:r>
            <w:r>
              <w:rPr>
                <w:sz w:val="19"/>
              </w:rPr>
              <w:noBreakHyphen/>
              <w:t>62</w:t>
            </w:r>
          </w:p>
        </w:tc>
        <w:tc>
          <w:tcPr>
            <w:tcW w:w="2693" w:type="dxa"/>
          </w:tcPr>
          <w:p>
            <w:pPr>
              <w:pStyle w:val="nTable"/>
              <w:spacing w:after="40"/>
              <w:rPr>
                <w:sz w:val="19"/>
              </w:rPr>
            </w:pPr>
            <w:r>
              <w:rPr>
                <w:sz w:val="19"/>
              </w:rPr>
              <w:t>12 Jul 2001 (see r. 2)</w:t>
            </w:r>
          </w:p>
        </w:tc>
      </w:tr>
      <w:tr>
        <w:trPr>
          <w:cantSplit/>
        </w:trPr>
        <w:tc>
          <w:tcPr>
            <w:tcW w:w="3119" w:type="dxa"/>
          </w:tcPr>
          <w:p>
            <w:pPr>
              <w:pStyle w:val="nTable"/>
              <w:spacing w:after="40"/>
              <w:ind w:right="113"/>
              <w:rPr>
                <w:i/>
                <w:sz w:val="19"/>
              </w:rPr>
            </w:pPr>
            <w:r>
              <w:rPr>
                <w:i/>
                <w:sz w:val="19"/>
              </w:rPr>
              <w:t>Petroleum Products Pricing Amendment Regulations (No. 2) 2001</w:t>
            </w:r>
          </w:p>
        </w:tc>
        <w:tc>
          <w:tcPr>
            <w:tcW w:w="1276" w:type="dxa"/>
          </w:tcPr>
          <w:p>
            <w:pPr>
              <w:pStyle w:val="nTable"/>
              <w:spacing w:after="40"/>
              <w:rPr>
                <w:sz w:val="19"/>
              </w:rPr>
            </w:pPr>
            <w:r>
              <w:rPr>
                <w:sz w:val="19"/>
              </w:rPr>
              <w:t>23 Aug 2001 p. 4378</w:t>
            </w:r>
            <w:r>
              <w:rPr>
                <w:sz w:val="19"/>
              </w:rPr>
              <w:noBreakHyphen/>
              <w:t>81</w:t>
            </w:r>
          </w:p>
        </w:tc>
        <w:tc>
          <w:tcPr>
            <w:tcW w:w="2693" w:type="dxa"/>
          </w:tcPr>
          <w:p>
            <w:pPr>
              <w:pStyle w:val="nTable"/>
              <w:spacing w:after="4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after="40"/>
              <w:ind w:right="113"/>
              <w:rPr>
                <w:i/>
                <w:sz w:val="19"/>
              </w:rPr>
            </w:pPr>
            <w:r>
              <w:rPr>
                <w:i/>
                <w:sz w:val="19"/>
              </w:rPr>
              <w:t>Petroleum Products Pricing Amendment Regulations (No. 3) 2001</w:t>
            </w:r>
          </w:p>
        </w:tc>
        <w:tc>
          <w:tcPr>
            <w:tcW w:w="1276" w:type="dxa"/>
          </w:tcPr>
          <w:p>
            <w:pPr>
              <w:pStyle w:val="nTable"/>
              <w:spacing w:after="40"/>
              <w:rPr>
                <w:sz w:val="19"/>
              </w:rPr>
            </w:pPr>
            <w:r>
              <w:rPr>
                <w:sz w:val="19"/>
              </w:rPr>
              <w:t>9 Nov 2001 p. 5925</w:t>
            </w:r>
            <w:r>
              <w:rPr>
                <w:sz w:val="19"/>
              </w:rPr>
              <w:noBreakHyphen/>
              <w:t>9</w:t>
            </w:r>
          </w:p>
        </w:tc>
        <w:tc>
          <w:tcPr>
            <w:tcW w:w="2693" w:type="dxa"/>
          </w:tcPr>
          <w:p>
            <w:pPr>
              <w:pStyle w:val="nTable"/>
              <w:spacing w:after="40"/>
              <w:rPr>
                <w:sz w:val="19"/>
              </w:rPr>
            </w:pPr>
            <w:r>
              <w:rPr>
                <w:sz w:val="19"/>
              </w:rPr>
              <w:t>9 Nov 2001</w:t>
            </w:r>
          </w:p>
        </w:tc>
      </w:tr>
      <w:tr>
        <w:trPr>
          <w:cantSplit/>
        </w:trPr>
        <w:tc>
          <w:tcPr>
            <w:tcW w:w="3119" w:type="dxa"/>
          </w:tcPr>
          <w:p>
            <w:pPr>
              <w:pStyle w:val="nTable"/>
              <w:spacing w:after="40"/>
              <w:ind w:right="113"/>
              <w:rPr>
                <w:i/>
                <w:sz w:val="19"/>
              </w:rPr>
            </w:pPr>
            <w:r>
              <w:rPr>
                <w:i/>
                <w:sz w:val="19"/>
              </w:rPr>
              <w:t>Petroleum Products Pricing Amendment Regulations (No. 4) 2001</w:t>
            </w:r>
            <w:r>
              <w:rPr>
                <w:sz w:val="19"/>
                <w:vertAlign w:val="superscript"/>
              </w:rPr>
              <w:t> 4</w:t>
            </w:r>
          </w:p>
        </w:tc>
        <w:tc>
          <w:tcPr>
            <w:tcW w:w="1276" w:type="dxa"/>
          </w:tcPr>
          <w:p>
            <w:pPr>
              <w:pStyle w:val="nTable"/>
              <w:spacing w:after="40"/>
              <w:rPr>
                <w:sz w:val="19"/>
              </w:rPr>
            </w:pPr>
            <w:r>
              <w:rPr>
                <w:sz w:val="19"/>
              </w:rPr>
              <w:t>16 Nov 2001 p. 5981</w:t>
            </w:r>
            <w:r>
              <w:rPr>
                <w:sz w:val="19"/>
              </w:rPr>
              <w:noBreakHyphen/>
              <w:t>2</w:t>
            </w:r>
          </w:p>
        </w:tc>
        <w:tc>
          <w:tcPr>
            <w:tcW w:w="2693" w:type="dxa"/>
          </w:tcPr>
          <w:p>
            <w:pPr>
              <w:pStyle w:val="nTable"/>
              <w:spacing w:after="40"/>
              <w:rPr>
                <w:sz w:val="19"/>
              </w:rPr>
            </w:pPr>
            <w:r>
              <w:rPr>
                <w:sz w:val="19"/>
              </w:rPr>
              <w:t>23 Nov 2001 (see r. 2)</w:t>
            </w:r>
          </w:p>
        </w:tc>
      </w:tr>
      <w:tr>
        <w:trPr>
          <w:cantSplit/>
        </w:trPr>
        <w:tc>
          <w:tcPr>
            <w:tcW w:w="3119" w:type="dxa"/>
          </w:tcPr>
          <w:p>
            <w:pPr>
              <w:pStyle w:val="nTable"/>
              <w:spacing w:after="40"/>
              <w:ind w:right="113"/>
              <w:rPr>
                <w:i/>
                <w:sz w:val="19"/>
              </w:rPr>
            </w:pPr>
            <w:r>
              <w:rPr>
                <w:i/>
                <w:sz w:val="19"/>
              </w:rPr>
              <w:t>Petroleum Products Pricing Amendment Regulations (No. 5) 2001</w:t>
            </w:r>
          </w:p>
        </w:tc>
        <w:tc>
          <w:tcPr>
            <w:tcW w:w="1276" w:type="dxa"/>
          </w:tcPr>
          <w:p>
            <w:pPr>
              <w:pStyle w:val="nTable"/>
              <w:spacing w:after="40"/>
              <w:rPr>
                <w:sz w:val="19"/>
              </w:rPr>
            </w:pPr>
            <w:r>
              <w:rPr>
                <w:sz w:val="19"/>
              </w:rPr>
              <w:t>31 Dec 2001 p. 6764</w:t>
            </w:r>
            <w:r>
              <w:rPr>
                <w:sz w:val="19"/>
              </w:rPr>
              <w:noBreakHyphen/>
              <w:t>5</w:t>
            </w:r>
          </w:p>
        </w:tc>
        <w:tc>
          <w:tcPr>
            <w:tcW w:w="2693" w:type="dxa"/>
          </w:tcPr>
          <w:p>
            <w:pPr>
              <w:pStyle w:val="nTable"/>
              <w:spacing w:after="4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after="4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after="40"/>
              <w:ind w:right="113"/>
              <w:rPr>
                <w:sz w:val="19"/>
              </w:rPr>
            </w:pPr>
            <w:r>
              <w:rPr>
                <w:i/>
                <w:sz w:val="19"/>
              </w:rPr>
              <w:t>Petroleum Products Pricing Amendment Regulations 2003</w:t>
            </w:r>
            <w:r>
              <w:rPr>
                <w:sz w:val="19"/>
              </w:rPr>
              <w:t xml:space="preserve"> </w:t>
            </w:r>
            <w:r>
              <w:rPr>
                <w:sz w:val="19"/>
                <w:vertAlign w:val="superscript"/>
              </w:rPr>
              <w:t>5</w:t>
            </w:r>
          </w:p>
        </w:tc>
        <w:tc>
          <w:tcPr>
            <w:tcW w:w="1276" w:type="dxa"/>
          </w:tcPr>
          <w:p>
            <w:pPr>
              <w:pStyle w:val="nTable"/>
              <w:spacing w:after="40"/>
              <w:rPr>
                <w:sz w:val="19"/>
              </w:rPr>
            </w:pPr>
            <w:r>
              <w:rPr>
                <w:sz w:val="19"/>
              </w:rPr>
              <w:t>13 May 2003 p. 1665</w:t>
            </w:r>
            <w:r>
              <w:rPr>
                <w:sz w:val="19"/>
              </w:rPr>
              <w:noBreakHyphen/>
              <w:t>6</w:t>
            </w:r>
          </w:p>
        </w:tc>
        <w:tc>
          <w:tcPr>
            <w:tcW w:w="2693" w:type="dxa"/>
          </w:tcPr>
          <w:p>
            <w:pPr>
              <w:pStyle w:val="nTable"/>
              <w:spacing w:after="40"/>
              <w:rPr>
                <w:sz w:val="19"/>
              </w:rPr>
            </w:pPr>
            <w:r>
              <w:rPr>
                <w:sz w:val="19"/>
              </w:rPr>
              <w:t>20 May 2003 (see r. 2)</w:t>
            </w:r>
          </w:p>
        </w:tc>
      </w:tr>
      <w:tr>
        <w:trPr>
          <w:cantSplit/>
        </w:trPr>
        <w:tc>
          <w:tcPr>
            <w:tcW w:w="3119" w:type="dxa"/>
          </w:tcPr>
          <w:p>
            <w:pPr>
              <w:pStyle w:val="nTable"/>
              <w:spacing w:after="40"/>
              <w:ind w:right="113"/>
              <w:rPr>
                <w:i/>
                <w:sz w:val="19"/>
              </w:rPr>
            </w:pPr>
            <w:r>
              <w:rPr>
                <w:i/>
                <w:sz w:val="19"/>
              </w:rPr>
              <w:t>Petroleum Products Pricing Amendment Regulations 2005</w:t>
            </w:r>
          </w:p>
        </w:tc>
        <w:tc>
          <w:tcPr>
            <w:tcW w:w="1276" w:type="dxa"/>
          </w:tcPr>
          <w:p>
            <w:pPr>
              <w:pStyle w:val="nTable"/>
              <w:spacing w:after="40"/>
              <w:rPr>
                <w:sz w:val="19"/>
              </w:rPr>
            </w:pPr>
            <w:r>
              <w:rPr>
                <w:sz w:val="19"/>
              </w:rPr>
              <w:t>9 Dec 2005 p. 5875</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Petroleum Products Pricing Amendment Regulations 2006</w:t>
            </w:r>
          </w:p>
        </w:tc>
        <w:tc>
          <w:tcPr>
            <w:tcW w:w="1276" w:type="dxa"/>
          </w:tcPr>
          <w:p>
            <w:pPr>
              <w:pStyle w:val="nTable"/>
              <w:spacing w:after="40"/>
              <w:rPr>
                <w:sz w:val="19"/>
              </w:rPr>
            </w:pPr>
            <w:r>
              <w:rPr>
                <w:sz w:val="19"/>
              </w:rPr>
              <w:t>22 Sep 2006 p. 4125</w:t>
            </w:r>
            <w:r>
              <w:rPr>
                <w:sz w:val="19"/>
              </w:rPr>
              <w:noBreakHyphen/>
              <w:t>6</w:t>
            </w:r>
          </w:p>
        </w:tc>
        <w:tc>
          <w:tcPr>
            <w:tcW w:w="2693" w:type="dxa"/>
          </w:tcPr>
          <w:p>
            <w:pPr>
              <w:pStyle w:val="nTable"/>
              <w:spacing w:after="40"/>
              <w:rPr>
                <w:sz w:val="19"/>
              </w:rPr>
            </w:pPr>
            <w:r>
              <w:rPr>
                <w:sz w:val="19"/>
              </w:rPr>
              <w:t xml:space="preserve">22 Sep 2006 </w:t>
            </w:r>
          </w:p>
        </w:tc>
      </w:tr>
      <w:tr>
        <w:trPr>
          <w:cantSplit/>
        </w:trPr>
        <w:tc>
          <w:tcPr>
            <w:tcW w:w="3119" w:type="dxa"/>
          </w:tcPr>
          <w:p>
            <w:pPr>
              <w:pStyle w:val="nTable"/>
              <w:spacing w:after="40"/>
              <w:ind w:right="113"/>
              <w:rPr>
                <w:i/>
                <w:sz w:val="19"/>
              </w:rPr>
            </w:pPr>
            <w:r>
              <w:rPr>
                <w:i/>
                <w:sz w:val="19"/>
              </w:rPr>
              <w:t>Petroleum Products Pricing Amendment Regulations (No. 2) 2006</w:t>
            </w:r>
          </w:p>
        </w:tc>
        <w:tc>
          <w:tcPr>
            <w:tcW w:w="1276" w:type="dxa"/>
          </w:tcPr>
          <w:p>
            <w:pPr>
              <w:pStyle w:val="nTable"/>
              <w:spacing w:after="40"/>
              <w:rPr>
                <w:sz w:val="19"/>
              </w:rPr>
            </w:pPr>
            <w:r>
              <w:rPr>
                <w:sz w:val="19"/>
              </w:rPr>
              <w:t>3 Oct 2006 p. 4337</w:t>
            </w:r>
          </w:p>
        </w:tc>
        <w:tc>
          <w:tcPr>
            <w:tcW w:w="2693" w:type="dxa"/>
          </w:tcPr>
          <w:p>
            <w:pPr>
              <w:pStyle w:val="nTable"/>
              <w:spacing w:after="40"/>
              <w:rPr>
                <w:sz w:val="19"/>
              </w:rPr>
            </w:pPr>
            <w:r>
              <w:rPr>
                <w:sz w:val="19"/>
              </w:rPr>
              <w:t>3 Oct 2006</w:t>
            </w:r>
          </w:p>
        </w:tc>
      </w:tr>
      <w:tr>
        <w:trPr>
          <w:cantSplit/>
        </w:trPr>
        <w:tc>
          <w:tcPr>
            <w:tcW w:w="3119" w:type="dxa"/>
          </w:tcPr>
          <w:p>
            <w:pPr>
              <w:pStyle w:val="nTable"/>
              <w:spacing w:after="40"/>
              <w:ind w:right="113"/>
              <w:rPr>
                <w:i/>
                <w:sz w:val="19"/>
              </w:rPr>
            </w:pPr>
            <w:r>
              <w:rPr>
                <w:i/>
                <w:sz w:val="19"/>
              </w:rPr>
              <w:t>Petroleum Products Pricing Amendment Regulations 2008</w:t>
            </w:r>
          </w:p>
        </w:tc>
        <w:tc>
          <w:tcPr>
            <w:tcW w:w="1276" w:type="dxa"/>
          </w:tcPr>
          <w:p>
            <w:pPr>
              <w:pStyle w:val="nTable"/>
              <w:spacing w:after="40"/>
              <w:rPr>
                <w:sz w:val="19"/>
              </w:rPr>
            </w:pPr>
            <w:r>
              <w:rPr>
                <w:sz w:val="19"/>
              </w:rPr>
              <w:t>12 Aug 2008 p. 3535</w:t>
            </w:r>
            <w:r>
              <w:rPr>
                <w:sz w:val="19"/>
              </w:rPr>
              <w:noBreakHyphen/>
              <w:t>6</w:t>
            </w:r>
          </w:p>
        </w:tc>
        <w:tc>
          <w:tcPr>
            <w:tcW w:w="2693" w:type="dxa"/>
          </w:tcPr>
          <w:p>
            <w:pPr>
              <w:pStyle w:val="nTable"/>
              <w:spacing w:after="40"/>
              <w:rPr>
                <w:sz w:val="19"/>
              </w:rPr>
            </w:pPr>
            <w:r>
              <w:rPr>
                <w:sz w:val="19"/>
              </w:rPr>
              <w:t>r. 1 and 2: 12 Aug 2008 (see r. 2(a));</w:t>
            </w:r>
            <w:r>
              <w:rPr>
                <w:sz w:val="19"/>
              </w:rPr>
              <w:br/>
              <w:t>Regulations other than r. 1 and 2: 13 Aug 2008 (see r. 2(b))</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Petroleum Products Pricing Regulations 2000</w:t>
            </w:r>
            <w:r>
              <w:rPr>
                <w:b/>
                <w:sz w:val="19"/>
              </w:rPr>
              <w:t xml:space="preserve"> as at 14 Aug 2009</w:t>
            </w:r>
            <w:r>
              <w:rPr>
                <w:sz w:val="19"/>
              </w:rPr>
              <w:br/>
              <w:t>(includes amendments listed above)</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tabs>
          <w:tab w:val="clear" w:pos="4153"/>
          <w:tab w:val="clear" w:pos="8306"/>
        </w:tabs>
        <w:spacing w:line="240" w:lineRule="auto"/>
        <w:rPr>
          <w:rFonts w:ascii="Times New Roman" w:hAnsi="Times New Roman"/>
          <w:vertAlign w:val="superscript"/>
        </w:r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rPr>
          <w:rStyle w:val="CharDivText"/>
        </w:rPr>
      </w:pPr>
    </w:p>
    <w:p>
      <w:pPr>
        <w:pStyle w:val="nHeading2"/>
        <w:rPr>
          <w:rStyle w:val="CharDivText"/>
          <w:sz w:val="28"/>
        </w:rPr>
      </w:pPr>
      <w:bookmarkStart w:id="36" w:name="_Toc378250474"/>
      <w:bookmarkStart w:id="37" w:name="_Toc378250820"/>
      <w:r>
        <w:rPr>
          <w:rStyle w:val="CharDivText"/>
          <w:sz w:val="28"/>
        </w:rPr>
        <w:t>Defined Terms</w:t>
      </w:r>
      <w:bookmarkEnd w:id="36"/>
      <w:bookmarkEnd w:id="37"/>
    </w:p>
    <w:p>
      <w:pPr>
        <w:ind w:left="850" w:right="850"/>
        <w:jc w:val="center"/>
        <w:rPr>
          <w:rStyle w:val="CharDivText"/>
          <w:i/>
          <w:sz w:val="18"/>
        </w:rPr>
      </w:pPr>
    </w:p>
    <w:p>
      <w:pPr>
        <w:ind w:left="850" w:right="850"/>
        <w:jc w:val="center"/>
        <w:rPr>
          <w:rStyle w:val="CharDivText"/>
          <w:i/>
          <w:sz w:val="18"/>
        </w:rPr>
      </w:pPr>
      <w:r>
        <w:rPr>
          <w:rStyle w:val="CharDivText"/>
          <w:i/>
          <w:sz w:val="18"/>
        </w:rPr>
        <w:t>[This is a list of terms defined and the provisions where they are defined.  The list is not part of the law.]</w:t>
      </w:r>
    </w:p>
    <w:p>
      <w:pPr>
        <w:pBdr>
          <w:bottom w:val="single" w:sz="4" w:space="1" w:color="auto"/>
        </w:pBdr>
        <w:tabs>
          <w:tab w:val="right" w:pos="7070"/>
        </w:tabs>
        <w:ind w:left="578"/>
        <w:rPr>
          <w:rStyle w:val="CharDivText"/>
          <w:b/>
          <w:i/>
          <w:sz w:val="20"/>
        </w:rPr>
      </w:pPr>
      <w:r>
        <w:rPr>
          <w:rStyle w:val="CharDivText"/>
          <w:b/>
          <w:i/>
          <w:sz w:val="20"/>
        </w:rPr>
        <w:t>Defined Term</w:t>
      </w:r>
      <w:r>
        <w:rPr>
          <w:rStyle w:val="CharDivText"/>
          <w:b/>
          <w:i/>
          <w:sz w:val="20"/>
        </w:rPr>
        <w:tab/>
        <w:t>Provision(s)</w:t>
      </w:r>
    </w:p>
    <w:p>
      <w:pPr>
        <w:pStyle w:val="DefinedTerms"/>
        <w:rPr>
          <w:rStyle w:val="CharDivText"/>
        </w:rPr>
      </w:pPr>
      <w:bookmarkStart w:id="38" w:name="DefinedTerms"/>
      <w:bookmarkEnd w:id="38"/>
      <w:r>
        <w:rPr>
          <w:rStyle w:val="CharDivText"/>
        </w:rPr>
        <w:t>calendar month</w:t>
      </w:r>
      <w:r>
        <w:rPr>
          <w:rStyle w:val="CharDivText"/>
        </w:rPr>
        <w:tab/>
        <w:t>10(3)</w:t>
      </w:r>
    </w:p>
    <w:p>
      <w:pPr>
        <w:pStyle w:val="DefinedTerms"/>
        <w:rPr>
          <w:rStyle w:val="CharDivText"/>
        </w:rPr>
      </w:pPr>
      <w:r>
        <w:rPr>
          <w:rStyle w:val="CharDivText"/>
        </w:rPr>
        <w:t>day</w:t>
      </w:r>
      <w:r>
        <w:rPr>
          <w:rStyle w:val="CharDivText"/>
        </w:rPr>
        <w:tab/>
        <w:t>2A</w:t>
      </w:r>
    </w:p>
    <w:p>
      <w:pPr>
        <w:pStyle w:val="DefinedTerms"/>
        <w:rPr>
          <w:rStyle w:val="CharDivText"/>
        </w:rPr>
      </w:pPr>
      <w:r>
        <w:rPr>
          <w:rStyle w:val="CharDivText"/>
        </w:rPr>
        <w:t>kinds offered</w:t>
      </w:r>
      <w:r>
        <w:rPr>
          <w:rStyle w:val="CharDivText"/>
        </w:rPr>
        <w:tab/>
        <w:t>6(2)(b)</w:t>
      </w:r>
    </w:p>
    <w:p>
      <w:pPr>
        <w:pStyle w:val="DefinedTerms"/>
        <w:rPr>
          <w:rStyle w:val="CharDivText"/>
        </w:rPr>
      </w:pPr>
      <w:r>
        <w:rPr>
          <w:rStyle w:val="CharDivText"/>
        </w:rPr>
        <w:t>Perth metropolitan region</w:t>
      </w:r>
      <w:r>
        <w:rPr>
          <w:rStyle w:val="CharDivText"/>
        </w:rPr>
        <w:tab/>
        <w:t>4(2)</w:t>
      </w:r>
    </w:p>
    <w:p>
      <w:pPr>
        <w:pStyle w:val="DefinedTerms"/>
        <w:rPr>
          <w:rStyle w:val="CharDivText"/>
        </w:rPr>
      </w:pPr>
      <w:r>
        <w:rPr>
          <w:rStyle w:val="CharDivText"/>
        </w:rPr>
        <w:t>regular unleaded petrol</w:t>
      </w:r>
      <w:r>
        <w:rPr>
          <w:rStyle w:val="CharDivText"/>
        </w:rPr>
        <w:tab/>
        <w:t>6(7)</w:t>
      </w:r>
    </w:p>
    <w:p>
      <w:pPr>
        <w:pStyle w:val="DefinedTerms"/>
        <w:rPr>
          <w:rStyle w:val="CharDivText"/>
        </w:rPr>
      </w:pPr>
      <w:r>
        <w:rPr>
          <w:rStyle w:val="CharDivText"/>
        </w:rPr>
        <w:t>retail sale</w:t>
      </w:r>
      <w:r>
        <w:rPr>
          <w:rStyle w:val="CharDivText"/>
        </w:rPr>
        <w:tab/>
        <w:t>2A</w:t>
      </w:r>
    </w:p>
    <w:p>
      <w:pPr>
        <w:pStyle w:val="DefinedTerms"/>
        <w:rPr>
          <w:rStyle w:val="CharDivText"/>
        </w:rPr>
      </w:pPr>
      <w:r>
        <w:rPr>
          <w:rStyle w:val="CharDivText"/>
        </w:rPr>
        <w:t>standard retail sale</w:t>
      </w:r>
      <w:r>
        <w:rPr>
          <w:rStyle w:val="CharDivText"/>
        </w:rPr>
        <w:tab/>
        <w:t>6(7)</w:t>
      </w:r>
    </w:p>
    <w:p>
      <w:pPr>
        <w:pStyle w:val="DefinedTerms"/>
        <w:rPr>
          <w:rStyle w:val="CharDivText"/>
        </w:rPr>
      </w:pPr>
      <w:r>
        <w:rPr>
          <w:rStyle w:val="CharDivText"/>
        </w:rPr>
        <w:t>townsite</w:t>
      </w:r>
      <w:r>
        <w:rPr>
          <w:rStyle w:val="CharDivText"/>
        </w:rPr>
        <w:tab/>
        <w:t>4(2)</w:t>
      </w:r>
    </w:p>
    <w:p>
      <w:pPr>
        <w:pStyle w:val="DefinedTerms"/>
        <w:rPr>
          <w:rStyle w:val="CharDivText"/>
        </w:rPr>
        <w:sectPr>
          <w:headerReference w:type="even" r:id="rId37"/>
          <w:headerReference w:type="default" r:id="rId38"/>
          <w:headerReference w:type="first" r:id="rId39"/>
          <w:type w:val="evenPage"/>
          <w:pgSz w:w="11906" w:h="16838" w:code="9"/>
          <w:pgMar w:top="2381" w:right="2410" w:bottom="3544" w:left="2410" w:header="720" w:footer="3380" w:gutter="0"/>
          <w:pgNumType w:start="1"/>
          <w:cols w:space="720"/>
          <w:noEndnote/>
          <w:docGrid w:linePitch="326"/>
        </w:sectPr>
      </w:pPr>
    </w:p>
    <w:p/>
    <w:p/>
    <w:p/>
    <w:p/>
    <w:p/>
    <w:p/>
    <w:p/>
    <w:p/>
    <w:p/>
    <w:p/>
    <w:p/>
    <w:p/>
    <w:p/>
    <w:p/>
    <w:p/>
    <w:p/>
    <w:p/>
    <w:p/>
    <w:p/>
    <w:p/>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2542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fuelwatch.wa.gov.au" TargetMode="External"/><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3824</Words>
  <Characters>21266</Characters>
  <Application>Microsoft Office Word</Application>
  <DocSecurity>0</DocSecurity>
  <Lines>733</Lines>
  <Paragraphs>464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Western Australia</vt:lpstr>
      <vt:lpstr>Petroleum Products Pricing Regulations 2000</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lpstr>    Defined Terms</vt:lpstr>
    </vt:vector>
  </TitlesOfParts>
  <Manager/>
  <Company/>
  <LinksUpToDate>false</LinksUpToDate>
  <CharactersWithSpaces>24626</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2000 - 02-a0-02</dc:title>
  <dc:subject/>
  <dc:creator/>
  <cp:keywords/>
  <dc:description/>
  <cp:lastModifiedBy>svcMRProcess</cp:lastModifiedBy>
  <cp:revision>4</cp:revision>
  <cp:lastPrinted>2009-08-27T00:49:00Z</cp:lastPrinted>
  <dcterms:created xsi:type="dcterms:W3CDTF">2020-02-27T15:27:00Z</dcterms:created>
  <dcterms:modified xsi:type="dcterms:W3CDTF">2020-02-27T15:27:00Z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2723</vt:i4>
  </property>
  <property fmtid="{D5CDD505-2E9C-101B-9397-08002B2CF9AE}" pid="6" name="AsAtDate">
    <vt:lpwstr>14 Aug 2009</vt:lpwstr>
  </property>
  <property fmtid="{D5CDD505-2E9C-101B-9397-08002B2CF9AE}" pid="7" name="Suffix">
    <vt:lpwstr>02-a0-02</vt:lpwstr>
  </property>
  <property fmtid="{D5CDD505-2E9C-101B-9397-08002B2CF9AE}" pid="8" name="ReprintNo">
    <vt:lpwstr>2</vt:lpwstr>
  </property>
</Properties>
</file>